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F8719B" w:rsidP="00F8719B">
      <w:pPr>
        <w:pStyle w:val="Chapter"/>
        <w:ind w:left="907" w:hanging="907"/>
      </w:pPr>
      <w:bookmarkStart w:id="0" w:name="ChapterNumber"/>
      <w:r>
        <w:t>D</w:t>
      </w:r>
      <w:bookmarkEnd w:id="0"/>
      <w:r>
        <w:tab/>
      </w:r>
      <w:bookmarkStart w:id="1" w:name="_Appendix"/>
      <w:bookmarkStart w:id="2" w:name="ChapterTitle"/>
      <w:bookmarkEnd w:id="1"/>
      <w:r>
        <w:t xml:space="preserve">Emergency management sector </w:t>
      </w:r>
      <w:bookmarkEnd w:id="2"/>
      <w:r w:rsidR="0054554B">
        <w:t>overview</w:t>
      </w:r>
    </w:p>
    <w:p w:rsidR="00DE2D11" w:rsidRPr="00262ED3" w:rsidRDefault="00DE2D11" w:rsidP="00DE2D11">
      <w:pPr>
        <w:pStyle w:val="TOC2"/>
      </w:pPr>
      <w:bookmarkStart w:id="3" w:name="begin"/>
      <w:bookmarkEnd w:id="3"/>
      <w:r w:rsidRPr="00262ED3">
        <w:t>CONTENTS</w:t>
      </w:r>
    </w:p>
    <w:p w:rsidR="004D4B60" w:rsidRDefault="004D4B60">
      <w:pPr>
        <w:pStyle w:val="TOC2"/>
        <w:rPr>
          <w:rFonts w:asciiTheme="minorHAnsi" w:eastAsiaTheme="minorEastAsia" w:hAnsiTheme="minorHAnsi" w:cstheme="minorBidi"/>
          <w:b w:val="0"/>
          <w:noProof/>
          <w:sz w:val="22"/>
          <w:szCs w:val="22"/>
        </w:rPr>
      </w:pPr>
      <w:r w:rsidRPr="00F635DD">
        <w:rPr>
          <w:noProof/>
        </w:rPr>
        <w:t>D.1</w:t>
      </w:r>
      <w:r>
        <w:rPr>
          <w:rFonts w:asciiTheme="minorHAnsi" w:eastAsiaTheme="minorEastAsia" w:hAnsiTheme="minorHAnsi" w:cstheme="minorBidi"/>
          <w:b w:val="0"/>
          <w:noProof/>
          <w:sz w:val="22"/>
          <w:szCs w:val="22"/>
        </w:rPr>
        <w:tab/>
      </w:r>
      <w:r w:rsidRPr="00F635DD">
        <w:rPr>
          <w:noProof/>
        </w:rPr>
        <w:t>Introduction</w:t>
      </w:r>
      <w:r>
        <w:rPr>
          <w:noProof/>
          <w:webHidden/>
        </w:rPr>
        <w:tab/>
        <w:t>D.</w:t>
      </w:r>
      <w:r w:rsidR="005A1847">
        <w:rPr>
          <w:noProof/>
          <w:webHidden/>
        </w:rPr>
        <w:t>1</w:t>
      </w:r>
      <w:r w:rsidR="0016756B">
        <w:rPr>
          <w:noProof/>
          <w:webHidden/>
        </w:rPr>
        <w:t xml:space="preserve"> </w:t>
      </w:r>
      <w:bookmarkStart w:id="4" w:name="_GoBack"/>
      <w:bookmarkEnd w:id="4"/>
    </w:p>
    <w:p w:rsidR="004D4B60" w:rsidRDefault="004D4B60">
      <w:pPr>
        <w:pStyle w:val="TOC2"/>
        <w:rPr>
          <w:rFonts w:asciiTheme="minorHAnsi" w:eastAsiaTheme="minorEastAsia" w:hAnsiTheme="minorHAnsi" w:cstheme="minorBidi"/>
          <w:b w:val="0"/>
          <w:noProof/>
          <w:sz w:val="22"/>
          <w:szCs w:val="22"/>
        </w:rPr>
      </w:pPr>
      <w:r w:rsidRPr="00F635DD">
        <w:rPr>
          <w:noProof/>
        </w:rPr>
        <w:t>D.2</w:t>
      </w:r>
      <w:r>
        <w:rPr>
          <w:rFonts w:asciiTheme="minorHAnsi" w:eastAsiaTheme="minorEastAsia" w:hAnsiTheme="minorHAnsi" w:cstheme="minorBidi"/>
          <w:b w:val="0"/>
          <w:noProof/>
          <w:sz w:val="22"/>
          <w:szCs w:val="22"/>
        </w:rPr>
        <w:tab/>
      </w:r>
      <w:r w:rsidRPr="00F635DD">
        <w:rPr>
          <w:noProof/>
        </w:rPr>
        <w:t>Sector performance indicator framework</w:t>
      </w:r>
      <w:r>
        <w:rPr>
          <w:noProof/>
          <w:webHidden/>
        </w:rPr>
        <w:tab/>
        <w:t>D.</w:t>
      </w:r>
      <w:r w:rsidR="005A1847">
        <w:rPr>
          <w:noProof/>
          <w:webHidden/>
        </w:rPr>
        <w:t>13</w:t>
      </w:r>
    </w:p>
    <w:p w:rsidR="004D4B60" w:rsidRDefault="004D4B60">
      <w:pPr>
        <w:pStyle w:val="TOC2"/>
        <w:rPr>
          <w:rFonts w:asciiTheme="minorHAnsi" w:eastAsiaTheme="minorEastAsia" w:hAnsiTheme="minorHAnsi" w:cstheme="minorBidi"/>
          <w:b w:val="0"/>
          <w:noProof/>
          <w:sz w:val="22"/>
          <w:szCs w:val="22"/>
        </w:rPr>
      </w:pPr>
      <w:r w:rsidRPr="00F635DD">
        <w:rPr>
          <w:noProof/>
        </w:rPr>
        <w:t>D.3</w:t>
      </w:r>
      <w:r>
        <w:rPr>
          <w:rFonts w:asciiTheme="minorHAnsi" w:eastAsiaTheme="minorEastAsia" w:hAnsiTheme="minorHAnsi" w:cstheme="minorBidi"/>
          <w:b w:val="0"/>
          <w:noProof/>
          <w:sz w:val="22"/>
          <w:szCs w:val="22"/>
        </w:rPr>
        <w:tab/>
      </w:r>
      <w:r w:rsidRPr="00F635DD">
        <w:rPr>
          <w:noProof/>
        </w:rPr>
        <w:t>Cross-cutting and interface issues</w:t>
      </w:r>
      <w:r>
        <w:rPr>
          <w:noProof/>
          <w:webHidden/>
        </w:rPr>
        <w:tab/>
        <w:t>D.</w:t>
      </w:r>
      <w:r w:rsidR="005A1847">
        <w:rPr>
          <w:noProof/>
          <w:webHidden/>
        </w:rPr>
        <w:t>27</w:t>
      </w:r>
    </w:p>
    <w:p w:rsidR="004D4B60" w:rsidRDefault="004D4B60">
      <w:pPr>
        <w:pStyle w:val="TOC2"/>
        <w:rPr>
          <w:rFonts w:asciiTheme="minorHAnsi" w:eastAsiaTheme="minorEastAsia" w:hAnsiTheme="minorHAnsi" w:cstheme="minorBidi"/>
          <w:b w:val="0"/>
          <w:noProof/>
          <w:sz w:val="22"/>
          <w:szCs w:val="22"/>
        </w:rPr>
      </w:pPr>
      <w:r w:rsidRPr="00F635DD">
        <w:rPr>
          <w:noProof/>
        </w:rPr>
        <w:t>D.4</w:t>
      </w:r>
      <w:r>
        <w:rPr>
          <w:rFonts w:asciiTheme="minorHAnsi" w:eastAsiaTheme="minorEastAsia" w:hAnsiTheme="minorHAnsi" w:cstheme="minorBidi"/>
          <w:b w:val="0"/>
          <w:noProof/>
          <w:sz w:val="22"/>
          <w:szCs w:val="22"/>
        </w:rPr>
        <w:tab/>
      </w:r>
      <w:r w:rsidRPr="00F635DD">
        <w:rPr>
          <w:noProof/>
        </w:rPr>
        <w:t>Future directions in performance reporting</w:t>
      </w:r>
      <w:r>
        <w:rPr>
          <w:noProof/>
          <w:webHidden/>
        </w:rPr>
        <w:tab/>
        <w:t>D.</w:t>
      </w:r>
      <w:r w:rsidR="005A1847">
        <w:rPr>
          <w:noProof/>
          <w:webHidden/>
        </w:rPr>
        <w:t>28</w:t>
      </w:r>
    </w:p>
    <w:p w:rsidR="004D4B60" w:rsidRDefault="004D4B60">
      <w:pPr>
        <w:pStyle w:val="TOC2"/>
        <w:rPr>
          <w:rFonts w:asciiTheme="minorHAnsi" w:eastAsiaTheme="minorEastAsia" w:hAnsiTheme="minorHAnsi" w:cstheme="minorBidi"/>
          <w:b w:val="0"/>
          <w:noProof/>
          <w:sz w:val="22"/>
          <w:szCs w:val="22"/>
        </w:rPr>
      </w:pPr>
      <w:r w:rsidRPr="00F635DD">
        <w:rPr>
          <w:noProof/>
        </w:rPr>
        <w:t>D.5</w:t>
      </w:r>
      <w:r>
        <w:rPr>
          <w:rFonts w:asciiTheme="minorHAnsi" w:eastAsiaTheme="minorEastAsia" w:hAnsiTheme="minorHAnsi" w:cstheme="minorBidi"/>
          <w:b w:val="0"/>
          <w:noProof/>
          <w:sz w:val="22"/>
          <w:szCs w:val="22"/>
        </w:rPr>
        <w:tab/>
      </w:r>
      <w:r w:rsidRPr="00F635DD">
        <w:rPr>
          <w:noProof/>
        </w:rPr>
        <w:t>List of attachment tables</w:t>
      </w:r>
      <w:r>
        <w:rPr>
          <w:noProof/>
          <w:webHidden/>
        </w:rPr>
        <w:tab/>
        <w:t>D.</w:t>
      </w:r>
      <w:r w:rsidR="005A1847">
        <w:rPr>
          <w:noProof/>
          <w:webHidden/>
        </w:rPr>
        <w:t>29</w:t>
      </w:r>
    </w:p>
    <w:p w:rsidR="004D4B60" w:rsidRDefault="004D4B60">
      <w:pPr>
        <w:pStyle w:val="TOC2"/>
        <w:rPr>
          <w:rFonts w:asciiTheme="minorHAnsi" w:eastAsiaTheme="minorEastAsia" w:hAnsiTheme="minorHAnsi" w:cstheme="minorBidi"/>
          <w:b w:val="0"/>
          <w:noProof/>
          <w:sz w:val="22"/>
          <w:szCs w:val="22"/>
        </w:rPr>
      </w:pPr>
      <w:r w:rsidRPr="00F635DD">
        <w:rPr>
          <w:noProof/>
        </w:rPr>
        <w:t>D.6</w:t>
      </w:r>
      <w:r>
        <w:rPr>
          <w:rFonts w:asciiTheme="minorHAnsi" w:eastAsiaTheme="minorEastAsia" w:hAnsiTheme="minorHAnsi" w:cstheme="minorBidi"/>
          <w:b w:val="0"/>
          <w:noProof/>
          <w:sz w:val="22"/>
          <w:szCs w:val="22"/>
        </w:rPr>
        <w:tab/>
      </w:r>
      <w:r w:rsidRPr="00F635DD">
        <w:rPr>
          <w:noProof/>
        </w:rPr>
        <w:t>References</w:t>
      </w:r>
      <w:r>
        <w:rPr>
          <w:noProof/>
          <w:webHidden/>
        </w:rPr>
        <w:tab/>
        <w:t>D.</w:t>
      </w:r>
      <w:r w:rsidR="005A1847">
        <w:rPr>
          <w:noProof/>
          <w:webHidden/>
        </w:rPr>
        <w:t>29</w:t>
      </w:r>
    </w:p>
    <w:p w:rsidR="00DE2D11" w:rsidRPr="00262ED3" w:rsidRDefault="00DE2D11" w:rsidP="00DE2D1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E2D11" w:rsidRPr="00262ED3" w:rsidTr="00DE2D11">
        <w:tc>
          <w:tcPr>
            <w:tcW w:w="8771" w:type="dxa"/>
            <w:tcBorders>
              <w:top w:val="single" w:sz="6" w:space="0" w:color="auto"/>
              <w:bottom w:val="nil"/>
            </w:tcBorders>
            <w:shd w:val="clear" w:color="auto" w:fill="E0E0E0"/>
          </w:tcPr>
          <w:p w:rsidR="00DE2D11" w:rsidRPr="00262ED3" w:rsidRDefault="00DE2D11" w:rsidP="00DE2D11">
            <w:pPr>
              <w:pStyle w:val="BoxTitle"/>
            </w:pPr>
            <w:r w:rsidRPr="00262ED3">
              <w:t>Attachment tables</w:t>
            </w:r>
          </w:p>
        </w:tc>
      </w:tr>
      <w:tr w:rsidR="00DE2D11" w:rsidRPr="00262ED3" w:rsidTr="00DE2D11">
        <w:trPr>
          <w:cantSplit/>
        </w:trPr>
        <w:tc>
          <w:tcPr>
            <w:tcW w:w="8771" w:type="dxa"/>
            <w:tcBorders>
              <w:top w:val="nil"/>
              <w:left w:val="single" w:sz="6" w:space="0" w:color="auto"/>
              <w:bottom w:val="nil"/>
              <w:right w:val="single" w:sz="6" w:space="0" w:color="auto"/>
            </w:tcBorders>
            <w:shd w:val="clear" w:color="auto" w:fill="E0E0E0"/>
          </w:tcPr>
          <w:p w:rsidR="00DE2D11" w:rsidRPr="002C08D1" w:rsidRDefault="00DE2D11" w:rsidP="00DE2D11">
            <w:pPr>
              <w:pStyle w:val="Box"/>
            </w:pPr>
            <w:r w:rsidRPr="002C08D1">
              <w:t xml:space="preserve">Attachment tables are identified in references throughout this </w:t>
            </w:r>
            <w:r w:rsidR="0054554B">
              <w:t>sector overview</w:t>
            </w:r>
            <w:r w:rsidRPr="002C08D1">
              <w:t xml:space="preserve"> by a ‘</w:t>
            </w:r>
            <w:r>
              <w:t>D</w:t>
            </w:r>
            <w:r w:rsidRPr="002C08D1">
              <w:t xml:space="preserve">A’ </w:t>
            </w:r>
            <w:r w:rsidR="00774525">
              <w:t>prefix</w:t>
            </w:r>
            <w:r w:rsidRPr="002C08D1">
              <w:t xml:space="preserve"> (for example, table </w:t>
            </w:r>
            <w:proofErr w:type="spellStart"/>
            <w:r>
              <w:t>D</w:t>
            </w:r>
            <w:r w:rsidRPr="002C08D1">
              <w:t>A.1</w:t>
            </w:r>
            <w:proofErr w:type="spellEnd"/>
            <w:r w:rsidRPr="002C08D1">
              <w:t xml:space="preserve">). A full list of attachment tables is provided at the end of this </w:t>
            </w:r>
            <w:r w:rsidR="0054554B">
              <w:t>sector overview</w:t>
            </w:r>
            <w:r w:rsidRPr="002C08D1">
              <w:t xml:space="preserve">, and the attachment tables are available from the Review website at </w:t>
            </w:r>
            <w:proofErr w:type="spellStart"/>
            <w:r w:rsidRPr="002C08D1">
              <w:t>www.pc.gov.au</w:t>
            </w:r>
            <w:proofErr w:type="spellEnd"/>
            <w:r w:rsidRPr="002C08D1">
              <w:t>/</w:t>
            </w:r>
            <w:proofErr w:type="spellStart"/>
            <w:r w:rsidRPr="002C08D1">
              <w:t>gsp</w:t>
            </w:r>
            <w:proofErr w:type="spellEnd"/>
            <w:r w:rsidRPr="002C08D1">
              <w:t>.</w:t>
            </w:r>
          </w:p>
        </w:tc>
      </w:tr>
      <w:tr w:rsidR="00DE2D11" w:rsidRPr="00262ED3" w:rsidTr="00DE2D11">
        <w:trPr>
          <w:cantSplit/>
        </w:trPr>
        <w:tc>
          <w:tcPr>
            <w:tcW w:w="8771" w:type="dxa"/>
            <w:tcBorders>
              <w:top w:val="nil"/>
              <w:left w:val="single" w:sz="6" w:space="0" w:color="auto"/>
              <w:bottom w:val="single" w:sz="6" w:space="0" w:color="auto"/>
              <w:right w:val="single" w:sz="6" w:space="0" w:color="auto"/>
            </w:tcBorders>
            <w:shd w:val="clear" w:color="auto" w:fill="E0E0E0"/>
          </w:tcPr>
          <w:p w:rsidR="00DE2D11" w:rsidRPr="00262ED3" w:rsidRDefault="00DE2D11" w:rsidP="00DE2D11">
            <w:pPr>
              <w:pStyle w:val="Box"/>
              <w:spacing w:before="0" w:line="120" w:lineRule="exact"/>
            </w:pPr>
          </w:p>
        </w:tc>
      </w:tr>
      <w:tr w:rsidR="00DE2D11" w:rsidRPr="00262ED3" w:rsidTr="00DE2D11">
        <w:tc>
          <w:tcPr>
            <w:tcW w:w="8771" w:type="dxa"/>
            <w:tcBorders>
              <w:top w:val="nil"/>
              <w:left w:val="nil"/>
              <w:bottom w:val="nil"/>
              <w:right w:val="nil"/>
            </w:tcBorders>
          </w:tcPr>
          <w:p w:rsidR="00DE2D11" w:rsidRPr="00262ED3" w:rsidRDefault="00DE2D11" w:rsidP="00DE2D11">
            <w:pPr>
              <w:spacing w:before="60" w:after="60" w:line="80" w:lineRule="exact"/>
            </w:pPr>
          </w:p>
        </w:tc>
      </w:tr>
    </w:tbl>
    <w:p w:rsidR="00DE2D11" w:rsidRPr="00262ED3" w:rsidRDefault="00CA09FA" w:rsidP="00DE2D11">
      <w:pPr>
        <w:pStyle w:val="Heading2"/>
      </w:pPr>
      <w:bookmarkStart w:id="5" w:name="_Toc272325755"/>
      <w:bookmarkStart w:id="6" w:name="_Toc294252405"/>
      <w:bookmarkStart w:id="7" w:name="_Toc337997850"/>
      <w:proofErr w:type="spellStart"/>
      <w:r>
        <w:t>D.</w:t>
      </w:r>
      <w:r w:rsidR="005A1847">
        <w:rPr>
          <w:noProof/>
        </w:rPr>
        <w:t>1</w:t>
      </w:r>
      <w:proofErr w:type="spellEnd"/>
      <w:r w:rsidR="00DE2D11">
        <w:tab/>
      </w:r>
      <w:r w:rsidR="00DE2D11" w:rsidRPr="00262ED3">
        <w:t>Introdu</w:t>
      </w:r>
      <w:r w:rsidR="00DE2D11">
        <w:t>c</w:t>
      </w:r>
      <w:r w:rsidR="00DE2D11" w:rsidRPr="00262ED3">
        <w:t>tion</w:t>
      </w:r>
      <w:bookmarkEnd w:id="5"/>
      <w:bookmarkEnd w:id="6"/>
      <w:bookmarkEnd w:id="7"/>
    </w:p>
    <w:p w:rsidR="00DE2D11" w:rsidRDefault="00DE2D11" w:rsidP="00DE2D11">
      <w:pPr>
        <w:pStyle w:val="BodyText"/>
      </w:pPr>
      <w:r w:rsidRPr="00262ED3">
        <w:t xml:space="preserve">This </w:t>
      </w:r>
      <w:r w:rsidR="0054554B">
        <w:t>sector overview</w:t>
      </w:r>
      <w:r w:rsidRPr="00262ED3">
        <w:t xml:space="preserve"> provides an introduction </w:t>
      </w:r>
      <w:r>
        <w:t>and the policy context for the government services reported in ‘</w:t>
      </w:r>
      <w:r w:rsidR="007321F1">
        <w:t>Fire and ambulance</w:t>
      </w:r>
      <w:r w:rsidR="00E25825">
        <w:t xml:space="preserve"> services</w:t>
      </w:r>
      <w:r>
        <w:t xml:space="preserve">’ (chapter 9) by providing an overview of the </w:t>
      </w:r>
      <w:r w:rsidR="00A4086B">
        <w:t>emergency management</w:t>
      </w:r>
      <w:r>
        <w:t xml:space="preserve"> sector.</w:t>
      </w:r>
      <w:r w:rsidRPr="00262ED3">
        <w:t xml:space="preserve"> </w:t>
      </w:r>
    </w:p>
    <w:p w:rsidR="00DE2D11" w:rsidRPr="00262ED3" w:rsidRDefault="00DE2D11" w:rsidP="00DE2D11">
      <w:pPr>
        <w:pStyle w:val="BodyText"/>
      </w:pPr>
      <w:r w:rsidRPr="00262ED3">
        <w:t xml:space="preserve">Major improvements in reporting on </w:t>
      </w:r>
      <w:r>
        <w:t xml:space="preserve">particular emergency management services </w:t>
      </w:r>
      <w:r w:rsidRPr="00262ED3">
        <w:t xml:space="preserve">this year are identified in </w:t>
      </w:r>
      <w:r w:rsidR="007321F1">
        <w:t>Fire</w:t>
      </w:r>
      <w:r w:rsidR="00E25825">
        <w:t xml:space="preserve"> </w:t>
      </w:r>
      <w:r w:rsidR="007321F1">
        <w:t>and ambulance</w:t>
      </w:r>
      <w:r>
        <w:t xml:space="preserve"> </w:t>
      </w:r>
      <w:r w:rsidR="00E25825">
        <w:t>services</w:t>
      </w:r>
      <w:r>
        <w:t xml:space="preserve"> (chapter 9)</w:t>
      </w:r>
      <w:r w:rsidRPr="00262ED3">
        <w:t>.</w:t>
      </w:r>
    </w:p>
    <w:p w:rsidR="00DE2D11" w:rsidRDefault="00DE2D11" w:rsidP="00AF7098">
      <w:pPr>
        <w:pStyle w:val="Heading3"/>
      </w:pPr>
      <w:r>
        <w:lastRenderedPageBreak/>
        <w:t>Policy context</w:t>
      </w:r>
    </w:p>
    <w:p w:rsidR="00F609DB" w:rsidRPr="00495745" w:rsidRDefault="00F609DB" w:rsidP="00F609DB">
      <w:pPr>
        <w:pStyle w:val="BodyText"/>
      </w:pPr>
      <w:r w:rsidRPr="00495745">
        <w:t>A</w:t>
      </w:r>
      <w:r w:rsidR="006B67DC" w:rsidRPr="00495745">
        <w:t xml:space="preserve"> national, coordinated and cooperative effort is needed to enhance Australia’s capacity to withstand and recover from emergencies and disasters (</w:t>
      </w:r>
      <w:proofErr w:type="spellStart"/>
      <w:r w:rsidR="006B67DC" w:rsidRPr="00495745">
        <w:t>COAG</w:t>
      </w:r>
      <w:proofErr w:type="spellEnd"/>
      <w:r w:rsidR="006B67DC" w:rsidRPr="00495745">
        <w:t> 2009). Accordingly, the Council of Australian Governments (</w:t>
      </w:r>
      <w:proofErr w:type="spellStart"/>
      <w:r w:rsidR="006B67DC" w:rsidRPr="00495745">
        <w:t>COAG</w:t>
      </w:r>
      <w:proofErr w:type="spellEnd"/>
      <w:r w:rsidR="006B67DC" w:rsidRPr="00495745">
        <w:t xml:space="preserve">) adopted the </w:t>
      </w:r>
      <w:r w:rsidR="006B67DC" w:rsidRPr="00495745">
        <w:rPr>
          <w:i/>
        </w:rPr>
        <w:t>National Strategy for Disaster Resilience</w:t>
      </w:r>
      <w:r w:rsidR="006B67DC" w:rsidRPr="00495745">
        <w:t xml:space="preserve"> on 13 February</w:t>
      </w:r>
      <w:r w:rsidR="00BE3E26">
        <w:t xml:space="preserve"> </w:t>
      </w:r>
      <w:r w:rsidR="006B67DC" w:rsidRPr="00495745">
        <w:t>2011 (</w:t>
      </w:r>
      <w:proofErr w:type="spellStart"/>
      <w:r w:rsidR="006B67DC" w:rsidRPr="00495745">
        <w:t>COAG</w:t>
      </w:r>
      <w:proofErr w:type="spellEnd"/>
      <w:r w:rsidR="006B67DC" w:rsidRPr="00495745">
        <w:t> 2011).</w:t>
      </w:r>
      <w:r w:rsidRPr="00495745">
        <w:t xml:space="preserve"> </w:t>
      </w:r>
      <w:r w:rsidR="006B67DC" w:rsidRPr="00495745">
        <w:t>The strategy promotes a ‘resilience’ based approach to natural disaster policy and programs (</w:t>
      </w:r>
      <w:proofErr w:type="spellStart"/>
      <w:r w:rsidR="006B67DC" w:rsidRPr="00495745">
        <w:t>COAG</w:t>
      </w:r>
      <w:proofErr w:type="spellEnd"/>
      <w:r w:rsidR="006B67DC" w:rsidRPr="00495745">
        <w:t xml:space="preserve"> 2009). The strategy recognises that disaster resilience is a shared responsibility for individuals, businesses and communities, </w:t>
      </w:r>
      <w:r w:rsidRPr="00495745">
        <w:t xml:space="preserve">and involves activities as diverse as risk assessment, legislation, community development, emergency response, urban development and land use management, and community recovery. </w:t>
      </w:r>
    </w:p>
    <w:p w:rsidR="004F44BF" w:rsidRPr="00495745" w:rsidRDefault="00DE2D11" w:rsidP="00AF7098">
      <w:pPr>
        <w:pStyle w:val="BodyText"/>
      </w:pPr>
      <w:r w:rsidRPr="00495745">
        <w:t xml:space="preserve">The </w:t>
      </w:r>
      <w:r w:rsidR="008F18E1" w:rsidRPr="00495745">
        <w:t>Australia</w:t>
      </w:r>
      <w:r w:rsidR="00FD0FD1" w:rsidRPr="00495745">
        <w:noBreakHyphen/>
      </w:r>
      <w:r w:rsidR="008F18E1" w:rsidRPr="00495745">
        <w:t xml:space="preserve">New Zealand </w:t>
      </w:r>
      <w:r w:rsidRPr="00495745">
        <w:t>Emergency Management Committee (</w:t>
      </w:r>
      <w:r w:rsidR="008F18E1" w:rsidRPr="00495745">
        <w:t>ANZ</w:t>
      </w:r>
      <w:r w:rsidRPr="00495745">
        <w:t>EMC)</w:t>
      </w:r>
      <w:r w:rsidR="00B35E0E" w:rsidRPr="00495745">
        <w:t>, established by</w:t>
      </w:r>
      <w:r w:rsidR="008F18E1" w:rsidRPr="00495745">
        <w:t xml:space="preserve"> agreement between</w:t>
      </w:r>
      <w:r w:rsidR="00B35E0E" w:rsidRPr="00495745">
        <w:t xml:space="preserve"> </w:t>
      </w:r>
      <w:proofErr w:type="spellStart"/>
      <w:r w:rsidR="00B35E0E" w:rsidRPr="00495745">
        <w:t>COAG</w:t>
      </w:r>
      <w:proofErr w:type="spellEnd"/>
      <w:r w:rsidR="008F18E1" w:rsidRPr="00495745">
        <w:t xml:space="preserve"> and the New Zealand Government </w:t>
      </w:r>
      <w:r w:rsidRPr="00495745">
        <w:t xml:space="preserve">is Australia’s </w:t>
      </w:r>
      <w:r w:rsidR="00B35E0E" w:rsidRPr="00495745">
        <w:t xml:space="preserve">national </w:t>
      </w:r>
      <w:r w:rsidRPr="00495745">
        <w:t xml:space="preserve">consultative emergency management forum. </w:t>
      </w:r>
      <w:r w:rsidR="003203FF" w:rsidRPr="00495745">
        <w:t xml:space="preserve">The </w:t>
      </w:r>
      <w:r w:rsidR="005D4279" w:rsidRPr="00495745">
        <w:t>ANZEMC</w:t>
      </w:r>
      <w:r w:rsidR="003203FF" w:rsidRPr="00495745">
        <w:t xml:space="preserve"> reports to the Standing Council on Police and Emergency Management</w:t>
      </w:r>
      <w:r w:rsidR="00F609DB" w:rsidRPr="00495745">
        <w:t>,</w:t>
      </w:r>
      <w:r w:rsidR="003203FF" w:rsidRPr="00495745">
        <w:t xml:space="preserve"> other standing councils as required</w:t>
      </w:r>
      <w:r w:rsidR="00F609DB" w:rsidRPr="00495745">
        <w:t xml:space="preserve">, and </w:t>
      </w:r>
      <w:r w:rsidR="004F44BF" w:rsidRPr="00495745">
        <w:t xml:space="preserve">has </w:t>
      </w:r>
      <w:r w:rsidR="003203FF" w:rsidRPr="00495745">
        <w:t xml:space="preserve">a direct reporting line to </w:t>
      </w:r>
      <w:proofErr w:type="spellStart"/>
      <w:r w:rsidR="003203FF" w:rsidRPr="00495745">
        <w:t>COAG</w:t>
      </w:r>
      <w:proofErr w:type="spellEnd"/>
      <w:r w:rsidR="003203FF" w:rsidRPr="00495745">
        <w:t xml:space="preserve"> for matters requiring whole</w:t>
      </w:r>
      <w:r w:rsidR="003203FF" w:rsidRPr="00495745">
        <w:noBreakHyphen/>
        <w:t>of</w:t>
      </w:r>
      <w:r w:rsidR="003203FF" w:rsidRPr="00495745">
        <w:noBreakHyphen/>
        <w:t>government consideration</w:t>
      </w:r>
      <w:r w:rsidR="00F609DB" w:rsidRPr="00495745">
        <w:t xml:space="preserve"> (</w:t>
      </w:r>
      <w:proofErr w:type="spellStart"/>
      <w:r w:rsidR="00F609DB" w:rsidRPr="00495745">
        <w:t>A</w:t>
      </w:r>
      <w:r w:rsidR="007C04A0" w:rsidRPr="00495745">
        <w:t>GD</w:t>
      </w:r>
      <w:proofErr w:type="spellEnd"/>
      <w:r w:rsidR="007C04A0" w:rsidRPr="00495745">
        <w:t> </w:t>
      </w:r>
      <w:proofErr w:type="spellStart"/>
      <w:r w:rsidR="00F609DB" w:rsidRPr="00495745">
        <w:t>2013</w:t>
      </w:r>
      <w:r w:rsidR="001A29D5">
        <w:t>b</w:t>
      </w:r>
      <w:proofErr w:type="spellEnd"/>
      <w:r w:rsidR="00F609DB" w:rsidRPr="00495745">
        <w:t>)</w:t>
      </w:r>
      <w:r w:rsidR="003203FF" w:rsidRPr="00495745">
        <w:t xml:space="preserve">. </w:t>
      </w:r>
    </w:p>
    <w:p w:rsidR="00DE2D11" w:rsidRDefault="00DE2D11" w:rsidP="00AF7098">
      <w:pPr>
        <w:pStyle w:val="BodyText"/>
      </w:pPr>
      <w:r>
        <w:t>T</w:t>
      </w:r>
      <w:r w:rsidRPr="0021649E">
        <w:t xml:space="preserve">he </w:t>
      </w:r>
      <w:r w:rsidR="005D4279">
        <w:t>ANZEMC</w:t>
      </w:r>
      <w:r>
        <w:t xml:space="preserve"> </w:t>
      </w:r>
      <w:r w:rsidRPr="00FD3D8E">
        <w:t xml:space="preserve">is supported by four </w:t>
      </w:r>
      <w:r>
        <w:t>s</w:t>
      </w:r>
      <w:r w:rsidRPr="00FD3D8E">
        <w:t>ub</w:t>
      </w:r>
      <w:r w:rsidR="001525FA">
        <w:noBreakHyphen/>
      </w:r>
      <w:r>
        <w:t>committees:</w:t>
      </w:r>
    </w:p>
    <w:p w:rsidR="00DE2D11" w:rsidRDefault="00DE2D11" w:rsidP="00FD5CC3">
      <w:pPr>
        <w:pStyle w:val="ListBullet"/>
      </w:pPr>
      <w:r w:rsidRPr="00FD3D8E">
        <w:t>Capability Development Sub</w:t>
      </w:r>
      <w:r w:rsidR="001525FA">
        <w:noBreakHyphen/>
      </w:r>
      <w:r w:rsidRPr="00FD3D8E">
        <w:t xml:space="preserve">Committee </w:t>
      </w:r>
      <w:r w:rsidR="00F609DB">
        <w:t xml:space="preserve">— </w:t>
      </w:r>
      <w:r w:rsidR="005D4279" w:rsidRPr="005D4279">
        <w:t xml:space="preserve">strategic </w:t>
      </w:r>
      <w:proofErr w:type="spellStart"/>
      <w:r w:rsidR="005D4279" w:rsidRPr="005D4279">
        <w:t>nation</w:t>
      </w:r>
      <w:r w:rsidR="001525FA">
        <w:noBreakHyphen/>
      </w:r>
      <w:r w:rsidR="005D4279" w:rsidRPr="005D4279">
        <w:t>wide</w:t>
      </w:r>
      <w:proofErr w:type="spellEnd"/>
      <w:r w:rsidR="005D4279" w:rsidRPr="005D4279">
        <w:t xml:space="preserve"> </w:t>
      </w:r>
      <w:r w:rsidR="00F609DB">
        <w:t xml:space="preserve">and </w:t>
      </w:r>
      <w:r w:rsidR="005D4279" w:rsidRPr="005D4279">
        <w:t>whole</w:t>
      </w:r>
      <w:r w:rsidR="00F609DB">
        <w:noBreakHyphen/>
      </w:r>
      <w:r w:rsidR="005D4279" w:rsidRPr="005D4279">
        <w:t>of</w:t>
      </w:r>
      <w:r w:rsidR="00F609DB">
        <w:noBreakHyphen/>
      </w:r>
      <w:r w:rsidR="005D4279" w:rsidRPr="005D4279">
        <w:t>governments</w:t>
      </w:r>
      <w:r w:rsidR="00A77486">
        <w:t>’</w:t>
      </w:r>
      <w:r w:rsidR="005D4279" w:rsidRPr="005D4279">
        <w:t xml:space="preserve"> emergency ma</w:t>
      </w:r>
      <w:r w:rsidR="005D4279">
        <w:t xml:space="preserve">nagement capability </w:t>
      </w:r>
      <w:r w:rsidR="005D4279" w:rsidRPr="00B73A74">
        <w:t>development</w:t>
      </w:r>
      <w:r>
        <w:t xml:space="preserve"> </w:t>
      </w:r>
    </w:p>
    <w:p w:rsidR="00DE2D11" w:rsidRDefault="00DE2D11" w:rsidP="00FD5CC3">
      <w:pPr>
        <w:pStyle w:val="ListBullet"/>
      </w:pPr>
      <w:r w:rsidRPr="00FD3D8E">
        <w:t>Recovery Sub</w:t>
      </w:r>
      <w:r w:rsidR="001525FA">
        <w:noBreakHyphen/>
      </w:r>
      <w:r w:rsidRPr="00FD3D8E">
        <w:t>Committee</w:t>
      </w:r>
      <w:r>
        <w:t xml:space="preserve"> </w:t>
      </w:r>
      <w:r w:rsidR="00F609DB">
        <w:t xml:space="preserve">— </w:t>
      </w:r>
      <w:r w:rsidR="005D4279" w:rsidRPr="00B73A74">
        <w:t>holistic disaster recovery policy</w:t>
      </w:r>
      <w:r w:rsidR="005D4279" w:rsidRPr="005D4279">
        <w:t xml:space="preserve"> and planning</w:t>
      </w:r>
    </w:p>
    <w:p w:rsidR="00DE2D11" w:rsidRDefault="00DE2D11" w:rsidP="00FD5CC3">
      <w:pPr>
        <w:pStyle w:val="ListBullet"/>
      </w:pPr>
      <w:r w:rsidRPr="00FD3D8E">
        <w:t>Community Engagement Sub</w:t>
      </w:r>
      <w:r w:rsidR="001525FA">
        <w:noBreakHyphen/>
      </w:r>
      <w:r w:rsidRPr="00FD3D8E">
        <w:t xml:space="preserve">Committee </w:t>
      </w:r>
      <w:r w:rsidR="00F609DB">
        <w:t xml:space="preserve">— </w:t>
      </w:r>
      <w:r w:rsidR="005D4279" w:rsidRPr="00B73A74">
        <w:t xml:space="preserve">strategic </w:t>
      </w:r>
      <w:proofErr w:type="spellStart"/>
      <w:r w:rsidR="005D4279" w:rsidRPr="00B73A74">
        <w:t>nation</w:t>
      </w:r>
      <w:r w:rsidR="001525FA">
        <w:noBreakHyphen/>
      </w:r>
      <w:r w:rsidR="005D4279" w:rsidRPr="00B73A74">
        <w:t>wide</w:t>
      </w:r>
      <w:proofErr w:type="spellEnd"/>
      <w:r w:rsidR="005D4279" w:rsidRPr="00B73A74">
        <w:t xml:space="preserve"> whole</w:t>
      </w:r>
      <w:r w:rsidR="00F609DB">
        <w:noBreakHyphen/>
      </w:r>
      <w:r w:rsidR="005D4279" w:rsidRPr="00B73A74">
        <w:t>of</w:t>
      </w:r>
      <w:r w:rsidR="00F609DB">
        <w:noBreakHyphen/>
      </w:r>
      <w:r w:rsidR="005D4279" w:rsidRPr="00B73A74">
        <w:t>governments</w:t>
      </w:r>
      <w:r w:rsidR="00A77486" w:rsidRPr="00B73A74">
        <w:t>’</w:t>
      </w:r>
      <w:r w:rsidR="005D4279" w:rsidRPr="00B73A74">
        <w:t xml:space="preserve"> emergency management community engagement</w:t>
      </w:r>
    </w:p>
    <w:p w:rsidR="00DE2D11" w:rsidRPr="00583DFE" w:rsidRDefault="00DE2D11" w:rsidP="00AF7098">
      <w:pPr>
        <w:pStyle w:val="ListBullet"/>
      </w:pPr>
      <w:r w:rsidRPr="00FD3D8E">
        <w:t xml:space="preserve">Risk Assessment Measurement </w:t>
      </w:r>
      <w:r>
        <w:t>and Mitigation Sub</w:t>
      </w:r>
      <w:r w:rsidR="001525FA">
        <w:noBreakHyphen/>
      </w:r>
      <w:r>
        <w:t xml:space="preserve">Committee </w:t>
      </w:r>
      <w:r w:rsidR="00F609DB">
        <w:t xml:space="preserve">— </w:t>
      </w:r>
      <w:r>
        <w:t>national approaches to risk assessment, measurement and mitigation.</w:t>
      </w:r>
    </w:p>
    <w:p w:rsidR="00A9032D" w:rsidRDefault="00A9032D" w:rsidP="00E51C44">
      <w:pPr>
        <w:pStyle w:val="Heading3"/>
      </w:pPr>
      <w:r>
        <w:t>Sector scope</w:t>
      </w:r>
    </w:p>
    <w:p w:rsidR="007C04A0" w:rsidRDefault="007C04A0" w:rsidP="007C04A0">
      <w:pPr>
        <w:pStyle w:val="BodyText"/>
      </w:pPr>
      <w:r>
        <w:t>Emergency management is the practice of managing the impact from emergency events (box </w:t>
      </w:r>
      <w:proofErr w:type="spellStart"/>
      <w:r>
        <w:t>D.1</w:t>
      </w:r>
      <w:proofErr w:type="spellEnd"/>
      <w:r>
        <w:t>) to individuals, communities and the environment (</w:t>
      </w:r>
      <w:proofErr w:type="spellStart"/>
      <w:r>
        <w:t>AGD</w:t>
      </w:r>
      <w:proofErr w:type="spellEnd"/>
      <w:r>
        <w:t> 2012). Emergency management in Australia has adopted an approach that aims to be:</w:t>
      </w:r>
    </w:p>
    <w:p w:rsidR="007C04A0" w:rsidRDefault="007C04A0" w:rsidP="007C04A0">
      <w:pPr>
        <w:pStyle w:val="ListBullet"/>
        <w:numPr>
          <w:ilvl w:val="0"/>
          <w:numId w:val="18"/>
        </w:numPr>
      </w:pPr>
      <w:r>
        <w:rPr>
          <w:i/>
        </w:rPr>
        <w:t>comprehensive</w:t>
      </w:r>
      <w:r>
        <w:t xml:space="preserve"> — encompassing all hazards and recognising that dealing with the risks to community safety requires a range of activities to prevent, prepare for, respond to and recover from any emergency</w:t>
      </w:r>
    </w:p>
    <w:p w:rsidR="007C04A0" w:rsidRDefault="007C04A0" w:rsidP="007C04A0">
      <w:pPr>
        <w:pStyle w:val="ListBullet"/>
        <w:numPr>
          <w:ilvl w:val="0"/>
          <w:numId w:val="18"/>
        </w:numPr>
      </w:pPr>
      <w:r>
        <w:rPr>
          <w:i/>
        </w:rPr>
        <w:t>integrated</w:t>
      </w:r>
      <w:r>
        <w:t xml:space="preserve"> — ensuring the involvement of governments, all relevant agencies and organisations, private sector and the community.</w:t>
      </w:r>
    </w:p>
    <w:p w:rsidR="004F44BF" w:rsidRDefault="004F44BF" w:rsidP="004F44B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4A0" w:firstRow="1" w:lastRow="0" w:firstColumn="1" w:lastColumn="0" w:noHBand="0" w:noVBand="1"/>
      </w:tblPr>
      <w:tblGrid>
        <w:gridCol w:w="8771"/>
      </w:tblGrid>
      <w:tr w:rsidR="004F44BF" w:rsidTr="001C4CC4">
        <w:tc>
          <w:tcPr>
            <w:tcW w:w="8771" w:type="dxa"/>
            <w:tcBorders>
              <w:top w:val="single" w:sz="6" w:space="0" w:color="auto"/>
              <w:left w:val="single" w:sz="6" w:space="0" w:color="auto"/>
              <w:bottom w:val="nil"/>
              <w:right w:val="single" w:sz="6" w:space="0" w:color="auto"/>
            </w:tcBorders>
            <w:hideMark/>
          </w:tcPr>
          <w:p w:rsidR="004F44BF" w:rsidRDefault="004F44BF" w:rsidP="001C4CC4">
            <w:pPr>
              <w:pStyle w:val="BoxTitle"/>
            </w:pPr>
            <w:r>
              <w:rPr>
                <w:b w:val="0"/>
              </w:rPr>
              <w:t xml:space="preserve">Box </w:t>
            </w:r>
            <w:bookmarkStart w:id="8" w:name="OLE_LINK2"/>
            <w:proofErr w:type="spellStart"/>
            <w:r w:rsidR="00CA09FA">
              <w:rPr>
                <w:b w:val="0"/>
              </w:rPr>
              <w:t>D.</w:t>
            </w:r>
            <w:r w:rsidR="005A1847">
              <w:rPr>
                <w:b w:val="0"/>
                <w:noProof/>
              </w:rPr>
              <w:t>1</w:t>
            </w:r>
            <w:bookmarkEnd w:id="8"/>
            <w:proofErr w:type="spellEnd"/>
            <w:r>
              <w:tab/>
              <w:t xml:space="preserve">Emergency events </w:t>
            </w:r>
          </w:p>
        </w:tc>
      </w:tr>
      <w:tr w:rsidR="004F44BF" w:rsidTr="001C4CC4">
        <w:trPr>
          <w:cantSplit/>
        </w:trPr>
        <w:tc>
          <w:tcPr>
            <w:tcW w:w="8771" w:type="dxa"/>
            <w:tcBorders>
              <w:top w:val="nil"/>
              <w:left w:val="single" w:sz="6" w:space="0" w:color="auto"/>
              <w:bottom w:val="nil"/>
              <w:right w:val="single" w:sz="6" w:space="0" w:color="auto"/>
            </w:tcBorders>
            <w:hideMark/>
          </w:tcPr>
          <w:p w:rsidR="004F44BF" w:rsidRDefault="004F44BF" w:rsidP="001C4CC4">
            <w:pPr>
              <w:pStyle w:val="Box"/>
              <w:keepNext w:val="0"/>
            </w:pPr>
            <w:r>
              <w:t>An emergency event is an event that endangers or threatens to endanger life, property or the environment, and which requires a significant and coordinated response (</w:t>
            </w:r>
            <w:proofErr w:type="spellStart"/>
            <w:r>
              <w:t>AGD</w:t>
            </w:r>
            <w:proofErr w:type="spellEnd"/>
            <w:r>
              <w:t> 2012). It encompasses:</w:t>
            </w:r>
          </w:p>
          <w:p w:rsidR="0027195A" w:rsidRDefault="0027195A" w:rsidP="009F2CED">
            <w:pPr>
              <w:pStyle w:val="BoxListBullet"/>
              <w:keepNext w:val="0"/>
              <w:numPr>
                <w:ilvl w:val="0"/>
                <w:numId w:val="20"/>
              </w:numPr>
            </w:pPr>
            <w:r>
              <w:t xml:space="preserve">structure fires </w:t>
            </w:r>
          </w:p>
          <w:p w:rsidR="0027195A" w:rsidRDefault="0027195A" w:rsidP="009F2CED">
            <w:pPr>
              <w:pStyle w:val="BoxListBullet"/>
              <w:keepNext w:val="0"/>
              <w:numPr>
                <w:ilvl w:val="0"/>
                <w:numId w:val="20"/>
              </w:numPr>
            </w:pPr>
            <w:r>
              <w:t>rescues — including road crash rescues and marine rescues</w:t>
            </w:r>
          </w:p>
          <w:p w:rsidR="0027195A" w:rsidRDefault="0027195A" w:rsidP="006B5F7A">
            <w:pPr>
              <w:pStyle w:val="BoxListBullet"/>
              <w:keepNext w:val="0"/>
              <w:numPr>
                <w:ilvl w:val="0"/>
                <w:numId w:val="20"/>
              </w:numPr>
            </w:pPr>
            <w:r>
              <w:t xml:space="preserve">medical emergencies and transport </w:t>
            </w:r>
          </w:p>
          <w:p w:rsidR="004F44BF" w:rsidRDefault="004F44BF" w:rsidP="001C4CC4">
            <w:pPr>
              <w:pStyle w:val="BoxListBullet"/>
              <w:keepNext w:val="0"/>
              <w:numPr>
                <w:ilvl w:val="0"/>
                <w:numId w:val="20"/>
              </w:numPr>
            </w:pPr>
            <w:r>
              <w:t xml:space="preserve">natural disaster events — that is, bushfire (landscape fire), earthquake, flood, storm, cyclone, storm surge, landslide, tsunami, meteorite strike, and tornado </w:t>
            </w:r>
          </w:p>
          <w:p w:rsidR="004F44BF" w:rsidRDefault="004F44BF" w:rsidP="001C4CC4">
            <w:pPr>
              <w:pStyle w:val="BoxListBullet"/>
              <w:keepNext w:val="0"/>
              <w:numPr>
                <w:ilvl w:val="0"/>
                <w:numId w:val="20"/>
              </w:numPr>
            </w:pPr>
            <w:r>
              <w:t>consequences of acts of terrorism</w:t>
            </w:r>
          </w:p>
          <w:p w:rsidR="004F44BF" w:rsidRDefault="004F44BF" w:rsidP="001C4CC4">
            <w:pPr>
              <w:pStyle w:val="BoxListBullet"/>
              <w:keepNext w:val="0"/>
              <w:numPr>
                <w:ilvl w:val="0"/>
                <w:numId w:val="20"/>
              </w:numPr>
            </w:pPr>
            <w:r>
              <w:rPr>
                <w:rFonts w:cs="Arial"/>
              </w:rPr>
              <w:t>other natural events — such as drought, frost, heatwave, or epidemic</w:t>
            </w:r>
          </w:p>
          <w:p w:rsidR="004F44BF" w:rsidRDefault="004F44BF" w:rsidP="001C4CC4">
            <w:pPr>
              <w:pStyle w:val="BoxListBullet"/>
              <w:keepNext w:val="0"/>
              <w:numPr>
                <w:ilvl w:val="0"/>
                <w:numId w:val="20"/>
              </w:numPr>
            </w:pPr>
            <w:r>
              <w:rPr>
                <w:rFonts w:cs="Arial"/>
              </w:rPr>
              <w:t>disaster events resulting from poor environmental planning, commercial development, or personal intervention</w:t>
            </w:r>
          </w:p>
          <w:p w:rsidR="004F44BF" w:rsidRDefault="004F44BF" w:rsidP="001C4CC4">
            <w:pPr>
              <w:pStyle w:val="BoxListBullet"/>
              <w:keepNext w:val="0"/>
              <w:numPr>
                <w:ilvl w:val="0"/>
                <w:numId w:val="20"/>
              </w:numPr>
            </w:pPr>
            <w:r>
              <w:t>technological and hazardous material incidents — such as chemical spills, harmful gas leaks, radiological contamination, explosions, and spills of petroleum products</w:t>
            </w:r>
          </w:p>
          <w:p w:rsidR="004F44BF" w:rsidRDefault="004F44BF" w:rsidP="001C4CC4">
            <w:pPr>
              <w:pStyle w:val="BoxListBullet"/>
              <w:keepNext w:val="0"/>
              <w:numPr>
                <w:ilvl w:val="0"/>
                <w:numId w:val="20"/>
              </w:numPr>
            </w:pPr>
            <w:r>
              <w:t>quarantine and control of diseases and biological contaminants.</w:t>
            </w:r>
          </w:p>
        </w:tc>
      </w:tr>
      <w:tr w:rsidR="00EA630C">
        <w:tblPrEx>
          <w:tblLook w:val="0000" w:firstRow="0" w:lastRow="0" w:firstColumn="0" w:lastColumn="0" w:noHBand="0" w:noVBand="0"/>
        </w:tblPrEx>
        <w:trPr>
          <w:cantSplit/>
        </w:trPr>
        <w:tc>
          <w:tcPr>
            <w:tcW w:w="8771" w:type="dxa"/>
            <w:tcBorders>
              <w:top w:val="nil"/>
              <w:left w:val="single" w:sz="6" w:space="0" w:color="auto"/>
              <w:bottom w:val="nil"/>
              <w:right w:val="single" w:sz="6" w:space="0" w:color="auto"/>
            </w:tcBorders>
          </w:tcPr>
          <w:p w:rsidR="00EA630C" w:rsidRDefault="00EA630C" w:rsidP="00EA630C">
            <w:pPr>
              <w:pStyle w:val="BoxSource"/>
            </w:pPr>
            <w:r>
              <w:rPr>
                <w:i/>
              </w:rPr>
              <w:t>Source</w:t>
            </w:r>
            <w:r w:rsidRPr="00167F06">
              <w:t xml:space="preserve">: </w:t>
            </w:r>
            <w:proofErr w:type="spellStart"/>
            <w:r>
              <w:t>AGD</w:t>
            </w:r>
            <w:proofErr w:type="spellEnd"/>
            <w:r>
              <w:t xml:space="preserve"> (2012).</w:t>
            </w:r>
          </w:p>
        </w:tc>
      </w:tr>
      <w:tr w:rsidR="00EA630C">
        <w:tblPrEx>
          <w:tblLook w:val="0000" w:firstRow="0" w:lastRow="0" w:firstColumn="0" w:lastColumn="0" w:noHBand="0" w:noVBand="0"/>
        </w:tblPrEx>
        <w:trPr>
          <w:cantSplit/>
        </w:trPr>
        <w:tc>
          <w:tcPr>
            <w:tcW w:w="8771" w:type="dxa"/>
            <w:tcBorders>
              <w:top w:val="nil"/>
              <w:left w:val="single" w:sz="6" w:space="0" w:color="auto"/>
              <w:bottom w:val="single" w:sz="6" w:space="0" w:color="auto"/>
              <w:right w:val="single" w:sz="6" w:space="0" w:color="auto"/>
            </w:tcBorders>
          </w:tcPr>
          <w:p w:rsidR="00EA630C" w:rsidRDefault="00EA630C">
            <w:pPr>
              <w:pStyle w:val="Box"/>
              <w:spacing w:before="0" w:line="120" w:lineRule="exact"/>
            </w:pPr>
          </w:p>
        </w:tc>
      </w:tr>
      <w:tr w:rsidR="00EA630C" w:rsidRPr="000863A5">
        <w:tblPrEx>
          <w:tblLook w:val="0000" w:firstRow="0" w:lastRow="0" w:firstColumn="0" w:lastColumn="0" w:noHBand="0" w:noVBand="0"/>
        </w:tblPrEx>
        <w:tc>
          <w:tcPr>
            <w:tcW w:w="8771" w:type="dxa"/>
            <w:tcBorders>
              <w:top w:val="nil"/>
              <w:left w:val="nil"/>
              <w:bottom w:val="nil"/>
              <w:right w:val="nil"/>
            </w:tcBorders>
          </w:tcPr>
          <w:p w:rsidR="00EA630C" w:rsidRPr="000863A5" w:rsidRDefault="00EA630C" w:rsidP="007A4474">
            <w:pPr>
              <w:pStyle w:val="Box"/>
              <w:keepNext w:val="0"/>
              <w:spacing w:before="60" w:after="60" w:line="80" w:lineRule="exact"/>
              <w:rPr>
                <w:b/>
                <w:sz w:val="14"/>
              </w:rPr>
            </w:pPr>
          </w:p>
        </w:tc>
      </w:tr>
    </w:tbl>
    <w:p w:rsidR="00752089" w:rsidRDefault="00752089" w:rsidP="00752089">
      <w:pPr>
        <w:pStyle w:val="BodyText"/>
      </w:pPr>
      <w:r>
        <w:t xml:space="preserve">Emergency events vary in size and intensity affecting individuals (such as </w:t>
      </w:r>
      <w:r w:rsidR="004F44BF">
        <w:t xml:space="preserve">in </w:t>
      </w:r>
      <w:r>
        <w:t xml:space="preserve">medical emergencies), household/business assets (such as </w:t>
      </w:r>
      <w:r w:rsidR="004F44BF">
        <w:t xml:space="preserve">in </w:t>
      </w:r>
      <w:r>
        <w:t xml:space="preserve">building fires), or community, economy and the environment (such as </w:t>
      </w:r>
      <w:r w:rsidR="004F44BF">
        <w:t xml:space="preserve">in </w:t>
      </w:r>
      <w:r>
        <w:t>natural disasters).</w:t>
      </w:r>
    </w:p>
    <w:p w:rsidR="007C04A0" w:rsidRDefault="007C04A0" w:rsidP="007C04A0">
      <w:pPr>
        <w:pStyle w:val="BodyText"/>
      </w:pPr>
      <w:r>
        <w:t>Events of considerable magnitude and duration, such as earthquakes, cyclones and bushfires, can involve international, interstate and other cooperation and support. Jurisdictions are increasingly interacting and contributing to programs and providing operational response across Australia and to a number of significant emergency events around the Pacific and Indian Ocean rim.</w:t>
      </w:r>
    </w:p>
    <w:p w:rsidR="008F3DBC" w:rsidRDefault="008F3DBC" w:rsidP="00E51C44">
      <w:pPr>
        <w:pStyle w:val="Heading4"/>
      </w:pPr>
      <w:r>
        <w:t>State and Territory governments</w:t>
      </w:r>
    </w:p>
    <w:p w:rsidR="008F3DBC" w:rsidRDefault="008F3DBC" w:rsidP="00E51C44">
      <w:pPr>
        <w:pStyle w:val="BodyText"/>
      </w:pPr>
      <w:r>
        <w:t xml:space="preserve">State and Territory governments are responsible for regulatory arrangements with the objective of protecting life, property and the environment. </w:t>
      </w:r>
      <w:r w:rsidR="0083205B">
        <w:t>They</w:t>
      </w:r>
      <w:r>
        <w:t xml:space="preserve"> have primary responsibility for delivering emergency services directly to the community throu</w:t>
      </w:r>
      <w:r w:rsidR="0083205B">
        <w:t>gh emergency service</w:t>
      </w:r>
      <w:r>
        <w:t xml:space="preserve"> organisations. </w:t>
      </w:r>
    </w:p>
    <w:p w:rsidR="008F3DBC" w:rsidRDefault="0083205B" w:rsidP="00E51C44">
      <w:pPr>
        <w:pStyle w:val="BodyText"/>
      </w:pPr>
      <w:r>
        <w:t>Emergency service</w:t>
      </w:r>
      <w:r w:rsidR="008F3DBC">
        <w:t xml:space="preserve"> organisations range from government departments to statutory authorities, and to smaller branches, agencies or services within larger departments or authorities (table </w:t>
      </w:r>
      <w:proofErr w:type="spellStart"/>
      <w:r w:rsidR="008F3DBC">
        <w:t>DA.1</w:t>
      </w:r>
      <w:proofErr w:type="spellEnd"/>
      <w:r w:rsidR="008F3DBC">
        <w:t xml:space="preserve">). </w:t>
      </w:r>
      <w:r w:rsidR="004F44BF">
        <w:t>In addition, non</w:t>
      </w:r>
      <w:r w:rsidR="008F3DBC">
        <w:noBreakHyphen/>
        <w:t>government organisations</w:t>
      </w:r>
      <w:r w:rsidR="001360FC">
        <w:t>, supported by State and Territory government funding and legislation,</w:t>
      </w:r>
      <w:r w:rsidR="008F3DBC">
        <w:t xml:space="preserve"> provide emergency management </w:t>
      </w:r>
      <w:r w:rsidR="0087392E">
        <w:t>services, such as St </w:t>
      </w:r>
      <w:r w:rsidR="008F3DBC">
        <w:t>John Ambulance in WA and the NT.</w:t>
      </w:r>
    </w:p>
    <w:p w:rsidR="008F3DBC" w:rsidRDefault="008F3DBC" w:rsidP="00E51C44">
      <w:pPr>
        <w:pStyle w:val="BodyText"/>
        <w:numPr>
          <w:ilvl w:val="0"/>
          <w:numId w:val="20"/>
        </w:numPr>
      </w:pPr>
      <w:r>
        <w:rPr>
          <w:i/>
        </w:rPr>
        <w:lastRenderedPageBreak/>
        <w:t>Fire service organisations</w:t>
      </w:r>
      <w:r>
        <w:t xml:space="preserve"> —</w:t>
      </w:r>
      <w:r w:rsidR="00A74071">
        <w:t xml:space="preserve"> </w:t>
      </w:r>
      <w:r>
        <w:t>work closely with other government departments and agencies (such as State/Territory Emergency Services, police, ambulance services and community service organisations) to minimise the impact of fire and other emergencies on the community</w:t>
      </w:r>
      <w:r w:rsidR="001360FC">
        <w:t xml:space="preserve"> (</w:t>
      </w:r>
      <w:r w:rsidR="0087392E">
        <w:t>chapter</w:t>
      </w:r>
      <w:r w:rsidR="001525FA">
        <w:t> </w:t>
      </w:r>
      <w:r w:rsidR="0087392E">
        <w:t>9</w:t>
      </w:r>
      <w:r w:rsidR="001360FC">
        <w:t>)</w:t>
      </w:r>
      <w:r>
        <w:t>.</w:t>
      </w:r>
    </w:p>
    <w:p w:rsidR="008F3DBC" w:rsidRDefault="008F3DBC" w:rsidP="00A702D7">
      <w:pPr>
        <w:pStyle w:val="ListBullet"/>
      </w:pPr>
      <w:r>
        <w:rPr>
          <w:i/>
        </w:rPr>
        <w:t>State/Territory Emergency Service</w:t>
      </w:r>
      <w:r w:rsidR="00CB256A">
        <w:rPr>
          <w:i/>
        </w:rPr>
        <w:t xml:space="preserve"> </w:t>
      </w:r>
      <w:r w:rsidR="00F76880">
        <w:rPr>
          <w:i/>
        </w:rPr>
        <w:t>o</w:t>
      </w:r>
      <w:r w:rsidR="00CB256A">
        <w:rPr>
          <w:i/>
        </w:rPr>
        <w:t>rganisations</w:t>
      </w:r>
      <w:r>
        <w:t xml:space="preserve"> —</w:t>
      </w:r>
      <w:r w:rsidR="00CF43F2">
        <w:t xml:space="preserve"> help</w:t>
      </w:r>
      <w:r w:rsidR="007364B8">
        <w:t xml:space="preserve"> communities prepare for, </w:t>
      </w:r>
      <w:r w:rsidR="00CF43F2" w:rsidRPr="00CF43F2">
        <w:t>respond to</w:t>
      </w:r>
      <w:r w:rsidR="007364B8">
        <w:t>,</w:t>
      </w:r>
      <w:r w:rsidR="00CF43F2" w:rsidRPr="00CF43F2">
        <w:t xml:space="preserve"> </w:t>
      </w:r>
      <w:r w:rsidR="007364B8">
        <w:t xml:space="preserve">and recover from </w:t>
      </w:r>
      <w:r w:rsidR="00CF43F2" w:rsidRPr="00CF43F2">
        <w:t xml:space="preserve">unexpected events and play a </w:t>
      </w:r>
      <w:r>
        <w:t>major role in each State and Territory for hazards as diverse as:</w:t>
      </w:r>
    </w:p>
    <w:p w:rsidR="008F3DBC" w:rsidRDefault="008F3DBC" w:rsidP="00A702D7">
      <w:pPr>
        <w:pStyle w:val="ListBullet2"/>
      </w:pPr>
      <w:r>
        <w:t>road crash rescue incidents and extrications</w:t>
      </w:r>
      <w:r w:rsidR="00A702D7">
        <w:t xml:space="preserve"> </w:t>
      </w:r>
      <w:r w:rsidR="00A702D7" w:rsidRPr="009F2CED">
        <w:t xml:space="preserve">(other than </w:t>
      </w:r>
      <w:r w:rsidR="00BC0E05" w:rsidRPr="009F2CED">
        <w:t xml:space="preserve">in the </w:t>
      </w:r>
      <w:r w:rsidR="00A702D7" w:rsidRPr="009F2CED">
        <w:t>ACT, where ACT Fire and Rescue is responsible for all road crash rescue services)</w:t>
      </w:r>
    </w:p>
    <w:p w:rsidR="008F3DBC" w:rsidRDefault="008F3DBC" w:rsidP="00E51C44">
      <w:pPr>
        <w:pStyle w:val="ListBullet2"/>
        <w:numPr>
          <w:ilvl w:val="0"/>
          <w:numId w:val="19"/>
        </w:numPr>
      </w:pPr>
      <w:r>
        <w:t>flood, earthquake, tsunami, tropical cyclone and marine search and rescue</w:t>
      </w:r>
    </w:p>
    <w:p w:rsidR="008F3DBC" w:rsidRDefault="008F3DBC" w:rsidP="00E51C44">
      <w:pPr>
        <w:pStyle w:val="ListBullet2"/>
        <w:numPr>
          <w:ilvl w:val="0"/>
          <w:numId w:val="19"/>
        </w:numPr>
      </w:pPr>
      <w:r>
        <w:t>search and rescue services</w:t>
      </w:r>
      <w:r w:rsidR="00847D41" w:rsidRPr="00847D41">
        <w:t xml:space="preserve"> </w:t>
      </w:r>
      <w:r w:rsidR="00847D41">
        <w:t>(table </w:t>
      </w:r>
      <w:proofErr w:type="spellStart"/>
      <w:r w:rsidR="00847D41">
        <w:t>DA.11</w:t>
      </w:r>
      <w:proofErr w:type="spellEnd"/>
      <w:r w:rsidR="00847D41">
        <w:t>)</w:t>
      </w:r>
      <w:r>
        <w:t xml:space="preserve">. </w:t>
      </w:r>
    </w:p>
    <w:p w:rsidR="008F3DBC" w:rsidRDefault="008F3DBC" w:rsidP="00E51C44">
      <w:pPr>
        <w:pStyle w:val="BodyText"/>
        <w:numPr>
          <w:ilvl w:val="0"/>
          <w:numId w:val="20"/>
        </w:numPr>
      </w:pPr>
      <w:r>
        <w:rPr>
          <w:i/>
        </w:rPr>
        <w:t>Ambulance service organisations</w:t>
      </w:r>
      <w:r>
        <w:t xml:space="preserve"> — work within the health system providing emergency and non</w:t>
      </w:r>
      <w:r w:rsidR="001525FA">
        <w:noBreakHyphen/>
      </w:r>
      <w:r>
        <w:t>emergency patient care and transport, as well as foster</w:t>
      </w:r>
      <w:r w:rsidR="00A74071">
        <w:t>ing</w:t>
      </w:r>
      <w:r>
        <w:t xml:space="preserve"> public education in first aid. </w:t>
      </w:r>
      <w:r w:rsidR="00A74071">
        <w:t>T</w:t>
      </w:r>
      <w:r>
        <w:t>hey are responsible for providing responsive, high quality specialised medical care</w:t>
      </w:r>
      <w:r w:rsidR="00A74071">
        <w:t xml:space="preserve"> in emergencies</w:t>
      </w:r>
      <w:r>
        <w:t>. This includes working with other emergency services organisations to provide pre</w:t>
      </w:r>
      <w:r w:rsidR="00A74071">
        <w:noBreakHyphen/>
      </w:r>
      <w:r>
        <w:t>hospital care, rescue, retrieval</w:t>
      </w:r>
      <w:r w:rsidR="00FA4696">
        <w:t xml:space="preserve">, </w:t>
      </w:r>
      <w:r>
        <w:t>and patient transport services</w:t>
      </w:r>
      <w:r w:rsidR="001360FC">
        <w:t xml:space="preserve"> (chapter</w:t>
      </w:r>
      <w:r w:rsidR="001525FA">
        <w:t> </w:t>
      </w:r>
      <w:r w:rsidR="001360FC">
        <w:t>9)</w:t>
      </w:r>
      <w:r>
        <w:t>.</w:t>
      </w:r>
    </w:p>
    <w:p w:rsidR="008F3DBC" w:rsidRDefault="008F3DBC" w:rsidP="00E51C44">
      <w:pPr>
        <w:pStyle w:val="BodyText"/>
        <w:numPr>
          <w:ilvl w:val="0"/>
          <w:numId w:val="20"/>
        </w:numPr>
      </w:pPr>
      <w:r>
        <w:rPr>
          <w:i/>
        </w:rPr>
        <w:t>Marine rescue and coast guard organisations</w:t>
      </w:r>
      <w:r>
        <w:t xml:space="preserve"> —</w:t>
      </w:r>
      <w:r w:rsidR="00B17D29">
        <w:t xml:space="preserve"> </w:t>
      </w:r>
      <w:r>
        <w:t xml:space="preserve">marine rescue and boating </w:t>
      </w:r>
      <w:r>
        <w:rPr>
          <w:lang w:val="en-GB"/>
        </w:rPr>
        <w:t>safety and communication services.</w:t>
      </w:r>
    </w:p>
    <w:p w:rsidR="008F3DBC" w:rsidRDefault="00A74071" w:rsidP="00E51C44">
      <w:pPr>
        <w:pStyle w:val="BodyText"/>
        <w:numPr>
          <w:ilvl w:val="0"/>
          <w:numId w:val="20"/>
        </w:numPr>
      </w:pPr>
      <w:r>
        <w:rPr>
          <w:i/>
        </w:rPr>
        <w:t>Lifesaving</w:t>
      </w:r>
      <w:r w:rsidR="00FA4696">
        <w:rPr>
          <w:i/>
        </w:rPr>
        <w:t xml:space="preserve"> organisations</w:t>
      </w:r>
      <w:r>
        <w:t xml:space="preserve"> —</w:t>
      </w:r>
      <w:r w:rsidR="00B17D29">
        <w:t xml:space="preserve"> </w:t>
      </w:r>
      <w:r w:rsidR="008F3DBC">
        <w:rPr>
          <w:lang w:val="en"/>
        </w:rPr>
        <w:t>water safety, drowning prevention and rescue services.</w:t>
      </w:r>
    </w:p>
    <w:p w:rsidR="008F3DBC" w:rsidRDefault="008F3DBC" w:rsidP="00E51C44">
      <w:pPr>
        <w:pStyle w:val="Heading4"/>
      </w:pPr>
      <w:r>
        <w:t>Australian Government</w:t>
      </w:r>
    </w:p>
    <w:p w:rsidR="008F3DBC" w:rsidRDefault="000C17BA" w:rsidP="00E51C44">
      <w:pPr>
        <w:pStyle w:val="BodyText"/>
      </w:pPr>
      <w:r w:rsidRPr="00B73A74">
        <w:t>The primary role of the Australian Government is to support the development, through State and Territory governments, of a national emergency management capability.</w:t>
      </w:r>
      <w:r>
        <w:t xml:space="preserve"> </w:t>
      </w:r>
      <w:r w:rsidR="008F3DBC">
        <w:t xml:space="preserve">Australian Government </w:t>
      </w:r>
      <w:r w:rsidR="000B2B8E">
        <w:t>assistance</w:t>
      </w:r>
      <w:r>
        <w:t xml:space="preserve"> </w:t>
      </w:r>
      <w:r w:rsidR="008F3DBC">
        <w:t>take</w:t>
      </w:r>
      <w:r w:rsidR="00D26800">
        <w:t>s</w:t>
      </w:r>
      <w:r w:rsidR="008F3DBC">
        <w:t xml:space="preserve"> the form of:</w:t>
      </w:r>
    </w:p>
    <w:p w:rsidR="008F3DBC" w:rsidRPr="000B2B8E" w:rsidRDefault="00A74071" w:rsidP="00E51C44">
      <w:pPr>
        <w:pStyle w:val="ListBullet"/>
      </w:pPr>
      <w:r w:rsidRPr="003A7810">
        <w:t xml:space="preserve">financial, </w:t>
      </w:r>
      <w:r w:rsidR="008F3DBC" w:rsidRPr="003A7810">
        <w:t xml:space="preserve">physical and technical assistance in </w:t>
      </w:r>
      <w:r w:rsidR="002D5083" w:rsidRPr="003A7810">
        <w:t>large scale emergency events</w:t>
      </w:r>
      <w:r w:rsidR="008F3DBC" w:rsidRPr="003A7810">
        <w:t xml:space="preserve"> </w:t>
      </w:r>
    </w:p>
    <w:p w:rsidR="008F3DBC" w:rsidRPr="000B2B8E" w:rsidRDefault="008F3DBC" w:rsidP="00E51C44">
      <w:pPr>
        <w:pStyle w:val="ListBullet"/>
      </w:pPr>
      <w:r w:rsidRPr="000B2B8E">
        <w:t xml:space="preserve">financial assistance for natural disaster resilience, mitigation and preparedness </w:t>
      </w:r>
    </w:p>
    <w:p w:rsidR="008F3DBC" w:rsidRPr="000B2B8E" w:rsidRDefault="008F3DBC" w:rsidP="00E51C44">
      <w:pPr>
        <w:pStyle w:val="ListBullet"/>
      </w:pPr>
      <w:r w:rsidRPr="000B2B8E">
        <w:t xml:space="preserve">support for emergency relief and community recovery </w:t>
      </w:r>
    </w:p>
    <w:p w:rsidR="008F3DBC" w:rsidRDefault="008F3DBC" w:rsidP="00E51C44">
      <w:pPr>
        <w:pStyle w:val="ListBullet"/>
      </w:pPr>
      <w:r w:rsidRPr="000B2B8E">
        <w:t xml:space="preserve">funding for risk management and comprehensive risk assessment </w:t>
      </w:r>
      <w:r w:rsidR="00A74071" w:rsidRPr="000B2B8E">
        <w:t>programs</w:t>
      </w:r>
    </w:p>
    <w:p w:rsidR="00A10DC9" w:rsidRPr="000B2B8E" w:rsidRDefault="00305A8E" w:rsidP="009F2CED">
      <w:pPr>
        <w:pStyle w:val="ListBullet"/>
      </w:pPr>
      <w:r>
        <w:t>c</w:t>
      </w:r>
      <w:r w:rsidRPr="00305A8E">
        <w:t>ontracting Telstra to provide the national Triple zero</w:t>
      </w:r>
      <w:r>
        <w:t xml:space="preserve"> (000)</w:t>
      </w:r>
      <w:r w:rsidRPr="00305A8E">
        <w:t xml:space="preserve"> emergency call operator service, and regulating the provision of this service</w:t>
      </w:r>
    </w:p>
    <w:p w:rsidR="008F3DBC" w:rsidRDefault="008F3DBC" w:rsidP="00E51C44">
      <w:pPr>
        <w:pStyle w:val="ListBullet"/>
      </w:pPr>
      <w:r w:rsidRPr="000B2B8E">
        <w:t>community a</w:t>
      </w:r>
      <w:r>
        <w:t xml:space="preserve">wareness activities. </w:t>
      </w:r>
    </w:p>
    <w:p w:rsidR="00A74071" w:rsidRDefault="008F3DBC" w:rsidP="00A74071">
      <w:pPr>
        <w:pStyle w:val="BodyText"/>
      </w:pPr>
      <w:r w:rsidRPr="00B73A74">
        <w:lastRenderedPageBreak/>
        <w:t xml:space="preserve">Australian Government </w:t>
      </w:r>
      <w:r w:rsidR="000C17BA" w:rsidRPr="00B73A74">
        <w:t xml:space="preserve">agencies </w:t>
      </w:r>
      <w:r w:rsidRPr="00B73A74">
        <w:t xml:space="preserve">also </w:t>
      </w:r>
      <w:r w:rsidR="000C17BA" w:rsidRPr="00B73A74">
        <w:t>have</w:t>
      </w:r>
      <w:r w:rsidRPr="00B73A74">
        <w:t xml:space="preserve"> specific emergency management responsibilities</w:t>
      </w:r>
      <w:r>
        <w:t>, including: the control of exotic animal and plant diseases; aviation and maritime search and rescue; the management of major marine pollution</w:t>
      </w:r>
      <w:r w:rsidR="0083205B">
        <w:t xml:space="preserve"> (beyond coastal waters);</w:t>
      </w:r>
      <w:r>
        <w:t xml:space="preserve"> </w:t>
      </w:r>
      <w:r w:rsidR="0083205B">
        <w:t xml:space="preserve">the prediction of </w:t>
      </w:r>
      <w:r>
        <w:t xml:space="preserve">meteorological and geological hazards; the provision of firefighting services at some airports and some defence installations; human quarantine; and research and development. </w:t>
      </w:r>
    </w:p>
    <w:p w:rsidR="008F3DBC" w:rsidRDefault="008F3DBC" w:rsidP="00A74071">
      <w:pPr>
        <w:pStyle w:val="BodyText"/>
      </w:pPr>
      <w:r>
        <w:t xml:space="preserve">The Australian Government also </w:t>
      </w:r>
      <w:r w:rsidR="000C17BA">
        <w:t>manages</w:t>
      </w:r>
      <w:r>
        <w:t xml:space="preserve"> the Crisis Coordination Centre, which</w:t>
      </w:r>
      <w:r w:rsidR="000B2B8E">
        <w:t xml:space="preserve"> maintains</w:t>
      </w:r>
      <w:r w:rsidR="00A74071">
        <w:t xml:space="preserve"> </w:t>
      </w:r>
      <w:r>
        <w:t>a 24</w:t>
      </w:r>
      <w:r w:rsidR="000B2B8E">
        <w:noBreakHyphen/>
      </w:r>
      <w:r>
        <w:t xml:space="preserve">hour a day situational awareness, analysis and reporting capability </w:t>
      </w:r>
      <w:r w:rsidR="00A74071">
        <w:t xml:space="preserve">and </w:t>
      </w:r>
      <w:r>
        <w:t>an emergency management planning capability</w:t>
      </w:r>
      <w:r w:rsidR="001525FA">
        <w:t>.</w:t>
      </w:r>
    </w:p>
    <w:p w:rsidR="008F3DBC" w:rsidRDefault="008F3DBC" w:rsidP="00E51C44">
      <w:pPr>
        <w:pStyle w:val="Heading4"/>
      </w:pPr>
      <w:r>
        <w:t>Local governments</w:t>
      </w:r>
    </w:p>
    <w:p w:rsidR="008F3DBC" w:rsidRDefault="008F3DBC" w:rsidP="00E51C44">
      <w:pPr>
        <w:pStyle w:val="BodyText"/>
      </w:pPr>
      <w:r>
        <w:t>Local governments in some states and territories are involved to varying degrees in emergency management. Their roles and responsibilities may include:</w:t>
      </w:r>
    </w:p>
    <w:p w:rsidR="008F3DBC" w:rsidRDefault="008F3DBC" w:rsidP="00E51C44">
      <w:pPr>
        <w:pStyle w:val="ListBullet"/>
        <w:numPr>
          <w:ilvl w:val="0"/>
          <w:numId w:val="18"/>
        </w:numPr>
      </w:pPr>
      <w:r>
        <w:t xml:space="preserve">considering community safety in regional and urban planning by assessing risks, and developing </w:t>
      </w:r>
      <w:r w:rsidR="00210CB7">
        <w:t xml:space="preserve">emergency event </w:t>
      </w:r>
      <w:r>
        <w:t xml:space="preserve">mitigation measures and prevention plans </w:t>
      </w:r>
    </w:p>
    <w:p w:rsidR="008F3DBC" w:rsidRDefault="008F3DBC" w:rsidP="00E51C44">
      <w:pPr>
        <w:pStyle w:val="ListBullet"/>
        <w:numPr>
          <w:ilvl w:val="0"/>
          <w:numId w:val="18"/>
        </w:numPr>
      </w:pPr>
      <w:r>
        <w:t>improving community preparedness through local emergency planning</w:t>
      </w:r>
    </w:p>
    <w:p w:rsidR="008F3DBC" w:rsidRDefault="008F3DBC" w:rsidP="00E51C44">
      <w:pPr>
        <w:pStyle w:val="ListBullet"/>
        <w:numPr>
          <w:ilvl w:val="0"/>
          <w:numId w:val="18"/>
        </w:numPr>
      </w:pPr>
      <w:r>
        <w:t>issuing hazard reduction notices to private land holders and clearing vegetation in high risk public areas</w:t>
      </w:r>
    </w:p>
    <w:p w:rsidR="008F3DBC" w:rsidRDefault="008F3DBC" w:rsidP="00E51C44">
      <w:pPr>
        <w:pStyle w:val="ListBullet"/>
        <w:numPr>
          <w:ilvl w:val="0"/>
          <w:numId w:val="18"/>
        </w:numPr>
      </w:pPr>
      <w:r>
        <w:t>collecting statutory levies to fund fire and other emergency services</w:t>
      </w:r>
    </w:p>
    <w:p w:rsidR="008F3DBC" w:rsidRDefault="008F3DBC" w:rsidP="00E51C44">
      <w:pPr>
        <w:pStyle w:val="ListBullet"/>
        <w:numPr>
          <w:ilvl w:val="0"/>
          <w:numId w:val="18"/>
        </w:numPr>
      </w:pPr>
      <w:r>
        <w:t>allocating resources for response and recovery activities</w:t>
      </w:r>
    </w:p>
    <w:p w:rsidR="008F3DBC" w:rsidRDefault="008F3DBC" w:rsidP="00E51C44">
      <w:pPr>
        <w:pStyle w:val="ListBullet"/>
        <w:numPr>
          <w:ilvl w:val="0"/>
          <w:numId w:val="18"/>
        </w:numPr>
      </w:pPr>
      <w:r>
        <w:t>providing financial and operational assistance to voluntary emergency services.</w:t>
      </w:r>
    </w:p>
    <w:p w:rsidR="008F3DBC" w:rsidRDefault="008F3DBC" w:rsidP="00E51C44">
      <w:pPr>
        <w:pStyle w:val="Heading3"/>
      </w:pPr>
      <w:r>
        <w:t>Profile of the emergency management sector</w:t>
      </w:r>
    </w:p>
    <w:p w:rsidR="00DE2D11" w:rsidRDefault="00DE2D11" w:rsidP="00DE2D11">
      <w:pPr>
        <w:pStyle w:val="BodyText"/>
      </w:pPr>
      <w:r>
        <w:t xml:space="preserve">Detailed profiles for </w:t>
      </w:r>
      <w:r w:rsidR="0087392E">
        <w:t>fire</w:t>
      </w:r>
      <w:r>
        <w:t xml:space="preserve"> events </w:t>
      </w:r>
      <w:r w:rsidR="0087392E">
        <w:t xml:space="preserve">and ambulance events </w:t>
      </w:r>
      <w:r w:rsidR="00D9267F">
        <w:t xml:space="preserve">within </w:t>
      </w:r>
      <w:r>
        <w:t>the emergency management sector are reported in chapter</w:t>
      </w:r>
      <w:r w:rsidR="001525FA">
        <w:t> </w:t>
      </w:r>
      <w:r>
        <w:t>9, and cover:</w:t>
      </w:r>
    </w:p>
    <w:p w:rsidR="00DE2D11" w:rsidRDefault="00DE2D11" w:rsidP="00DE2D11">
      <w:pPr>
        <w:pStyle w:val="ListBullet"/>
      </w:pPr>
      <w:r>
        <w:t>size and scope of the individual service types</w:t>
      </w:r>
    </w:p>
    <w:p w:rsidR="00DE2D11" w:rsidRDefault="00DE2D11" w:rsidP="00DE2D11">
      <w:pPr>
        <w:pStyle w:val="ListBullet"/>
      </w:pPr>
      <w:r>
        <w:t>funding and expenditure.</w:t>
      </w:r>
    </w:p>
    <w:p w:rsidR="00DE2D11" w:rsidRDefault="00DE2D11" w:rsidP="00DE2D11">
      <w:pPr>
        <w:pStyle w:val="BodyText"/>
      </w:pPr>
      <w:r w:rsidRPr="00372995">
        <w:t xml:space="preserve">Descriptive statistics for </w:t>
      </w:r>
      <w:r w:rsidR="001971BE">
        <w:t xml:space="preserve">State/Territory Emergency Service organisations </w:t>
      </w:r>
      <w:r w:rsidRPr="00372995">
        <w:t>are presented</w:t>
      </w:r>
      <w:r>
        <w:t>,</w:t>
      </w:r>
      <w:r w:rsidRPr="00372995">
        <w:t xml:space="preserve"> </w:t>
      </w:r>
      <w:r>
        <w:t xml:space="preserve">by </w:t>
      </w:r>
      <w:r w:rsidRPr="00372995">
        <w:t>jurisdiction</w:t>
      </w:r>
      <w:r>
        <w:t>,</w:t>
      </w:r>
      <w:r w:rsidRPr="00372995">
        <w:t xml:space="preserve"> in </w:t>
      </w:r>
      <w:r w:rsidRPr="00473C03">
        <w:t>tables </w:t>
      </w:r>
      <w:proofErr w:type="spellStart"/>
      <w:r w:rsidRPr="00473C03">
        <w:t>DA.</w:t>
      </w:r>
      <w:r w:rsidR="001971BE">
        <w:t>11</w:t>
      </w:r>
      <w:proofErr w:type="spellEnd"/>
      <w:r w:rsidRPr="00473C03">
        <w:t>–</w:t>
      </w:r>
      <w:proofErr w:type="spellStart"/>
      <w:r w:rsidRPr="00473C03">
        <w:t>DA.</w:t>
      </w:r>
      <w:r w:rsidR="001971BE">
        <w:t>14</w:t>
      </w:r>
      <w:proofErr w:type="spellEnd"/>
      <w:r w:rsidRPr="00473C03">
        <w:t>.</w:t>
      </w:r>
    </w:p>
    <w:p w:rsidR="00D86B1C" w:rsidRDefault="00EC3DB0" w:rsidP="006A416D">
      <w:pPr>
        <w:pStyle w:val="Heading4"/>
      </w:pPr>
      <w:r>
        <w:t>E</w:t>
      </w:r>
      <w:r w:rsidR="00235EBB">
        <w:t xml:space="preserve">mergency service organisation </w:t>
      </w:r>
      <w:r w:rsidR="002D5431">
        <w:t>costs</w:t>
      </w:r>
    </w:p>
    <w:p w:rsidR="000B2B8E" w:rsidRDefault="009A4538" w:rsidP="009A4538">
      <w:pPr>
        <w:pStyle w:val="BodyText"/>
      </w:pPr>
      <w:r w:rsidRPr="009A4538">
        <w:t>Nationally in 2012</w:t>
      </w:r>
      <w:r w:rsidR="001525FA">
        <w:noBreakHyphen/>
      </w:r>
      <w:r w:rsidRPr="009A4538">
        <w:t>13</w:t>
      </w:r>
      <w:r w:rsidR="000B2B8E" w:rsidRPr="009A4538">
        <w:t xml:space="preserve">, total expenditure across </w:t>
      </w:r>
      <w:r w:rsidRPr="009A4538">
        <w:t xml:space="preserve">ambulance, fire and emergency service </w:t>
      </w:r>
      <w:r w:rsidR="000B2B8E" w:rsidRPr="009A4538">
        <w:t xml:space="preserve">organisations was </w:t>
      </w:r>
      <w:r w:rsidR="00AE3061" w:rsidRPr="009A4538">
        <w:t>$</w:t>
      </w:r>
      <w:r w:rsidR="00CA09FA">
        <w:t>6.3</w:t>
      </w:r>
      <w:r w:rsidR="00AE3061" w:rsidRPr="009A4538">
        <w:t> billion</w:t>
      </w:r>
      <w:r w:rsidRPr="009A4538">
        <w:t xml:space="preserve">, or </w:t>
      </w:r>
      <w:r>
        <w:t>$</w:t>
      </w:r>
      <w:r w:rsidR="00CA09FA">
        <w:t>276.07</w:t>
      </w:r>
      <w:r w:rsidR="00AE3061" w:rsidRPr="009A4538">
        <w:t xml:space="preserve"> </w:t>
      </w:r>
      <w:r>
        <w:t>per person in the population</w:t>
      </w:r>
      <w:r w:rsidR="000B2B8E" w:rsidRPr="009A4538">
        <w:t xml:space="preserve">, </w:t>
      </w:r>
      <w:r w:rsidR="000B2B8E" w:rsidRPr="009A4538">
        <w:lastRenderedPageBreak/>
        <w:t>although some caution should be taken when</w:t>
      </w:r>
      <w:r w:rsidR="000B2B8E">
        <w:t xml:space="preserve"> interpreting these data</w:t>
      </w:r>
      <w:r w:rsidR="002857C0">
        <w:t xml:space="preserve"> </w:t>
      </w:r>
      <w:r w:rsidR="002857C0" w:rsidRPr="009A4538">
        <w:t>(</w:t>
      </w:r>
      <w:r w:rsidR="002857C0">
        <w:t>figure </w:t>
      </w:r>
      <w:r w:rsidR="00CA09FA">
        <w:t xml:space="preserve"> </w:t>
      </w:r>
      <w:proofErr w:type="spellStart"/>
      <w:r w:rsidR="00CA09FA">
        <w:t>D.1</w:t>
      </w:r>
      <w:proofErr w:type="spellEnd"/>
      <w:r w:rsidR="002857C0">
        <w:t xml:space="preserve"> and </w:t>
      </w:r>
      <w:r w:rsidR="002857C0" w:rsidRPr="009A4538">
        <w:t xml:space="preserve">table </w:t>
      </w:r>
      <w:proofErr w:type="spellStart"/>
      <w:r w:rsidR="002857C0" w:rsidRPr="009A4538">
        <w:t>D</w:t>
      </w:r>
      <w:r w:rsidR="002857C0">
        <w:t>A</w:t>
      </w:r>
      <w:r w:rsidR="002857C0" w:rsidRPr="009A4538">
        <w:t>.</w:t>
      </w:r>
      <w:r w:rsidR="002857C0">
        <w:t>3</w:t>
      </w:r>
      <w:proofErr w:type="spellEnd"/>
      <w:r w:rsidR="002857C0" w:rsidRPr="009A4538">
        <w:t>)</w:t>
      </w:r>
      <w:r w:rsidR="000B2B8E">
        <w:t xml:space="preserve">. </w:t>
      </w:r>
    </w:p>
    <w:p w:rsidR="000B27AB" w:rsidRDefault="000B27AB">
      <w:pPr>
        <w:pStyle w:val="FigureTitle"/>
      </w:pPr>
      <w:r>
        <w:rPr>
          <w:b w:val="0"/>
        </w:rPr>
        <w:t xml:space="preserve">Figure </w:t>
      </w:r>
      <w:bookmarkStart w:id="9" w:name="OLE_LINK4"/>
      <w:proofErr w:type="spellStart"/>
      <w:r w:rsidR="00CA09FA">
        <w:rPr>
          <w:b w:val="0"/>
        </w:rPr>
        <w:t>D.</w:t>
      </w:r>
      <w:r w:rsidR="005A1847">
        <w:rPr>
          <w:b w:val="0"/>
          <w:noProof/>
        </w:rPr>
        <w:t>1</w:t>
      </w:r>
      <w:bookmarkEnd w:id="9"/>
      <w:proofErr w:type="spellEnd"/>
      <w:r>
        <w:tab/>
      </w:r>
      <w:r w:rsidRPr="000B27AB">
        <w:t>Expenditure of emergency service organisations, 2012</w:t>
      </w:r>
      <w:r>
        <w:noBreakHyphen/>
      </w:r>
      <w:proofErr w:type="spellStart"/>
      <w:r w:rsidRPr="000B27AB">
        <w:t>13</w:t>
      </w:r>
      <w:r w:rsidRPr="000B27AB">
        <w:rPr>
          <w:vertAlign w:val="superscript"/>
        </w:rPr>
        <w:t>a</w:t>
      </w:r>
      <w:proofErr w:type="spellEnd"/>
      <w:r w:rsidRPr="000B27AB">
        <w:rPr>
          <w:vertAlign w:val="superscript"/>
        </w:rPr>
        <w:t>,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B27AB">
        <w:tc>
          <w:tcPr>
            <w:tcW w:w="8777" w:type="dxa"/>
          </w:tcPr>
          <w:p w:rsidR="000B27AB" w:rsidRDefault="00205B51">
            <w:pPr>
              <w:pStyle w:val="Figure"/>
            </w:pPr>
            <w:r>
              <w:rPr>
                <w:noProof/>
              </w:rPr>
              <w:drawing>
                <wp:inline distT="0" distB="0" distL="0" distR="0" wp14:anchorId="4912FFC5" wp14:editId="78EB00AE">
                  <wp:extent cx="5389880" cy="2872105"/>
                  <wp:effectExtent l="0" t="0" r="1270" b="4445"/>
                  <wp:docPr id="1" name="Picture 1" descr="Figure D.1 Expenditure of emergency service organisations,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89880" cy="2872105"/>
                          </a:xfrm>
                          <a:prstGeom prst="rect">
                            <a:avLst/>
                          </a:prstGeom>
                          <a:noFill/>
                          <a:ln>
                            <a:noFill/>
                          </a:ln>
                        </pic:spPr>
                      </pic:pic>
                    </a:graphicData>
                  </a:graphic>
                </wp:inline>
              </w:drawing>
            </w:r>
          </w:p>
        </w:tc>
      </w:tr>
    </w:tbl>
    <w:p w:rsidR="000956DC" w:rsidRPr="00DB5302" w:rsidRDefault="008F3DBC" w:rsidP="00DB5302">
      <w:pPr>
        <w:pStyle w:val="Note"/>
      </w:pPr>
      <w:r w:rsidRPr="00DB5302">
        <w:rPr>
          <w:rStyle w:val="NoteLabel"/>
          <w:position w:val="0"/>
        </w:rPr>
        <w:t>SES</w:t>
      </w:r>
      <w:r w:rsidRPr="00DB5302">
        <w:rPr>
          <w:rStyle w:val="NoteLabel"/>
          <w:b w:val="0"/>
          <w:position w:val="0"/>
        </w:rPr>
        <w:t xml:space="preserve"> = State/Territory emergency service organisation; </w:t>
      </w:r>
      <w:proofErr w:type="spellStart"/>
      <w:r w:rsidR="000956DC" w:rsidRPr="00DB5302">
        <w:rPr>
          <w:rStyle w:val="NoteLabel"/>
          <w:position w:val="0"/>
        </w:rPr>
        <w:t>FSO</w:t>
      </w:r>
      <w:proofErr w:type="spellEnd"/>
      <w:r w:rsidR="000956DC" w:rsidRPr="00DB5302">
        <w:rPr>
          <w:rStyle w:val="NoteLabel"/>
          <w:b w:val="0"/>
          <w:position w:val="0"/>
        </w:rPr>
        <w:t xml:space="preserve"> = Fire service organisation; </w:t>
      </w:r>
      <w:proofErr w:type="spellStart"/>
      <w:r w:rsidR="000956DC" w:rsidRPr="00DB5302">
        <w:rPr>
          <w:rStyle w:val="NoteLabel"/>
          <w:position w:val="0"/>
        </w:rPr>
        <w:t>ASO</w:t>
      </w:r>
      <w:proofErr w:type="spellEnd"/>
      <w:r w:rsidR="000956DC" w:rsidRPr="00DB5302">
        <w:rPr>
          <w:rStyle w:val="NoteLabel"/>
          <w:b w:val="0"/>
          <w:position w:val="0"/>
        </w:rPr>
        <w:t xml:space="preserve"> = Ambulance service organisation </w:t>
      </w:r>
    </w:p>
    <w:p w:rsidR="000956DC" w:rsidRDefault="000956DC" w:rsidP="00C11B29">
      <w:pPr>
        <w:pStyle w:val="Note"/>
      </w:pPr>
      <w:r w:rsidRPr="00B73A74">
        <w:rPr>
          <w:rStyle w:val="NoteLabel"/>
        </w:rPr>
        <w:t>a</w:t>
      </w:r>
      <w:r w:rsidRPr="00B73A74">
        <w:t> Data may not be comparable across service areas and comparisons could be misleading</w:t>
      </w:r>
      <w:r w:rsidR="008F3DBC" w:rsidRPr="00B73A74">
        <w:t>.</w:t>
      </w:r>
      <w:r w:rsidR="002857C0" w:rsidRPr="002857C0">
        <w:t xml:space="preserve"> </w:t>
      </w:r>
      <w:r w:rsidR="002857C0" w:rsidRPr="000B2B8E">
        <w:t xml:space="preserve">Expenditure for SES organisations </w:t>
      </w:r>
      <w:r w:rsidR="002857C0">
        <w:t xml:space="preserve">were </w:t>
      </w:r>
      <w:r w:rsidR="002857C0" w:rsidRPr="000B2B8E">
        <w:t xml:space="preserve">collected for the first time for </w:t>
      </w:r>
      <w:r w:rsidR="002857C0">
        <w:t xml:space="preserve">the 2013 </w:t>
      </w:r>
      <w:r w:rsidR="002857C0" w:rsidRPr="000B2B8E">
        <w:t>R</w:t>
      </w:r>
      <w:r w:rsidR="002857C0">
        <w:t>oGS</w:t>
      </w:r>
      <w:r w:rsidR="002857C0" w:rsidRPr="000B2B8E">
        <w:t xml:space="preserve">. It is anticipated that the comparability of these data will improve over time as a number of scope and data </w:t>
      </w:r>
      <w:r w:rsidR="002857C0" w:rsidRPr="00C11B29">
        <w:t>definition</w:t>
      </w:r>
      <w:r w:rsidR="002857C0" w:rsidRPr="000B2B8E">
        <w:t xml:space="preserve"> issues are resolved between jurisdictions.</w:t>
      </w:r>
      <w:r w:rsidR="008F3DBC" w:rsidRPr="00B73A74">
        <w:t xml:space="preserve"> </w:t>
      </w:r>
      <w:r w:rsidR="008F3DBC" w:rsidRPr="00B73A74">
        <w:rPr>
          <w:rStyle w:val="NoteLabel"/>
        </w:rPr>
        <w:t>b</w:t>
      </w:r>
      <w:r w:rsidR="008F3DBC" w:rsidRPr="00B73A74">
        <w:t> </w:t>
      </w:r>
      <w:r w:rsidRPr="00B73A74">
        <w:t xml:space="preserve">The figures provided for WA </w:t>
      </w:r>
      <w:r w:rsidR="000B2B8E" w:rsidRPr="00B73A74">
        <w:t>as</w:t>
      </w:r>
      <w:r w:rsidR="008F3DBC" w:rsidRPr="00B73A74">
        <w:t xml:space="preserve"> </w:t>
      </w:r>
      <w:proofErr w:type="spellStart"/>
      <w:r w:rsidR="008F3DBC" w:rsidRPr="00B73A74">
        <w:t>FSO</w:t>
      </w:r>
      <w:proofErr w:type="spellEnd"/>
      <w:r w:rsidR="008F3DBC" w:rsidRPr="00B73A74">
        <w:t xml:space="preserve"> expenditure </w:t>
      </w:r>
      <w:r w:rsidR="001706E0">
        <w:t>incl</w:t>
      </w:r>
      <w:r w:rsidRPr="00B73A74">
        <w:t xml:space="preserve">ude total costs of services for the SES, Fire </w:t>
      </w:r>
      <w:r w:rsidR="00B30F60" w:rsidRPr="00B73A74">
        <w:t>and</w:t>
      </w:r>
      <w:r w:rsidRPr="00B73A74">
        <w:t xml:space="preserve"> Rescue Services, Bush Fire Services and Volunteer Marine Rescue Services</w:t>
      </w:r>
      <w:r w:rsidR="008F3DBC" w:rsidRPr="00B73A74">
        <w:t xml:space="preserve">. </w:t>
      </w:r>
      <w:r w:rsidR="00CA390E">
        <w:rPr>
          <w:rStyle w:val="NoteLabel"/>
        </w:rPr>
        <w:t>c</w:t>
      </w:r>
      <w:r w:rsidR="008F3DBC" w:rsidRPr="00B73A74">
        <w:t> Tas</w:t>
      </w:r>
      <w:r w:rsidR="00F0488B" w:rsidRPr="00B73A74">
        <w:t>mania’s</w:t>
      </w:r>
      <w:r w:rsidR="008F3DBC" w:rsidRPr="00B73A74">
        <w:t xml:space="preserve"> SES expenditure includes activities that support broader whole</w:t>
      </w:r>
      <w:r w:rsidR="001525FA">
        <w:noBreakHyphen/>
      </w:r>
      <w:r w:rsidR="008F3DBC" w:rsidRPr="00B73A74">
        <w:t>of</w:t>
      </w:r>
      <w:r w:rsidR="001525FA">
        <w:noBreakHyphen/>
      </w:r>
      <w:r w:rsidR="008F3DBC" w:rsidRPr="00B73A74">
        <w:t>government emergency management functions</w:t>
      </w:r>
      <w:r w:rsidRPr="00B73A74">
        <w:t>.</w:t>
      </w:r>
      <w:r w:rsidRPr="00F76880">
        <w:t xml:space="preserve"> </w:t>
      </w:r>
    </w:p>
    <w:p w:rsidR="000956DC" w:rsidRDefault="000956DC" w:rsidP="00585E6B">
      <w:pPr>
        <w:pStyle w:val="Source"/>
      </w:pPr>
      <w:r>
        <w:rPr>
          <w:i/>
        </w:rPr>
        <w:t>Source</w:t>
      </w:r>
      <w:r>
        <w:t xml:space="preserve">: State and Territory governments; table </w:t>
      </w:r>
      <w:proofErr w:type="spellStart"/>
      <w:r>
        <w:t>DA.</w:t>
      </w:r>
      <w:r w:rsidR="00AE3061">
        <w:t>3</w:t>
      </w:r>
      <w:proofErr w:type="spellEnd"/>
      <w:r>
        <w:t>.</w:t>
      </w:r>
    </w:p>
    <w:p w:rsidR="005E56D6" w:rsidRDefault="005E56D6" w:rsidP="005E56D6">
      <w:pPr>
        <w:pStyle w:val="BodyText"/>
      </w:pPr>
      <w:r w:rsidRPr="00567DD2">
        <w:t>Cross</w:t>
      </w:r>
      <w:r w:rsidR="001525FA">
        <w:noBreakHyphen/>
      </w:r>
      <w:r w:rsidRPr="00567DD2">
        <w:t>cutting and interface issues</w:t>
      </w:r>
      <w:r>
        <w:t xml:space="preserve"> (section </w:t>
      </w:r>
      <w:proofErr w:type="spellStart"/>
      <w:r w:rsidRPr="00567DD2">
        <w:t>D.3</w:t>
      </w:r>
      <w:proofErr w:type="spellEnd"/>
      <w:r>
        <w:t>) highlights that a range of other government agencies, such as police and health services, also bear costs in relation to emergency management. In addition, government</w:t>
      </w:r>
      <w:r w:rsidR="004F44BF">
        <w:t xml:space="preserve">s also incur costs in relation to </w:t>
      </w:r>
      <w:r>
        <w:t xml:space="preserve">government disaster coordination agencies and </w:t>
      </w:r>
      <w:r w:rsidRPr="006964B3">
        <w:t xml:space="preserve">volunteer marine rescue </w:t>
      </w:r>
      <w:r w:rsidR="004F44BF">
        <w:t xml:space="preserve">and lifesaving organisations (the costs of which are not available </w:t>
      </w:r>
      <w:r w:rsidR="00391DDC">
        <w:t xml:space="preserve">for </w:t>
      </w:r>
      <w:r w:rsidR="004F44BF">
        <w:t>this Report).</w:t>
      </w:r>
    </w:p>
    <w:p w:rsidR="00235EBB" w:rsidRDefault="00235EBB" w:rsidP="006A416D">
      <w:pPr>
        <w:pStyle w:val="Heading4"/>
      </w:pPr>
      <w:r>
        <w:t>Funding emergency service organisation</w:t>
      </w:r>
      <w:r w:rsidR="000C17BA">
        <w:t>s</w:t>
      </w:r>
      <w:r>
        <w:t xml:space="preserve"> </w:t>
      </w:r>
    </w:p>
    <w:p w:rsidR="00AA3F9A" w:rsidRPr="00E073EA" w:rsidRDefault="00AA3F9A" w:rsidP="00585E6B">
      <w:pPr>
        <w:pStyle w:val="BodyText"/>
      </w:pPr>
      <w:r w:rsidRPr="00E073EA">
        <w:t xml:space="preserve">The funding of </w:t>
      </w:r>
      <w:r w:rsidRPr="00A05A09">
        <w:t>emergency services organisation</w:t>
      </w:r>
      <w:r>
        <w:t>s</w:t>
      </w:r>
      <w:r w:rsidRPr="00E073EA">
        <w:t xml:space="preserve"> varies by service and jurisdiction </w:t>
      </w:r>
      <w:r w:rsidR="005E56D6" w:rsidRPr="00E073EA">
        <w:t>(</w:t>
      </w:r>
      <w:r w:rsidR="005E56D6">
        <w:t>figure</w:t>
      </w:r>
      <w:r w:rsidR="005E56D6" w:rsidRPr="00E073EA">
        <w:t> </w:t>
      </w:r>
      <w:proofErr w:type="spellStart"/>
      <w:r w:rsidR="00CA09FA">
        <w:t>D.2</w:t>
      </w:r>
      <w:proofErr w:type="spellEnd"/>
      <w:r w:rsidR="005E56D6" w:rsidRPr="00E073EA">
        <w:t>)</w:t>
      </w:r>
      <w:r w:rsidR="005E56D6">
        <w:t xml:space="preserve">. Funding </w:t>
      </w:r>
      <w:r w:rsidRPr="00E073EA">
        <w:t xml:space="preserve">generally occurs </w:t>
      </w:r>
      <w:r w:rsidR="00B30F60">
        <w:t>through</w:t>
      </w:r>
      <w:r w:rsidRPr="00E073EA">
        <w:t xml:space="preserve"> a mix of: </w:t>
      </w:r>
    </w:p>
    <w:p w:rsidR="00AA3F9A" w:rsidRPr="00E073EA" w:rsidRDefault="00AA3F9A" w:rsidP="00585E6B">
      <w:pPr>
        <w:pStyle w:val="ListBullet"/>
      </w:pPr>
      <w:r w:rsidRPr="00E073EA">
        <w:t xml:space="preserve">government grants — provided to </w:t>
      </w:r>
      <w:r w:rsidRPr="00A05A09">
        <w:t>emergency services organisation</w:t>
      </w:r>
      <w:r>
        <w:t>s</w:t>
      </w:r>
      <w:r w:rsidRPr="00E073EA">
        <w:t xml:space="preserve"> from State and Territory governments</w:t>
      </w:r>
    </w:p>
    <w:p w:rsidR="00AA3F9A" w:rsidRPr="00E073EA" w:rsidRDefault="00AA3F9A" w:rsidP="00585E6B">
      <w:pPr>
        <w:pStyle w:val="ListBullet"/>
      </w:pPr>
      <w:r w:rsidRPr="00E073EA">
        <w:lastRenderedPageBreak/>
        <w:t xml:space="preserve">fire </w:t>
      </w:r>
      <w:r w:rsidR="00E83549">
        <w:t xml:space="preserve">and emergency service </w:t>
      </w:r>
      <w:r w:rsidRPr="00E073EA">
        <w:t>levies — governments usually provide the legislative framework for the imposition of levies on property owners or, in some jurisdictions, from levies on both insurance companies and property owners</w:t>
      </w:r>
    </w:p>
    <w:p w:rsidR="00AA3F9A" w:rsidRPr="00E073EA" w:rsidRDefault="00AA3F9A" w:rsidP="00585E6B">
      <w:pPr>
        <w:pStyle w:val="ListBullet"/>
      </w:pPr>
      <w:r w:rsidRPr="00E073EA">
        <w:t>ambulance transport fees — from government</w:t>
      </w:r>
      <w:r>
        <w:t>,</w:t>
      </w:r>
      <w:r w:rsidRPr="00E073EA">
        <w:t xml:space="preserve"> hospitals, private citizens and insurance companies</w:t>
      </w:r>
    </w:p>
    <w:p w:rsidR="00AA3F9A" w:rsidRPr="00E073EA" w:rsidRDefault="00AA3F9A" w:rsidP="00585E6B">
      <w:pPr>
        <w:pStyle w:val="ListBullet"/>
      </w:pPr>
      <w:r w:rsidRPr="00E073EA">
        <w:t xml:space="preserve">other revenue — subscriptions, </w:t>
      </w:r>
      <w:r w:rsidR="00E83549">
        <w:t xml:space="preserve">other fees, </w:t>
      </w:r>
      <w:r w:rsidRPr="00E073EA">
        <w:t>donations and miscellaneous revenue.</w:t>
      </w:r>
    </w:p>
    <w:p w:rsidR="00EA4EF0" w:rsidRDefault="00EA4EF0" w:rsidP="00585E6B">
      <w:pPr>
        <w:pStyle w:val="FigureTitle"/>
      </w:pPr>
      <w:bookmarkStart w:id="10" w:name="_Ref343076138"/>
      <w:bookmarkStart w:id="11" w:name="_Toc343076267"/>
      <w:bookmarkStart w:id="12" w:name="_Toc343077257"/>
      <w:r>
        <w:rPr>
          <w:b w:val="0"/>
        </w:rPr>
        <w:t xml:space="preserve">Figure </w:t>
      </w:r>
      <w:bookmarkStart w:id="13" w:name="OLE_LINK1"/>
      <w:proofErr w:type="spellStart"/>
      <w:r w:rsidR="00CA09FA">
        <w:rPr>
          <w:b w:val="0"/>
        </w:rPr>
        <w:t>D.</w:t>
      </w:r>
      <w:r w:rsidR="005A1847">
        <w:rPr>
          <w:b w:val="0"/>
          <w:noProof/>
        </w:rPr>
        <w:t>2</w:t>
      </w:r>
      <w:bookmarkEnd w:id="13"/>
      <w:proofErr w:type="spellEnd"/>
      <w:r>
        <w:tab/>
        <w:t>E</w:t>
      </w:r>
      <w:r w:rsidRPr="00547C6E">
        <w:t>mergency service organisations</w:t>
      </w:r>
      <w:r>
        <w:t xml:space="preserve"> funding sources</w:t>
      </w:r>
      <w:r w:rsidR="006179CF">
        <w:t xml:space="preserve">, </w:t>
      </w:r>
      <w:r w:rsidR="00C968FB">
        <w:t>2012</w:t>
      </w:r>
      <w:r w:rsidR="001525FA">
        <w:noBreakHyphen/>
      </w:r>
      <w:proofErr w:type="spellStart"/>
      <w:r w:rsidR="00C968FB">
        <w:t>13</w:t>
      </w:r>
      <w:r w:rsidR="006179CF" w:rsidRPr="006179CF">
        <w:rPr>
          <w:vertAlign w:val="superscript"/>
        </w:rPr>
        <w:t>a</w:t>
      </w:r>
      <w:bookmarkEnd w:id="10"/>
      <w:bookmarkEnd w:id="11"/>
      <w:bookmarkEnd w:id="12"/>
      <w:proofErr w:type="spellEnd"/>
      <w:r w:rsidR="002857C0">
        <w:rPr>
          <w:vertAlign w:val="superscript"/>
        </w:rPr>
        <w:t>,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649DB" w:rsidTr="001C289E">
        <w:tc>
          <w:tcPr>
            <w:tcW w:w="8777" w:type="dxa"/>
          </w:tcPr>
          <w:p w:rsidR="007649DB" w:rsidRDefault="00205B51" w:rsidP="00585E6B">
            <w:pPr>
              <w:pStyle w:val="Figure"/>
            </w:pPr>
            <w:r>
              <w:rPr>
                <w:noProof/>
              </w:rPr>
              <w:drawing>
                <wp:inline distT="0" distB="0" distL="0" distR="0" wp14:anchorId="6A86046D" wp14:editId="3264B51F">
                  <wp:extent cx="5389880" cy="2710815"/>
                  <wp:effectExtent l="0" t="0" r="1270" b="0"/>
                  <wp:docPr id="4" name="Picture 4" descr="Figure D.2 Emergency service organisations funding sources,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89880" cy="2710815"/>
                          </a:xfrm>
                          <a:prstGeom prst="rect">
                            <a:avLst/>
                          </a:prstGeom>
                          <a:noFill/>
                          <a:ln>
                            <a:noFill/>
                          </a:ln>
                        </pic:spPr>
                      </pic:pic>
                    </a:graphicData>
                  </a:graphic>
                </wp:inline>
              </w:drawing>
            </w:r>
          </w:p>
        </w:tc>
      </w:tr>
    </w:tbl>
    <w:p w:rsidR="00DE2D11" w:rsidRDefault="006179CF" w:rsidP="006179CF">
      <w:pPr>
        <w:pStyle w:val="Note"/>
      </w:pPr>
      <w:r>
        <w:rPr>
          <w:rStyle w:val="NoteLabel"/>
        </w:rPr>
        <w:t>a</w:t>
      </w:r>
      <w:r>
        <w:t xml:space="preserve"> Data are experimental and may not be comparable across service areas and comparisons </w:t>
      </w:r>
      <w:r w:rsidRPr="00A5336B">
        <w:t>could be misleading. Chapter</w:t>
      </w:r>
      <w:r w:rsidR="001525FA">
        <w:t> </w:t>
      </w:r>
      <w:r w:rsidRPr="00A5336B">
        <w:t>9 provides further information.</w:t>
      </w:r>
      <w:r w:rsidR="00DE2D11">
        <w:t xml:space="preserve"> </w:t>
      </w:r>
      <w:r w:rsidR="00DB5302">
        <w:rPr>
          <w:rStyle w:val="NoteLabel"/>
        </w:rPr>
        <w:t>b</w:t>
      </w:r>
      <w:r w:rsidR="00DB5302">
        <w:t> </w:t>
      </w:r>
      <w:r w:rsidR="00DB5302" w:rsidRPr="00DB5302">
        <w:t>Other revenue is equal to the sum of donations and miscellaneous revenue.</w:t>
      </w:r>
    </w:p>
    <w:p w:rsidR="00CA3289" w:rsidRDefault="00DE2D11" w:rsidP="00585E6B">
      <w:pPr>
        <w:pStyle w:val="Source"/>
      </w:pPr>
      <w:r>
        <w:rPr>
          <w:i/>
        </w:rPr>
        <w:t>Source</w:t>
      </w:r>
      <w:r>
        <w:t xml:space="preserve">: State and Territory governments; table </w:t>
      </w:r>
      <w:proofErr w:type="spellStart"/>
      <w:r>
        <w:t>DA.</w:t>
      </w:r>
      <w:r w:rsidR="00DB5302">
        <w:t>2</w:t>
      </w:r>
      <w:proofErr w:type="spellEnd"/>
      <w:r>
        <w:t>.</w:t>
      </w:r>
    </w:p>
    <w:p w:rsidR="008002B6" w:rsidRDefault="008002B6" w:rsidP="008002B6">
      <w:pPr>
        <w:pStyle w:val="Heading4"/>
      </w:pPr>
      <w:r>
        <w:t>Australian Government funding</w:t>
      </w:r>
    </w:p>
    <w:p w:rsidR="00FA3097" w:rsidRDefault="00191385" w:rsidP="00B73A74">
      <w:pPr>
        <w:pStyle w:val="BodyText"/>
      </w:pPr>
      <w:r>
        <w:t xml:space="preserve">The Australian Government provides </w:t>
      </w:r>
      <w:r w:rsidR="00385E5E">
        <w:t xml:space="preserve">emergency management </w:t>
      </w:r>
      <w:r>
        <w:t xml:space="preserve">funding to </w:t>
      </w:r>
      <w:r w:rsidR="00A241B2">
        <w:t xml:space="preserve">State </w:t>
      </w:r>
      <w:r>
        <w:t xml:space="preserve">and </w:t>
      </w:r>
      <w:r w:rsidR="00A241B2">
        <w:t>Territory governments</w:t>
      </w:r>
      <w:r w:rsidR="00FA3097">
        <w:t>, communities and individuals through a range of programs</w:t>
      </w:r>
      <w:r w:rsidR="00385E5E">
        <w:t>.</w:t>
      </w:r>
    </w:p>
    <w:p w:rsidR="00C804DD" w:rsidRDefault="00B75FBE" w:rsidP="009F2CED">
      <w:pPr>
        <w:pStyle w:val="ListBullet"/>
      </w:pPr>
      <w:r w:rsidRPr="00CA1305">
        <w:t xml:space="preserve">The </w:t>
      </w:r>
      <w:r>
        <w:t xml:space="preserve">Natural Disaster Resilience Program </w:t>
      </w:r>
      <w:r w:rsidRPr="00CA1305">
        <w:t xml:space="preserve">provides funding to the State and Territory governments to strengthen community resilience to natural disasters </w:t>
      </w:r>
      <w:r w:rsidRPr="00B75FBE">
        <w:rPr>
          <w:iCs/>
        </w:rPr>
        <w:t>consistent</w:t>
      </w:r>
      <w:r w:rsidRPr="00CA1305">
        <w:t xml:space="preserve"> with the National Strategy for Disaster Resilience.</w:t>
      </w:r>
      <w:r>
        <w:t xml:space="preserve"> In 2012</w:t>
      </w:r>
      <w:r w:rsidR="001525FA">
        <w:noBreakHyphen/>
      </w:r>
      <w:r>
        <w:t xml:space="preserve">13, funding was $24.0 million </w:t>
      </w:r>
      <w:r w:rsidR="00187F3E">
        <w:t>(</w:t>
      </w:r>
      <w:r w:rsidR="009D7E76">
        <w:t>table </w:t>
      </w:r>
      <w:proofErr w:type="spellStart"/>
      <w:r w:rsidR="009D7E76">
        <w:t>DA.5</w:t>
      </w:r>
      <w:proofErr w:type="spellEnd"/>
      <w:r w:rsidR="00E11FB6">
        <w:t xml:space="preserve">). Data by funding </w:t>
      </w:r>
      <w:r w:rsidR="008764D9">
        <w:t xml:space="preserve">to </w:t>
      </w:r>
      <w:r w:rsidR="00E11FB6">
        <w:t>State and Territory government</w:t>
      </w:r>
      <w:r w:rsidR="00C11B29">
        <w:t>s</w:t>
      </w:r>
      <w:r w:rsidR="00E11FB6">
        <w:t xml:space="preserve"> are available in table </w:t>
      </w:r>
      <w:proofErr w:type="spellStart"/>
      <w:r w:rsidR="00E11FB6">
        <w:t>DA.5</w:t>
      </w:r>
      <w:proofErr w:type="spellEnd"/>
      <w:r w:rsidR="00385E5E">
        <w:t>.</w:t>
      </w:r>
    </w:p>
    <w:p w:rsidR="001146FB" w:rsidRDefault="001A511F" w:rsidP="001A511F">
      <w:pPr>
        <w:pStyle w:val="ListBullet"/>
      </w:pPr>
      <w:r w:rsidRPr="001A511F">
        <w:t>The National Emergency Management Projects program funds projects of national significance that support the implementation of the National Strategy for Disaster Resilience. In 2012</w:t>
      </w:r>
      <w:r w:rsidR="001525FA">
        <w:noBreakHyphen/>
      </w:r>
      <w:r w:rsidRPr="001A511F">
        <w:t>13, $3.8 million of funding was provided to 32</w:t>
      </w:r>
      <w:r w:rsidR="00E72620">
        <w:t> </w:t>
      </w:r>
      <w:r w:rsidRPr="001A511F">
        <w:t>disaster resilience projects</w:t>
      </w:r>
      <w:r w:rsidR="003C0700">
        <w:t xml:space="preserve"> </w:t>
      </w:r>
      <w:r w:rsidR="003C0700">
        <w:rPr>
          <w:color w:val="000000"/>
        </w:rPr>
        <w:t>(Australian Government unpublished).</w:t>
      </w:r>
    </w:p>
    <w:p w:rsidR="00B55DEE" w:rsidRDefault="00084894" w:rsidP="00FA3097">
      <w:pPr>
        <w:pStyle w:val="ListBullet"/>
      </w:pPr>
      <w:r>
        <w:lastRenderedPageBreak/>
        <w:t xml:space="preserve">The </w:t>
      </w:r>
      <w:r w:rsidR="00187F3E" w:rsidRPr="0065015F">
        <w:t>Natural Disaster Relief and Recovery Arrangements</w:t>
      </w:r>
      <w:r w:rsidR="00187F3E">
        <w:t xml:space="preserve"> </w:t>
      </w:r>
      <w:bookmarkStart w:id="14" w:name="OLE_LINK21"/>
      <w:r w:rsidR="00187F3E">
        <w:t xml:space="preserve">provides </w:t>
      </w:r>
      <w:r w:rsidR="0065015F" w:rsidRPr="0065015F">
        <w:t xml:space="preserve">financial assistance to </w:t>
      </w:r>
      <w:r>
        <w:t xml:space="preserve">support </w:t>
      </w:r>
      <w:r w:rsidR="00FD5CC3">
        <w:t>S</w:t>
      </w:r>
      <w:r w:rsidR="00FD5CC3" w:rsidRPr="0065015F">
        <w:t xml:space="preserve">tate </w:t>
      </w:r>
      <w:r w:rsidR="0065015F" w:rsidRPr="0065015F">
        <w:t xml:space="preserve">and </w:t>
      </w:r>
      <w:r w:rsidR="00FD5CC3">
        <w:t>Territory governments</w:t>
      </w:r>
      <w:r w:rsidR="00FD5CC3" w:rsidRPr="0065015F">
        <w:t xml:space="preserve"> </w:t>
      </w:r>
      <w:r w:rsidR="0065015F" w:rsidRPr="0065015F">
        <w:t>with relief and recovery efforts following an eligible natural disaster event</w:t>
      </w:r>
      <w:r w:rsidR="0065015F">
        <w:t xml:space="preserve">. </w:t>
      </w:r>
      <w:bookmarkEnd w:id="14"/>
      <w:r w:rsidR="00B55DEE">
        <w:t>In 2012</w:t>
      </w:r>
      <w:r w:rsidR="001525FA">
        <w:noBreakHyphen/>
      </w:r>
      <w:r w:rsidR="00B55DEE">
        <w:t xml:space="preserve">13, cash payments </w:t>
      </w:r>
      <w:r w:rsidR="00B55DEE" w:rsidRPr="0065015F">
        <w:t>for natur</w:t>
      </w:r>
      <w:r w:rsidR="00B55DEE">
        <w:t xml:space="preserve">al disaster events were $77.1 million, a substantial decrease </w:t>
      </w:r>
      <w:r>
        <w:t>in real cash payment</w:t>
      </w:r>
      <w:r w:rsidR="002857C0">
        <w:t>s</w:t>
      </w:r>
      <w:r>
        <w:t xml:space="preserve"> from </w:t>
      </w:r>
      <w:r w:rsidR="00D32A70" w:rsidRPr="0065015F">
        <w:t>$3.</w:t>
      </w:r>
      <w:r w:rsidR="00D32A70">
        <w:t xml:space="preserve">0 billion in </w:t>
      </w:r>
      <w:r w:rsidR="0065015F" w:rsidRPr="0065015F">
        <w:t>2011</w:t>
      </w:r>
      <w:r w:rsidR="001525FA">
        <w:noBreakHyphen/>
      </w:r>
      <w:r w:rsidR="0065015F" w:rsidRPr="0065015F">
        <w:t>12</w:t>
      </w:r>
      <w:r>
        <w:t xml:space="preserve">, </w:t>
      </w:r>
      <w:r w:rsidR="00B55DEE">
        <w:t xml:space="preserve">which </w:t>
      </w:r>
      <w:r w:rsidR="00D32A70">
        <w:t xml:space="preserve">was </w:t>
      </w:r>
      <w:r w:rsidR="0065015F" w:rsidRPr="0065015F">
        <w:t xml:space="preserve">predominantly related to the Queensland flood crisis in January 2011 </w:t>
      </w:r>
      <w:r w:rsidR="00187F3E" w:rsidRPr="009F2CED">
        <w:t>(</w:t>
      </w:r>
      <w:r w:rsidR="00E11FB6" w:rsidRPr="009F2CED">
        <w:t>figure </w:t>
      </w:r>
      <w:proofErr w:type="spellStart"/>
      <w:r w:rsidR="00CA09FA">
        <w:t>D.3</w:t>
      </w:r>
      <w:proofErr w:type="spellEnd"/>
      <w:r w:rsidR="008764D9" w:rsidRPr="009F2CED">
        <w:t>). Data by funding to State and Territory government</w:t>
      </w:r>
      <w:r w:rsidR="00C11B29" w:rsidRPr="009F2CED">
        <w:t>s</w:t>
      </w:r>
      <w:r w:rsidR="008764D9" w:rsidRPr="009F2CED">
        <w:t xml:space="preserve"> are available in table </w:t>
      </w:r>
      <w:proofErr w:type="spellStart"/>
      <w:r w:rsidR="008764D9" w:rsidRPr="009F2CED">
        <w:t>DA.</w:t>
      </w:r>
      <w:r w:rsidR="00E8283D">
        <w:t>6</w:t>
      </w:r>
      <w:proofErr w:type="spellEnd"/>
      <w:r w:rsidR="008764D9" w:rsidRPr="009F2CED">
        <w:t>.</w:t>
      </w:r>
    </w:p>
    <w:p w:rsidR="006F77D2" w:rsidRDefault="006F77D2" w:rsidP="006F77D2">
      <w:pPr>
        <w:pStyle w:val="ListBullet"/>
      </w:pPr>
      <w:r>
        <w:rPr>
          <w:color w:val="000000"/>
        </w:rPr>
        <w:t xml:space="preserve">The </w:t>
      </w:r>
      <w:r w:rsidRPr="00B55DEE">
        <w:rPr>
          <w:color w:val="000000"/>
        </w:rPr>
        <w:t xml:space="preserve">Australian Government Disaster Recovery Payment </w:t>
      </w:r>
      <w:r>
        <w:t>is a one</w:t>
      </w:r>
      <w:r w:rsidR="001525FA">
        <w:noBreakHyphen/>
      </w:r>
      <w:r>
        <w:t xml:space="preserve">off short term </w:t>
      </w:r>
      <w:r w:rsidRPr="00FA3097">
        <w:t>recovery</w:t>
      </w:r>
      <w:r>
        <w:t xml:space="preserve"> payment that provides support to individuals and communities affected by a disaster. The current rates of payment are $1000 for eligible adults and $400 for eligible children. </w:t>
      </w:r>
      <w:r w:rsidRPr="00B55DEE">
        <w:rPr>
          <w:color w:val="000000"/>
        </w:rPr>
        <w:t>The Australian Government provided approximately $823</w:t>
      </w:r>
      <w:r>
        <w:rPr>
          <w:color w:val="000000"/>
        </w:rPr>
        <w:t> </w:t>
      </w:r>
      <w:r w:rsidRPr="00B55DEE">
        <w:rPr>
          <w:color w:val="000000"/>
        </w:rPr>
        <w:t>million in 2010</w:t>
      </w:r>
      <w:r w:rsidR="001525FA">
        <w:rPr>
          <w:color w:val="000000"/>
        </w:rPr>
        <w:noBreakHyphen/>
      </w:r>
      <w:r w:rsidRPr="00B55DEE">
        <w:rPr>
          <w:color w:val="000000"/>
        </w:rPr>
        <w:t>11, approximately $78</w:t>
      </w:r>
      <w:r>
        <w:rPr>
          <w:color w:val="000000"/>
        </w:rPr>
        <w:t> </w:t>
      </w:r>
      <w:r w:rsidRPr="00B55DEE">
        <w:rPr>
          <w:color w:val="000000"/>
        </w:rPr>
        <w:t>million in 2011</w:t>
      </w:r>
      <w:r w:rsidR="00C11B29">
        <w:rPr>
          <w:color w:val="000000"/>
        </w:rPr>
        <w:noBreakHyphen/>
      </w:r>
      <w:r w:rsidRPr="00B55DEE">
        <w:rPr>
          <w:color w:val="000000"/>
        </w:rPr>
        <w:t>12, and approximately $171</w:t>
      </w:r>
      <w:r>
        <w:rPr>
          <w:color w:val="000000"/>
        </w:rPr>
        <w:t> </w:t>
      </w:r>
      <w:r w:rsidRPr="00B55DEE">
        <w:rPr>
          <w:color w:val="000000"/>
        </w:rPr>
        <w:t>million in payments for events that occurred in 2012</w:t>
      </w:r>
      <w:r>
        <w:rPr>
          <w:color w:val="000000"/>
        </w:rPr>
        <w:noBreakHyphen/>
      </w:r>
      <w:r w:rsidRPr="00B55DEE">
        <w:rPr>
          <w:color w:val="000000"/>
        </w:rPr>
        <w:t xml:space="preserve">13 </w:t>
      </w:r>
      <w:r>
        <w:rPr>
          <w:color w:val="000000"/>
        </w:rPr>
        <w:t>(Australian Government unpublished).</w:t>
      </w:r>
    </w:p>
    <w:p w:rsidR="00FF7F85" w:rsidRDefault="00FF7F85">
      <w:pPr>
        <w:pStyle w:val="FigureTitle"/>
      </w:pPr>
      <w:r>
        <w:rPr>
          <w:b w:val="0"/>
        </w:rPr>
        <w:t xml:space="preserve">Figure </w:t>
      </w:r>
      <w:bookmarkStart w:id="15" w:name="OLE_LINK13"/>
      <w:proofErr w:type="spellStart"/>
      <w:r w:rsidR="00CA09FA">
        <w:rPr>
          <w:b w:val="0"/>
        </w:rPr>
        <w:t>D.</w:t>
      </w:r>
      <w:r w:rsidR="005A1847">
        <w:rPr>
          <w:b w:val="0"/>
          <w:noProof/>
        </w:rPr>
        <w:t>3</w:t>
      </w:r>
      <w:bookmarkEnd w:id="15"/>
      <w:proofErr w:type="spellEnd"/>
      <w:r>
        <w:tab/>
      </w:r>
      <w:r w:rsidR="00E8283D" w:rsidRPr="00E8283D">
        <w:t>Australian Government Natural Disaster Relief and Recovery Arrangements payments</w:t>
      </w:r>
      <w:r w:rsidR="006F77D2" w:rsidRPr="006F77D2">
        <w:t xml:space="preserve"> (2012</w:t>
      </w:r>
      <w:r w:rsidR="001525FA">
        <w:noBreakHyphen/>
      </w:r>
      <w:r w:rsidR="006F77D2" w:rsidRPr="006F77D2">
        <w:t>13 dollars)</w:t>
      </w:r>
      <w:r w:rsidR="006F77D2">
        <w:rPr>
          <w:vertAlign w:val="superscript"/>
        </w:rPr>
        <w:t>a, b, c</w:t>
      </w:r>
      <w:r>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F7F85">
        <w:tc>
          <w:tcPr>
            <w:tcW w:w="8777" w:type="dxa"/>
          </w:tcPr>
          <w:p w:rsidR="00BD69CE" w:rsidRPr="00E964FC" w:rsidRDefault="00205B51" w:rsidP="00E964FC">
            <w:pPr>
              <w:pStyle w:val="Figure"/>
            </w:pPr>
            <w:r>
              <w:rPr>
                <w:noProof/>
              </w:rPr>
              <w:drawing>
                <wp:inline distT="0" distB="0" distL="0" distR="0" wp14:anchorId="5C8532D6" wp14:editId="7CFC2E01">
                  <wp:extent cx="5389880" cy="2517140"/>
                  <wp:effectExtent l="0" t="0" r="1270" b="0"/>
                  <wp:docPr id="5" name="Picture 5" descr="Figure D.3 Australian Government Natural Disaster Relief and Recovery Arrangements payments (2012-13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89880" cy="2517140"/>
                          </a:xfrm>
                          <a:prstGeom prst="rect">
                            <a:avLst/>
                          </a:prstGeom>
                          <a:noFill/>
                          <a:ln>
                            <a:noFill/>
                          </a:ln>
                        </pic:spPr>
                      </pic:pic>
                    </a:graphicData>
                  </a:graphic>
                </wp:inline>
              </w:drawing>
            </w:r>
          </w:p>
        </w:tc>
      </w:tr>
    </w:tbl>
    <w:p w:rsidR="00FF7F85" w:rsidRPr="00FF7F85" w:rsidRDefault="00FF7F85" w:rsidP="00FF7F85">
      <w:pPr>
        <w:pStyle w:val="Note"/>
      </w:pPr>
      <w:r>
        <w:rPr>
          <w:rStyle w:val="NoteLabel"/>
        </w:rPr>
        <w:t>a </w:t>
      </w:r>
      <w:r>
        <w:t>Time series financial data are adjusted to 2012</w:t>
      </w:r>
      <w:r w:rsidR="001525FA">
        <w:noBreakHyphen/>
      </w:r>
      <w:r>
        <w:t>13 dollars using the General Government Final Consumption Expenditure (GGFCE) chain price deflator (2012</w:t>
      </w:r>
      <w:r w:rsidR="001525FA">
        <w:noBreakHyphen/>
      </w:r>
      <w:r>
        <w:t>13 = 100) (table</w:t>
      </w:r>
      <w:r w:rsidR="001525FA">
        <w:t> </w:t>
      </w:r>
      <w:r>
        <w:t>2A.5</w:t>
      </w:r>
      <w:r w:rsidR="00E8283D">
        <w:t>3</w:t>
      </w:r>
      <w:r>
        <w:t xml:space="preserve">). The GGFCE replaces the Gross Domestic Product implicit price deflator used in previous editions. See </w:t>
      </w:r>
      <w:r w:rsidR="001525FA">
        <w:t>c</w:t>
      </w:r>
      <w:r>
        <w:t>hapter</w:t>
      </w:r>
      <w:r w:rsidR="001525FA">
        <w:t> </w:t>
      </w:r>
      <w:r>
        <w:t>2 (section</w:t>
      </w:r>
      <w:r w:rsidR="001525FA">
        <w:t> </w:t>
      </w:r>
      <w:r>
        <w:t xml:space="preserve">2.5) for details. </w:t>
      </w:r>
      <w:r w:rsidR="00E11FB6">
        <w:rPr>
          <w:rStyle w:val="NoteLabel"/>
        </w:rPr>
        <w:t>b</w:t>
      </w:r>
      <w:r>
        <w:rPr>
          <w:rStyle w:val="NoteLabel"/>
        </w:rPr>
        <w:t> </w:t>
      </w:r>
      <w:r w:rsidR="00E11FB6" w:rsidRPr="00E11FB6">
        <w:t xml:space="preserve">Data presented are the total cash payments in current dollars. </w:t>
      </w:r>
      <w:r w:rsidR="00E11FB6">
        <w:rPr>
          <w:rStyle w:val="NoteLabel"/>
        </w:rPr>
        <w:t>c</w:t>
      </w:r>
      <w:r>
        <w:rPr>
          <w:rStyle w:val="NoteLabel"/>
        </w:rPr>
        <w:t> </w:t>
      </w:r>
      <w:r w:rsidR="00E8283D" w:rsidRPr="00E8283D">
        <w:t xml:space="preserve">State/Territory expenditure for </w:t>
      </w:r>
      <w:r w:rsidR="00E8283D">
        <w:t>N</w:t>
      </w:r>
      <w:r w:rsidR="006F77D2" w:rsidRPr="006F77D2">
        <w:t>atural Disaster Relief and Recovery Arrangements</w:t>
      </w:r>
      <w:r w:rsidR="006F77D2" w:rsidRPr="00E11FB6">
        <w:t xml:space="preserve"> </w:t>
      </w:r>
      <w:r w:rsidR="00E11FB6" w:rsidRPr="00E11FB6">
        <w:t xml:space="preserve">eligible events can be made within 24 months after the end of the financial year in which the relevant disaster occurred unless an extension is granted. Therefore, costs reported for any given financial year may include payments for events that occurred in the previous years. </w:t>
      </w:r>
    </w:p>
    <w:p w:rsidR="00FF7F85" w:rsidRDefault="00FF7F85">
      <w:pPr>
        <w:pStyle w:val="Source"/>
      </w:pPr>
      <w:r>
        <w:rPr>
          <w:i/>
        </w:rPr>
        <w:t>Source</w:t>
      </w:r>
      <w:r w:rsidRPr="00167F06">
        <w:t xml:space="preserve">: </w:t>
      </w:r>
      <w:r>
        <w:t xml:space="preserve">Australian Government (unpublished); table </w:t>
      </w:r>
      <w:proofErr w:type="spellStart"/>
      <w:r>
        <w:t>DA.</w:t>
      </w:r>
      <w:r w:rsidR="00E8283D">
        <w:t>6</w:t>
      </w:r>
      <w:proofErr w:type="spellEnd"/>
      <w:r>
        <w:t>.</w:t>
      </w:r>
    </w:p>
    <w:p w:rsidR="006F0A22" w:rsidRDefault="006F0A22" w:rsidP="006A416D">
      <w:pPr>
        <w:pStyle w:val="Heading4"/>
      </w:pPr>
      <w:r>
        <w:lastRenderedPageBreak/>
        <w:t>Emergency management human resources</w:t>
      </w:r>
    </w:p>
    <w:p w:rsidR="006F0A22" w:rsidRDefault="00DB5749" w:rsidP="006F0A22">
      <w:pPr>
        <w:pStyle w:val="BodyText"/>
      </w:pPr>
      <w:r>
        <w:t>Nationally</w:t>
      </w:r>
      <w:r w:rsidR="003C069B">
        <w:t xml:space="preserve"> in 2012</w:t>
      </w:r>
      <w:r w:rsidR="001525FA">
        <w:noBreakHyphen/>
      </w:r>
      <w:r w:rsidR="003C069B">
        <w:t>13</w:t>
      </w:r>
      <w:r>
        <w:t>,</w:t>
      </w:r>
      <w:r w:rsidR="002E2A59">
        <w:t xml:space="preserve"> </w:t>
      </w:r>
      <w:r w:rsidRPr="00B73A74">
        <w:t>3</w:t>
      </w:r>
      <w:r w:rsidR="003C069B">
        <w:t>3</w:t>
      </w:r>
      <w:r w:rsidRPr="00B73A74">
        <w:t> </w:t>
      </w:r>
      <w:r w:rsidR="003C069B">
        <w:t>949</w:t>
      </w:r>
      <w:r>
        <w:t xml:space="preserve"> FTE people were employed by emergency service organisations</w:t>
      </w:r>
      <w:r w:rsidR="003C069B">
        <w:t>.</w:t>
      </w:r>
      <w:r>
        <w:t xml:space="preserve"> </w:t>
      </w:r>
      <w:r w:rsidR="003C069B">
        <w:t>O</w:t>
      </w:r>
      <w:r w:rsidR="000A05E5" w:rsidRPr="005202CD">
        <w:t>ver half</w:t>
      </w:r>
      <w:r w:rsidR="003C069B">
        <w:t xml:space="preserve">, 55.2 per cent, </w:t>
      </w:r>
      <w:r>
        <w:t xml:space="preserve">were employed in fire and </w:t>
      </w:r>
      <w:r w:rsidR="003C069B">
        <w:t>emergency service organisations</w:t>
      </w:r>
      <w:r>
        <w:t xml:space="preserve">, </w:t>
      </w:r>
      <w:r w:rsidRPr="00B73A74">
        <w:t xml:space="preserve">while </w:t>
      </w:r>
      <w:r w:rsidR="000A05E5" w:rsidRPr="00B73A74">
        <w:t>the remainder</w:t>
      </w:r>
      <w:r w:rsidR="000A05E5">
        <w:t xml:space="preserve"> </w:t>
      </w:r>
      <w:r>
        <w:t xml:space="preserve">were employed by ambulance service organisations </w:t>
      </w:r>
      <w:r w:rsidR="006F0A22" w:rsidRPr="00547C6E">
        <w:t>(table </w:t>
      </w:r>
      <w:proofErr w:type="spellStart"/>
      <w:r w:rsidR="00CA09FA">
        <w:t>D.1</w:t>
      </w:r>
      <w:proofErr w:type="spellEnd"/>
      <w:r w:rsidR="006F0A22" w:rsidRPr="00547C6E">
        <w:t xml:space="preserve">). </w:t>
      </w:r>
    </w:p>
    <w:p w:rsidR="003C069B" w:rsidRPr="00547C6E" w:rsidRDefault="003C069B" w:rsidP="003C069B">
      <w:pPr>
        <w:pStyle w:val="TableTitle"/>
      </w:pPr>
      <w:r w:rsidRPr="00547C6E">
        <w:rPr>
          <w:b w:val="0"/>
        </w:rPr>
        <w:t>Table </w:t>
      </w:r>
      <w:bookmarkStart w:id="16" w:name="OLE_LINK16"/>
      <w:proofErr w:type="spellStart"/>
      <w:r w:rsidR="00CA09FA">
        <w:rPr>
          <w:b w:val="0"/>
        </w:rPr>
        <w:t>D.</w:t>
      </w:r>
      <w:r w:rsidR="005A1847">
        <w:rPr>
          <w:b w:val="0"/>
          <w:noProof/>
        </w:rPr>
        <w:t>1</w:t>
      </w:r>
      <w:bookmarkEnd w:id="16"/>
      <w:proofErr w:type="spellEnd"/>
      <w:r w:rsidRPr="00547C6E">
        <w:tab/>
      </w:r>
      <w:r>
        <w:t xml:space="preserve">Salaried personnel </w:t>
      </w:r>
      <w:r w:rsidRPr="00547C6E">
        <w:t xml:space="preserve">in </w:t>
      </w:r>
      <w:r w:rsidRPr="00EF0558">
        <w:t xml:space="preserve">ambulance, fire and </w:t>
      </w:r>
      <w:r>
        <w:t xml:space="preserve">SES </w:t>
      </w:r>
      <w:r w:rsidRPr="00547C6E">
        <w:t>organisations</w:t>
      </w:r>
      <w:r>
        <w:t>, 2012</w:t>
      </w:r>
      <w:r w:rsidR="001525FA">
        <w:noBreakHyphen/>
      </w:r>
      <w:r>
        <w:t>13</w:t>
      </w:r>
    </w:p>
    <w:tbl>
      <w:tblPr>
        <w:tblW w:w="5000" w:type="pct"/>
        <w:tblCellMar>
          <w:left w:w="0" w:type="dxa"/>
          <w:right w:w="0" w:type="dxa"/>
        </w:tblCellMar>
        <w:tblLook w:val="0000" w:firstRow="0" w:lastRow="0" w:firstColumn="0" w:lastColumn="0" w:noHBand="0" w:noVBand="0"/>
      </w:tblPr>
      <w:tblGrid>
        <w:gridCol w:w="1319"/>
        <w:gridCol w:w="830"/>
        <w:gridCol w:w="830"/>
        <w:gridCol w:w="830"/>
        <w:gridCol w:w="830"/>
        <w:gridCol w:w="830"/>
        <w:gridCol w:w="829"/>
        <w:gridCol w:w="829"/>
        <w:gridCol w:w="829"/>
        <w:gridCol w:w="833"/>
      </w:tblGrid>
      <w:tr w:rsidR="003C069B" w:rsidRPr="00547C6E" w:rsidTr="00483E80">
        <w:tc>
          <w:tcPr>
            <w:tcW w:w="750" w:type="pct"/>
            <w:tcBorders>
              <w:top w:val="single" w:sz="6" w:space="0" w:color="auto"/>
              <w:bottom w:val="single" w:sz="4" w:space="0" w:color="auto"/>
            </w:tcBorders>
            <w:shd w:val="clear" w:color="auto" w:fill="auto"/>
          </w:tcPr>
          <w:p w:rsidR="003C069B" w:rsidRPr="00547C6E" w:rsidRDefault="003C069B" w:rsidP="00483E80">
            <w:pPr>
              <w:pStyle w:val="TableColumnHeading"/>
              <w:jc w:val="left"/>
            </w:pPr>
          </w:p>
        </w:tc>
        <w:tc>
          <w:tcPr>
            <w:tcW w:w="472" w:type="pct"/>
            <w:tcBorders>
              <w:top w:val="single" w:sz="6" w:space="0" w:color="auto"/>
              <w:bottom w:val="single" w:sz="4" w:space="0" w:color="auto"/>
            </w:tcBorders>
            <w:shd w:val="clear" w:color="auto" w:fill="auto"/>
          </w:tcPr>
          <w:p w:rsidR="003C069B" w:rsidRPr="00547C6E" w:rsidRDefault="003C069B" w:rsidP="00483E80">
            <w:pPr>
              <w:pStyle w:val="TableColumnHeading"/>
              <w:outlineLvl w:val="4"/>
            </w:pPr>
            <w:r w:rsidRPr="00547C6E">
              <w:t>NSW</w:t>
            </w:r>
          </w:p>
        </w:tc>
        <w:tc>
          <w:tcPr>
            <w:tcW w:w="472" w:type="pct"/>
            <w:tcBorders>
              <w:top w:val="single" w:sz="6" w:space="0" w:color="auto"/>
              <w:bottom w:val="single" w:sz="4" w:space="0" w:color="auto"/>
            </w:tcBorders>
            <w:shd w:val="clear" w:color="auto" w:fill="auto"/>
          </w:tcPr>
          <w:p w:rsidR="003C069B" w:rsidRPr="00547C6E" w:rsidRDefault="003C069B" w:rsidP="00483E80">
            <w:pPr>
              <w:pStyle w:val="TableColumnHeading"/>
              <w:outlineLvl w:val="4"/>
            </w:pPr>
            <w:r w:rsidRPr="00547C6E">
              <w:t>Vic</w:t>
            </w:r>
          </w:p>
        </w:tc>
        <w:tc>
          <w:tcPr>
            <w:tcW w:w="472" w:type="pct"/>
            <w:tcBorders>
              <w:top w:val="single" w:sz="6" w:space="0" w:color="auto"/>
              <w:bottom w:val="single" w:sz="4" w:space="0" w:color="auto"/>
            </w:tcBorders>
            <w:shd w:val="clear" w:color="auto" w:fill="auto"/>
          </w:tcPr>
          <w:p w:rsidR="003C069B" w:rsidRPr="00547C6E" w:rsidRDefault="003C069B" w:rsidP="00483E80">
            <w:pPr>
              <w:pStyle w:val="TableColumnHeading"/>
              <w:outlineLvl w:val="4"/>
            </w:pPr>
            <w:r w:rsidRPr="00547C6E">
              <w:t>Qld</w:t>
            </w:r>
          </w:p>
        </w:tc>
        <w:tc>
          <w:tcPr>
            <w:tcW w:w="472" w:type="pct"/>
            <w:tcBorders>
              <w:top w:val="single" w:sz="6" w:space="0" w:color="auto"/>
              <w:bottom w:val="single" w:sz="4" w:space="0" w:color="auto"/>
            </w:tcBorders>
            <w:shd w:val="clear" w:color="auto" w:fill="auto"/>
          </w:tcPr>
          <w:p w:rsidR="003C069B" w:rsidRPr="00547C6E" w:rsidRDefault="003C069B" w:rsidP="00DB5302">
            <w:pPr>
              <w:pStyle w:val="TableColumnHeading"/>
              <w:outlineLvl w:val="4"/>
            </w:pPr>
            <w:r w:rsidRPr="00547C6E">
              <w:t>WA</w:t>
            </w:r>
            <w:r w:rsidR="00DB5302">
              <w:rPr>
                <w:rStyle w:val="NoteLabel"/>
                <w:i w:val="0"/>
              </w:rPr>
              <w:t>a</w:t>
            </w:r>
          </w:p>
        </w:tc>
        <w:tc>
          <w:tcPr>
            <w:tcW w:w="472" w:type="pct"/>
            <w:tcBorders>
              <w:top w:val="single" w:sz="6" w:space="0" w:color="auto"/>
              <w:bottom w:val="single" w:sz="4" w:space="0" w:color="auto"/>
            </w:tcBorders>
            <w:shd w:val="clear" w:color="auto" w:fill="auto"/>
          </w:tcPr>
          <w:p w:rsidR="003C069B" w:rsidRPr="00547C6E" w:rsidRDefault="003C069B" w:rsidP="00483E80">
            <w:pPr>
              <w:pStyle w:val="TableColumnHeading"/>
              <w:outlineLvl w:val="4"/>
            </w:pPr>
            <w:r w:rsidRPr="00547C6E">
              <w:t>SA</w:t>
            </w:r>
          </w:p>
        </w:tc>
        <w:tc>
          <w:tcPr>
            <w:tcW w:w="472" w:type="pct"/>
            <w:tcBorders>
              <w:top w:val="single" w:sz="6" w:space="0" w:color="auto"/>
              <w:bottom w:val="single" w:sz="4" w:space="0" w:color="auto"/>
            </w:tcBorders>
            <w:shd w:val="clear" w:color="auto" w:fill="auto"/>
          </w:tcPr>
          <w:p w:rsidR="003C069B" w:rsidRPr="00547C6E" w:rsidRDefault="003C069B" w:rsidP="00483E80">
            <w:pPr>
              <w:pStyle w:val="TableColumnHeading"/>
              <w:outlineLvl w:val="4"/>
            </w:pPr>
            <w:r w:rsidRPr="00547C6E">
              <w:t>Tas</w:t>
            </w:r>
          </w:p>
        </w:tc>
        <w:tc>
          <w:tcPr>
            <w:tcW w:w="472" w:type="pct"/>
            <w:tcBorders>
              <w:top w:val="single" w:sz="6" w:space="0" w:color="auto"/>
              <w:bottom w:val="single" w:sz="4" w:space="0" w:color="auto"/>
            </w:tcBorders>
            <w:shd w:val="clear" w:color="auto" w:fill="auto"/>
          </w:tcPr>
          <w:p w:rsidR="003C069B" w:rsidRPr="00547C6E" w:rsidRDefault="003C069B" w:rsidP="00483E80">
            <w:pPr>
              <w:pStyle w:val="TableColumnHeading"/>
              <w:outlineLvl w:val="4"/>
            </w:pPr>
            <w:r w:rsidRPr="00547C6E">
              <w:t>ACT</w:t>
            </w:r>
          </w:p>
        </w:tc>
        <w:tc>
          <w:tcPr>
            <w:tcW w:w="472" w:type="pct"/>
            <w:tcBorders>
              <w:top w:val="single" w:sz="6" w:space="0" w:color="auto"/>
              <w:bottom w:val="single" w:sz="4" w:space="0" w:color="auto"/>
            </w:tcBorders>
            <w:shd w:val="clear" w:color="auto" w:fill="auto"/>
          </w:tcPr>
          <w:p w:rsidR="003C069B" w:rsidRPr="00547C6E" w:rsidRDefault="003C069B" w:rsidP="00483E80">
            <w:pPr>
              <w:pStyle w:val="TableColumnHeading"/>
              <w:outlineLvl w:val="4"/>
            </w:pPr>
            <w:r w:rsidRPr="00547C6E">
              <w:t>NT</w:t>
            </w:r>
          </w:p>
        </w:tc>
        <w:tc>
          <w:tcPr>
            <w:tcW w:w="472" w:type="pct"/>
            <w:tcBorders>
              <w:top w:val="single" w:sz="4" w:space="0" w:color="auto"/>
              <w:bottom w:val="single" w:sz="4" w:space="0" w:color="auto"/>
            </w:tcBorders>
            <w:shd w:val="clear" w:color="auto" w:fill="auto"/>
          </w:tcPr>
          <w:p w:rsidR="003C069B" w:rsidRPr="00547C6E" w:rsidRDefault="003C069B" w:rsidP="00483E80">
            <w:pPr>
              <w:pStyle w:val="TableColumnHeading"/>
              <w:outlineLvl w:val="4"/>
            </w:pPr>
            <w:r w:rsidRPr="00547C6E">
              <w:t xml:space="preserve">Aust </w:t>
            </w:r>
          </w:p>
        </w:tc>
      </w:tr>
      <w:tr w:rsidR="003C069B" w:rsidRPr="00547C6E" w:rsidTr="00483E80">
        <w:tc>
          <w:tcPr>
            <w:tcW w:w="5000" w:type="pct"/>
            <w:gridSpan w:val="10"/>
            <w:tcBorders>
              <w:top w:val="single" w:sz="4" w:space="0" w:color="auto"/>
              <w:bottom w:val="single" w:sz="4" w:space="0" w:color="auto"/>
            </w:tcBorders>
            <w:vAlign w:val="center"/>
          </w:tcPr>
          <w:p w:rsidR="00CA09FA" w:rsidRPr="00CA09FA" w:rsidRDefault="00CA09FA" w:rsidP="00CA09FA">
            <w:pPr>
              <w:pStyle w:val="HeaderEnd"/>
              <w:rPr>
                <w:rFonts w:ascii="Times New Roman" w:hAnsi="Times New Roman"/>
              </w:rPr>
            </w:pPr>
          </w:p>
          <w:tbl>
            <w:tblPr>
              <w:tblW w:w="8789" w:type="dxa"/>
              <w:tblLook w:val="04A0" w:firstRow="1" w:lastRow="0" w:firstColumn="1" w:lastColumn="0" w:noHBand="0" w:noVBand="1"/>
            </w:tblPr>
            <w:tblGrid>
              <w:gridCol w:w="1276"/>
              <w:gridCol w:w="834"/>
              <w:gridCol w:w="835"/>
              <w:gridCol w:w="835"/>
              <w:gridCol w:w="835"/>
              <w:gridCol w:w="834"/>
              <w:gridCol w:w="835"/>
              <w:gridCol w:w="835"/>
              <w:gridCol w:w="835"/>
              <w:gridCol w:w="835"/>
            </w:tblGrid>
            <w:tr w:rsidR="00CA09FA" w:rsidRPr="00CA09FA" w:rsidTr="00CA09FA">
              <w:trPr>
                <w:divId w:val="191503040"/>
                <w:trHeight w:val="255"/>
              </w:trPr>
              <w:tc>
                <w:tcPr>
                  <w:tcW w:w="8789" w:type="dxa"/>
                  <w:gridSpan w:val="10"/>
                  <w:tcBorders>
                    <w:left w:val="nil"/>
                    <w:bottom w:val="nil"/>
                    <w:right w:val="nil"/>
                  </w:tcBorders>
                  <w:shd w:val="clear" w:color="auto" w:fill="auto"/>
                  <w:noWrap/>
                  <w:vAlign w:val="center"/>
                  <w:hideMark/>
                </w:tcPr>
                <w:p w:rsidR="00CA09FA" w:rsidRPr="00CA09FA" w:rsidRDefault="00CA09FA" w:rsidP="00CA09FA">
                  <w:pPr>
                    <w:keepNext/>
                    <w:rPr>
                      <w:rFonts w:ascii="Arial" w:hAnsi="Arial" w:cs="Arial"/>
                      <w:b/>
                      <w:bCs/>
                      <w:sz w:val="20"/>
                      <w:szCs w:val="20"/>
                    </w:rPr>
                  </w:pPr>
                  <w:r w:rsidRPr="00CA09FA">
                    <w:rPr>
                      <w:rFonts w:ascii="Arial" w:hAnsi="Arial" w:cs="Arial"/>
                      <w:b/>
                      <w:bCs/>
                      <w:sz w:val="20"/>
                      <w:szCs w:val="20"/>
                    </w:rPr>
                    <w:t>Total ambulance, fire and emergency service organisations</w:t>
                  </w:r>
                </w:p>
              </w:tc>
            </w:tr>
            <w:tr w:rsidR="00CA09FA" w:rsidRPr="00CA09FA" w:rsidTr="00CA09FA">
              <w:trPr>
                <w:divId w:val="191503040"/>
                <w:trHeight w:val="255"/>
              </w:trPr>
              <w:tc>
                <w:tcPr>
                  <w:tcW w:w="8789" w:type="dxa"/>
                  <w:gridSpan w:val="10"/>
                  <w:tcBorders>
                    <w:top w:val="nil"/>
                    <w:left w:val="nil"/>
                    <w:bottom w:val="nil"/>
                    <w:right w:val="nil"/>
                  </w:tcBorders>
                  <w:shd w:val="clear" w:color="auto" w:fill="auto"/>
                  <w:noWrap/>
                  <w:vAlign w:val="center"/>
                  <w:hideMark/>
                </w:tcPr>
                <w:p w:rsidR="00CA09FA" w:rsidRPr="00CA09FA" w:rsidRDefault="00CA09FA" w:rsidP="00CA09FA">
                  <w:pPr>
                    <w:keepNext/>
                    <w:rPr>
                      <w:rFonts w:ascii="Arial" w:hAnsi="Arial" w:cs="Arial"/>
                      <w:b/>
                      <w:bCs/>
                      <w:sz w:val="20"/>
                      <w:szCs w:val="20"/>
                    </w:rPr>
                  </w:pPr>
                  <w:r w:rsidRPr="00CA09FA">
                    <w:rPr>
                      <w:rFonts w:ascii="Arial" w:hAnsi="Arial" w:cs="Arial"/>
                      <w:b/>
                      <w:bCs/>
                      <w:sz w:val="20"/>
                      <w:szCs w:val="20"/>
                    </w:rPr>
                    <w:t>Ambulance service organisations</w:t>
                  </w:r>
                </w:p>
              </w:tc>
            </w:tr>
            <w:tr w:rsidR="00CA09FA" w:rsidRPr="00CA09FA" w:rsidTr="00CA09FA">
              <w:trPr>
                <w:divId w:val="191503040"/>
                <w:trHeight w:val="255"/>
              </w:trPr>
              <w:tc>
                <w:tcPr>
                  <w:tcW w:w="1276" w:type="dxa"/>
                  <w:tcBorders>
                    <w:top w:val="nil"/>
                    <w:left w:val="nil"/>
                    <w:bottom w:val="nil"/>
                    <w:right w:val="nil"/>
                  </w:tcBorders>
                  <w:shd w:val="clear" w:color="auto" w:fill="auto"/>
                  <w:vAlign w:val="center"/>
                  <w:hideMark/>
                </w:tcPr>
                <w:p w:rsidR="00CA09FA" w:rsidRPr="00CA09FA" w:rsidRDefault="00CA09FA" w:rsidP="00CA09FA">
                  <w:pPr>
                    <w:keepNext/>
                    <w:ind w:firstLineChars="100" w:firstLine="200"/>
                    <w:rPr>
                      <w:rFonts w:ascii="Arial" w:hAnsi="Arial" w:cs="Arial"/>
                      <w:sz w:val="20"/>
                      <w:szCs w:val="20"/>
                    </w:rPr>
                  </w:pPr>
                  <w:proofErr w:type="spellStart"/>
                  <w:r w:rsidRPr="00CA09FA">
                    <w:rPr>
                      <w:rFonts w:ascii="Arial" w:hAnsi="Arial" w:cs="Arial"/>
                      <w:sz w:val="20"/>
                      <w:szCs w:val="20"/>
                    </w:rPr>
                    <w:t>ASOs</w:t>
                  </w:r>
                  <w:proofErr w:type="spellEnd"/>
                </w:p>
              </w:tc>
              <w:tc>
                <w:tcPr>
                  <w:tcW w:w="834" w:type="dxa"/>
                  <w:tcBorders>
                    <w:top w:val="nil"/>
                    <w:left w:val="nil"/>
                    <w:bottom w:val="nil"/>
                    <w:right w:val="nil"/>
                  </w:tcBorders>
                  <w:shd w:val="clear" w:color="auto" w:fill="auto"/>
                  <w:vAlign w:val="center"/>
                  <w:hideMark/>
                </w:tcPr>
                <w:p w:rsidR="00CA09FA" w:rsidRPr="00CA09FA" w:rsidRDefault="00CA09FA" w:rsidP="00CA09FA">
                  <w:pPr>
                    <w:keepNext/>
                    <w:jc w:val="right"/>
                    <w:rPr>
                      <w:rFonts w:ascii="Arial" w:hAnsi="Arial" w:cs="Arial"/>
                      <w:sz w:val="20"/>
                      <w:szCs w:val="20"/>
                    </w:rPr>
                  </w:pPr>
                  <w:r w:rsidRPr="00CA09FA">
                    <w:rPr>
                      <w:rFonts w:ascii="Arial" w:hAnsi="Arial" w:cs="Arial"/>
                      <w:sz w:val="20"/>
                      <w:szCs w:val="20"/>
                    </w:rPr>
                    <w:t>4 342</w:t>
                  </w:r>
                </w:p>
              </w:tc>
              <w:tc>
                <w:tcPr>
                  <w:tcW w:w="835" w:type="dxa"/>
                  <w:tcBorders>
                    <w:top w:val="nil"/>
                    <w:left w:val="nil"/>
                    <w:bottom w:val="nil"/>
                    <w:right w:val="nil"/>
                  </w:tcBorders>
                  <w:shd w:val="clear" w:color="auto" w:fill="auto"/>
                  <w:vAlign w:val="center"/>
                  <w:hideMark/>
                </w:tcPr>
                <w:p w:rsidR="00CA09FA" w:rsidRPr="00CA09FA" w:rsidRDefault="00CA09FA" w:rsidP="00CA09FA">
                  <w:pPr>
                    <w:keepNext/>
                    <w:jc w:val="right"/>
                    <w:rPr>
                      <w:rFonts w:ascii="Arial" w:hAnsi="Arial" w:cs="Arial"/>
                      <w:sz w:val="20"/>
                      <w:szCs w:val="20"/>
                    </w:rPr>
                  </w:pPr>
                  <w:r w:rsidRPr="00CA09FA">
                    <w:rPr>
                      <w:rFonts w:ascii="Arial" w:hAnsi="Arial" w:cs="Arial"/>
                      <w:sz w:val="20"/>
                      <w:szCs w:val="20"/>
                    </w:rPr>
                    <w:t>3 667</w:t>
                  </w:r>
                </w:p>
              </w:tc>
              <w:tc>
                <w:tcPr>
                  <w:tcW w:w="835" w:type="dxa"/>
                  <w:tcBorders>
                    <w:top w:val="nil"/>
                    <w:left w:val="nil"/>
                    <w:bottom w:val="nil"/>
                    <w:right w:val="nil"/>
                  </w:tcBorders>
                  <w:shd w:val="clear" w:color="auto" w:fill="auto"/>
                  <w:vAlign w:val="center"/>
                  <w:hideMark/>
                </w:tcPr>
                <w:p w:rsidR="00CA09FA" w:rsidRPr="00CA09FA" w:rsidRDefault="00CA09FA" w:rsidP="00CA09FA">
                  <w:pPr>
                    <w:keepNext/>
                    <w:jc w:val="right"/>
                    <w:rPr>
                      <w:rFonts w:ascii="Arial" w:hAnsi="Arial" w:cs="Arial"/>
                      <w:sz w:val="20"/>
                      <w:szCs w:val="20"/>
                    </w:rPr>
                  </w:pPr>
                  <w:r w:rsidRPr="00CA09FA">
                    <w:rPr>
                      <w:rFonts w:ascii="Arial" w:hAnsi="Arial" w:cs="Arial"/>
                      <w:sz w:val="20"/>
                      <w:szCs w:val="20"/>
                    </w:rPr>
                    <w:t>3 878</w:t>
                  </w:r>
                </w:p>
              </w:tc>
              <w:tc>
                <w:tcPr>
                  <w:tcW w:w="835" w:type="dxa"/>
                  <w:tcBorders>
                    <w:top w:val="nil"/>
                    <w:left w:val="nil"/>
                    <w:bottom w:val="nil"/>
                    <w:right w:val="nil"/>
                  </w:tcBorders>
                  <w:shd w:val="clear" w:color="auto" w:fill="auto"/>
                  <w:vAlign w:val="center"/>
                  <w:hideMark/>
                </w:tcPr>
                <w:p w:rsidR="00CA09FA" w:rsidRPr="00CA09FA" w:rsidRDefault="00CA09FA" w:rsidP="00CA09FA">
                  <w:pPr>
                    <w:keepNext/>
                    <w:jc w:val="right"/>
                    <w:rPr>
                      <w:rFonts w:ascii="Arial" w:hAnsi="Arial" w:cs="Arial"/>
                      <w:sz w:val="20"/>
                      <w:szCs w:val="20"/>
                    </w:rPr>
                  </w:pPr>
                  <w:r w:rsidRPr="00CA09FA">
                    <w:rPr>
                      <w:rFonts w:ascii="Arial" w:hAnsi="Arial" w:cs="Arial"/>
                      <w:sz w:val="20"/>
                      <w:szCs w:val="20"/>
                    </w:rPr>
                    <w:t>1 275</w:t>
                  </w:r>
                </w:p>
              </w:tc>
              <w:tc>
                <w:tcPr>
                  <w:tcW w:w="834" w:type="dxa"/>
                  <w:tcBorders>
                    <w:top w:val="nil"/>
                    <w:left w:val="nil"/>
                    <w:bottom w:val="nil"/>
                    <w:right w:val="nil"/>
                  </w:tcBorders>
                  <w:shd w:val="clear" w:color="auto" w:fill="auto"/>
                  <w:vAlign w:val="center"/>
                  <w:hideMark/>
                </w:tcPr>
                <w:p w:rsidR="00CA09FA" w:rsidRPr="00CA09FA" w:rsidRDefault="00CA09FA" w:rsidP="00CA09FA">
                  <w:pPr>
                    <w:keepNext/>
                    <w:jc w:val="right"/>
                    <w:rPr>
                      <w:rFonts w:ascii="Arial" w:hAnsi="Arial" w:cs="Arial"/>
                      <w:sz w:val="20"/>
                      <w:szCs w:val="20"/>
                    </w:rPr>
                  </w:pPr>
                  <w:r w:rsidRPr="00CA09FA">
                    <w:rPr>
                      <w:rFonts w:ascii="Arial" w:hAnsi="Arial" w:cs="Arial"/>
                      <w:sz w:val="20"/>
                      <w:szCs w:val="20"/>
                    </w:rPr>
                    <w:t>1 274</w:t>
                  </w:r>
                </w:p>
              </w:tc>
              <w:tc>
                <w:tcPr>
                  <w:tcW w:w="835" w:type="dxa"/>
                  <w:tcBorders>
                    <w:top w:val="nil"/>
                    <w:left w:val="nil"/>
                    <w:bottom w:val="nil"/>
                    <w:right w:val="nil"/>
                  </w:tcBorders>
                  <w:shd w:val="clear" w:color="auto" w:fill="auto"/>
                  <w:vAlign w:val="center"/>
                  <w:hideMark/>
                </w:tcPr>
                <w:p w:rsidR="00CA09FA" w:rsidRPr="00CA09FA" w:rsidRDefault="00CA09FA" w:rsidP="00CA09FA">
                  <w:pPr>
                    <w:keepNext/>
                    <w:jc w:val="right"/>
                    <w:rPr>
                      <w:rFonts w:ascii="Arial" w:hAnsi="Arial" w:cs="Arial"/>
                      <w:sz w:val="20"/>
                      <w:szCs w:val="20"/>
                    </w:rPr>
                  </w:pPr>
                  <w:r w:rsidRPr="00CA09FA">
                    <w:rPr>
                      <w:rFonts w:ascii="Arial" w:hAnsi="Arial" w:cs="Arial"/>
                      <w:sz w:val="20"/>
                      <w:szCs w:val="20"/>
                    </w:rPr>
                    <w:t xml:space="preserve"> 368</w:t>
                  </w:r>
                </w:p>
              </w:tc>
              <w:tc>
                <w:tcPr>
                  <w:tcW w:w="835" w:type="dxa"/>
                  <w:tcBorders>
                    <w:top w:val="nil"/>
                    <w:left w:val="nil"/>
                    <w:bottom w:val="nil"/>
                    <w:right w:val="nil"/>
                  </w:tcBorders>
                  <w:shd w:val="clear" w:color="auto" w:fill="auto"/>
                  <w:vAlign w:val="center"/>
                  <w:hideMark/>
                </w:tcPr>
                <w:p w:rsidR="00CA09FA" w:rsidRPr="00CA09FA" w:rsidRDefault="00CA09FA" w:rsidP="00CA09FA">
                  <w:pPr>
                    <w:keepNext/>
                    <w:jc w:val="right"/>
                    <w:rPr>
                      <w:rFonts w:ascii="Arial" w:hAnsi="Arial" w:cs="Arial"/>
                      <w:sz w:val="20"/>
                      <w:szCs w:val="20"/>
                    </w:rPr>
                  </w:pPr>
                  <w:r w:rsidRPr="00CA09FA">
                    <w:rPr>
                      <w:rFonts w:ascii="Arial" w:hAnsi="Arial" w:cs="Arial"/>
                      <w:sz w:val="20"/>
                      <w:szCs w:val="20"/>
                    </w:rPr>
                    <w:t xml:space="preserve"> 244</w:t>
                  </w:r>
                </w:p>
              </w:tc>
              <w:tc>
                <w:tcPr>
                  <w:tcW w:w="835" w:type="dxa"/>
                  <w:tcBorders>
                    <w:top w:val="nil"/>
                    <w:left w:val="nil"/>
                    <w:bottom w:val="nil"/>
                    <w:right w:val="nil"/>
                  </w:tcBorders>
                  <w:shd w:val="clear" w:color="auto" w:fill="auto"/>
                  <w:vAlign w:val="center"/>
                  <w:hideMark/>
                </w:tcPr>
                <w:p w:rsidR="00CA09FA" w:rsidRPr="00CA09FA" w:rsidRDefault="00CA09FA" w:rsidP="00CA09FA">
                  <w:pPr>
                    <w:keepNext/>
                    <w:jc w:val="right"/>
                    <w:rPr>
                      <w:rFonts w:ascii="Arial" w:hAnsi="Arial" w:cs="Arial"/>
                      <w:sz w:val="20"/>
                      <w:szCs w:val="20"/>
                    </w:rPr>
                  </w:pPr>
                  <w:r w:rsidRPr="00CA09FA">
                    <w:rPr>
                      <w:rFonts w:ascii="Arial" w:hAnsi="Arial" w:cs="Arial"/>
                      <w:sz w:val="20"/>
                      <w:szCs w:val="20"/>
                    </w:rPr>
                    <w:t xml:space="preserve"> 172</w:t>
                  </w:r>
                </w:p>
              </w:tc>
              <w:tc>
                <w:tcPr>
                  <w:tcW w:w="835" w:type="dxa"/>
                  <w:tcBorders>
                    <w:top w:val="nil"/>
                    <w:left w:val="nil"/>
                    <w:bottom w:val="nil"/>
                    <w:right w:val="nil"/>
                  </w:tcBorders>
                  <w:shd w:val="clear" w:color="auto" w:fill="auto"/>
                  <w:vAlign w:val="center"/>
                  <w:hideMark/>
                </w:tcPr>
                <w:p w:rsidR="00CA09FA" w:rsidRPr="00CA09FA" w:rsidRDefault="00CA09FA" w:rsidP="00CA09FA">
                  <w:pPr>
                    <w:keepNext/>
                    <w:jc w:val="right"/>
                    <w:rPr>
                      <w:rFonts w:ascii="Arial" w:hAnsi="Arial" w:cs="Arial"/>
                      <w:sz w:val="20"/>
                      <w:szCs w:val="20"/>
                    </w:rPr>
                  </w:pPr>
                  <w:r w:rsidRPr="00CA09FA">
                    <w:rPr>
                      <w:rFonts w:ascii="Arial" w:hAnsi="Arial" w:cs="Arial"/>
                      <w:sz w:val="20"/>
                      <w:szCs w:val="20"/>
                    </w:rPr>
                    <w:t>15 220</w:t>
                  </w:r>
                </w:p>
              </w:tc>
            </w:tr>
            <w:tr w:rsidR="00CA09FA" w:rsidRPr="00CA09FA" w:rsidTr="00CA09FA">
              <w:trPr>
                <w:divId w:val="191503040"/>
                <w:trHeight w:val="255"/>
              </w:trPr>
              <w:tc>
                <w:tcPr>
                  <w:tcW w:w="8789" w:type="dxa"/>
                  <w:gridSpan w:val="10"/>
                  <w:tcBorders>
                    <w:top w:val="nil"/>
                    <w:left w:val="nil"/>
                    <w:bottom w:val="nil"/>
                    <w:right w:val="nil"/>
                  </w:tcBorders>
                  <w:shd w:val="clear" w:color="auto" w:fill="auto"/>
                  <w:noWrap/>
                  <w:vAlign w:val="center"/>
                  <w:hideMark/>
                </w:tcPr>
                <w:p w:rsidR="00CA09FA" w:rsidRPr="00CA09FA" w:rsidRDefault="00CA09FA" w:rsidP="00CA09FA">
                  <w:pPr>
                    <w:keepNext/>
                    <w:rPr>
                      <w:rFonts w:ascii="Arial" w:hAnsi="Arial" w:cs="Arial"/>
                      <w:b/>
                      <w:bCs/>
                      <w:sz w:val="20"/>
                      <w:szCs w:val="20"/>
                    </w:rPr>
                  </w:pPr>
                  <w:r w:rsidRPr="00CA09FA">
                    <w:rPr>
                      <w:rFonts w:ascii="Arial" w:hAnsi="Arial" w:cs="Arial"/>
                      <w:b/>
                      <w:bCs/>
                      <w:sz w:val="20"/>
                      <w:szCs w:val="20"/>
                    </w:rPr>
                    <w:t>Fire and emergency service organisations (</w:t>
                  </w:r>
                  <w:proofErr w:type="spellStart"/>
                  <w:r w:rsidRPr="00CA09FA">
                    <w:rPr>
                      <w:rFonts w:ascii="Arial" w:hAnsi="Arial" w:cs="Arial"/>
                      <w:b/>
                      <w:bCs/>
                      <w:sz w:val="20"/>
                      <w:szCs w:val="20"/>
                    </w:rPr>
                    <w:t>FSO</w:t>
                  </w:r>
                  <w:proofErr w:type="spellEnd"/>
                  <w:r w:rsidRPr="00CA09FA">
                    <w:rPr>
                      <w:rFonts w:ascii="Arial" w:hAnsi="Arial" w:cs="Arial"/>
                      <w:b/>
                      <w:bCs/>
                      <w:sz w:val="20"/>
                      <w:szCs w:val="20"/>
                    </w:rPr>
                    <w:t xml:space="preserve"> and SES)</w:t>
                  </w:r>
                </w:p>
              </w:tc>
            </w:tr>
            <w:tr w:rsidR="00CA09FA" w:rsidRPr="00CA09FA" w:rsidTr="00CA09FA">
              <w:trPr>
                <w:divId w:val="191503040"/>
                <w:trHeight w:val="255"/>
              </w:trPr>
              <w:tc>
                <w:tcPr>
                  <w:tcW w:w="1276" w:type="dxa"/>
                  <w:tcBorders>
                    <w:top w:val="nil"/>
                    <w:left w:val="nil"/>
                    <w:bottom w:val="nil"/>
                    <w:right w:val="nil"/>
                  </w:tcBorders>
                  <w:shd w:val="clear" w:color="auto" w:fill="auto"/>
                  <w:vAlign w:val="center"/>
                  <w:hideMark/>
                </w:tcPr>
                <w:p w:rsidR="00CA09FA" w:rsidRPr="00CA09FA" w:rsidRDefault="00CA09FA" w:rsidP="00CA09FA">
                  <w:pPr>
                    <w:keepNext/>
                    <w:ind w:firstLineChars="100" w:firstLine="200"/>
                    <w:rPr>
                      <w:rFonts w:ascii="Arial" w:hAnsi="Arial" w:cs="Arial"/>
                      <w:sz w:val="20"/>
                      <w:szCs w:val="20"/>
                    </w:rPr>
                  </w:pPr>
                  <w:proofErr w:type="spellStart"/>
                  <w:r w:rsidRPr="00CA09FA">
                    <w:rPr>
                      <w:rFonts w:ascii="Arial" w:hAnsi="Arial" w:cs="Arial"/>
                      <w:sz w:val="20"/>
                      <w:szCs w:val="20"/>
                    </w:rPr>
                    <w:t>FSOs</w:t>
                  </w:r>
                  <w:proofErr w:type="spellEnd"/>
                </w:p>
              </w:tc>
              <w:tc>
                <w:tcPr>
                  <w:tcW w:w="834" w:type="dxa"/>
                  <w:tcBorders>
                    <w:top w:val="nil"/>
                    <w:left w:val="nil"/>
                    <w:bottom w:val="nil"/>
                    <w:right w:val="nil"/>
                  </w:tcBorders>
                  <w:shd w:val="clear" w:color="auto" w:fill="auto"/>
                  <w:vAlign w:val="center"/>
                  <w:hideMark/>
                </w:tcPr>
                <w:p w:rsidR="00CA09FA" w:rsidRPr="00CA09FA" w:rsidRDefault="00CA09FA" w:rsidP="00CA09FA">
                  <w:pPr>
                    <w:keepNext/>
                    <w:jc w:val="right"/>
                    <w:rPr>
                      <w:rFonts w:ascii="Arial" w:hAnsi="Arial" w:cs="Arial"/>
                      <w:sz w:val="20"/>
                      <w:szCs w:val="20"/>
                    </w:rPr>
                  </w:pPr>
                  <w:r w:rsidRPr="00CA09FA">
                    <w:rPr>
                      <w:rFonts w:ascii="Arial" w:hAnsi="Arial" w:cs="Arial"/>
                      <w:sz w:val="20"/>
                      <w:szCs w:val="20"/>
                    </w:rPr>
                    <w:t>4 696</w:t>
                  </w:r>
                </w:p>
              </w:tc>
              <w:tc>
                <w:tcPr>
                  <w:tcW w:w="835" w:type="dxa"/>
                  <w:tcBorders>
                    <w:top w:val="nil"/>
                    <w:left w:val="nil"/>
                    <w:bottom w:val="nil"/>
                    <w:right w:val="nil"/>
                  </w:tcBorders>
                  <w:shd w:val="clear" w:color="auto" w:fill="auto"/>
                  <w:vAlign w:val="center"/>
                  <w:hideMark/>
                </w:tcPr>
                <w:p w:rsidR="00CA09FA" w:rsidRPr="00CA09FA" w:rsidRDefault="00CA09FA" w:rsidP="00CA09FA">
                  <w:pPr>
                    <w:keepNext/>
                    <w:jc w:val="right"/>
                    <w:rPr>
                      <w:rFonts w:ascii="Arial" w:hAnsi="Arial" w:cs="Arial"/>
                      <w:sz w:val="20"/>
                      <w:szCs w:val="20"/>
                    </w:rPr>
                  </w:pPr>
                  <w:r w:rsidRPr="00CA09FA">
                    <w:rPr>
                      <w:rFonts w:ascii="Arial" w:hAnsi="Arial" w:cs="Arial"/>
                      <w:sz w:val="20"/>
                      <w:szCs w:val="20"/>
                    </w:rPr>
                    <w:t>6 749</w:t>
                  </w:r>
                </w:p>
              </w:tc>
              <w:tc>
                <w:tcPr>
                  <w:tcW w:w="835" w:type="dxa"/>
                  <w:tcBorders>
                    <w:top w:val="nil"/>
                    <w:left w:val="nil"/>
                    <w:bottom w:val="nil"/>
                    <w:right w:val="nil"/>
                  </w:tcBorders>
                  <w:shd w:val="clear" w:color="auto" w:fill="auto"/>
                  <w:vAlign w:val="center"/>
                  <w:hideMark/>
                </w:tcPr>
                <w:p w:rsidR="00CA09FA" w:rsidRPr="00CA09FA" w:rsidRDefault="00CA09FA" w:rsidP="00CA09FA">
                  <w:pPr>
                    <w:keepNext/>
                    <w:jc w:val="right"/>
                    <w:rPr>
                      <w:rFonts w:ascii="Arial" w:hAnsi="Arial" w:cs="Arial"/>
                      <w:sz w:val="20"/>
                      <w:szCs w:val="20"/>
                    </w:rPr>
                  </w:pPr>
                  <w:r w:rsidRPr="00CA09FA">
                    <w:rPr>
                      <w:rFonts w:ascii="Arial" w:hAnsi="Arial" w:cs="Arial"/>
                      <w:sz w:val="20"/>
                      <w:szCs w:val="20"/>
                    </w:rPr>
                    <w:t>3 101</w:t>
                  </w:r>
                </w:p>
              </w:tc>
              <w:tc>
                <w:tcPr>
                  <w:tcW w:w="835" w:type="dxa"/>
                  <w:tcBorders>
                    <w:top w:val="nil"/>
                    <w:left w:val="nil"/>
                    <w:bottom w:val="nil"/>
                    <w:right w:val="nil"/>
                  </w:tcBorders>
                  <w:shd w:val="clear" w:color="auto" w:fill="auto"/>
                  <w:vAlign w:val="center"/>
                  <w:hideMark/>
                </w:tcPr>
                <w:p w:rsidR="00CA09FA" w:rsidRPr="00CA09FA" w:rsidRDefault="00CA09FA" w:rsidP="00CA09FA">
                  <w:pPr>
                    <w:keepNext/>
                    <w:jc w:val="right"/>
                    <w:rPr>
                      <w:rFonts w:ascii="Arial" w:hAnsi="Arial" w:cs="Arial"/>
                      <w:sz w:val="20"/>
                      <w:szCs w:val="20"/>
                    </w:rPr>
                  </w:pPr>
                  <w:r w:rsidRPr="00CA09FA">
                    <w:rPr>
                      <w:rFonts w:ascii="Arial" w:hAnsi="Arial" w:cs="Arial"/>
                      <w:sz w:val="20"/>
                      <w:szCs w:val="20"/>
                    </w:rPr>
                    <w:t>1 448</w:t>
                  </w:r>
                </w:p>
              </w:tc>
              <w:tc>
                <w:tcPr>
                  <w:tcW w:w="834" w:type="dxa"/>
                  <w:tcBorders>
                    <w:top w:val="nil"/>
                    <w:left w:val="nil"/>
                    <w:bottom w:val="nil"/>
                    <w:right w:val="nil"/>
                  </w:tcBorders>
                  <w:shd w:val="clear" w:color="auto" w:fill="auto"/>
                  <w:vAlign w:val="center"/>
                  <w:hideMark/>
                </w:tcPr>
                <w:p w:rsidR="00CA09FA" w:rsidRPr="00CA09FA" w:rsidRDefault="00CA09FA" w:rsidP="00CA09FA">
                  <w:pPr>
                    <w:keepNext/>
                    <w:jc w:val="right"/>
                    <w:rPr>
                      <w:rFonts w:ascii="Arial" w:hAnsi="Arial" w:cs="Arial"/>
                      <w:sz w:val="20"/>
                      <w:szCs w:val="20"/>
                    </w:rPr>
                  </w:pPr>
                  <w:r w:rsidRPr="00CA09FA">
                    <w:rPr>
                      <w:rFonts w:ascii="Arial" w:hAnsi="Arial" w:cs="Arial"/>
                      <w:sz w:val="20"/>
                      <w:szCs w:val="20"/>
                    </w:rPr>
                    <w:t>1 072</w:t>
                  </w:r>
                </w:p>
              </w:tc>
              <w:tc>
                <w:tcPr>
                  <w:tcW w:w="835" w:type="dxa"/>
                  <w:tcBorders>
                    <w:top w:val="nil"/>
                    <w:left w:val="nil"/>
                    <w:bottom w:val="nil"/>
                    <w:right w:val="nil"/>
                  </w:tcBorders>
                  <w:shd w:val="clear" w:color="auto" w:fill="auto"/>
                  <w:vAlign w:val="center"/>
                  <w:hideMark/>
                </w:tcPr>
                <w:p w:rsidR="00CA09FA" w:rsidRPr="00CA09FA" w:rsidRDefault="00CA09FA" w:rsidP="00CA09FA">
                  <w:pPr>
                    <w:keepNext/>
                    <w:jc w:val="right"/>
                    <w:rPr>
                      <w:rFonts w:ascii="Arial" w:hAnsi="Arial" w:cs="Arial"/>
                      <w:sz w:val="20"/>
                      <w:szCs w:val="20"/>
                    </w:rPr>
                  </w:pPr>
                  <w:r w:rsidRPr="00CA09FA">
                    <w:rPr>
                      <w:rFonts w:ascii="Arial" w:hAnsi="Arial" w:cs="Arial"/>
                      <w:sz w:val="20"/>
                      <w:szCs w:val="20"/>
                    </w:rPr>
                    <w:t xml:space="preserve"> 452</w:t>
                  </w:r>
                </w:p>
              </w:tc>
              <w:tc>
                <w:tcPr>
                  <w:tcW w:w="835" w:type="dxa"/>
                  <w:tcBorders>
                    <w:top w:val="nil"/>
                    <w:left w:val="nil"/>
                    <w:bottom w:val="nil"/>
                    <w:right w:val="nil"/>
                  </w:tcBorders>
                  <w:shd w:val="clear" w:color="auto" w:fill="auto"/>
                  <w:vAlign w:val="center"/>
                  <w:hideMark/>
                </w:tcPr>
                <w:p w:rsidR="00CA09FA" w:rsidRPr="00CA09FA" w:rsidRDefault="00CA09FA" w:rsidP="00CA09FA">
                  <w:pPr>
                    <w:keepNext/>
                    <w:jc w:val="right"/>
                    <w:rPr>
                      <w:rFonts w:ascii="Arial" w:hAnsi="Arial" w:cs="Arial"/>
                      <w:sz w:val="20"/>
                      <w:szCs w:val="20"/>
                    </w:rPr>
                  </w:pPr>
                  <w:r w:rsidRPr="00CA09FA">
                    <w:rPr>
                      <w:rFonts w:ascii="Arial" w:hAnsi="Arial" w:cs="Arial"/>
                      <w:sz w:val="20"/>
                      <w:szCs w:val="20"/>
                    </w:rPr>
                    <w:t xml:space="preserve"> 438</w:t>
                  </w:r>
                </w:p>
              </w:tc>
              <w:tc>
                <w:tcPr>
                  <w:tcW w:w="835" w:type="dxa"/>
                  <w:tcBorders>
                    <w:top w:val="nil"/>
                    <w:left w:val="nil"/>
                    <w:bottom w:val="nil"/>
                    <w:right w:val="nil"/>
                  </w:tcBorders>
                  <w:shd w:val="clear" w:color="auto" w:fill="auto"/>
                  <w:vAlign w:val="center"/>
                  <w:hideMark/>
                </w:tcPr>
                <w:p w:rsidR="00CA09FA" w:rsidRPr="00CA09FA" w:rsidRDefault="00CA09FA" w:rsidP="00CA09FA">
                  <w:pPr>
                    <w:keepNext/>
                    <w:jc w:val="right"/>
                    <w:rPr>
                      <w:rFonts w:ascii="Arial" w:hAnsi="Arial" w:cs="Arial"/>
                      <w:sz w:val="20"/>
                      <w:szCs w:val="20"/>
                    </w:rPr>
                  </w:pPr>
                  <w:r w:rsidRPr="00CA09FA">
                    <w:rPr>
                      <w:rFonts w:ascii="Arial" w:hAnsi="Arial" w:cs="Arial"/>
                      <w:sz w:val="20"/>
                      <w:szCs w:val="20"/>
                    </w:rPr>
                    <w:t xml:space="preserve"> 252</w:t>
                  </w:r>
                </w:p>
              </w:tc>
              <w:tc>
                <w:tcPr>
                  <w:tcW w:w="835" w:type="dxa"/>
                  <w:tcBorders>
                    <w:top w:val="nil"/>
                    <w:left w:val="nil"/>
                    <w:bottom w:val="nil"/>
                    <w:right w:val="nil"/>
                  </w:tcBorders>
                  <w:shd w:val="clear" w:color="auto" w:fill="auto"/>
                  <w:vAlign w:val="center"/>
                  <w:hideMark/>
                </w:tcPr>
                <w:p w:rsidR="00CA09FA" w:rsidRPr="00CA09FA" w:rsidRDefault="00CA09FA" w:rsidP="00CA09FA">
                  <w:pPr>
                    <w:keepNext/>
                    <w:jc w:val="right"/>
                    <w:rPr>
                      <w:rFonts w:ascii="Arial" w:hAnsi="Arial" w:cs="Arial"/>
                      <w:sz w:val="20"/>
                      <w:szCs w:val="20"/>
                    </w:rPr>
                  </w:pPr>
                  <w:r w:rsidRPr="00CA09FA">
                    <w:rPr>
                      <w:rFonts w:ascii="Arial" w:hAnsi="Arial" w:cs="Arial"/>
                      <w:sz w:val="20"/>
                      <w:szCs w:val="20"/>
                    </w:rPr>
                    <w:t>18 208</w:t>
                  </w:r>
                </w:p>
              </w:tc>
            </w:tr>
            <w:tr w:rsidR="00CA09FA" w:rsidRPr="00CA09FA" w:rsidTr="00CA09FA">
              <w:trPr>
                <w:divId w:val="191503040"/>
                <w:trHeight w:val="255"/>
              </w:trPr>
              <w:tc>
                <w:tcPr>
                  <w:tcW w:w="1276" w:type="dxa"/>
                  <w:tcBorders>
                    <w:top w:val="nil"/>
                    <w:left w:val="nil"/>
                    <w:bottom w:val="nil"/>
                    <w:right w:val="nil"/>
                  </w:tcBorders>
                  <w:shd w:val="clear" w:color="auto" w:fill="auto"/>
                  <w:vAlign w:val="center"/>
                  <w:hideMark/>
                </w:tcPr>
                <w:p w:rsidR="00CA09FA" w:rsidRPr="00CA09FA" w:rsidRDefault="00CA09FA" w:rsidP="00CA09FA">
                  <w:pPr>
                    <w:keepNext/>
                    <w:ind w:firstLineChars="100" w:firstLine="200"/>
                    <w:rPr>
                      <w:rFonts w:ascii="Arial" w:hAnsi="Arial" w:cs="Arial"/>
                      <w:sz w:val="20"/>
                      <w:szCs w:val="20"/>
                    </w:rPr>
                  </w:pPr>
                  <w:r w:rsidRPr="00CA09FA">
                    <w:rPr>
                      <w:rFonts w:ascii="Arial" w:hAnsi="Arial" w:cs="Arial"/>
                      <w:sz w:val="20"/>
                      <w:szCs w:val="20"/>
                    </w:rPr>
                    <w:t>SES</w:t>
                  </w:r>
                </w:p>
              </w:tc>
              <w:tc>
                <w:tcPr>
                  <w:tcW w:w="834" w:type="dxa"/>
                  <w:tcBorders>
                    <w:top w:val="nil"/>
                    <w:left w:val="nil"/>
                    <w:bottom w:val="nil"/>
                    <w:right w:val="nil"/>
                  </w:tcBorders>
                  <w:shd w:val="clear" w:color="auto" w:fill="auto"/>
                  <w:vAlign w:val="center"/>
                  <w:hideMark/>
                </w:tcPr>
                <w:p w:rsidR="00CA09FA" w:rsidRPr="00CA09FA" w:rsidRDefault="00CA09FA" w:rsidP="00CA09FA">
                  <w:pPr>
                    <w:keepNext/>
                    <w:jc w:val="right"/>
                    <w:rPr>
                      <w:rFonts w:ascii="Arial" w:hAnsi="Arial" w:cs="Arial"/>
                      <w:sz w:val="20"/>
                      <w:szCs w:val="20"/>
                    </w:rPr>
                  </w:pPr>
                  <w:r w:rsidRPr="00CA09FA">
                    <w:rPr>
                      <w:rFonts w:ascii="Arial" w:hAnsi="Arial" w:cs="Arial"/>
                      <w:sz w:val="20"/>
                      <w:szCs w:val="20"/>
                    </w:rPr>
                    <w:t xml:space="preserve"> 254</w:t>
                  </w:r>
                </w:p>
              </w:tc>
              <w:tc>
                <w:tcPr>
                  <w:tcW w:w="835" w:type="dxa"/>
                  <w:tcBorders>
                    <w:top w:val="nil"/>
                    <w:left w:val="nil"/>
                    <w:bottom w:val="nil"/>
                    <w:right w:val="nil"/>
                  </w:tcBorders>
                  <w:shd w:val="clear" w:color="auto" w:fill="auto"/>
                  <w:vAlign w:val="center"/>
                  <w:hideMark/>
                </w:tcPr>
                <w:p w:rsidR="00CA09FA" w:rsidRPr="00CA09FA" w:rsidRDefault="00CA09FA" w:rsidP="00CA09FA">
                  <w:pPr>
                    <w:keepNext/>
                    <w:jc w:val="right"/>
                    <w:rPr>
                      <w:rFonts w:ascii="Arial" w:hAnsi="Arial" w:cs="Arial"/>
                      <w:sz w:val="20"/>
                      <w:szCs w:val="20"/>
                    </w:rPr>
                  </w:pPr>
                  <w:r w:rsidRPr="00CA09FA">
                    <w:rPr>
                      <w:rFonts w:ascii="Arial" w:hAnsi="Arial" w:cs="Arial"/>
                      <w:sz w:val="20"/>
                      <w:szCs w:val="20"/>
                    </w:rPr>
                    <w:t xml:space="preserve"> 173</w:t>
                  </w:r>
                </w:p>
              </w:tc>
              <w:tc>
                <w:tcPr>
                  <w:tcW w:w="835" w:type="dxa"/>
                  <w:tcBorders>
                    <w:top w:val="nil"/>
                    <w:left w:val="nil"/>
                    <w:bottom w:val="nil"/>
                    <w:right w:val="nil"/>
                  </w:tcBorders>
                  <w:shd w:val="clear" w:color="auto" w:fill="auto"/>
                  <w:vAlign w:val="center"/>
                  <w:hideMark/>
                </w:tcPr>
                <w:p w:rsidR="00CA09FA" w:rsidRPr="00CA09FA" w:rsidRDefault="00CA09FA" w:rsidP="00CA09FA">
                  <w:pPr>
                    <w:keepNext/>
                    <w:jc w:val="right"/>
                    <w:rPr>
                      <w:rFonts w:ascii="Arial" w:hAnsi="Arial" w:cs="Arial"/>
                      <w:sz w:val="20"/>
                      <w:szCs w:val="20"/>
                    </w:rPr>
                  </w:pPr>
                  <w:r w:rsidRPr="00CA09FA">
                    <w:rPr>
                      <w:rFonts w:ascii="Arial" w:hAnsi="Arial" w:cs="Arial"/>
                      <w:sz w:val="20"/>
                      <w:szCs w:val="20"/>
                    </w:rPr>
                    <w:t>na</w:t>
                  </w:r>
                </w:p>
              </w:tc>
              <w:tc>
                <w:tcPr>
                  <w:tcW w:w="835" w:type="dxa"/>
                  <w:tcBorders>
                    <w:top w:val="nil"/>
                    <w:left w:val="nil"/>
                    <w:bottom w:val="nil"/>
                    <w:right w:val="nil"/>
                  </w:tcBorders>
                  <w:shd w:val="clear" w:color="auto" w:fill="auto"/>
                  <w:vAlign w:val="center"/>
                  <w:hideMark/>
                </w:tcPr>
                <w:p w:rsidR="00CA09FA" w:rsidRPr="00CA09FA" w:rsidRDefault="00CA09FA" w:rsidP="00CA09FA">
                  <w:pPr>
                    <w:keepNext/>
                    <w:jc w:val="right"/>
                    <w:rPr>
                      <w:rFonts w:ascii="Arial" w:hAnsi="Arial" w:cs="Arial"/>
                      <w:sz w:val="20"/>
                      <w:szCs w:val="20"/>
                    </w:rPr>
                  </w:pPr>
                  <w:r w:rsidRPr="00CA09FA">
                    <w:rPr>
                      <w:rFonts w:ascii="Arial" w:hAnsi="Arial" w:cs="Arial"/>
                      <w:sz w:val="20"/>
                      <w:szCs w:val="20"/>
                    </w:rPr>
                    <w:t>na</w:t>
                  </w:r>
                </w:p>
              </w:tc>
              <w:tc>
                <w:tcPr>
                  <w:tcW w:w="834" w:type="dxa"/>
                  <w:tcBorders>
                    <w:top w:val="nil"/>
                    <w:left w:val="nil"/>
                    <w:bottom w:val="nil"/>
                    <w:right w:val="nil"/>
                  </w:tcBorders>
                  <w:shd w:val="clear" w:color="auto" w:fill="auto"/>
                  <w:vAlign w:val="center"/>
                  <w:hideMark/>
                </w:tcPr>
                <w:p w:rsidR="00CA09FA" w:rsidRPr="00CA09FA" w:rsidRDefault="00CA09FA" w:rsidP="00CA09FA">
                  <w:pPr>
                    <w:keepNext/>
                    <w:jc w:val="right"/>
                    <w:rPr>
                      <w:rFonts w:ascii="Arial" w:hAnsi="Arial" w:cs="Arial"/>
                      <w:sz w:val="20"/>
                      <w:szCs w:val="20"/>
                    </w:rPr>
                  </w:pPr>
                  <w:r w:rsidRPr="00CA09FA">
                    <w:rPr>
                      <w:rFonts w:ascii="Arial" w:hAnsi="Arial" w:cs="Arial"/>
                      <w:sz w:val="20"/>
                      <w:szCs w:val="20"/>
                    </w:rPr>
                    <w:t xml:space="preserve"> 41</w:t>
                  </w:r>
                </w:p>
              </w:tc>
              <w:tc>
                <w:tcPr>
                  <w:tcW w:w="835" w:type="dxa"/>
                  <w:tcBorders>
                    <w:top w:val="nil"/>
                    <w:left w:val="nil"/>
                    <w:bottom w:val="nil"/>
                    <w:right w:val="nil"/>
                  </w:tcBorders>
                  <w:shd w:val="clear" w:color="auto" w:fill="auto"/>
                  <w:vAlign w:val="center"/>
                  <w:hideMark/>
                </w:tcPr>
                <w:p w:rsidR="00CA09FA" w:rsidRPr="00CA09FA" w:rsidRDefault="00CA09FA" w:rsidP="00CA09FA">
                  <w:pPr>
                    <w:keepNext/>
                    <w:jc w:val="right"/>
                    <w:rPr>
                      <w:rFonts w:ascii="Arial" w:hAnsi="Arial" w:cs="Arial"/>
                      <w:sz w:val="20"/>
                      <w:szCs w:val="20"/>
                    </w:rPr>
                  </w:pPr>
                  <w:r w:rsidRPr="00CA09FA">
                    <w:rPr>
                      <w:rFonts w:ascii="Arial" w:hAnsi="Arial" w:cs="Arial"/>
                      <w:sz w:val="20"/>
                      <w:szCs w:val="20"/>
                    </w:rPr>
                    <w:t xml:space="preserve"> 26</w:t>
                  </w:r>
                </w:p>
              </w:tc>
              <w:tc>
                <w:tcPr>
                  <w:tcW w:w="835" w:type="dxa"/>
                  <w:tcBorders>
                    <w:top w:val="nil"/>
                    <w:left w:val="nil"/>
                    <w:bottom w:val="nil"/>
                    <w:right w:val="nil"/>
                  </w:tcBorders>
                  <w:shd w:val="clear" w:color="auto" w:fill="auto"/>
                  <w:vAlign w:val="center"/>
                  <w:hideMark/>
                </w:tcPr>
                <w:p w:rsidR="00CA09FA" w:rsidRPr="00CA09FA" w:rsidRDefault="00CA09FA" w:rsidP="00CA09FA">
                  <w:pPr>
                    <w:keepNext/>
                    <w:jc w:val="right"/>
                    <w:rPr>
                      <w:rFonts w:ascii="Arial" w:hAnsi="Arial" w:cs="Arial"/>
                      <w:sz w:val="20"/>
                      <w:szCs w:val="20"/>
                    </w:rPr>
                  </w:pPr>
                  <w:r w:rsidRPr="00CA09FA">
                    <w:rPr>
                      <w:rFonts w:ascii="Arial" w:hAnsi="Arial" w:cs="Arial"/>
                      <w:sz w:val="20"/>
                      <w:szCs w:val="20"/>
                    </w:rPr>
                    <w:t xml:space="preserve"> 8</w:t>
                  </w:r>
                </w:p>
              </w:tc>
              <w:tc>
                <w:tcPr>
                  <w:tcW w:w="835" w:type="dxa"/>
                  <w:tcBorders>
                    <w:top w:val="nil"/>
                    <w:left w:val="nil"/>
                    <w:bottom w:val="nil"/>
                    <w:right w:val="nil"/>
                  </w:tcBorders>
                  <w:shd w:val="clear" w:color="auto" w:fill="auto"/>
                  <w:vAlign w:val="center"/>
                  <w:hideMark/>
                </w:tcPr>
                <w:p w:rsidR="00CA09FA" w:rsidRPr="00CA09FA" w:rsidRDefault="00CA09FA" w:rsidP="00CA09FA">
                  <w:pPr>
                    <w:keepNext/>
                    <w:jc w:val="right"/>
                    <w:rPr>
                      <w:rFonts w:ascii="Arial" w:hAnsi="Arial" w:cs="Arial"/>
                      <w:sz w:val="20"/>
                      <w:szCs w:val="20"/>
                    </w:rPr>
                  </w:pPr>
                  <w:r w:rsidRPr="00CA09FA">
                    <w:rPr>
                      <w:rFonts w:ascii="Arial" w:hAnsi="Arial" w:cs="Arial"/>
                      <w:sz w:val="20"/>
                      <w:szCs w:val="20"/>
                    </w:rPr>
                    <w:t xml:space="preserve"> 19</w:t>
                  </w:r>
                </w:p>
              </w:tc>
              <w:tc>
                <w:tcPr>
                  <w:tcW w:w="835" w:type="dxa"/>
                  <w:tcBorders>
                    <w:top w:val="nil"/>
                    <w:left w:val="nil"/>
                    <w:bottom w:val="nil"/>
                    <w:right w:val="nil"/>
                  </w:tcBorders>
                  <w:shd w:val="clear" w:color="auto" w:fill="auto"/>
                  <w:vAlign w:val="center"/>
                  <w:hideMark/>
                </w:tcPr>
                <w:p w:rsidR="00CA09FA" w:rsidRPr="00CA09FA" w:rsidRDefault="00CA09FA" w:rsidP="00CA09FA">
                  <w:pPr>
                    <w:keepNext/>
                    <w:jc w:val="right"/>
                    <w:rPr>
                      <w:rFonts w:ascii="Arial" w:hAnsi="Arial" w:cs="Arial"/>
                      <w:sz w:val="20"/>
                      <w:szCs w:val="20"/>
                    </w:rPr>
                  </w:pPr>
                  <w:r w:rsidRPr="00CA09FA">
                    <w:rPr>
                      <w:rFonts w:ascii="Arial" w:hAnsi="Arial" w:cs="Arial"/>
                      <w:sz w:val="20"/>
                      <w:szCs w:val="20"/>
                    </w:rPr>
                    <w:t>na</w:t>
                  </w:r>
                </w:p>
              </w:tc>
            </w:tr>
            <w:tr w:rsidR="00CA09FA" w:rsidRPr="00CA09FA" w:rsidTr="00CA09FA">
              <w:trPr>
                <w:divId w:val="191503040"/>
                <w:trHeight w:val="255"/>
              </w:trPr>
              <w:tc>
                <w:tcPr>
                  <w:tcW w:w="1276" w:type="dxa"/>
                  <w:tcBorders>
                    <w:top w:val="nil"/>
                    <w:left w:val="nil"/>
                    <w:right w:val="nil"/>
                  </w:tcBorders>
                  <w:shd w:val="clear" w:color="auto" w:fill="auto"/>
                  <w:vAlign w:val="center"/>
                  <w:hideMark/>
                </w:tcPr>
                <w:p w:rsidR="00CA09FA" w:rsidRPr="00CA09FA" w:rsidRDefault="00CA09FA" w:rsidP="00CA09FA">
                  <w:pPr>
                    <w:keepNext/>
                    <w:ind w:firstLineChars="100" w:firstLine="201"/>
                    <w:rPr>
                      <w:rFonts w:ascii="Arial" w:hAnsi="Arial" w:cs="Arial"/>
                      <w:b/>
                      <w:bCs/>
                      <w:sz w:val="20"/>
                      <w:szCs w:val="20"/>
                    </w:rPr>
                  </w:pPr>
                  <w:r w:rsidRPr="00CA09FA">
                    <w:rPr>
                      <w:rFonts w:ascii="Arial" w:hAnsi="Arial" w:cs="Arial"/>
                      <w:b/>
                      <w:bCs/>
                      <w:sz w:val="20"/>
                      <w:szCs w:val="20"/>
                    </w:rPr>
                    <w:t>Total</w:t>
                  </w:r>
                </w:p>
              </w:tc>
              <w:tc>
                <w:tcPr>
                  <w:tcW w:w="834" w:type="dxa"/>
                  <w:tcBorders>
                    <w:top w:val="nil"/>
                    <w:left w:val="nil"/>
                    <w:right w:val="nil"/>
                  </w:tcBorders>
                  <w:shd w:val="clear" w:color="auto" w:fill="auto"/>
                  <w:vAlign w:val="center"/>
                  <w:hideMark/>
                </w:tcPr>
                <w:p w:rsidR="00CA09FA" w:rsidRPr="00CA09FA" w:rsidRDefault="00CA09FA" w:rsidP="00CA09FA">
                  <w:pPr>
                    <w:keepNext/>
                    <w:jc w:val="right"/>
                    <w:rPr>
                      <w:rFonts w:ascii="Arial" w:hAnsi="Arial" w:cs="Arial"/>
                      <w:b/>
                      <w:bCs/>
                      <w:sz w:val="20"/>
                      <w:szCs w:val="20"/>
                    </w:rPr>
                  </w:pPr>
                  <w:r w:rsidRPr="00CA09FA">
                    <w:rPr>
                      <w:rFonts w:ascii="Arial" w:hAnsi="Arial" w:cs="Arial"/>
                      <w:b/>
                      <w:bCs/>
                      <w:sz w:val="20"/>
                      <w:szCs w:val="20"/>
                    </w:rPr>
                    <w:t>4 950</w:t>
                  </w:r>
                </w:p>
              </w:tc>
              <w:tc>
                <w:tcPr>
                  <w:tcW w:w="835" w:type="dxa"/>
                  <w:tcBorders>
                    <w:top w:val="nil"/>
                    <w:left w:val="nil"/>
                    <w:right w:val="nil"/>
                  </w:tcBorders>
                  <w:shd w:val="clear" w:color="auto" w:fill="auto"/>
                  <w:vAlign w:val="center"/>
                  <w:hideMark/>
                </w:tcPr>
                <w:p w:rsidR="00CA09FA" w:rsidRPr="00CA09FA" w:rsidRDefault="00CA09FA" w:rsidP="00CA09FA">
                  <w:pPr>
                    <w:keepNext/>
                    <w:jc w:val="right"/>
                    <w:rPr>
                      <w:rFonts w:ascii="Arial" w:hAnsi="Arial" w:cs="Arial"/>
                      <w:b/>
                      <w:bCs/>
                      <w:sz w:val="20"/>
                      <w:szCs w:val="20"/>
                    </w:rPr>
                  </w:pPr>
                  <w:r w:rsidRPr="00CA09FA">
                    <w:rPr>
                      <w:rFonts w:ascii="Arial" w:hAnsi="Arial" w:cs="Arial"/>
                      <w:b/>
                      <w:bCs/>
                      <w:sz w:val="20"/>
                      <w:szCs w:val="20"/>
                    </w:rPr>
                    <w:t>6 922</w:t>
                  </w:r>
                </w:p>
              </w:tc>
              <w:tc>
                <w:tcPr>
                  <w:tcW w:w="835" w:type="dxa"/>
                  <w:tcBorders>
                    <w:top w:val="nil"/>
                    <w:left w:val="nil"/>
                    <w:right w:val="nil"/>
                  </w:tcBorders>
                  <w:shd w:val="clear" w:color="auto" w:fill="auto"/>
                  <w:vAlign w:val="center"/>
                  <w:hideMark/>
                </w:tcPr>
                <w:p w:rsidR="00CA09FA" w:rsidRPr="00CA09FA" w:rsidRDefault="00CA09FA" w:rsidP="00CA09FA">
                  <w:pPr>
                    <w:keepNext/>
                    <w:jc w:val="right"/>
                    <w:rPr>
                      <w:rFonts w:ascii="Arial" w:hAnsi="Arial" w:cs="Arial"/>
                      <w:b/>
                      <w:bCs/>
                      <w:sz w:val="20"/>
                      <w:szCs w:val="20"/>
                    </w:rPr>
                  </w:pPr>
                  <w:r w:rsidRPr="00CA09FA">
                    <w:rPr>
                      <w:rFonts w:ascii="Arial" w:hAnsi="Arial" w:cs="Arial"/>
                      <w:b/>
                      <w:bCs/>
                      <w:sz w:val="20"/>
                      <w:szCs w:val="20"/>
                    </w:rPr>
                    <w:t>3 101</w:t>
                  </w:r>
                </w:p>
              </w:tc>
              <w:tc>
                <w:tcPr>
                  <w:tcW w:w="835" w:type="dxa"/>
                  <w:tcBorders>
                    <w:top w:val="nil"/>
                    <w:left w:val="nil"/>
                    <w:right w:val="nil"/>
                  </w:tcBorders>
                  <w:shd w:val="clear" w:color="auto" w:fill="auto"/>
                  <w:vAlign w:val="center"/>
                  <w:hideMark/>
                </w:tcPr>
                <w:p w:rsidR="00CA09FA" w:rsidRPr="00CA09FA" w:rsidRDefault="00CA09FA" w:rsidP="00CA09FA">
                  <w:pPr>
                    <w:keepNext/>
                    <w:jc w:val="right"/>
                    <w:rPr>
                      <w:rFonts w:ascii="Arial" w:hAnsi="Arial" w:cs="Arial"/>
                      <w:b/>
                      <w:bCs/>
                      <w:sz w:val="20"/>
                      <w:szCs w:val="20"/>
                    </w:rPr>
                  </w:pPr>
                  <w:r w:rsidRPr="00CA09FA">
                    <w:rPr>
                      <w:rFonts w:ascii="Arial" w:hAnsi="Arial" w:cs="Arial"/>
                      <w:b/>
                      <w:bCs/>
                      <w:sz w:val="20"/>
                      <w:szCs w:val="20"/>
                    </w:rPr>
                    <w:t>1 448</w:t>
                  </w:r>
                </w:p>
              </w:tc>
              <w:tc>
                <w:tcPr>
                  <w:tcW w:w="834" w:type="dxa"/>
                  <w:tcBorders>
                    <w:top w:val="nil"/>
                    <w:left w:val="nil"/>
                    <w:right w:val="nil"/>
                  </w:tcBorders>
                  <w:shd w:val="clear" w:color="auto" w:fill="auto"/>
                  <w:vAlign w:val="center"/>
                  <w:hideMark/>
                </w:tcPr>
                <w:p w:rsidR="00CA09FA" w:rsidRPr="00CA09FA" w:rsidRDefault="00CA09FA" w:rsidP="00CA09FA">
                  <w:pPr>
                    <w:keepNext/>
                    <w:jc w:val="right"/>
                    <w:rPr>
                      <w:rFonts w:ascii="Arial" w:hAnsi="Arial" w:cs="Arial"/>
                      <w:b/>
                      <w:bCs/>
                      <w:sz w:val="20"/>
                      <w:szCs w:val="20"/>
                    </w:rPr>
                  </w:pPr>
                  <w:r w:rsidRPr="00CA09FA">
                    <w:rPr>
                      <w:rFonts w:ascii="Arial" w:hAnsi="Arial" w:cs="Arial"/>
                      <w:b/>
                      <w:bCs/>
                      <w:sz w:val="20"/>
                      <w:szCs w:val="20"/>
                    </w:rPr>
                    <w:t>1 113</w:t>
                  </w:r>
                </w:p>
              </w:tc>
              <w:tc>
                <w:tcPr>
                  <w:tcW w:w="835" w:type="dxa"/>
                  <w:tcBorders>
                    <w:top w:val="nil"/>
                    <w:left w:val="nil"/>
                    <w:right w:val="nil"/>
                  </w:tcBorders>
                  <w:shd w:val="clear" w:color="auto" w:fill="auto"/>
                  <w:vAlign w:val="center"/>
                  <w:hideMark/>
                </w:tcPr>
                <w:p w:rsidR="00CA09FA" w:rsidRPr="00CA09FA" w:rsidRDefault="00CA09FA" w:rsidP="00CA09FA">
                  <w:pPr>
                    <w:keepNext/>
                    <w:jc w:val="right"/>
                    <w:rPr>
                      <w:rFonts w:ascii="Arial" w:hAnsi="Arial" w:cs="Arial"/>
                      <w:b/>
                      <w:bCs/>
                      <w:sz w:val="20"/>
                      <w:szCs w:val="20"/>
                    </w:rPr>
                  </w:pPr>
                  <w:r w:rsidRPr="00CA09FA">
                    <w:rPr>
                      <w:rFonts w:ascii="Arial" w:hAnsi="Arial" w:cs="Arial"/>
                      <w:b/>
                      <w:bCs/>
                      <w:sz w:val="20"/>
                      <w:szCs w:val="20"/>
                    </w:rPr>
                    <w:t xml:space="preserve"> 478</w:t>
                  </w:r>
                </w:p>
              </w:tc>
              <w:tc>
                <w:tcPr>
                  <w:tcW w:w="835" w:type="dxa"/>
                  <w:tcBorders>
                    <w:top w:val="nil"/>
                    <w:left w:val="nil"/>
                    <w:right w:val="nil"/>
                  </w:tcBorders>
                  <w:shd w:val="clear" w:color="auto" w:fill="auto"/>
                  <w:vAlign w:val="center"/>
                  <w:hideMark/>
                </w:tcPr>
                <w:p w:rsidR="00CA09FA" w:rsidRPr="00CA09FA" w:rsidRDefault="00CA09FA" w:rsidP="00CA09FA">
                  <w:pPr>
                    <w:keepNext/>
                    <w:jc w:val="right"/>
                    <w:rPr>
                      <w:rFonts w:ascii="Arial" w:hAnsi="Arial" w:cs="Arial"/>
                      <w:b/>
                      <w:bCs/>
                      <w:sz w:val="20"/>
                      <w:szCs w:val="20"/>
                    </w:rPr>
                  </w:pPr>
                  <w:r w:rsidRPr="00CA09FA">
                    <w:rPr>
                      <w:rFonts w:ascii="Arial" w:hAnsi="Arial" w:cs="Arial"/>
                      <w:b/>
                      <w:bCs/>
                      <w:sz w:val="20"/>
                      <w:szCs w:val="20"/>
                    </w:rPr>
                    <w:t xml:space="preserve"> 446</w:t>
                  </w:r>
                </w:p>
              </w:tc>
              <w:tc>
                <w:tcPr>
                  <w:tcW w:w="835" w:type="dxa"/>
                  <w:tcBorders>
                    <w:top w:val="nil"/>
                    <w:left w:val="nil"/>
                    <w:right w:val="nil"/>
                  </w:tcBorders>
                  <w:shd w:val="clear" w:color="auto" w:fill="auto"/>
                  <w:vAlign w:val="center"/>
                  <w:hideMark/>
                </w:tcPr>
                <w:p w:rsidR="00CA09FA" w:rsidRPr="00CA09FA" w:rsidRDefault="00CA09FA" w:rsidP="00CA09FA">
                  <w:pPr>
                    <w:keepNext/>
                    <w:jc w:val="right"/>
                    <w:rPr>
                      <w:rFonts w:ascii="Arial" w:hAnsi="Arial" w:cs="Arial"/>
                      <w:b/>
                      <w:bCs/>
                      <w:sz w:val="20"/>
                      <w:szCs w:val="20"/>
                    </w:rPr>
                  </w:pPr>
                  <w:r w:rsidRPr="00CA09FA">
                    <w:rPr>
                      <w:rFonts w:ascii="Arial" w:hAnsi="Arial" w:cs="Arial"/>
                      <w:b/>
                      <w:bCs/>
                      <w:sz w:val="20"/>
                      <w:szCs w:val="20"/>
                    </w:rPr>
                    <w:t xml:space="preserve"> 271</w:t>
                  </w:r>
                </w:p>
              </w:tc>
              <w:tc>
                <w:tcPr>
                  <w:tcW w:w="835" w:type="dxa"/>
                  <w:tcBorders>
                    <w:top w:val="nil"/>
                    <w:left w:val="nil"/>
                    <w:right w:val="nil"/>
                  </w:tcBorders>
                  <w:shd w:val="clear" w:color="auto" w:fill="auto"/>
                  <w:vAlign w:val="center"/>
                  <w:hideMark/>
                </w:tcPr>
                <w:p w:rsidR="00CA09FA" w:rsidRPr="00CA09FA" w:rsidRDefault="00CA09FA" w:rsidP="00CA09FA">
                  <w:pPr>
                    <w:keepNext/>
                    <w:jc w:val="right"/>
                    <w:rPr>
                      <w:rFonts w:ascii="Arial" w:hAnsi="Arial" w:cs="Arial"/>
                      <w:b/>
                      <w:bCs/>
                      <w:sz w:val="20"/>
                      <w:szCs w:val="20"/>
                    </w:rPr>
                  </w:pPr>
                  <w:r w:rsidRPr="00CA09FA">
                    <w:rPr>
                      <w:rFonts w:ascii="Arial" w:hAnsi="Arial" w:cs="Arial"/>
                      <w:b/>
                      <w:bCs/>
                      <w:sz w:val="20"/>
                      <w:szCs w:val="20"/>
                    </w:rPr>
                    <w:t>18 729</w:t>
                  </w:r>
                </w:p>
              </w:tc>
            </w:tr>
            <w:tr w:rsidR="00CA09FA" w:rsidRPr="00CA09FA" w:rsidTr="00CA09FA">
              <w:trPr>
                <w:divId w:val="191503040"/>
                <w:trHeight w:val="270"/>
              </w:trPr>
              <w:tc>
                <w:tcPr>
                  <w:tcW w:w="1276" w:type="dxa"/>
                  <w:tcBorders>
                    <w:top w:val="nil"/>
                    <w:left w:val="nil"/>
                    <w:right w:val="nil"/>
                  </w:tcBorders>
                  <w:shd w:val="clear" w:color="auto" w:fill="auto"/>
                  <w:noWrap/>
                  <w:vAlign w:val="center"/>
                  <w:hideMark/>
                </w:tcPr>
                <w:p w:rsidR="00CA09FA" w:rsidRPr="00CA09FA" w:rsidRDefault="00CA09FA" w:rsidP="00CA09FA">
                  <w:pPr>
                    <w:keepNext/>
                    <w:rPr>
                      <w:rFonts w:ascii="Arial" w:hAnsi="Arial" w:cs="Arial"/>
                      <w:b/>
                      <w:bCs/>
                      <w:sz w:val="20"/>
                      <w:szCs w:val="20"/>
                    </w:rPr>
                  </w:pPr>
                  <w:r w:rsidRPr="00CA09FA">
                    <w:rPr>
                      <w:rFonts w:ascii="Arial" w:hAnsi="Arial" w:cs="Arial"/>
                      <w:b/>
                      <w:bCs/>
                      <w:sz w:val="20"/>
                      <w:szCs w:val="20"/>
                    </w:rPr>
                    <w:t>Total</w:t>
                  </w:r>
                </w:p>
              </w:tc>
              <w:tc>
                <w:tcPr>
                  <w:tcW w:w="834" w:type="dxa"/>
                  <w:tcBorders>
                    <w:top w:val="nil"/>
                    <w:left w:val="nil"/>
                    <w:right w:val="nil"/>
                  </w:tcBorders>
                  <w:shd w:val="clear" w:color="auto" w:fill="auto"/>
                  <w:vAlign w:val="center"/>
                  <w:hideMark/>
                </w:tcPr>
                <w:p w:rsidR="00CA09FA" w:rsidRPr="00CA09FA" w:rsidRDefault="00CA09FA" w:rsidP="00CA09FA">
                  <w:pPr>
                    <w:keepNext/>
                    <w:jc w:val="right"/>
                    <w:rPr>
                      <w:rFonts w:ascii="Arial" w:hAnsi="Arial" w:cs="Arial"/>
                      <w:b/>
                      <w:bCs/>
                      <w:sz w:val="20"/>
                      <w:szCs w:val="20"/>
                    </w:rPr>
                  </w:pPr>
                  <w:r w:rsidRPr="00CA09FA">
                    <w:rPr>
                      <w:rFonts w:ascii="Arial" w:hAnsi="Arial" w:cs="Arial"/>
                      <w:b/>
                      <w:bCs/>
                      <w:sz w:val="20"/>
                      <w:szCs w:val="20"/>
                    </w:rPr>
                    <w:t>9 292</w:t>
                  </w:r>
                </w:p>
              </w:tc>
              <w:tc>
                <w:tcPr>
                  <w:tcW w:w="835" w:type="dxa"/>
                  <w:tcBorders>
                    <w:top w:val="nil"/>
                    <w:left w:val="nil"/>
                    <w:right w:val="nil"/>
                  </w:tcBorders>
                  <w:shd w:val="clear" w:color="auto" w:fill="auto"/>
                  <w:vAlign w:val="center"/>
                  <w:hideMark/>
                </w:tcPr>
                <w:p w:rsidR="00CA09FA" w:rsidRPr="00CA09FA" w:rsidRDefault="00CA09FA" w:rsidP="00CA09FA">
                  <w:pPr>
                    <w:keepNext/>
                    <w:jc w:val="right"/>
                    <w:rPr>
                      <w:rFonts w:ascii="Arial" w:hAnsi="Arial" w:cs="Arial"/>
                      <w:b/>
                      <w:bCs/>
                      <w:sz w:val="20"/>
                      <w:szCs w:val="20"/>
                    </w:rPr>
                  </w:pPr>
                  <w:r w:rsidRPr="00CA09FA">
                    <w:rPr>
                      <w:rFonts w:ascii="Arial" w:hAnsi="Arial" w:cs="Arial"/>
                      <w:b/>
                      <w:bCs/>
                      <w:sz w:val="20"/>
                      <w:szCs w:val="20"/>
                    </w:rPr>
                    <w:t>10 589</w:t>
                  </w:r>
                </w:p>
              </w:tc>
              <w:tc>
                <w:tcPr>
                  <w:tcW w:w="835" w:type="dxa"/>
                  <w:tcBorders>
                    <w:top w:val="nil"/>
                    <w:left w:val="nil"/>
                    <w:right w:val="nil"/>
                  </w:tcBorders>
                  <w:shd w:val="clear" w:color="auto" w:fill="auto"/>
                  <w:vAlign w:val="center"/>
                  <w:hideMark/>
                </w:tcPr>
                <w:p w:rsidR="00CA09FA" w:rsidRPr="00CA09FA" w:rsidRDefault="00CA09FA" w:rsidP="00CA09FA">
                  <w:pPr>
                    <w:keepNext/>
                    <w:jc w:val="right"/>
                    <w:rPr>
                      <w:rFonts w:ascii="Arial" w:hAnsi="Arial" w:cs="Arial"/>
                      <w:b/>
                      <w:bCs/>
                      <w:sz w:val="20"/>
                      <w:szCs w:val="20"/>
                    </w:rPr>
                  </w:pPr>
                  <w:r w:rsidRPr="00CA09FA">
                    <w:rPr>
                      <w:rFonts w:ascii="Arial" w:hAnsi="Arial" w:cs="Arial"/>
                      <w:b/>
                      <w:bCs/>
                      <w:sz w:val="20"/>
                      <w:szCs w:val="20"/>
                    </w:rPr>
                    <w:t>6 979</w:t>
                  </w:r>
                </w:p>
              </w:tc>
              <w:tc>
                <w:tcPr>
                  <w:tcW w:w="835" w:type="dxa"/>
                  <w:tcBorders>
                    <w:top w:val="nil"/>
                    <w:left w:val="nil"/>
                    <w:right w:val="nil"/>
                  </w:tcBorders>
                  <w:shd w:val="clear" w:color="auto" w:fill="auto"/>
                  <w:vAlign w:val="center"/>
                  <w:hideMark/>
                </w:tcPr>
                <w:p w:rsidR="00CA09FA" w:rsidRPr="00CA09FA" w:rsidRDefault="00CA09FA" w:rsidP="00CA09FA">
                  <w:pPr>
                    <w:keepNext/>
                    <w:jc w:val="right"/>
                    <w:rPr>
                      <w:rFonts w:ascii="Arial" w:hAnsi="Arial" w:cs="Arial"/>
                      <w:b/>
                      <w:bCs/>
                      <w:sz w:val="20"/>
                      <w:szCs w:val="20"/>
                    </w:rPr>
                  </w:pPr>
                  <w:r w:rsidRPr="00CA09FA">
                    <w:rPr>
                      <w:rFonts w:ascii="Arial" w:hAnsi="Arial" w:cs="Arial"/>
                      <w:b/>
                      <w:bCs/>
                      <w:sz w:val="20"/>
                      <w:szCs w:val="20"/>
                    </w:rPr>
                    <w:t>2 723</w:t>
                  </w:r>
                </w:p>
              </w:tc>
              <w:tc>
                <w:tcPr>
                  <w:tcW w:w="834" w:type="dxa"/>
                  <w:tcBorders>
                    <w:top w:val="nil"/>
                    <w:left w:val="nil"/>
                    <w:right w:val="nil"/>
                  </w:tcBorders>
                  <w:shd w:val="clear" w:color="auto" w:fill="auto"/>
                  <w:vAlign w:val="center"/>
                  <w:hideMark/>
                </w:tcPr>
                <w:p w:rsidR="00CA09FA" w:rsidRPr="00CA09FA" w:rsidRDefault="00CA09FA" w:rsidP="00CA09FA">
                  <w:pPr>
                    <w:keepNext/>
                    <w:jc w:val="right"/>
                    <w:rPr>
                      <w:rFonts w:ascii="Arial" w:hAnsi="Arial" w:cs="Arial"/>
                      <w:b/>
                      <w:bCs/>
                      <w:sz w:val="20"/>
                      <w:szCs w:val="20"/>
                    </w:rPr>
                  </w:pPr>
                  <w:r w:rsidRPr="00CA09FA">
                    <w:rPr>
                      <w:rFonts w:ascii="Arial" w:hAnsi="Arial" w:cs="Arial"/>
                      <w:b/>
                      <w:bCs/>
                      <w:sz w:val="20"/>
                      <w:szCs w:val="20"/>
                    </w:rPr>
                    <w:t>2 387</w:t>
                  </w:r>
                </w:p>
              </w:tc>
              <w:tc>
                <w:tcPr>
                  <w:tcW w:w="835" w:type="dxa"/>
                  <w:tcBorders>
                    <w:top w:val="nil"/>
                    <w:left w:val="nil"/>
                    <w:right w:val="nil"/>
                  </w:tcBorders>
                  <w:shd w:val="clear" w:color="auto" w:fill="auto"/>
                  <w:vAlign w:val="center"/>
                  <w:hideMark/>
                </w:tcPr>
                <w:p w:rsidR="00CA09FA" w:rsidRPr="00CA09FA" w:rsidRDefault="00CA09FA" w:rsidP="00CA09FA">
                  <w:pPr>
                    <w:keepNext/>
                    <w:jc w:val="right"/>
                    <w:rPr>
                      <w:rFonts w:ascii="Arial" w:hAnsi="Arial" w:cs="Arial"/>
                      <w:b/>
                      <w:bCs/>
                      <w:sz w:val="20"/>
                      <w:szCs w:val="20"/>
                    </w:rPr>
                  </w:pPr>
                  <w:r w:rsidRPr="00CA09FA">
                    <w:rPr>
                      <w:rFonts w:ascii="Arial" w:hAnsi="Arial" w:cs="Arial"/>
                      <w:b/>
                      <w:bCs/>
                      <w:sz w:val="20"/>
                      <w:szCs w:val="20"/>
                    </w:rPr>
                    <w:t xml:space="preserve"> 846</w:t>
                  </w:r>
                </w:p>
              </w:tc>
              <w:tc>
                <w:tcPr>
                  <w:tcW w:w="835" w:type="dxa"/>
                  <w:tcBorders>
                    <w:top w:val="nil"/>
                    <w:left w:val="nil"/>
                    <w:right w:val="nil"/>
                  </w:tcBorders>
                  <w:shd w:val="clear" w:color="auto" w:fill="auto"/>
                  <w:vAlign w:val="center"/>
                  <w:hideMark/>
                </w:tcPr>
                <w:p w:rsidR="00CA09FA" w:rsidRPr="00CA09FA" w:rsidRDefault="00CA09FA" w:rsidP="00CA09FA">
                  <w:pPr>
                    <w:keepNext/>
                    <w:jc w:val="right"/>
                    <w:rPr>
                      <w:rFonts w:ascii="Arial" w:hAnsi="Arial" w:cs="Arial"/>
                      <w:b/>
                      <w:bCs/>
                      <w:sz w:val="20"/>
                      <w:szCs w:val="20"/>
                    </w:rPr>
                  </w:pPr>
                  <w:r w:rsidRPr="00CA09FA">
                    <w:rPr>
                      <w:rFonts w:ascii="Arial" w:hAnsi="Arial" w:cs="Arial"/>
                      <w:b/>
                      <w:bCs/>
                      <w:sz w:val="20"/>
                      <w:szCs w:val="20"/>
                    </w:rPr>
                    <w:t xml:space="preserve"> 690</w:t>
                  </w:r>
                </w:p>
              </w:tc>
              <w:tc>
                <w:tcPr>
                  <w:tcW w:w="835" w:type="dxa"/>
                  <w:tcBorders>
                    <w:top w:val="nil"/>
                    <w:left w:val="nil"/>
                    <w:right w:val="nil"/>
                  </w:tcBorders>
                  <w:shd w:val="clear" w:color="auto" w:fill="auto"/>
                  <w:vAlign w:val="center"/>
                  <w:hideMark/>
                </w:tcPr>
                <w:p w:rsidR="00CA09FA" w:rsidRPr="00CA09FA" w:rsidRDefault="00CA09FA" w:rsidP="00CA09FA">
                  <w:pPr>
                    <w:keepNext/>
                    <w:jc w:val="right"/>
                    <w:rPr>
                      <w:rFonts w:ascii="Arial" w:hAnsi="Arial" w:cs="Arial"/>
                      <w:b/>
                      <w:bCs/>
                      <w:sz w:val="20"/>
                      <w:szCs w:val="20"/>
                    </w:rPr>
                  </w:pPr>
                  <w:r w:rsidRPr="00CA09FA">
                    <w:rPr>
                      <w:rFonts w:ascii="Arial" w:hAnsi="Arial" w:cs="Arial"/>
                      <w:b/>
                      <w:bCs/>
                      <w:sz w:val="20"/>
                      <w:szCs w:val="20"/>
                    </w:rPr>
                    <w:t xml:space="preserve"> 443</w:t>
                  </w:r>
                </w:p>
              </w:tc>
              <w:tc>
                <w:tcPr>
                  <w:tcW w:w="835" w:type="dxa"/>
                  <w:tcBorders>
                    <w:top w:val="nil"/>
                    <w:left w:val="nil"/>
                    <w:right w:val="nil"/>
                  </w:tcBorders>
                  <w:shd w:val="clear" w:color="auto" w:fill="auto"/>
                  <w:vAlign w:val="center"/>
                  <w:hideMark/>
                </w:tcPr>
                <w:p w:rsidR="00CA09FA" w:rsidRPr="00CA09FA" w:rsidRDefault="00CA09FA" w:rsidP="00CA09FA">
                  <w:pPr>
                    <w:keepNext/>
                    <w:jc w:val="right"/>
                    <w:rPr>
                      <w:rFonts w:ascii="Arial" w:hAnsi="Arial" w:cs="Arial"/>
                      <w:b/>
                      <w:bCs/>
                      <w:sz w:val="20"/>
                      <w:szCs w:val="20"/>
                    </w:rPr>
                  </w:pPr>
                  <w:r w:rsidRPr="00CA09FA">
                    <w:rPr>
                      <w:rFonts w:ascii="Arial" w:hAnsi="Arial" w:cs="Arial"/>
                      <w:b/>
                      <w:bCs/>
                      <w:sz w:val="20"/>
                      <w:szCs w:val="20"/>
                    </w:rPr>
                    <w:t>33 949</w:t>
                  </w:r>
                </w:p>
              </w:tc>
            </w:tr>
          </w:tbl>
          <w:p w:rsidR="003C069B" w:rsidRPr="00086F06" w:rsidRDefault="003C069B" w:rsidP="00483E80">
            <w:pPr>
              <w:pStyle w:val="FooterEnd"/>
              <w:keepNext/>
            </w:pPr>
          </w:p>
        </w:tc>
      </w:tr>
    </w:tbl>
    <w:p w:rsidR="003C069B" w:rsidRDefault="003C069B" w:rsidP="003C069B">
      <w:pPr>
        <w:pStyle w:val="Note"/>
        <w:keepNext/>
      </w:pPr>
      <w:proofErr w:type="spellStart"/>
      <w:r w:rsidRPr="00995C4E">
        <w:rPr>
          <w:b/>
        </w:rPr>
        <w:t>ASO</w:t>
      </w:r>
      <w:proofErr w:type="spellEnd"/>
      <w:r w:rsidRPr="00547C6E">
        <w:t xml:space="preserve"> = ambulance service organisation. </w:t>
      </w:r>
      <w:proofErr w:type="spellStart"/>
      <w:r w:rsidRPr="00995C4E">
        <w:rPr>
          <w:b/>
        </w:rPr>
        <w:t>FSO</w:t>
      </w:r>
      <w:proofErr w:type="spellEnd"/>
      <w:r w:rsidRPr="00547C6E">
        <w:t xml:space="preserve"> = fire service organisation. </w:t>
      </w:r>
      <w:r w:rsidRPr="00995C4E">
        <w:rPr>
          <w:b/>
        </w:rPr>
        <w:t>SES</w:t>
      </w:r>
      <w:r w:rsidRPr="00547C6E">
        <w:t xml:space="preserve"> = State and Territory emergency services.</w:t>
      </w:r>
      <w:r>
        <w:t xml:space="preserve"> </w:t>
      </w:r>
    </w:p>
    <w:p w:rsidR="003C069B" w:rsidRPr="00E66C37" w:rsidRDefault="003C069B" w:rsidP="003C069B">
      <w:pPr>
        <w:pStyle w:val="Note"/>
      </w:pPr>
      <w:r w:rsidRPr="00B73A74">
        <w:rPr>
          <w:rStyle w:val="NoteLabel"/>
        </w:rPr>
        <w:t>a</w:t>
      </w:r>
      <w:r w:rsidRPr="003108C3">
        <w:rPr>
          <w:rFonts w:cs="Arial"/>
          <w:sz w:val="24"/>
          <w:szCs w:val="24"/>
        </w:rPr>
        <w:t xml:space="preserve"> </w:t>
      </w:r>
      <w:proofErr w:type="spellStart"/>
      <w:r w:rsidR="00DB5302" w:rsidRPr="00DB5302">
        <w:t>FESA</w:t>
      </w:r>
      <w:proofErr w:type="spellEnd"/>
      <w:r w:rsidR="00DB5302" w:rsidRPr="00DB5302">
        <w:t xml:space="preserve"> provides a wide range of emergency services under an integrated management structure. </w:t>
      </w:r>
      <w:r w:rsidR="00DB5302">
        <w:t>D</w:t>
      </w:r>
      <w:r w:rsidR="00DB5302" w:rsidRPr="00DB5302">
        <w:t>ata cannot be segregated by service. Data for the Department of Environment and Conservation are not included.</w:t>
      </w:r>
      <w:r w:rsidR="002857C0" w:rsidRPr="002857C0">
        <w:rPr>
          <w:b/>
        </w:rPr>
        <w:t xml:space="preserve"> </w:t>
      </w:r>
      <w:r w:rsidR="002857C0" w:rsidRPr="00D47327">
        <w:rPr>
          <w:b/>
        </w:rPr>
        <w:t>na</w:t>
      </w:r>
      <w:r w:rsidR="002857C0">
        <w:t xml:space="preserve"> Not available</w:t>
      </w:r>
      <w:r w:rsidR="002857C0" w:rsidRPr="00547C6E">
        <w:t>.</w:t>
      </w:r>
    </w:p>
    <w:p w:rsidR="003C069B" w:rsidRPr="00547C6E" w:rsidRDefault="003C069B" w:rsidP="003C069B">
      <w:pPr>
        <w:pStyle w:val="Source"/>
      </w:pPr>
      <w:r w:rsidRPr="00547C6E">
        <w:rPr>
          <w:i/>
        </w:rPr>
        <w:t>Source</w:t>
      </w:r>
      <w:r w:rsidRPr="00547C6E">
        <w:t>: State and Territory governments (unpublished); table </w:t>
      </w:r>
      <w:proofErr w:type="spellStart"/>
      <w:r>
        <w:t>D</w:t>
      </w:r>
      <w:r w:rsidRPr="00547C6E">
        <w:t>A.</w:t>
      </w:r>
      <w:r w:rsidR="001C4CC4">
        <w:t>4</w:t>
      </w:r>
      <w:proofErr w:type="spellEnd"/>
      <w:r w:rsidRPr="00547C6E">
        <w:t>.</w:t>
      </w:r>
    </w:p>
    <w:p w:rsidR="003C069B" w:rsidRDefault="003C069B" w:rsidP="003C069B">
      <w:pPr>
        <w:pStyle w:val="BodyText"/>
      </w:pPr>
      <w:r w:rsidRPr="00547C6E">
        <w:t xml:space="preserve">In </w:t>
      </w:r>
      <w:r>
        <w:t>2012</w:t>
      </w:r>
      <w:r w:rsidR="001525FA">
        <w:noBreakHyphen/>
      </w:r>
      <w:r>
        <w:t>13</w:t>
      </w:r>
      <w:r w:rsidRPr="00547C6E">
        <w:t xml:space="preserve">, </w:t>
      </w:r>
      <w:r w:rsidRPr="00B73A74">
        <w:t>2</w:t>
      </w:r>
      <w:r>
        <w:t>51 677</w:t>
      </w:r>
      <w:r w:rsidRPr="00547C6E">
        <w:t xml:space="preserve"> fire, ambulance and </w:t>
      </w:r>
      <w:r>
        <w:t xml:space="preserve">emergency service volunteers were on the records of emergency service organisations </w:t>
      </w:r>
      <w:r w:rsidRPr="00547C6E">
        <w:t>(table</w:t>
      </w:r>
      <w:r w:rsidR="001C4CC4">
        <w:t xml:space="preserve"> </w:t>
      </w:r>
      <w:proofErr w:type="spellStart"/>
      <w:r w:rsidR="001C4CC4">
        <w:t>DA.4</w:t>
      </w:r>
      <w:proofErr w:type="spellEnd"/>
      <w:r w:rsidRPr="00547C6E">
        <w:t>)</w:t>
      </w:r>
      <w:r>
        <w:t>.</w:t>
      </w:r>
      <w:r w:rsidR="001C4CC4">
        <w:t xml:space="preserve"> </w:t>
      </w:r>
      <w:r w:rsidR="00483714" w:rsidRPr="000836B9">
        <w:t>Emergency service</w:t>
      </w:r>
      <w:r w:rsidR="00483714">
        <w:t>s</w:t>
      </w:r>
      <w:r w:rsidR="00483714" w:rsidRPr="00547C6E">
        <w:t xml:space="preserve"> volunteers play a significant role in the provision of emergency services in Australia</w:t>
      </w:r>
      <w:r>
        <w:t>, particularly in rural and remote areas,</w:t>
      </w:r>
      <w:r w:rsidRPr="003C069B">
        <w:t xml:space="preserve"> </w:t>
      </w:r>
      <w:r>
        <w:t>by providing:</w:t>
      </w:r>
    </w:p>
    <w:p w:rsidR="003C069B" w:rsidRDefault="003C069B" w:rsidP="003C069B">
      <w:pPr>
        <w:pStyle w:val="ListBullet"/>
      </w:pPr>
      <w:r>
        <w:t>response services in the event of an emergency</w:t>
      </w:r>
    </w:p>
    <w:p w:rsidR="003C069B" w:rsidRDefault="003C069B" w:rsidP="003C069B">
      <w:pPr>
        <w:pStyle w:val="ListBullet"/>
      </w:pPr>
      <w:r w:rsidRPr="00DE2D98">
        <w:t>community education</w:t>
      </w:r>
      <w:r>
        <w:t xml:space="preserve">, </w:t>
      </w:r>
      <w:r w:rsidRPr="00DE2D98">
        <w:t>cadet schemes</w:t>
      </w:r>
      <w:r>
        <w:t xml:space="preserve"> and </w:t>
      </w:r>
      <w:r w:rsidRPr="00DE2D98">
        <w:t>nationa</w:t>
      </w:r>
      <w:r>
        <w:t>l accredited emergency training</w:t>
      </w:r>
    </w:p>
    <w:p w:rsidR="003C069B" w:rsidRDefault="003C069B" w:rsidP="003C069B">
      <w:pPr>
        <w:pStyle w:val="ListBullet"/>
      </w:pPr>
      <w:r>
        <w:t>emergency event</w:t>
      </w:r>
      <w:r w:rsidRPr="00DE2D98">
        <w:t xml:space="preserve"> support and administrative roles</w:t>
      </w:r>
    </w:p>
    <w:p w:rsidR="003C069B" w:rsidRPr="00DE2D98" w:rsidRDefault="003C069B" w:rsidP="003C069B">
      <w:pPr>
        <w:pStyle w:val="ListBullet"/>
      </w:pPr>
      <w:r>
        <w:t xml:space="preserve">community </w:t>
      </w:r>
      <w:r w:rsidRPr="00DE2D98">
        <w:t>prevention, preparedness and recovery programs.</w:t>
      </w:r>
      <w:r w:rsidR="001525FA">
        <w:t xml:space="preserve"> </w:t>
      </w:r>
    </w:p>
    <w:p w:rsidR="00483714" w:rsidRPr="00DE2D98" w:rsidRDefault="00B11CB4" w:rsidP="003C069B">
      <w:pPr>
        <w:pStyle w:val="BodyText"/>
      </w:pPr>
      <w:r w:rsidRPr="00547C6E">
        <w:t xml:space="preserve">Although volunteers </w:t>
      </w:r>
      <w:r w:rsidRPr="00B73A74">
        <w:t xml:space="preserve">are not paid wages and salaries, </w:t>
      </w:r>
      <w:r w:rsidR="00483714" w:rsidRPr="00A05A09">
        <w:t xml:space="preserve">emergency service </w:t>
      </w:r>
      <w:r w:rsidRPr="00547C6E">
        <w:t xml:space="preserve">volunteers </w:t>
      </w:r>
      <w:r w:rsidR="00483714" w:rsidRPr="00547C6E">
        <w:t xml:space="preserve">provide </w:t>
      </w:r>
      <w:r w:rsidR="00483714">
        <w:t xml:space="preserve">a valuable service </w:t>
      </w:r>
      <w:r w:rsidR="00483714" w:rsidRPr="00547C6E">
        <w:t>to their communities</w:t>
      </w:r>
      <w:r w:rsidR="00483714">
        <w:t xml:space="preserve"> (</w:t>
      </w:r>
      <w:r w:rsidR="00483714" w:rsidRPr="00547C6E">
        <w:t>box </w:t>
      </w:r>
      <w:proofErr w:type="spellStart"/>
      <w:r w:rsidR="00483714">
        <w:t>D.2</w:t>
      </w:r>
      <w:proofErr w:type="spellEnd"/>
      <w:r w:rsidR="00483714">
        <w:t>)</w:t>
      </w:r>
      <w:r>
        <w:t xml:space="preserve">. However, the government and community </w:t>
      </w:r>
      <w:r w:rsidR="001C4CC4">
        <w:t xml:space="preserve">do </w:t>
      </w:r>
      <w:r>
        <w:t xml:space="preserve">bear some costs in </w:t>
      </w:r>
      <w:r w:rsidR="001C4CC4">
        <w:t>receiving</w:t>
      </w:r>
      <w:r>
        <w:t xml:space="preserve"> this service</w:t>
      </w:r>
      <w:r w:rsidR="007B1E10">
        <w:t>, including</w:t>
      </w:r>
      <w:r>
        <w:t xml:space="preserve">: </w:t>
      </w:r>
    </w:p>
    <w:p w:rsidR="00B11CB4" w:rsidRDefault="005202CD" w:rsidP="005202CD">
      <w:pPr>
        <w:pStyle w:val="ListBullet"/>
      </w:pPr>
      <w:r w:rsidRPr="00B73A74">
        <w:t xml:space="preserve">governments </w:t>
      </w:r>
      <w:r w:rsidR="00B11CB4">
        <w:t xml:space="preserve">— </w:t>
      </w:r>
      <w:r w:rsidR="007B1E10">
        <w:t xml:space="preserve">who </w:t>
      </w:r>
      <w:r w:rsidR="00B11CB4">
        <w:t>provide</w:t>
      </w:r>
      <w:r w:rsidRPr="00547C6E">
        <w:t xml:space="preserve"> funds and support through infrastructure, training, uniforms, personal protective equipment, operational equipment and support for other operating costs </w:t>
      </w:r>
    </w:p>
    <w:p w:rsidR="005202CD" w:rsidRDefault="00B11CB4" w:rsidP="005202CD">
      <w:pPr>
        <w:pStyle w:val="ListBullet"/>
      </w:pPr>
      <w:r w:rsidRPr="007364B8">
        <w:lastRenderedPageBreak/>
        <w:t xml:space="preserve">employers </w:t>
      </w:r>
      <w:r w:rsidR="005202CD" w:rsidRPr="007364B8">
        <w:t>of volunteers</w:t>
      </w:r>
      <w:r>
        <w:t xml:space="preserve"> — </w:t>
      </w:r>
      <w:r w:rsidR="005202CD" w:rsidRPr="007364B8">
        <w:t>particularly self</w:t>
      </w:r>
      <w:r w:rsidR="001525FA">
        <w:noBreakHyphen/>
      </w:r>
      <w:r w:rsidR="005202CD" w:rsidRPr="007364B8">
        <w:t xml:space="preserve">employed volunteers, </w:t>
      </w:r>
      <w:r w:rsidR="007B1E10">
        <w:t xml:space="preserve">who </w:t>
      </w:r>
      <w:r w:rsidR="005202CD" w:rsidRPr="007364B8">
        <w:t xml:space="preserve">incur costs in supporting volunteer services </w:t>
      </w:r>
      <w:r w:rsidR="005202CD">
        <w:t xml:space="preserve">such as </w:t>
      </w:r>
      <w:r w:rsidR="005202CD" w:rsidRPr="007364B8">
        <w:t>in</w:t>
      </w:r>
      <w:r w:rsidR="001525FA">
        <w:noBreakHyphen/>
      </w:r>
      <w:r w:rsidR="005202CD" w:rsidRPr="007364B8">
        <w:t>kind contributions, lost wages and productivity, and provision of equipment.</w:t>
      </w:r>
    </w:p>
    <w:p w:rsidR="00876403" w:rsidRDefault="00876403" w:rsidP="00876403">
      <w:pPr>
        <w:pStyle w:val="BodyText"/>
      </w:pPr>
      <w:r w:rsidRPr="00547C6E">
        <w:t>Volunteer activity has implications for the interpretation of financial and non</w:t>
      </w:r>
      <w:r w:rsidRPr="00547C6E">
        <w:noBreakHyphen/>
        <w:t>financial performance indicators. Notional wages</w:t>
      </w:r>
      <w:r>
        <w:t>’</w:t>
      </w:r>
      <w:r w:rsidRPr="00547C6E">
        <w:t xml:space="preserve"> costs for volunteers are not reflected in monetary estimates of inputs or outputs, which means that data for some performance indicators may be misleading where the input of volunteers is not counted but affects outputs and outcomes. </w:t>
      </w:r>
    </w:p>
    <w:p w:rsidR="00483714" w:rsidRDefault="00483714" w:rsidP="0048371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83714" w:rsidTr="00483714">
        <w:tc>
          <w:tcPr>
            <w:tcW w:w="8771" w:type="dxa"/>
            <w:tcBorders>
              <w:top w:val="single" w:sz="6" w:space="0" w:color="auto"/>
              <w:bottom w:val="nil"/>
            </w:tcBorders>
          </w:tcPr>
          <w:p w:rsidR="00483714" w:rsidRDefault="00483714" w:rsidP="00483714">
            <w:pPr>
              <w:pStyle w:val="BoxTitle"/>
            </w:pPr>
            <w:r>
              <w:rPr>
                <w:b w:val="0"/>
              </w:rPr>
              <w:t xml:space="preserve">Box </w:t>
            </w:r>
            <w:bookmarkStart w:id="17" w:name="OLE_LINK9"/>
            <w:proofErr w:type="spellStart"/>
            <w:r w:rsidR="00CA09FA">
              <w:rPr>
                <w:b w:val="0"/>
              </w:rPr>
              <w:t>D.</w:t>
            </w:r>
            <w:r w:rsidR="005A1847">
              <w:rPr>
                <w:b w:val="0"/>
                <w:noProof/>
              </w:rPr>
              <w:t>2</w:t>
            </w:r>
            <w:bookmarkEnd w:id="17"/>
            <w:proofErr w:type="spellEnd"/>
            <w:r>
              <w:tab/>
            </w:r>
            <w:r w:rsidRPr="00547C6E">
              <w:t>Value of volunteers to State/Territory Emergency Services</w:t>
            </w:r>
          </w:p>
        </w:tc>
      </w:tr>
      <w:tr w:rsidR="00483714" w:rsidTr="00483714">
        <w:trPr>
          <w:cantSplit/>
        </w:trPr>
        <w:tc>
          <w:tcPr>
            <w:tcW w:w="8771" w:type="dxa"/>
            <w:tcBorders>
              <w:top w:val="nil"/>
              <w:left w:val="single" w:sz="6" w:space="0" w:color="auto"/>
              <w:bottom w:val="nil"/>
              <w:right w:val="single" w:sz="6" w:space="0" w:color="auto"/>
            </w:tcBorders>
          </w:tcPr>
          <w:p w:rsidR="00483714" w:rsidRPr="00547C6E" w:rsidRDefault="00483714" w:rsidP="00483714">
            <w:pPr>
              <w:pStyle w:val="Box"/>
            </w:pPr>
            <w:r w:rsidRPr="00547C6E">
              <w:t xml:space="preserve">The Australian Council of State Emergency Services funded a study to estimate the value of State/Territory Emergency Services volunteer time based on data provided by the agencies in NSW, Victoria, SA and Tasmania. Two approaches were used to estimate the economic value of State/Territory Emergency Services volunteer time: </w:t>
            </w:r>
          </w:p>
          <w:p w:rsidR="00483714" w:rsidRPr="00547C6E" w:rsidRDefault="00483714" w:rsidP="00483714">
            <w:pPr>
              <w:pStyle w:val="BoxListBullet"/>
            </w:pPr>
            <w:r w:rsidRPr="00DE2D98">
              <w:rPr>
                <w:i/>
              </w:rPr>
              <w:t>global substitution method</w:t>
            </w:r>
            <w:r w:rsidRPr="00547C6E">
              <w:t xml:space="preserve"> </w:t>
            </w:r>
            <w:r>
              <w:t xml:space="preserve">— an </w:t>
            </w:r>
            <w:r w:rsidRPr="00547C6E">
              <w:t>average wage rate is used to value all activities</w:t>
            </w:r>
          </w:p>
          <w:p w:rsidR="00483714" w:rsidRPr="00547C6E" w:rsidRDefault="00483714" w:rsidP="00483714">
            <w:pPr>
              <w:pStyle w:val="BoxListBullet"/>
            </w:pPr>
            <w:r w:rsidRPr="00DE2D98">
              <w:rPr>
                <w:i/>
              </w:rPr>
              <w:t>task specific substitution method</w:t>
            </w:r>
            <w:r>
              <w:rPr>
                <w:i/>
              </w:rPr>
              <w:t xml:space="preserve"> </w:t>
            </w:r>
            <w:r w:rsidRPr="00DE2D98">
              <w:t>—</w:t>
            </w:r>
            <w:r>
              <w:t xml:space="preserve"> </w:t>
            </w:r>
            <w:r w:rsidRPr="00547C6E">
              <w:t xml:space="preserve">each task is valued at its market wage rate. </w:t>
            </w:r>
          </w:p>
          <w:p w:rsidR="00483714" w:rsidRDefault="00483714" w:rsidP="00483714">
            <w:pPr>
              <w:pStyle w:val="Box"/>
            </w:pPr>
            <w:r w:rsidRPr="00547C6E">
              <w:t>In both approaches</w:t>
            </w:r>
            <w:r>
              <w:t>,</w:t>
            </w:r>
            <w:r w:rsidRPr="00547C6E">
              <w:t xml:space="preserve"> operational tasks and time, including emergency response and community activities, were valued, as well as time spent on training, travel, administration and other tasks. </w:t>
            </w:r>
          </w:p>
          <w:p w:rsidR="00483714" w:rsidRPr="00547C6E" w:rsidRDefault="00483714" w:rsidP="00483714">
            <w:pPr>
              <w:pStyle w:val="Box"/>
            </w:pPr>
            <w:r w:rsidRPr="00547C6E">
              <w:t>The value of volunteer time for community preparedness services, operational response, training and unit management (without stand</w:t>
            </w:r>
            <w:r w:rsidRPr="00547C6E">
              <w:noBreakHyphen/>
              <w:t>by time) from 1994</w:t>
            </w:r>
            <w:r w:rsidRPr="00547C6E">
              <w:noBreakHyphen/>
              <w:t>95 to 2004</w:t>
            </w:r>
            <w:r w:rsidRPr="00547C6E">
              <w:noBreakHyphen/>
              <w:t xml:space="preserve">05 averaged around $52 million (NSW), $19 million (Victoria) and $12 million (SA) a year. </w:t>
            </w:r>
          </w:p>
          <w:p w:rsidR="00483714" w:rsidRDefault="00483714" w:rsidP="00483714">
            <w:pPr>
              <w:pStyle w:val="Box"/>
            </w:pPr>
            <w:r w:rsidRPr="00547C6E">
              <w:t>Stand</w:t>
            </w:r>
            <w:r w:rsidRPr="00547C6E">
              <w:noBreakHyphen/>
              <w:t>by time accounts for about 94 per cent of the total time in NSW and Victoria and about half the total value for NSW and 39 per cent for Victoria. The total time volunteers made available including stand</w:t>
            </w:r>
            <w:r w:rsidRPr="00547C6E">
              <w:noBreakHyphen/>
              <w:t xml:space="preserve">by time is </w:t>
            </w:r>
            <w:r>
              <w:t>estimated to be</w:t>
            </w:r>
            <w:r w:rsidRPr="00547C6E">
              <w:t xml:space="preserve"> more than $86 million and $41 million a year to NSW and Victoria respectively. For NSW the annual value of a volunteer’s contribution was estimated as $15 903. While the indirect or secondary </w:t>
            </w:r>
            <w:r>
              <w:t xml:space="preserve">social capital </w:t>
            </w:r>
            <w:r w:rsidRPr="00547C6E">
              <w:t xml:space="preserve">benefits that may arise through volunteerism were not valued, the study shows </w:t>
            </w:r>
            <w:r>
              <w:t xml:space="preserve">that </w:t>
            </w:r>
            <w:r w:rsidRPr="00547C6E">
              <w:t xml:space="preserve">volunteers provide </w:t>
            </w:r>
            <w:r>
              <w:t xml:space="preserve">a valuable, tangible benefit </w:t>
            </w:r>
            <w:r w:rsidRPr="00547C6E">
              <w:t>to their communities.</w:t>
            </w:r>
            <w:r>
              <w:t xml:space="preserve"> </w:t>
            </w:r>
          </w:p>
        </w:tc>
      </w:tr>
      <w:tr w:rsidR="00483714" w:rsidRPr="00547C6E" w:rsidTr="00483714">
        <w:trPr>
          <w:cantSplit/>
        </w:trPr>
        <w:tc>
          <w:tcPr>
            <w:tcW w:w="8771" w:type="dxa"/>
            <w:tcBorders>
              <w:top w:val="nil"/>
              <w:left w:val="single" w:sz="6" w:space="0" w:color="auto"/>
              <w:bottom w:val="nil"/>
              <w:right w:val="single" w:sz="6" w:space="0" w:color="auto"/>
            </w:tcBorders>
          </w:tcPr>
          <w:p w:rsidR="00483714" w:rsidRPr="00547C6E" w:rsidRDefault="00483714" w:rsidP="00483714">
            <w:pPr>
              <w:pStyle w:val="BoxSource"/>
            </w:pPr>
            <w:r w:rsidRPr="00547C6E">
              <w:rPr>
                <w:i/>
              </w:rPr>
              <w:t>Source</w:t>
            </w:r>
            <w:r w:rsidRPr="00547C6E">
              <w:t xml:space="preserve">: </w:t>
            </w:r>
            <w:proofErr w:type="spellStart"/>
            <w:r w:rsidRPr="00547C6E">
              <w:t>Ganewatta</w:t>
            </w:r>
            <w:proofErr w:type="spellEnd"/>
            <w:r w:rsidRPr="00547C6E">
              <w:t xml:space="preserve"> and </w:t>
            </w:r>
            <w:proofErr w:type="spellStart"/>
            <w:r w:rsidRPr="00547C6E">
              <w:t>Handmer</w:t>
            </w:r>
            <w:proofErr w:type="spellEnd"/>
            <w:r w:rsidRPr="00547C6E">
              <w:t xml:space="preserve"> (2007).</w:t>
            </w:r>
          </w:p>
        </w:tc>
      </w:tr>
      <w:tr w:rsidR="00483714" w:rsidRPr="00547C6E" w:rsidTr="00483714">
        <w:trPr>
          <w:cantSplit/>
        </w:trPr>
        <w:tc>
          <w:tcPr>
            <w:tcW w:w="8771" w:type="dxa"/>
            <w:tcBorders>
              <w:top w:val="nil"/>
              <w:left w:val="single" w:sz="6" w:space="0" w:color="auto"/>
              <w:bottom w:val="single" w:sz="6" w:space="0" w:color="auto"/>
              <w:right w:val="single" w:sz="6" w:space="0" w:color="auto"/>
            </w:tcBorders>
          </w:tcPr>
          <w:p w:rsidR="00483714" w:rsidRPr="00547C6E" w:rsidRDefault="00483714" w:rsidP="00483714">
            <w:pPr>
              <w:pStyle w:val="Box"/>
              <w:keepNext w:val="0"/>
              <w:spacing w:before="0" w:line="120" w:lineRule="exact"/>
            </w:pPr>
          </w:p>
        </w:tc>
      </w:tr>
    </w:tbl>
    <w:p w:rsidR="00DE2D11" w:rsidRPr="00262ED3" w:rsidRDefault="00DE2D11" w:rsidP="00DE2D11">
      <w:pPr>
        <w:pStyle w:val="Heading3"/>
      </w:pPr>
      <w:r>
        <w:t>S</w:t>
      </w:r>
      <w:r w:rsidRPr="00262ED3">
        <w:t>ocial and economic factors affecting demand for services</w:t>
      </w:r>
    </w:p>
    <w:p w:rsidR="005F50D5" w:rsidRDefault="004F5962" w:rsidP="00800311">
      <w:pPr>
        <w:pStyle w:val="BodyText"/>
      </w:pPr>
      <w:r w:rsidRPr="009E61BC">
        <w:t xml:space="preserve">The size, severity, timing, location and impacts of </w:t>
      </w:r>
      <w:r>
        <w:t>emergencies are difficult to predict</w:t>
      </w:r>
      <w:r w:rsidRPr="009E61BC">
        <w:t xml:space="preserve">. </w:t>
      </w:r>
      <w:r>
        <w:t xml:space="preserve">However, </w:t>
      </w:r>
      <w:r w:rsidR="00800311" w:rsidRPr="00035985">
        <w:t xml:space="preserve">many known factors </w:t>
      </w:r>
      <w:r w:rsidR="00800311">
        <w:t>increase</w:t>
      </w:r>
      <w:r w:rsidR="00800311" w:rsidRPr="00035985">
        <w:t xml:space="preserve"> vul</w:t>
      </w:r>
      <w:r w:rsidR="00800311">
        <w:t xml:space="preserve">nerability to emergency events </w:t>
      </w:r>
      <w:r w:rsidR="00800311" w:rsidRPr="00035985">
        <w:t>(</w:t>
      </w:r>
      <w:proofErr w:type="spellStart"/>
      <w:r w:rsidR="00800311">
        <w:t>COAG</w:t>
      </w:r>
      <w:proofErr w:type="spellEnd"/>
      <w:r w:rsidR="00800311">
        <w:t> </w:t>
      </w:r>
      <w:r w:rsidR="00800311" w:rsidRPr="00035985">
        <w:t>2011). Work</w:t>
      </w:r>
      <w:r w:rsidR="00800311" w:rsidRPr="00035985">
        <w:noBreakHyphen/>
        <w:t xml:space="preserve">life patterns, lifestyle expectations, demographic changes, domestic migration, and community fragmentation are increasing community </w:t>
      </w:r>
      <w:r w:rsidR="00800311" w:rsidRPr="00035985">
        <w:lastRenderedPageBreak/>
        <w:t>susceptibility and demand for emergency management services</w:t>
      </w:r>
      <w:r w:rsidR="005F50D5">
        <w:t xml:space="preserve">. In addition, </w:t>
      </w:r>
      <w:r w:rsidR="005F50D5" w:rsidRPr="009E61BC">
        <w:t>scientific modelling suggests that climate change will likely result in an increased frequency and severity of extreme weather ev</w:t>
      </w:r>
      <w:r w:rsidR="005F50D5">
        <w:t>ents (</w:t>
      </w:r>
      <w:proofErr w:type="spellStart"/>
      <w:r w:rsidR="005F50D5">
        <w:t>COAG</w:t>
      </w:r>
      <w:proofErr w:type="spellEnd"/>
      <w:r w:rsidR="005F50D5">
        <w:t> 2009)</w:t>
      </w:r>
      <w:r w:rsidR="005F50D5" w:rsidRPr="009E61BC">
        <w:t>.</w:t>
      </w:r>
    </w:p>
    <w:p w:rsidR="00DE2D11" w:rsidRPr="00035985" w:rsidRDefault="005F50D5" w:rsidP="004F5962">
      <w:pPr>
        <w:pStyle w:val="BodyText"/>
      </w:pPr>
      <w:r>
        <w:t>F</w:t>
      </w:r>
      <w:r w:rsidRPr="00035985">
        <w:t xml:space="preserve">actors </w:t>
      </w:r>
      <w:r w:rsidR="00DE2D11" w:rsidRPr="00035985">
        <w:t>that can influence disaster resilience include remoteness,</w:t>
      </w:r>
      <w:r w:rsidR="000B2B53">
        <w:t xml:space="preserve"> </w:t>
      </w:r>
      <w:r w:rsidR="000B2B53" w:rsidRPr="00B73A74">
        <w:t>access to services,</w:t>
      </w:r>
      <w:r w:rsidR="00DE2D11" w:rsidRPr="00035985">
        <w:t xml:space="preserve"> population density and mobility, </w:t>
      </w:r>
      <w:proofErr w:type="spellStart"/>
      <w:r w:rsidR="00DE2D11" w:rsidRPr="00035985">
        <w:t>socio</w:t>
      </w:r>
      <w:r w:rsidR="001525FA">
        <w:noBreakHyphen/>
      </w:r>
      <w:r w:rsidR="00DE2D11" w:rsidRPr="00035985">
        <w:t>economic</w:t>
      </w:r>
      <w:proofErr w:type="spellEnd"/>
      <w:r w:rsidR="00DE2D11" w:rsidRPr="00035985">
        <w:t xml:space="preserve"> status, age profile, and percentage of population for whom English is a second language. Within individual communities, certain members are more vulnerable and may need tailored advice and support.</w:t>
      </w:r>
    </w:p>
    <w:p w:rsidR="00A04CFC" w:rsidRPr="00495745" w:rsidRDefault="00DE2D11" w:rsidP="00DE2D11">
      <w:pPr>
        <w:pStyle w:val="ListBullet"/>
      </w:pPr>
      <w:r w:rsidRPr="00035985">
        <w:t>Research shows socially</w:t>
      </w:r>
      <w:r w:rsidR="001525FA">
        <w:noBreakHyphen/>
      </w:r>
      <w:r w:rsidRPr="00035985">
        <w:t xml:space="preserve">disadvantaged communities are more heavily impacted by emergency events. For example, the fire death and injury rates of Australia’s </w:t>
      </w:r>
      <w:r w:rsidRPr="00495745">
        <w:t>most disadvantaged areas (as defined by the 2001 Socio</w:t>
      </w:r>
      <w:r w:rsidR="001525FA">
        <w:noBreakHyphen/>
      </w:r>
      <w:r w:rsidRPr="00495745">
        <w:t xml:space="preserve">Economic Indexes for Areas) are 3.6 (Australia) and 2.6 (SA) times that of the least disadvantaged areas respectively (Dawson and Morris 2008). Similarly, in WA it has been found that </w:t>
      </w:r>
      <w:r w:rsidR="00C23D04" w:rsidRPr="00495745">
        <w:t>culturally and linguistically di</w:t>
      </w:r>
      <w:r w:rsidRPr="00495745">
        <w:t>verse communities are more vulnerable to fire events (</w:t>
      </w:r>
      <w:proofErr w:type="spellStart"/>
      <w:r w:rsidRPr="00495745">
        <w:t>FESA</w:t>
      </w:r>
      <w:proofErr w:type="spellEnd"/>
      <w:r w:rsidRPr="00495745">
        <w:t xml:space="preserve"> 2010). </w:t>
      </w:r>
    </w:p>
    <w:p w:rsidR="00A04CFC" w:rsidRPr="00495745" w:rsidRDefault="00DE2D11" w:rsidP="00DE2D11">
      <w:pPr>
        <w:pStyle w:val="ListBullet"/>
      </w:pPr>
      <w:r w:rsidRPr="00495745">
        <w:t xml:space="preserve">Population growth has been experienced across Australian regional centres, coastal areas, rural areas around major cities, alpine areas and along inland river systems. </w:t>
      </w:r>
      <w:r w:rsidRPr="009F2CED">
        <w:t>Such areas</w:t>
      </w:r>
      <w:r w:rsidR="00D26800" w:rsidRPr="009F2CED">
        <w:t xml:space="preserve"> </w:t>
      </w:r>
      <w:r w:rsidRPr="009F2CED">
        <w:t>are more susceptible</w:t>
      </w:r>
      <w:r w:rsidR="00D26800" w:rsidRPr="009F2CED">
        <w:t xml:space="preserve"> to</w:t>
      </w:r>
      <w:r w:rsidR="001D435B" w:rsidRPr="009F2CED">
        <w:t xml:space="preserve"> </w:t>
      </w:r>
      <w:r w:rsidR="003C0700" w:rsidRPr="009F2CED">
        <w:t xml:space="preserve">emergency events </w:t>
      </w:r>
      <w:r w:rsidR="00D26800" w:rsidRPr="009F2CED">
        <w:t xml:space="preserve">and require greater resources </w:t>
      </w:r>
      <w:r w:rsidR="003C0700" w:rsidRPr="009F2CED">
        <w:t xml:space="preserve">when an emergency event occurs </w:t>
      </w:r>
      <w:r w:rsidR="00A10DC9" w:rsidRPr="00495745">
        <w:t>(Victorian Bushfires Commission 2010)</w:t>
      </w:r>
      <w:r w:rsidRPr="00495745">
        <w:t xml:space="preserve">. </w:t>
      </w:r>
    </w:p>
    <w:p w:rsidR="00DE2D11" w:rsidRPr="00035985" w:rsidRDefault="00DE2D11" w:rsidP="00DE2D11">
      <w:pPr>
        <w:pStyle w:val="ListBullet"/>
      </w:pPr>
      <w:r w:rsidRPr="00495745">
        <w:t xml:space="preserve">Population change is expected to lead to an increased proportion of older Australians living in the community (Australian Government 2010). As more people fall into the older age groups their need to call for assistance in an </w:t>
      </w:r>
      <w:r w:rsidRPr="00035985">
        <w:t xml:space="preserve">emergency </w:t>
      </w:r>
      <w:r>
        <w:t xml:space="preserve">generally increases </w:t>
      </w:r>
      <w:r w:rsidRPr="00035985">
        <w:t xml:space="preserve">— be it individual medical emergencies requiring an ambulance, or assistance in preparing </w:t>
      </w:r>
      <w:r w:rsidR="00984110">
        <w:t xml:space="preserve">for </w:t>
      </w:r>
      <w:r w:rsidRPr="00035985">
        <w:t>and/or responding to a community wide emergency (such as for a natural disaster).</w:t>
      </w:r>
    </w:p>
    <w:p w:rsidR="00DE2D11" w:rsidRPr="00262ED3" w:rsidRDefault="00DE2D11" w:rsidP="00DE2D11">
      <w:pPr>
        <w:pStyle w:val="Heading3"/>
      </w:pPr>
      <w:r w:rsidRPr="00262ED3">
        <w:t>Service</w:t>
      </w:r>
      <w:r w:rsidR="001525FA">
        <w:noBreakHyphen/>
      </w:r>
      <w:r w:rsidRPr="00262ED3">
        <w:t>sector objectives</w:t>
      </w:r>
    </w:p>
    <w:p w:rsidR="00DE2D11" w:rsidRDefault="00DE2D11" w:rsidP="00DE2D11">
      <w:pPr>
        <w:pStyle w:val="BodyText"/>
      </w:pPr>
      <w:r w:rsidRPr="00035985">
        <w:t xml:space="preserve">The broad aim of emergency management is to reduce the level of risk to the community from emergencies. </w:t>
      </w:r>
      <w:r w:rsidRPr="00A05A09">
        <w:t xml:space="preserve">The framework of performance indicators in this </w:t>
      </w:r>
      <w:r w:rsidR="0054554B">
        <w:t>sector overview</w:t>
      </w:r>
      <w:r w:rsidRPr="00A05A09">
        <w:t xml:space="preserve"> is based on objectives</w:t>
      </w:r>
      <w:r w:rsidRPr="00214F67">
        <w:t xml:space="preserve"> for emergency </w:t>
      </w:r>
      <w:r w:rsidRPr="00A05A09">
        <w:t xml:space="preserve">management </w:t>
      </w:r>
      <w:r>
        <w:t xml:space="preserve">established in the </w:t>
      </w:r>
      <w:r w:rsidRPr="00AF3A82">
        <w:rPr>
          <w:i/>
        </w:rPr>
        <w:t>National Strategy for Disaster Resilience</w:t>
      </w:r>
      <w:r>
        <w:t xml:space="preserve"> and </w:t>
      </w:r>
      <w:r w:rsidRPr="00A05A09">
        <w:t>that</w:t>
      </w:r>
      <w:r w:rsidRPr="00547C6E">
        <w:t xml:space="preserve"> are </w:t>
      </w:r>
      <w:r w:rsidRPr="00A05A09">
        <w:t xml:space="preserve">common to all Australian </w:t>
      </w:r>
      <w:r w:rsidR="000836B9" w:rsidRPr="00A05A09">
        <w:t>emergency services organisation</w:t>
      </w:r>
      <w:r w:rsidR="000836B9">
        <w:t>s</w:t>
      </w:r>
      <w:r w:rsidRPr="00A05A09">
        <w:t xml:space="preserve"> (box </w:t>
      </w:r>
      <w:proofErr w:type="spellStart"/>
      <w:r w:rsidR="004A5FB9">
        <w:t>D.3</w:t>
      </w:r>
      <w:proofErr w:type="spellEnd"/>
      <w:r w:rsidRPr="00A05A09">
        <w:t xml:space="preserve">). </w:t>
      </w:r>
    </w:p>
    <w:p w:rsidR="00DE2D11" w:rsidRPr="00A05A09" w:rsidRDefault="00DE2D11" w:rsidP="00DE2D1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E2D11" w:rsidRPr="00A05A09" w:rsidTr="001D435B">
        <w:trPr>
          <w:cantSplit/>
        </w:trPr>
        <w:tc>
          <w:tcPr>
            <w:tcW w:w="8771" w:type="dxa"/>
            <w:tcBorders>
              <w:top w:val="single" w:sz="6" w:space="0" w:color="auto"/>
              <w:bottom w:val="nil"/>
            </w:tcBorders>
          </w:tcPr>
          <w:p w:rsidR="00DE2D11" w:rsidRPr="00A05A09" w:rsidRDefault="00DE2D11" w:rsidP="001D435B">
            <w:pPr>
              <w:pStyle w:val="BoxTitle"/>
            </w:pPr>
            <w:r w:rsidRPr="00A05A09">
              <w:rPr>
                <w:b w:val="0"/>
              </w:rPr>
              <w:t>Box </w:t>
            </w:r>
            <w:bookmarkStart w:id="18" w:name="OLE_LINK10"/>
            <w:proofErr w:type="spellStart"/>
            <w:r w:rsidR="00CA09FA">
              <w:rPr>
                <w:b w:val="0"/>
              </w:rPr>
              <w:t>D.</w:t>
            </w:r>
            <w:r w:rsidR="005A1847">
              <w:rPr>
                <w:b w:val="0"/>
                <w:noProof/>
              </w:rPr>
              <w:t>3</w:t>
            </w:r>
            <w:bookmarkEnd w:id="18"/>
            <w:proofErr w:type="spellEnd"/>
            <w:r w:rsidRPr="00A05A09">
              <w:tab/>
              <w:t xml:space="preserve">Objectives for emergency management </w:t>
            </w:r>
          </w:p>
        </w:tc>
      </w:tr>
      <w:tr w:rsidR="00DE2D11" w:rsidRPr="009777D8" w:rsidTr="00A70673">
        <w:tc>
          <w:tcPr>
            <w:tcW w:w="8771" w:type="dxa"/>
            <w:tcBorders>
              <w:top w:val="nil"/>
              <w:left w:val="single" w:sz="6" w:space="0" w:color="auto"/>
              <w:bottom w:val="nil"/>
              <w:right w:val="single" w:sz="6" w:space="0" w:color="auto"/>
            </w:tcBorders>
          </w:tcPr>
          <w:p w:rsidR="00DE2D11" w:rsidRPr="009777D8" w:rsidRDefault="00DE2D11" w:rsidP="001350BD">
            <w:pPr>
              <w:pStyle w:val="Box"/>
            </w:pPr>
            <w:r w:rsidRPr="009777D8">
              <w:t xml:space="preserve">Emergency management services aim to build disaster resilient communities that work together to understand and manage the risks that </w:t>
            </w:r>
            <w:r>
              <w:t>they</w:t>
            </w:r>
            <w:r w:rsidRPr="009777D8">
              <w:t xml:space="preserve"> confront. Emergency management services provide highly effective, efficient and accessible services that:</w:t>
            </w:r>
          </w:p>
          <w:p w:rsidR="00DE2D11" w:rsidRPr="009777D8" w:rsidRDefault="00DE2D11" w:rsidP="00A70673">
            <w:pPr>
              <w:pStyle w:val="BoxListBullet"/>
              <w:keepNext w:val="0"/>
            </w:pPr>
            <w:r w:rsidRPr="009777D8">
              <w:t>reduce the adverse effects of emergencies and disasters on the community (including people, property, infrastructure, economy and environment)</w:t>
            </w:r>
          </w:p>
          <w:p w:rsidR="00DE2D11" w:rsidRPr="009777D8" w:rsidRDefault="00DE2D11" w:rsidP="00A70673">
            <w:pPr>
              <w:pStyle w:val="BoxListBullet"/>
              <w:keepNext w:val="0"/>
            </w:pPr>
            <w:r w:rsidRPr="009777D8">
              <w:t>contribute to the management of risks to the community</w:t>
            </w:r>
          </w:p>
          <w:p w:rsidR="00DE2D11" w:rsidRPr="009777D8" w:rsidRDefault="00DE2D11" w:rsidP="00A70673">
            <w:pPr>
              <w:pStyle w:val="BoxListBullet"/>
              <w:keepNext w:val="0"/>
            </w:pPr>
            <w:r w:rsidRPr="009777D8">
              <w:t>enhance public safety.</w:t>
            </w:r>
          </w:p>
        </w:tc>
      </w:tr>
      <w:tr w:rsidR="00DE2D11" w:rsidRPr="00A05A09" w:rsidTr="001D435B">
        <w:trPr>
          <w:cantSplit/>
        </w:trPr>
        <w:tc>
          <w:tcPr>
            <w:tcW w:w="8771" w:type="dxa"/>
            <w:tcBorders>
              <w:top w:val="nil"/>
              <w:left w:val="single" w:sz="6" w:space="0" w:color="auto"/>
              <w:bottom w:val="single" w:sz="6" w:space="0" w:color="auto"/>
              <w:right w:val="single" w:sz="6" w:space="0" w:color="auto"/>
            </w:tcBorders>
          </w:tcPr>
          <w:p w:rsidR="00DE2D11" w:rsidRPr="00A05A09" w:rsidRDefault="00DE2D11" w:rsidP="00A70673">
            <w:pPr>
              <w:pStyle w:val="Box"/>
              <w:keepNext w:val="0"/>
              <w:spacing w:before="0" w:line="120" w:lineRule="exact"/>
            </w:pPr>
          </w:p>
        </w:tc>
      </w:tr>
    </w:tbl>
    <w:p w:rsidR="00E83549" w:rsidRPr="00E83549" w:rsidRDefault="00E83549" w:rsidP="00E83549">
      <w:pPr>
        <w:pStyle w:val="Heading4"/>
      </w:pPr>
      <w:r>
        <w:t>D</w:t>
      </w:r>
      <w:r w:rsidRPr="00E83549">
        <w:t xml:space="preserve">isaster resilient communities </w:t>
      </w:r>
    </w:p>
    <w:p w:rsidR="00E83549" w:rsidRPr="00495745" w:rsidRDefault="00E83549" w:rsidP="00E83549">
      <w:pPr>
        <w:pStyle w:val="BodyText"/>
      </w:pPr>
      <w:r w:rsidRPr="00495745">
        <w:t>The Council of Australian Governments (</w:t>
      </w:r>
      <w:proofErr w:type="spellStart"/>
      <w:r w:rsidRPr="00495745">
        <w:t>COAG</w:t>
      </w:r>
      <w:proofErr w:type="spellEnd"/>
      <w:r w:rsidRPr="00495745">
        <w:t xml:space="preserve">) adopted the </w:t>
      </w:r>
      <w:r w:rsidRPr="00495745">
        <w:rPr>
          <w:i/>
        </w:rPr>
        <w:t>National Strategy for Disaster Resilience</w:t>
      </w:r>
      <w:r w:rsidRPr="00495745">
        <w:t xml:space="preserve"> on 13 February</w:t>
      </w:r>
      <w:r w:rsidR="00BE3E26">
        <w:t xml:space="preserve"> </w:t>
      </w:r>
      <w:r w:rsidRPr="00495745">
        <w:t>2011 (</w:t>
      </w:r>
      <w:proofErr w:type="spellStart"/>
      <w:r w:rsidRPr="00495745">
        <w:t>COAG</w:t>
      </w:r>
      <w:proofErr w:type="spellEnd"/>
      <w:r w:rsidRPr="00495745">
        <w:t> 2011). Under the agreement Australian governments adopted an emergency management strategy that promotes a ‘resilience’ based approach to natural disaster policy and programs (</w:t>
      </w:r>
      <w:proofErr w:type="spellStart"/>
      <w:r w:rsidRPr="00495745">
        <w:t>COAG</w:t>
      </w:r>
      <w:proofErr w:type="spellEnd"/>
      <w:r w:rsidRPr="00495745">
        <w:t> 2011).</w:t>
      </w:r>
    </w:p>
    <w:p w:rsidR="00E83549" w:rsidRPr="00495745" w:rsidRDefault="00F55D63" w:rsidP="002E6C71">
      <w:pPr>
        <w:pStyle w:val="BodyText"/>
      </w:pPr>
      <w:r w:rsidRPr="00CA1305">
        <w:t>The goal of a disaster resilient community is one that is better able to withstand an emergency event and have</w:t>
      </w:r>
      <w:r>
        <w:t xml:space="preserve"> </w:t>
      </w:r>
      <w:r w:rsidR="00E83549" w:rsidRPr="00495745">
        <w:rPr>
          <w:iCs/>
          <w:lang w:val="en-US"/>
        </w:rPr>
        <w:t xml:space="preserve">an ability to recover from residual impacts </w:t>
      </w:r>
      <w:r w:rsidR="00E83549" w:rsidRPr="00495745">
        <w:rPr>
          <w:lang w:val="en-GB"/>
        </w:rPr>
        <w:t xml:space="preserve">whether individuals or </w:t>
      </w:r>
      <w:r w:rsidR="00693EC9">
        <w:rPr>
          <w:lang w:val="en-GB"/>
        </w:rPr>
        <w:t>communities</w:t>
      </w:r>
      <w:r w:rsidR="00E83549" w:rsidRPr="00495745">
        <w:rPr>
          <w:lang w:val="en-GB"/>
        </w:rPr>
        <w:t xml:space="preserve"> </w:t>
      </w:r>
      <w:r w:rsidR="00693EC9">
        <w:rPr>
          <w:lang w:val="en-GB"/>
        </w:rPr>
        <w:t xml:space="preserve">are </w:t>
      </w:r>
      <w:r w:rsidR="00E83549" w:rsidRPr="00495745">
        <w:rPr>
          <w:lang w:val="en-GB"/>
        </w:rPr>
        <w:t>hit by medical emergencies, extreme weather</w:t>
      </w:r>
      <w:r w:rsidR="00B631F9">
        <w:rPr>
          <w:lang w:val="en-GB"/>
        </w:rPr>
        <w:t xml:space="preserve"> events</w:t>
      </w:r>
      <w:r w:rsidR="00E83549" w:rsidRPr="00495745">
        <w:rPr>
          <w:lang w:val="en-GB"/>
        </w:rPr>
        <w:t xml:space="preserve">, </w:t>
      </w:r>
      <w:r w:rsidR="00B631F9">
        <w:rPr>
          <w:lang w:val="en-GB"/>
        </w:rPr>
        <w:t>bush</w:t>
      </w:r>
      <w:r w:rsidR="00E83549" w:rsidRPr="00495745">
        <w:rPr>
          <w:lang w:val="en-GB"/>
        </w:rPr>
        <w:t>fire</w:t>
      </w:r>
      <w:r w:rsidR="00B631F9">
        <w:rPr>
          <w:lang w:val="en-GB"/>
        </w:rPr>
        <w:t>s</w:t>
      </w:r>
      <w:r w:rsidR="00E83549" w:rsidRPr="00495745">
        <w:rPr>
          <w:lang w:val="en-GB"/>
        </w:rPr>
        <w:t xml:space="preserve">, </w:t>
      </w:r>
      <w:r w:rsidR="00B631F9">
        <w:rPr>
          <w:lang w:val="en-GB"/>
        </w:rPr>
        <w:t>transport accidents, industrial emergencies</w:t>
      </w:r>
      <w:r w:rsidR="00E83549" w:rsidRPr="00495745">
        <w:rPr>
          <w:lang w:val="en-GB"/>
        </w:rPr>
        <w:t xml:space="preserve">, or other threats to health and safety </w:t>
      </w:r>
      <w:r w:rsidR="00E83549" w:rsidRPr="00495745">
        <w:rPr>
          <w:iCs/>
          <w:lang w:val="en-US"/>
        </w:rPr>
        <w:t>(</w:t>
      </w:r>
      <w:proofErr w:type="spellStart"/>
      <w:r w:rsidR="00E83549" w:rsidRPr="00495745">
        <w:rPr>
          <w:iCs/>
          <w:lang w:val="en-US"/>
        </w:rPr>
        <w:t>COAG</w:t>
      </w:r>
      <w:proofErr w:type="spellEnd"/>
      <w:r w:rsidR="00E83549" w:rsidRPr="00495745">
        <w:rPr>
          <w:iCs/>
          <w:lang w:val="en-US"/>
        </w:rPr>
        <w:t xml:space="preserve"> 2009). </w:t>
      </w:r>
    </w:p>
    <w:p w:rsidR="00E83549" w:rsidRDefault="00A24D54" w:rsidP="00A24D54">
      <w:pPr>
        <w:pStyle w:val="Heading4"/>
      </w:pPr>
      <w:r w:rsidRPr="00632775">
        <w:t>Prevention/mitigation, preparedness, response and recovery</w:t>
      </w:r>
    </w:p>
    <w:p w:rsidR="00322A9C" w:rsidRPr="00A05A09" w:rsidRDefault="00A24D54" w:rsidP="00A24D54">
      <w:pPr>
        <w:pStyle w:val="BodyText"/>
      </w:pPr>
      <w:r>
        <w:t>To meet the objectives of emergency management, emergency service organisations</w:t>
      </w:r>
      <w:r w:rsidRPr="00A24D54">
        <w:t xml:space="preserve"> </w:t>
      </w:r>
      <w:r w:rsidRPr="00A05A09">
        <w:t>classify the</w:t>
      </w:r>
      <w:r>
        <w:t>ir</w:t>
      </w:r>
      <w:r w:rsidRPr="00A05A09">
        <w:t xml:space="preserve"> key functions in managing emergency events</w:t>
      </w:r>
      <w:r>
        <w:t xml:space="preserve"> to t</w:t>
      </w:r>
      <w:r w:rsidRPr="00A05A09">
        <w:t>he prevention/mitigation, preparedness, response and recovery framework</w:t>
      </w:r>
      <w:r>
        <w:t xml:space="preserve">. </w:t>
      </w:r>
      <w:r w:rsidR="00322A9C" w:rsidRPr="00A05A09">
        <w:t xml:space="preserve">The framework uses the </w:t>
      </w:r>
      <w:r>
        <w:t xml:space="preserve">following </w:t>
      </w:r>
      <w:r w:rsidR="00322A9C" w:rsidRPr="00A05A09">
        <w:t>widely accepted ‘comprehensive approach’</w:t>
      </w:r>
      <w:r>
        <w:t>.</w:t>
      </w:r>
    </w:p>
    <w:p w:rsidR="00322A9C" w:rsidRPr="00A05A09" w:rsidRDefault="00322A9C" w:rsidP="00322A9C">
      <w:pPr>
        <w:pStyle w:val="ListBullet"/>
      </w:pPr>
      <w:r w:rsidRPr="00A05A09">
        <w:rPr>
          <w:i/>
        </w:rPr>
        <w:t>Prevention/mitigation</w:t>
      </w:r>
      <w:r w:rsidRPr="00A05A09">
        <w:t xml:space="preserve"> — </w:t>
      </w:r>
      <w:r w:rsidR="00A24D54" w:rsidRPr="00A05A09">
        <w:t xml:space="preserve">The </w:t>
      </w:r>
      <w:r w:rsidRPr="00A05A09">
        <w:t>results of measures taken in advance of an emergency aimed at decreasing or eliminating its impact on the community and the environment. Activities that contribute to prevention and mitigation include: advice on land management practice and planning; the inspection of property and buildings for hazards, compliance with standards and building codes, and levels of safe practices; the preparation of risk assessment and emergency management plans; risk categorisation for public information campaigns; and public information campaigns and educational programs to promote safe practices in the community.</w:t>
      </w:r>
    </w:p>
    <w:p w:rsidR="00AA3F9A" w:rsidRPr="00A05A09" w:rsidRDefault="00AA3F9A" w:rsidP="00AA3F9A">
      <w:pPr>
        <w:pStyle w:val="ListBullet"/>
      </w:pPr>
      <w:r w:rsidRPr="00A05A09">
        <w:rPr>
          <w:i/>
        </w:rPr>
        <w:t>Preparedness</w:t>
      </w:r>
      <w:r w:rsidRPr="00A05A09">
        <w:t xml:space="preserve"> — </w:t>
      </w:r>
      <w:r w:rsidR="00A24D54" w:rsidRPr="00A05A09">
        <w:t xml:space="preserve">The </w:t>
      </w:r>
      <w:r w:rsidRPr="00A05A09">
        <w:t xml:space="preserve">results of measures to ensure, if an emergency occurs, that communities, resources and services are capable of responding to, and coping </w:t>
      </w:r>
      <w:r w:rsidRPr="00A05A09">
        <w:lastRenderedPageBreak/>
        <w:t>with, the effects. Activities that contribute to preparedness include: public education and training; emergency detection and response planning (including the installation of smoke alarms and/or sprinklers); hazardous chemicals and material certification, and the inspection of storage and handling arrangements; the exercising, training and testing of emergency service personnel; and standby and resource deployment and maintenance. Preparedness also involves establishing equipment standards and monitoring adherence to those standards.</w:t>
      </w:r>
    </w:p>
    <w:p w:rsidR="00AA3F9A" w:rsidRPr="00A05A09" w:rsidRDefault="00AA3F9A" w:rsidP="00AA3F9A">
      <w:pPr>
        <w:pStyle w:val="ListBullet"/>
      </w:pPr>
      <w:r w:rsidRPr="00A05A09">
        <w:rPr>
          <w:i/>
        </w:rPr>
        <w:t>Response</w:t>
      </w:r>
      <w:r w:rsidRPr="00A05A09">
        <w:t xml:space="preserve"> — </w:t>
      </w:r>
      <w:r w:rsidR="00A24D54" w:rsidRPr="00A05A09">
        <w:t xml:space="preserve">The </w:t>
      </w:r>
      <w:r w:rsidRPr="00A05A09">
        <w:t>results of strategies and services to control, limit or modify the emergency to reduce its consequences. Activities that contribute to response include: the implementation of emergency plans and procedures; the issuing of emergency warnings; the mobilisation of resources in response to emergency incidents; the suppression of hazards (for example, fire containment); the provision of immediate medical assistance and relief; and search and rescue.</w:t>
      </w:r>
    </w:p>
    <w:p w:rsidR="00AA3F9A" w:rsidRPr="00A05A09" w:rsidRDefault="00AA3F9A" w:rsidP="00AA3F9A">
      <w:pPr>
        <w:pStyle w:val="ListBullet"/>
      </w:pPr>
      <w:r w:rsidRPr="00A05A09">
        <w:rPr>
          <w:i/>
        </w:rPr>
        <w:t>Recovery (community)</w:t>
      </w:r>
      <w:r w:rsidRPr="00A05A09">
        <w:t xml:space="preserve"> — </w:t>
      </w:r>
      <w:r w:rsidR="00A24D54" w:rsidRPr="00A05A09">
        <w:t xml:space="preserve">The </w:t>
      </w:r>
      <w:r w:rsidRPr="00A05A09">
        <w:t>results of strategies and services to support affected individuals and communities in their reconstruction of physical infrastructure and their restoration of emotional, social, economic and physical wellbeing</w:t>
      </w:r>
      <w:r w:rsidR="000B2B53">
        <w:t xml:space="preserve"> </w:t>
      </w:r>
      <w:r w:rsidR="000B2B53" w:rsidRPr="00B73A74">
        <w:t>within their changed environment</w:t>
      </w:r>
      <w:r w:rsidRPr="00A05A09">
        <w:t>. Activities that contribute to community recovery include: the restoration of essential services; counselling programs; temporary housing; long term medical care;</w:t>
      </w:r>
      <w:r w:rsidR="000B2B53">
        <w:t xml:space="preserve"> </w:t>
      </w:r>
      <w:r w:rsidR="000B2B53" w:rsidRPr="00B73A74">
        <w:t>restoration of community confidence and economic viability;</w:t>
      </w:r>
      <w:r w:rsidRPr="00A05A09">
        <w:t xml:space="preserve"> and public health and safety information.</w:t>
      </w:r>
    </w:p>
    <w:p w:rsidR="00AA3F9A" w:rsidRPr="00A05A09" w:rsidRDefault="00AA3F9A" w:rsidP="00AA3F9A">
      <w:pPr>
        <w:pStyle w:val="ListBullet"/>
      </w:pPr>
      <w:r w:rsidRPr="00A05A09">
        <w:rPr>
          <w:i/>
        </w:rPr>
        <w:t>Recovery (</w:t>
      </w:r>
      <w:r w:rsidRPr="000836B9">
        <w:rPr>
          <w:i/>
        </w:rPr>
        <w:t>emergency services organisations</w:t>
      </w:r>
      <w:r w:rsidRPr="00A05A09">
        <w:rPr>
          <w:i/>
        </w:rPr>
        <w:t>)</w:t>
      </w:r>
      <w:r w:rsidRPr="00A05A09">
        <w:t xml:space="preserve"> — </w:t>
      </w:r>
      <w:r w:rsidR="00A24D54" w:rsidRPr="00A05A09">
        <w:t xml:space="preserve">The </w:t>
      </w:r>
      <w:r w:rsidRPr="00A05A09">
        <w:t>results of strategies and services to return agencies to a state of preparedness after emergency situations. Activities that contribute to emergency services recovery include: critical incident stress debriefing; and the return of emergency services organisation</w:t>
      </w:r>
      <w:r>
        <w:t>s</w:t>
      </w:r>
      <w:r w:rsidRPr="00A05A09">
        <w:t xml:space="preserve"> resources to the state of readiness specified in response plans.</w:t>
      </w:r>
    </w:p>
    <w:p w:rsidR="00DE2D11" w:rsidRPr="00262ED3" w:rsidRDefault="00CA09FA" w:rsidP="00DE2D11">
      <w:pPr>
        <w:pStyle w:val="Heading2"/>
      </w:pPr>
      <w:bookmarkStart w:id="19" w:name="_Toc294252406"/>
      <w:bookmarkStart w:id="20" w:name="_Toc337997851"/>
      <w:proofErr w:type="spellStart"/>
      <w:r>
        <w:t>D.</w:t>
      </w:r>
      <w:r w:rsidR="005A1847">
        <w:rPr>
          <w:noProof/>
        </w:rPr>
        <w:t>2</w:t>
      </w:r>
      <w:proofErr w:type="spellEnd"/>
      <w:r w:rsidR="00DE2D11">
        <w:tab/>
        <w:t>Sector</w:t>
      </w:r>
      <w:r w:rsidR="00DE2D11" w:rsidRPr="00262ED3">
        <w:t xml:space="preserve"> performance indicator framework</w:t>
      </w:r>
      <w:bookmarkEnd w:id="19"/>
      <w:bookmarkEnd w:id="20"/>
    </w:p>
    <w:p w:rsidR="00DE2D11" w:rsidRPr="00262ED3" w:rsidRDefault="00DE2D11" w:rsidP="00DE2D11">
      <w:pPr>
        <w:pStyle w:val="BodyText"/>
      </w:pPr>
      <w:r w:rsidRPr="00262ED3">
        <w:t xml:space="preserve">This </w:t>
      </w:r>
      <w:r w:rsidR="0054554B">
        <w:t>sector overview</w:t>
      </w:r>
      <w:r w:rsidRPr="00262ED3">
        <w:t xml:space="preserve"> </w:t>
      </w:r>
      <w:r>
        <w:t xml:space="preserve">is based on </w:t>
      </w:r>
      <w:r w:rsidRPr="00262ED3">
        <w:t xml:space="preserve">a </w:t>
      </w:r>
      <w:r>
        <w:t xml:space="preserve">sector </w:t>
      </w:r>
      <w:r w:rsidRPr="00262ED3">
        <w:t>performance indicator framework (figure</w:t>
      </w:r>
      <w:r w:rsidR="00FE727D">
        <w:t> </w:t>
      </w:r>
      <w:proofErr w:type="spellStart"/>
      <w:r w:rsidR="00CA09FA">
        <w:t>D.4</w:t>
      </w:r>
      <w:proofErr w:type="spellEnd"/>
      <w:r w:rsidR="005F50D5">
        <w:t>)</w:t>
      </w:r>
      <w:r w:rsidRPr="00262ED3">
        <w:t>.</w:t>
      </w:r>
      <w:r>
        <w:t xml:space="preserve"> </w:t>
      </w:r>
      <w:r w:rsidRPr="00262ED3">
        <w:t>Th</w:t>
      </w:r>
      <w:r>
        <w:t xml:space="preserve">is </w:t>
      </w:r>
      <w:r w:rsidRPr="00262ED3">
        <w:t>framework is made up of the following elements:</w:t>
      </w:r>
    </w:p>
    <w:p w:rsidR="00AA3F9A" w:rsidRPr="00262ED3" w:rsidRDefault="00AA3F9A" w:rsidP="00AA3F9A">
      <w:pPr>
        <w:pStyle w:val="ListBullet"/>
      </w:pPr>
      <w:r>
        <w:t>Sector objectives</w:t>
      </w:r>
      <w:r w:rsidRPr="00262ED3">
        <w:t xml:space="preserve"> — </w:t>
      </w:r>
      <w:r>
        <w:t>five sector objectives</w:t>
      </w:r>
      <w:r w:rsidRPr="00262ED3">
        <w:t xml:space="preserve"> </w:t>
      </w:r>
      <w:r>
        <w:t xml:space="preserve">are a précis of </w:t>
      </w:r>
      <w:r w:rsidRPr="00262ED3">
        <w:t xml:space="preserve">the key objectives of </w:t>
      </w:r>
      <w:r>
        <w:t xml:space="preserve">emergency management (box </w:t>
      </w:r>
      <w:proofErr w:type="spellStart"/>
      <w:r>
        <w:t>D.3</w:t>
      </w:r>
      <w:proofErr w:type="spellEnd"/>
      <w:r>
        <w:t>)</w:t>
      </w:r>
      <w:r w:rsidRPr="00262ED3">
        <w:t>.</w:t>
      </w:r>
      <w:r>
        <w:t xml:space="preserve"> </w:t>
      </w:r>
    </w:p>
    <w:p w:rsidR="00AA3F9A" w:rsidRDefault="00AA3F9A" w:rsidP="00AA3F9A">
      <w:pPr>
        <w:pStyle w:val="ListBullet"/>
      </w:pPr>
      <w:r w:rsidRPr="00262ED3">
        <w:t>Sector</w:t>
      </w:r>
      <w:r w:rsidR="001525FA">
        <w:noBreakHyphen/>
      </w:r>
      <w:r w:rsidRPr="00262ED3">
        <w:t xml:space="preserve">wide indicators — </w:t>
      </w:r>
      <w:r>
        <w:t xml:space="preserve">two </w:t>
      </w:r>
      <w:r w:rsidRPr="00262ED3">
        <w:t>sector</w:t>
      </w:r>
      <w:r w:rsidR="001525FA">
        <w:noBreakHyphen/>
      </w:r>
      <w:r w:rsidRPr="00262ED3">
        <w:t xml:space="preserve">wide indicators </w:t>
      </w:r>
      <w:r>
        <w:t xml:space="preserve">relate to the overarching service sector objectives </w:t>
      </w:r>
      <w:r w:rsidRPr="00262ED3">
        <w:t xml:space="preserve">identified in the </w:t>
      </w:r>
      <w:r w:rsidRPr="001D2BC1">
        <w:rPr>
          <w:i/>
        </w:rPr>
        <w:t>National Disaster Resilience Statement</w:t>
      </w:r>
      <w:r w:rsidRPr="008F6056">
        <w:t xml:space="preserve"> </w:t>
      </w:r>
      <w:r>
        <w:t>(</w:t>
      </w:r>
      <w:proofErr w:type="spellStart"/>
      <w:r>
        <w:t>COAG</w:t>
      </w:r>
      <w:proofErr w:type="spellEnd"/>
      <w:r>
        <w:t xml:space="preserve"> 2009) </w:t>
      </w:r>
      <w:r w:rsidRPr="00262ED3">
        <w:t xml:space="preserve">and the </w:t>
      </w:r>
      <w:r w:rsidRPr="001D2BC1">
        <w:rPr>
          <w:i/>
        </w:rPr>
        <w:t>National Strategy for Disaster Resilience</w:t>
      </w:r>
      <w:r>
        <w:t xml:space="preserve"> (</w:t>
      </w:r>
      <w:proofErr w:type="spellStart"/>
      <w:r>
        <w:t>COAG</w:t>
      </w:r>
      <w:proofErr w:type="spellEnd"/>
      <w:r>
        <w:t> 2011)</w:t>
      </w:r>
      <w:r w:rsidRPr="00262ED3">
        <w:t>.</w:t>
      </w:r>
    </w:p>
    <w:p w:rsidR="00AA3F9A" w:rsidRPr="00262ED3" w:rsidRDefault="00AA3F9A" w:rsidP="00AA3F9A">
      <w:pPr>
        <w:pStyle w:val="ListBullet"/>
      </w:pPr>
      <w:r>
        <w:t>Information from the service</w:t>
      </w:r>
      <w:r w:rsidR="001525FA">
        <w:noBreakHyphen/>
      </w:r>
      <w:r>
        <w:t xml:space="preserve">specific </w:t>
      </w:r>
      <w:r w:rsidRPr="004F7C55">
        <w:t>performance indicator framework</w:t>
      </w:r>
      <w:r>
        <w:t xml:space="preserve">s that relate to emergency </w:t>
      </w:r>
      <w:r w:rsidRPr="001A1FC4" w:rsidDel="00116972">
        <w:t>service</w:t>
      </w:r>
      <w:r w:rsidDel="00116972">
        <w:t>s</w:t>
      </w:r>
      <w:r>
        <w:t>. Discussed in more detail in chapter</w:t>
      </w:r>
      <w:r w:rsidR="001525FA">
        <w:t> </w:t>
      </w:r>
      <w:r>
        <w:t xml:space="preserve">9, the </w:t>
      </w:r>
      <w:r>
        <w:lastRenderedPageBreak/>
        <w:t>service</w:t>
      </w:r>
      <w:r>
        <w:noBreakHyphen/>
        <w:t xml:space="preserve">specific frameworks provide comprehensive information on </w:t>
      </w:r>
      <w:r w:rsidRPr="004F7C55">
        <w:t xml:space="preserve">the equity, effectiveness and efficiency </w:t>
      </w:r>
      <w:r>
        <w:t>of these services.</w:t>
      </w:r>
    </w:p>
    <w:p w:rsidR="00876403" w:rsidRDefault="00876403" w:rsidP="00876403">
      <w:pPr>
        <w:pStyle w:val="BodyText"/>
      </w:pPr>
      <w:bookmarkStart w:id="21" w:name="_Toc343076269"/>
      <w:bookmarkStart w:id="22" w:name="_Toc343077259"/>
      <w:r>
        <w:t xml:space="preserve">This sector overview provides an </w:t>
      </w:r>
      <w:r w:rsidRPr="00CF7D56">
        <w:t>overview</w:t>
      </w:r>
      <w:r w:rsidRPr="004F7C55">
        <w:t xml:space="preserve"> </w:t>
      </w:r>
      <w:r>
        <w:t>of relevant performance information. Chapter</w:t>
      </w:r>
      <w:r w:rsidR="001525FA">
        <w:t> </w:t>
      </w:r>
      <w:r>
        <w:t>9</w:t>
      </w:r>
      <w:r w:rsidRPr="00262ED3">
        <w:t xml:space="preserve"> and </w:t>
      </w:r>
      <w:r>
        <w:t xml:space="preserve">its </w:t>
      </w:r>
      <w:r w:rsidRPr="00262ED3">
        <w:t xml:space="preserve">associated attachment tables provide </w:t>
      </w:r>
      <w:r>
        <w:t>more detailed</w:t>
      </w:r>
      <w:r w:rsidRPr="00262ED3">
        <w:t xml:space="preserve"> information</w:t>
      </w:r>
      <w:r>
        <w:t xml:space="preserve">. </w:t>
      </w:r>
    </w:p>
    <w:p w:rsidR="00876403" w:rsidRDefault="00876403" w:rsidP="00876403">
      <w:pPr>
        <w:pStyle w:val="BodyText"/>
      </w:pPr>
      <w:r w:rsidRPr="0007511A">
        <w:t>Data quality information (DQI) is being progressively introduced for all indicators in the Report. The purpose of DQI is to provide structured and consistent information about quality aspects of data used to report on performance indicators. DQI in this Report cover the seven dimensions in the ABS’ data quality framework (institutional environment, relevance, timeliness, accuracy, coherence, accessibility and interpretability) in addition to dimensions that define and describe performance indicators in a consistent manner, and note key data gaps and issues identified by the Steering Committee. All DQI for the 201</w:t>
      </w:r>
      <w:r>
        <w:t>4</w:t>
      </w:r>
      <w:r w:rsidRPr="0007511A">
        <w:t xml:space="preserve"> Report can be found at </w:t>
      </w:r>
      <w:proofErr w:type="spellStart"/>
      <w:r w:rsidRPr="0007511A">
        <w:t>www.pc.gov.au</w:t>
      </w:r>
      <w:proofErr w:type="spellEnd"/>
      <w:r w:rsidRPr="0007511A">
        <w:t>/</w:t>
      </w:r>
      <w:proofErr w:type="spellStart"/>
      <w:r w:rsidRPr="0007511A">
        <w:t>gsp</w:t>
      </w:r>
      <w:proofErr w:type="spellEnd"/>
      <w:r w:rsidRPr="0007511A">
        <w:t>/reports/</w:t>
      </w:r>
      <w:proofErr w:type="spellStart"/>
      <w:r w:rsidRPr="0007511A">
        <w:t>rogs</w:t>
      </w:r>
      <w:proofErr w:type="spellEnd"/>
      <w:r w:rsidRPr="0007511A">
        <w:t>/201</w:t>
      </w:r>
      <w:r>
        <w:t>4</w:t>
      </w:r>
      <w:r w:rsidRPr="0007511A">
        <w:t>.</w:t>
      </w:r>
    </w:p>
    <w:p w:rsidR="00DE2D11" w:rsidRPr="00262ED3" w:rsidRDefault="00DE2D11" w:rsidP="00DE2D11">
      <w:pPr>
        <w:pStyle w:val="FigureTitle"/>
      </w:pPr>
      <w:r w:rsidRPr="00EF0C6C">
        <w:rPr>
          <w:b w:val="0"/>
        </w:rPr>
        <w:t>Figure</w:t>
      </w:r>
      <w:r w:rsidRPr="00262ED3">
        <w:t xml:space="preserve"> </w:t>
      </w:r>
      <w:bookmarkStart w:id="23" w:name="OLE_LINK15"/>
      <w:proofErr w:type="spellStart"/>
      <w:r w:rsidR="00CA09FA">
        <w:rPr>
          <w:b w:val="0"/>
        </w:rPr>
        <w:t>D.</w:t>
      </w:r>
      <w:r w:rsidR="005A1847">
        <w:rPr>
          <w:b w:val="0"/>
          <w:noProof/>
        </w:rPr>
        <w:t>4</w:t>
      </w:r>
      <w:bookmarkEnd w:id="23"/>
      <w:proofErr w:type="spellEnd"/>
      <w:r w:rsidRPr="00262ED3">
        <w:tab/>
      </w:r>
      <w:r>
        <w:t>Emergency management sector</w:t>
      </w:r>
      <w:r w:rsidRPr="00262ED3">
        <w:t xml:space="preserve"> performance indicator framework</w:t>
      </w:r>
      <w:bookmarkEnd w:id="21"/>
      <w:bookmarkEnd w:id="22"/>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E2D11" w:rsidRPr="00262ED3" w:rsidTr="00DE2D11">
        <w:tc>
          <w:tcPr>
            <w:tcW w:w="8777" w:type="dxa"/>
          </w:tcPr>
          <w:p w:rsidR="00DE2D11" w:rsidRPr="002E6C71" w:rsidRDefault="00666F6E" w:rsidP="002E6C71">
            <w:pPr>
              <w:pStyle w:val="Figure"/>
              <w:keepNext w:val="0"/>
            </w:pPr>
            <w:r w:rsidRPr="002E6C71">
              <w:rPr>
                <w:noProof/>
              </w:rPr>
              <w:drawing>
                <wp:inline distT="0" distB="0" distL="0" distR="0" wp14:anchorId="717DDCA3" wp14:editId="04865839">
                  <wp:extent cx="5571490" cy="4327525"/>
                  <wp:effectExtent l="0" t="0" r="0" b="0"/>
                  <wp:docPr id="3" name="Picture 3" descr="Figure D.4 Emergency management sector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71490" cy="4327525"/>
                          </a:xfrm>
                          <a:prstGeom prst="rect">
                            <a:avLst/>
                          </a:prstGeom>
                          <a:noFill/>
                          <a:ln>
                            <a:noFill/>
                          </a:ln>
                        </pic:spPr>
                      </pic:pic>
                    </a:graphicData>
                  </a:graphic>
                </wp:inline>
              </w:drawing>
            </w:r>
          </w:p>
        </w:tc>
      </w:tr>
    </w:tbl>
    <w:p w:rsidR="00DE2D11" w:rsidRPr="00262ED3" w:rsidRDefault="00DE2D11" w:rsidP="00AB62E8">
      <w:pPr>
        <w:pStyle w:val="Heading3"/>
      </w:pPr>
      <w:r w:rsidRPr="00262ED3">
        <w:lastRenderedPageBreak/>
        <w:t>Sector</w:t>
      </w:r>
      <w:r w:rsidR="001525FA">
        <w:noBreakHyphen/>
      </w:r>
      <w:r w:rsidRPr="00262ED3">
        <w:t>wide indicators</w:t>
      </w:r>
    </w:p>
    <w:p w:rsidR="00DE2D11" w:rsidRPr="00262ED3" w:rsidRDefault="00DE2D11" w:rsidP="00DE2D11">
      <w:pPr>
        <w:pStyle w:val="BodyText"/>
      </w:pPr>
      <w:r w:rsidRPr="00262ED3">
        <w:t xml:space="preserve">This section includes high level indicators of </w:t>
      </w:r>
      <w:r>
        <w:t xml:space="preserve">emergency management </w:t>
      </w:r>
      <w:r w:rsidRPr="00262ED3">
        <w:t>outcomes. Many factors are likely to influence these outcomes — not just the performance of government services. However, these outcomes inform the development of appropriate policies and the delivery of government services.</w:t>
      </w:r>
    </w:p>
    <w:p w:rsidR="00DE2D11" w:rsidRPr="00262ED3" w:rsidRDefault="00DE2D11" w:rsidP="00DE2D11">
      <w:pPr>
        <w:pStyle w:val="Heading5"/>
      </w:pPr>
      <w:r w:rsidRPr="00B65CEF">
        <w:t xml:space="preserve">Total asset loss from </w:t>
      </w:r>
      <w:r>
        <w:t>emergency events</w:t>
      </w:r>
      <w:r w:rsidRPr="00B65CEF">
        <w:t xml:space="preserve"> </w:t>
      </w:r>
    </w:p>
    <w:p w:rsidR="00DE2D11" w:rsidRDefault="00DE2D11" w:rsidP="00DE2D11">
      <w:pPr>
        <w:pStyle w:val="BodyText"/>
      </w:pPr>
      <w:r>
        <w:t>‘</w:t>
      </w:r>
      <w:r w:rsidRPr="009D4350">
        <w:t>T</w:t>
      </w:r>
      <w:r>
        <w:t>otal asset loss from emergency events’ is an</w:t>
      </w:r>
      <w:r w:rsidRPr="009D4350">
        <w:t xml:space="preserve"> indicator of </w:t>
      </w:r>
      <w:r w:rsidR="00EB0156">
        <w:t>the objective</w:t>
      </w:r>
      <w:r w:rsidR="001D435B">
        <w:t>s</w:t>
      </w:r>
      <w:r w:rsidR="00EB0156">
        <w:t xml:space="preserve"> of </w:t>
      </w:r>
      <w:r w:rsidRPr="009D4350">
        <w:t xml:space="preserve">governments to </w:t>
      </w:r>
      <w:r w:rsidR="002D5083" w:rsidRPr="009F2CED">
        <w:t>reduce the adverse effects of emergencies and disasters on the community (including people, property, infrastructure, economy and environment)</w:t>
      </w:r>
      <w:r w:rsidR="001D435B" w:rsidRPr="009F2CED">
        <w:t xml:space="preserve"> and to contribute to the management of risks to the community</w:t>
      </w:r>
      <w:r w:rsidRPr="009D4350">
        <w:t xml:space="preserve"> (box</w:t>
      </w:r>
      <w:r>
        <w:t> </w:t>
      </w:r>
      <w:proofErr w:type="spellStart"/>
      <w:r w:rsidR="002A3ECC">
        <w:t>D.4</w:t>
      </w:r>
      <w:proofErr w:type="spellEnd"/>
      <w:r w:rsidRPr="00262ED3">
        <w:t>).</w:t>
      </w:r>
    </w:p>
    <w:p w:rsidR="00DE2D11" w:rsidRDefault="00DE2D11" w:rsidP="00DE2D1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E2D11" w:rsidTr="00DE2D11">
        <w:tc>
          <w:tcPr>
            <w:tcW w:w="8771" w:type="dxa"/>
            <w:tcBorders>
              <w:top w:val="single" w:sz="6" w:space="0" w:color="auto"/>
              <w:bottom w:val="nil"/>
            </w:tcBorders>
          </w:tcPr>
          <w:p w:rsidR="00DE2D11" w:rsidRDefault="00DE2D11" w:rsidP="00A04CFC">
            <w:pPr>
              <w:pStyle w:val="BoxTitle"/>
              <w:keepNext w:val="0"/>
            </w:pPr>
            <w:r>
              <w:rPr>
                <w:b w:val="0"/>
              </w:rPr>
              <w:t xml:space="preserve">Box </w:t>
            </w:r>
            <w:bookmarkStart w:id="24" w:name="OLE_LINK7"/>
            <w:proofErr w:type="spellStart"/>
            <w:r w:rsidR="00CA09FA">
              <w:rPr>
                <w:b w:val="0"/>
              </w:rPr>
              <w:t>D.</w:t>
            </w:r>
            <w:r w:rsidR="005A1847">
              <w:rPr>
                <w:b w:val="0"/>
                <w:noProof/>
              </w:rPr>
              <w:t>4</w:t>
            </w:r>
            <w:bookmarkEnd w:id="24"/>
            <w:proofErr w:type="spellEnd"/>
            <w:r>
              <w:tab/>
            </w:r>
            <w:r w:rsidRPr="00B65CEF">
              <w:t xml:space="preserve">Total asset loss from </w:t>
            </w:r>
            <w:r>
              <w:t>emergency events</w:t>
            </w:r>
          </w:p>
        </w:tc>
      </w:tr>
      <w:tr w:rsidR="00DE2D11" w:rsidTr="00A04CFC">
        <w:trPr>
          <w:trHeight w:val="3784"/>
        </w:trPr>
        <w:tc>
          <w:tcPr>
            <w:tcW w:w="8771" w:type="dxa"/>
            <w:tcBorders>
              <w:top w:val="nil"/>
              <w:left w:val="single" w:sz="6" w:space="0" w:color="auto"/>
              <w:bottom w:val="nil"/>
              <w:right w:val="single" w:sz="6" w:space="0" w:color="auto"/>
            </w:tcBorders>
          </w:tcPr>
          <w:p w:rsidR="000B2B53" w:rsidRDefault="00DE2D11" w:rsidP="00A04CFC">
            <w:pPr>
              <w:pStyle w:val="Box"/>
              <w:keepNext w:val="0"/>
            </w:pPr>
            <w:r>
              <w:t>‘</w:t>
            </w:r>
            <w:r w:rsidRPr="009D4350">
              <w:t>T</w:t>
            </w:r>
            <w:r>
              <w:t xml:space="preserve">otal asset loss from emergency events’ </w:t>
            </w:r>
            <w:r w:rsidRPr="001272EC">
              <w:t xml:space="preserve">data </w:t>
            </w:r>
            <w:r>
              <w:t xml:space="preserve">are </w:t>
            </w:r>
            <w:r w:rsidRPr="001272EC">
              <w:t>derived from the submissions of general insurance companies following large events incurring cost to the community and insurers. It does not represe</w:t>
            </w:r>
            <w:r>
              <w:t>nt the entire cost of the event.</w:t>
            </w:r>
            <w:r w:rsidRPr="001272EC">
              <w:t xml:space="preserve"> </w:t>
            </w:r>
            <w:r w:rsidRPr="00CE3C0C">
              <w:t>Costs not currently taken into account</w:t>
            </w:r>
            <w:r>
              <w:t xml:space="preserve"> include</w:t>
            </w:r>
            <w:r w:rsidR="000B2B53">
              <w:t xml:space="preserve"> the expenses of</w:t>
            </w:r>
            <w:r w:rsidR="00984110">
              <w:t>:</w:t>
            </w:r>
            <w:r w:rsidRPr="00CE3C0C">
              <w:t xml:space="preserve"> </w:t>
            </w:r>
          </w:p>
          <w:p w:rsidR="000B2B53" w:rsidRDefault="00DE2D11" w:rsidP="00A04CFC">
            <w:pPr>
              <w:pStyle w:val="BoxListBullet"/>
              <w:keepNext w:val="0"/>
            </w:pPr>
            <w:r w:rsidRPr="00CE3C0C">
              <w:t xml:space="preserve">emergency response by emergency services </w:t>
            </w:r>
          </w:p>
          <w:p w:rsidR="000B2B53" w:rsidRDefault="00DE2D11" w:rsidP="00A04CFC">
            <w:pPr>
              <w:pStyle w:val="BoxListBullet"/>
              <w:keepNext w:val="0"/>
            </w:pPr>
            <w:r w:rsidRPr="00CE3C0C">
              <w:t xml:space="preserve">local, State, Territory and </w:t>
            </w:r>
            <w:r w:rsidR="002F2CA3">
              <w:t xml:space="preserve">the Australian </w:t>
            </w:r>
            <w:r w:rsidRPr="00CE3C0C">
              <w:t>governments</w:t>
            </w:r>
            <w:r w:rsidR="000B2B53">
              <w:t xml:space="preserve"> —</w:t>
            </w:r>
            <w:r w:rsidR="00E17FA5">
              <w:t xml:space="preserve"> </w:t>
            </w:r>
            <w:r w:rsidR="000B2B53" w:rsidRPr="00B73A74">
              <w:t xml:space="preserve">uninsurable assets such as roads, bridges, recreational facilities and the like are not considered. This is of greatest significance in rural and remote areas </w:t>
            </w:r>
          </w:p>
          <w:p w:rsidR="008C56CE" w:rsidRDefault="002F2CA3" w:rsidP="00A04CFC">
            <w:pPr>
              <w:pStyle w:val="BoxListBullet"/>
              <w:keepNext w:val="0"/>
            </w:pPr>
            <w:r>
              <w:t>non</w:t>
            </w:r>
            <w:r w:rsidR="001525FA">
              <w:noBreakHyphen/>
            </w:r>
            <w:r>
              <w:t>government organisations</w:t>
            </w:r>
            <w:r w:rsidR="00DE2D11" w:rsidRPr="00CE3C0C">
              <w:t xml:space="preserve"> </w:t>
            </w:r>
          </w:p>
          <w:p w:rsidR="008C56CE" w:rsidRDefault="00DE2D11" w:rsidP="00A04CFC">
            <w:pPr>
              <w:pStyle w:val="BoxListBullet"/>
              <w:keepNext w:val="0"/>
            </w:pPr>
            <w:r w:rsidRPr="00CE3C0C">
              <w:t>local government clean</w:t>
            </w:r>
            <w:r w:rsidR="000B2B53">
              <w:noBreakHyphen/>
            </w:r>
            <w:r w:rsidR="002F2CA3">
              <w:t>up</w:t>
            </w:r>
          </w:p>
          <w:p w:rsidR="008C56CE" w:rsidRDefault="00DE2D11" w:rsidP="00A04CFC">
            <w:pPr>
              <w:pStyle w:val="BoxListBullet"/>
              <w:keepNext w:val="0"/>
            </w:pPr>
            <w:r w:rsidRPr="00CE3C0C">
              <w:t>remedial and environmental damage costs (including pollution of foreshores and</w:t>
            </w:r>
            <w:r w:rsidR="002F2CA3">
              <w:t xml:space="preserve"> riverbanks and beach erosion)</w:t>
            </w:r>
          </w:p>
          <w:p w:rsidR="008C56CE" w:rsidRDefault="00DE2D11" w:rsidP="00A04CFC">
            <w:pPr>
              <w:pStyle w:val="BoxListBullet"/>
              <w:keepNext w:val="0"/>
            </w:pPr>
            <w:r w:rsidRPr="00CE3C0C">
              <w:t xml:space="preserve">community dislocation; loss of jobs; rehabilitation/recovery services </w:t>
            </w:r>
          </w:p>
          <w:p w:rsidR="00DE2D11" w:rsidRDefault="00DE2D11" w:rsidP="00A04CFC">
            <w:pPr>
              <w:pStyle w:val="BoxListBullet"/>
              <w:keepNext w:val="0"/>
            </w:pPr>
            <w:r w:rsidRPr="00CE3C0C">
              <w:t>basic medical and funeral costs associated with injuries and deaths.</w:t>
            </w:r>
            <w:r>
              <w:t xml:space="preserve"> </w:t>
            </w:r>
          </w:p>
          <w:p w:rsidR="00666F6E" w:rsidRDefault="00666F6E" w:rsidP="00666F6E">
            <w:pPr>
              <w:pStyle w:val="Box"/>
            </w:pPr>
            <w:r w:rsidRPr="001272EC">
              <w:t>Events are only recorded where there is a potential for the insured loss to exceed $10</w:t>
            </w:r>
            <w:r>
              <w:t> </w:t>
            </w:r>
            <w:r w:rsidRPr="001272EC">
              <w:t>mil</w:t>
            </w:r>
            <w:r>
              <w:t>lion</w:t>
            </w:r>
            <w:r w:rsidRPr="001272EC">
              <w:t xml:space="preserve">. Additionally, many large single losses occur on a day to day basis in Australia that are not part of a larger </w:t>
            </w:r>
            <w:r>
              <w:t>emergency</w:t>
            </w:r>
            <w:r w:rsidRPr="001272EC">
              <w:t xml:space="preserve"> event.</w:t>
            </w:r>
          </w:p>
          <w:p w:rsidR="001350BD" w:rsidRDefault="001350BD" w:rsidP="001350BD">
            <w:pPr>
              <w:pStyle w:val="Box"/>
            </w:pPr>
            <w:r w:rsidRPr="001272EC">
              <w:t xml:space="preserve">The </w:t>
            </w:r>
            <w:r>
              <w:t xml:space="preserve">prevention/mitigation, preparedness, and response activities of government contribute to reduce </w:t>
            </w:r>
            <w:r w:rsidRPr="001272EC">
              <w:t xml:space="preserve">the </w:t>
            </w:r>
            <w:r>
              <w:t>value of total asset loss from emergency events</w:t>
            </w:r>
            <w:r w:rsidRPr="001272EC">
              <w:t xml:space="preserve">. </w:t>
            </w:r>
            <w:r w:rsidRPr="00113E91">
              <w:t xml:space="preserve">A low or decreasing </w:t>
            </w:r>
            <w:r>
              <w:t>value of total asset loss from emergency</w:t>
            </w:r>
            <w:r w:rsidRPr="001272EC">
              <w:t xml:space="preserve"> </w:t>
            </w:r>
            <w:r>
              <w:t xml:space="preserve">events </w:t>
            </w:r>
            <w:r w:rsidRPr="00113E91">
              <w:t>is desirable.</w:t>
            </w:r>
          </w:p>
        </w:tc>
      </w:tr>
      <w:tr w:rsidR="00305D72" w:rsidTr="003A7810">
        <w:tc>
          <w:tcPr>
            <w:tcW w:w="8771" w:type="dxa"/>
            <w:tcBorders>
              <w:top w:val="nil"/>
              <w:left w:val="single" w:sz="6" w:space="0" w:color="auto"/>
              <w:bottom w:val="single" w:sz="4" w:space="0" w:color="auto"/>
              <w:right w:val="single" w:sz="6" w:space="0" w:color="auto"/>
            </w:tcBorders>
          </w:tcPr>
          <w:p w:rsidR="00305D72" w:rsidRDefault="00305D72" w:rsidP="00305D72">
            <w:pPr>
              <w:pStyle w:val="Continued"/>
            </w:pPr>
            <w:r>
              <w:t>(</w:t>
            </w:r>
            <w:r w:rsidRPr="00305D72">
              <w:t>Continued</w:t>
            </w:r>
            <w:r>
              <w:t xml:space="preserve"> next page)</w:t>
            </w:r>
          </w:p>
        </w:tc>
      </w:tr>
    </w:tbl>
    <w:p w:rsidR="00305D72" w:rsidRDefault="00305D72" w:rsidP="00305D7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05D72" w:rsidTr="003A7810">
        <w:tc>
          <w:tcPr>
            <w:tcW w:w="8771" w:type="dxa"/>
            <w:tcBorders>
              <w:top w:val="single" w:sz="6" w:space="0" w:color="auto"/>
              <w:bottom w:val="nil"/>
            </w:tcBorders>
          </w:tcPr>
          <w:p w:rsidR="00305D72" w:rsidRDefault="00305D72" w:rsidP="00305D72">
            <w:pPr>
              <w:pStyle w:val="BoxTitle"/>
            </w:pPr>
            <w:r>
              <w:rPr>
                <w:b w:val="0"/>
              </w:rPr>
              <w:t xml:space="preserve">Box </w:t>
            </w:r>
            <w:proofErr w:type="spellStart"/>
            <w:r w:rsidR="00CA09FA" w:rsidRPr="00CA09FA">
              <w:rPr>
                <w:b w:val="0"/>
              </w:rPr>
              <w:t>D.4</w:t>
            </w:r>
            <w:proofErr w:type="spellEnd"/>
            <w:r>
              <w:tab/>
            </w:r>
            <w:r w:rsidRPr="00FF27EE">
              <w:rPr>
                <w:sz w:val="18"/>
                <w:szCs w:val="18"/>
              </w:rPr>
              <w:t>Continued</w:t>
            </w:r>
          </w:p>
        </w:tc>
      </w:tr>
      <w:tr w:rsidR="00A04CFC" w:rsidTr="00A04CFC">
        <w:tc>
          <w:tcPr>
            <w:tcW w:w="8771" w:type="dxa"/>
            <w:tcBorders>
              <w:top w:val="nil"/>
              <w:left w:val="single" w:sz="6" w:space="0" w:color="auto"/>
              <w:bottom w:val="nil"/>
              <w:right w:val="single" w:sz="6" w:space="0" w:color="auto"/>
            </w:tcBorders>
          </w:tcPr>
          <w:p w:rsidR="00666F6E" w:rsidRDefault="00666F6E" w:rsidP="001350BD">
            <w:pPr>
              <w:pStyle w:val="Box"/>
              <w:ind w:right="-138"/>
            </w:pPr>
            <w:r>
              <w:t>Data for these measures are:</w:t>
            </w:r>
          </w:p>
          <w:p w:rsidR="00666F6E" w:rsidRPr="00764BB9" w:rsidRDefault="00666F6E" w:rsidP="00666F6E">
            <w:pPr>
              <w:pStyle w:val="BoxListBullet"/>
            </w:pPr>
            <w:r w:rsidRPr="00764BB9">
              <w:t>comparable (subject to caveats) across jurisdictions and over time</w:t>
            </w:r>
          </w:p>
          <w:p w:rsidR="00666F6E" w:rsidRPr="0054109B" w:rsidRDefault="00666F6E" w:rsidP="00666F6E">
            <w:pPr>
              <w:pStyle w:val="BoxListBullet"/>
            </w:pPr>
            <w:r>
              <w:t>complete (subject to caveats) for the current reporting period</w:t>
            </w:r>
            <w:r w:rsidRPr="0052371F">
              <w:t xml:space="preserve">. All required </w:t>
            </w:r>
            <w:r>
              <w:t>2012</w:t>
            </w:r>
            <w:r>
              <w:noBreakHyphen/>
              <w:t xml:space="preserve">13 </w:t>
            </w:r>
            <w:r w:rsidRPr="0052371F">
              <w:t>data are available for all jurisdictions.</w:t>
            </w:r>
          </w:p>
          <w:p w:rsidR="00A04CFC" w:rsidRDefault="00666F6E" w:rsidP="00666F6E">
            <w:pPr>
              <w:pStyle w:val="Box"/>
              <w:keepNext w:val="0"/>
            </w:pPr>
            <w:r w:rsidRPr="0054109B">
              <w:t xml:space="preserve">Data quality information for this indicator is </w:t>
            </w:r>
            <w:r>
              <w:t>under development.</w:t>
            </w:r>
          </w:p>
        </w:tc>
      </w:tr>
      <w:tr w:rsidR="00DE2D11" w:rsidTr="00DE2D11">
        <w:trPr>
          <w:cantSplit/>
        </w:trPr>
        <w:tc>
          <w:tcPr>
            <w:tcW w:w="8771" w:type="dxa"/>
            <w:tcBorders>
              <w:top w:val="nil"/>
              <w:left w:val="single" w:sz="6" w:space="0" w:color="auto"/>
              <w:bottom w:val="nil"/>
              <w:right w:val="single" w:sz="6" w:space="0" w:color="auto"/>
            </w:tcBorders>
          </w:tcPr>
          <w:p w:rsidR="00DE2D11" w:rsidRDefault="00DE2D11" w:rsidP="001350BD">
            <w:pPr>
              <w:pStyle w:val="BoxSource"/>
            </w:pPr>
            <w:r>
              <w:rPr>
                <w:i/>
              </w:rPr>
              <w:t>Source</w:t>
            </w:r>
            <w:r w:rsidRPr="00167F06">
              <w:t xml:space="preserve">: </w:t>
            </w:r>
            <w:r w:rsidR="001350BD">
              <w:t>ICA</w:t>
            </w:r>
            <w:r>
              <w:t xml:space="preserve"> (201</w:t>
            </w:r>
            <w:r w:rsidR="001350BD">
              <w:t>3</w:t>
            </w:r>
            <w:r>
              <w:t xml:space="preserve">); </w:t>
            </w:r>
            <w:proofErr w:type="spellStart"/>
            <w:r w:rsidR="00ED4A48">
              <w:t>AGD</w:t>
            </w:r>
            <w:proofErr w:type="spellEnd"/>
            <w:r>
              <w:t xml:space="preserve"> (</w:t>
            </w:r>
            <w:proofErr w:type="spellStart"/>
            <w:r>
              <w:t>201</w:t>
            </w:r>
            <w:r w:rsidR="001350BD">
              <w:t>3</w:t>
            </w:r>
            <w:r w:rsidR="001A29D5">
              <w:t>a</w:t>
            </w:r>
            <w:proofErr w:type="spellEnd"/>
            <w:r>
              <w:t>).</w:t>
            </w:r>
          </w:p>
        </w:tc>
      </w:tr>
      <w:tr w:rsidR="00DE2D11" w:rsidTr="00DE2D11">
        <w:trPr>
          <w:cantSplit/>
        </w:trPr>
        <w:tc>
          <w:tcPr>
            <w:tcW w:w="8771" w:type="dxa"/>
            <w:tcBorders>
              <w:top w:val="nil"/>
              <w:left w:val="single" w:sz="6" w:space="0" w:color="auto"/>
              <w:bottom w:val="single" w:sz="6" w:space="0" w:color="auto"/>
              <w:right w:val="single" w:sz="6" w:space="0" w:color="auto"/>
            </w:tcBorders>
          </w:tcPr>
          <w:p w:rsidR="00DE2D11" w:rsidRDefault="00DE2D11" w:rsidP="00A04CFC">
            <w:pPr>
              <w:pStyle w:val="Box"/>
              <w:keepNext w:val="0"/>
              <w:spacing w:before="0" w:line="120" w:lineRule="exact"/>
            </w:pPr>
          </w:p>
        </w:tc>
      </w:tr>
      <w:tr w:rsidR="00DE2D11" w:rsidTr="00DE2D11">
        <w:tc>
          <w:tcPr>
            <w:tcW w:w="8771" w:type="dxa"/>
            <w:tcBorders>
              <w:top w:val="nil"/>
              <w:left w:val="nil"/>
              <w:bottom w:val="nil"/>
              <w:right w:val="nil"/>
            </w:tcBorders>
          </w:tcPr>
          <w:p w:rsidR="00DE2D11" w:rsidRDefault="00DE2D11" w:rsidP="00DE2D11">
            <w:pPr>
              <w:pStyle w:val="Box"/>
              <w:keepNext w:val="0"/>
              <w:spacing w:before="60" w:after="60" w:line="80" w:lineRule="exact"/>
              <w:rPr>
                <w:b/>
                <w:color w:val="FF00FF"/>
                <w:sz w:val="14"/>
              </w:rPr>
            </w:pPr>
          </w:p>
        </w:tc>
      </w:tr>
    </w:tbl>
    <w:p w:rsidR="008B6A5C" w:rsidRDefault="00816583" w:rsidP="00816583">
      <w:pPr>
        <w:pStyle w:val="BodyText"/>
      </w:pPr>
      <w:r>
        <w:t>Nationally, the insured asset loss from emergency events was $</w:t>
      </w:r>
      <w:r w:rsidR="005F40B5">
        <w:t>1</w:t>
      </w:r>
      <w:r>
        <w:t>.</w:t>
      </w:r>
      <w:r w:rsidR="00D80966">
        <w:t>2</w:t>
      </w:r>
      <w:r>
        <w:t xml:space="preserve"> billion in </w:t>
      </w:r>
      <w:r w:rsidR="00C968FB">
        <w:t>2012</w:t>
      </w:r>
      <w:r w:rsidR="004C3B3C">
        <w:noBreakHyphen/>
      </w:r>
      <w:r w:rsidR="00C968FB">
        <w:t>13</w:t>
      </w:r>
      <w:r>
        <w:t>. Other than in 2008</w:t>
      </w:r>
      <w:r>
        <w:noBreakHyphen/>
        <w:t xml:space="preserve">09 — the year of the Victorian bushfires (chapter 9) — insured asset losses are </w:t>
      </w:r>
      <w:r w:rsidR="00D80966">
        <w:t>mostly</w:t>
      </w:r>
      <w:r>
        <w:t xml:space="preserve"> related to flood and storm damage (</w:t>
      </w:r>
      <w:r w:rsidRPr="00262ED3">
        <w:t>figure</w:t>
      </w:r>
      <w:r w:rsidR="00FE727D">
        <w:t xml:space="preserve"> </w:t>
      </w:r>
      <w:proofErr w:type="spellStart"/>
      <w:r w:rsidR="00CA09FA">
        <w:t>D.5</w:t>
      </w:r>
      <w:proofErr w:type="spellEnd"/>
      <w:r w:rsidRPr="00262ED3">
        <w:t>).</w:t>
      </w:r>
      <w:r>
        <w:t xml:space="preserve"> </w:t>
      </w:r>
    </w:p>
    <w:p w:rsidR="00141C1C" w:rsidRPr="00262ED3" w:rsidRDefault="00141C1C" w:rsidP="00585E6B">
      <w:pPr>
        <w:pStyle w:val="FigureTitle"/>
      </w:pPr>
      <w:bookmarkStart w:id="25" w:name="_Toc343076270"/>
      <w:bookmarkStart w:id="26" w:name="_Toc343077260"/>
      <w:r w:rsidRPr="00EF0C6C">
        <w:rPr>
          <w:b w:val="0"/>
        </w:rPr>
        <w:t xml:space="preserve">Figure </w:t>
      </w:r>
      <w:bookmarkStart w:id="27" w:name="OLE_LINK14"/>
      <w:proofErr w:type="spellStart"/>
      <w:r w:rsidR="00CA09FA">
        <w:rPr>
          <w:b w:val="0"/>
        </w:rPr>
        <w:t>D.</w:t>
      </w:r>
      <w:r w:rsidR="005A1847">
        <w:rPr>
          <w:b w:val="0"/>
          <w:noProof/>
        </w:rPr>
        <w:t>5</w:t>
      </w:r>
      <w:bookmarkEnd w:id="27"/>
      <w:proofErr w:type="spellEnd"/>
      <w:r w:rsidRPr="00262ED3">
        <w:tab/>
      </w:r>
      <w:r w:rsidRPr="00F16B16">
        <w:t xml:space="preserve">Total asset loss from </w:t>
      </w:r>
      <w:r>
        <w:t>emergency events</w:t>
      </w:r>
      <w:r w:rsidR="0060392C">
        <w:t>, national</w:t>
      </w:r>
      <w:r>
        <w:t xml:space="preserve"> (</w:t>
      </w:r>
      <w:r w:rsidR="00C968FB">
        <w:t>2012</w:t>
      </w:r>
      <w:r w:rsidR="0060392C">
        <w:noBreakHyphen/>
      </w:r>
      <w:r w:rsidR="00C968FB">
        <w:t>13</w:t>
      </w:r>
      <w:r>
        <w:t> dollars)</w:t>
      </w:r>
      <w:r w:rsidRPr="00905495">
        <w:rPr>
          <w:rStyle w:val="NoteLabel"/>
          <w:b/>
        </w:rPr>
        <w:t>a,</w:t>
      </w:r>
      <w:r>
        <w:rPr>
          <w:rStyle w:val="NoteLabel"/>
          <w:b/>
        </w:rPr>
        <w:t> </w:t>
      </w:r>
      <w:r w:rsidRPr="00905495">
        <w:rPr>
          <w:rStyle w:val="NoteLabel"/>
          <w:b/>
        </w:rPr>
        <w:t>b</w:t>
      </w:r>
      <w:bookmarkEnd w:id="25"/>
      <w:bookmarkEnd w:id="26"/>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41C1C" w:rsidRPr="00262ED3" w:rsidTr="002F4D90">
        <w:tc>
          <w:tcPr>
            <w:tcW w:w="8777" w:type="dxa"/>
          </w:tcPr>
          <w:p w:rsidR="00BA0E24" w:rsidRPr="007C7AFE" w:rsidRDefault="00205B51" w:rsidP="007C7AFE">
            <w:pPr>
              <w:pStyle w:val="Figure"/>
            </w:pPr>
            <w:r>
              <w:rPr>
                <w:noProof/>
              </w:rPr>
              <w:drawing>
                <wp:inline distT="0" distB="0" distL="0" distR="0" wp14:anchorId="30F331B0" wp14:editId="7CC60281">
                  <wp:extent cx="5389880" cy="2710815"/>
                  <wp:effectExtent l="0" t="0" r="1270" b="0"/>
                  <wp:docPr id="7" name="Picture 7" descr="Figure D.5 Total asset loss from emergency events, national (2012-13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9880" cy="2710815"/>
                          </a:xfrm>
                          <a:prstGeom prst="rect">
                            <a:avLst/>
                          </a:prstGeom>
                          <a:noFill/>
                          <a:ln>
                            <a:noFill/>
                          </a:ln>
                        </pic:spPr>
                      </pic:pic>
                    </a:graphicData>
                  </a:graphic>
                </wp:inline>
              </w:drawing>
            </w:r>
          </w:p>
        </w:tc>
      </w:tr>
    </w:tbl>
    <w:p w:rsidR="00141C1C" w:rsidRDefault="00585E6B" w:rsidP="00585E6B">
      <w:pPr>
        <w:pStyle w:val="Note"/>
      </w:pPr>
      <w:r w:rsidRPr="00261C7E">
        <w:rPr>
          <w:rStyle w:val="NoteLabel"/>
        </w:rPr>
        <w:t>a</w:t>
      </w:r>
      <w:r>
        <w:rPr>
          <w:rStyle w:val="NoteLabel"/>
        </w:rPr>
        <w:t> </w:t>
      </w:r>
      <w:r w:rsidR="00D80966" w:rsidRPr="000B595D">
        <w:t>Time series financial data are adjusted to 2012</w:t>
      </w:r>
      <w:r w:rsidR="001525FA">
        <w:noBreakHyphen/>
      </w:r>
      <w:r w:rsidR="00D80966" w:rsidRPr="000B595D">
        <w:t xml:space="preserve">13 dollars using the </w:t>
      </w:r>
      <w:r w:rsidR="00D80966">
        <w:t>General Government Final Consumption E</w:t>
      </w:r>
      <w:r w:rsidR="00D80966" w:rsidRPr="000B595D">
        <w:t>xpenditure (GGFCE) chain price deflator (2012</w:t>
      </w:r>
      <w:r w:rsidR="001525FA">
        <w:noBreakHyphen/>
      </w:r>
      <w:r w:rsidR="00D80966" w:rsidRPr="000B595D">
        <w:t>13 = 100) (table</w:t>
      </w:r>
      <w:r w:rsidR="001525FA">
        <w:t> </w:t>
      </w:r>
      <w:r w:rsidR="00D80966" w:rsidRPr="000B595D">
        <w:t xml:space="preserve">2A.51). The GGFCE replaces the Gross Domestic Product implicit price deflator used in previous editions. See </w:t>
      </w:r>
      <w:r w:rsidR="001525FA">
        <w:t>c</w:t>
      </w:r>
      <w:r w:rsidR="00D80966" w:rsidRPr="000B595D">
        <w:t>hapter</w:t>
      </w:r>
      <w:r w:rsidR="001525FA">
        <w:t> </w:t>
      </w:r>
      <w:r w:rsidR="00D80966" w:rsidRPr="000B595D">
        <w:t>2 (section 2.5) for details.</w:t>
      </w:r>
      <w:r w:rsidR="00EC3DB0" w:rsidRPr="00EC3DB0">
        <w:rPr>
          <w:rStyle w:val="NoteLabel"/>
        </w:rPr>
        <w:t xml:space="preserve"> </w:t>
      </w:r>
      <w:r w:rsidR="00EC3DB0">
        <w:rPr>
          <w:rStyle w:val="NoteLabel"/>
        </w:rPr>
        <w:t>b </w:t>
      </w:r>
      <w:r w:rsidR="00EC3DB0" w:rsidRPr="00EC3DB0">
        <w:t>Total Asset Loss: all insurance losses (claims by policy holders, based on figures from the Insurance Council of Australia). The data are derived from the submissions of general insurance companies following large events incurring cost to the community and insurers. Events are only recorded where there is a potential for the insured loss to exceed $10 million.</w:t>
      </w:r>
      <w:r w:rsidR="00D80966">
        <w:t xml:space="preserve"> </w:t>
      </w:r>
      <w:r w:rsidR="00D80966">
        <w:rPr>
          <w:rStyle w:val="NoteLabel"/>
        </w:rPr>
        <w:t>c </w:t>
      </w:r>
      <w:r w:rsidR="00D80966">
        <w:t>While data are available for all jurisdictions, in 2012</w:t>
      </w:r>
      <w:r w:rsidR="001525FA">
        <w:noBreakHyphen/>
      </w:r>
      <w:r w:rsidR="00D80966">
        <w:t>13, data are nil or rounded to zero for Victoria, WA, the ACT, and the NT for all events therefore, data are presented as national totals only.</w:t>
      </w:r>
    </w:p>
    <w:p w:rsidR="00141C1C" w:rsidRDefault="00141C1C" w:rsidP="00585E6B">
      <w:pPr>
        <w:pStyle w:val="Source"/>
      </w:pPr>
      <w:r w:rsidRPr="00984110">
        <w:rPr>
          <w:i/>
        </w:rPr>
        <w:t>Source</w:t>
      </w:r>
      <w:r>
        <w:t>: I</w:t>
      </w:r>
      <w:r w:rsidR="001350BD">
        <w:t>CA</w:t>
      </w:r>
      <w:r>
        <w:t xml:space="preserve"> </w:t>
      </w:r>
      <w:r w:rsidR="00E11579">
        <w:t>(</w:t>
      </w:r>
      <w:r>
        <w:t>201</w:t>
      </w:r>
      <w:r w:rsidR="001350BD">
        <w:t>3</w:t>
      </w:r>
      <w:r w:rsidR="00E11579">
        <w:t>)</w:t>
      </w:r>
      <w:r>
        <w:t xml:space="preserve">, </w:t>
      </w:r>
      <w:proofErr w:type="spellStart"/>
      <w:r>
        <w:t>AG</w:t>
      </w:r>
      <w:r w:rsidR="001350BD">
        <w:t>D</w:t>
      </w:r>
      <w:proofErr w:type="spellEnd"/>
      <w:r>
        <w:t xml:space="preserve"> </w:t>
      </w:r>
      <w:r w:rsidR="00E11579">
        <w:t>(</w:t>
      </w:r>
      <w:proofErr w:type="spellStart"/>
      <w:r>
        <w:t>201</w:t>
      </w:r>
      <w:r w:rsidR="001350BD">
        <w:t>3</w:t>
      </w:r>
      <w:r w:rsidR="001A29D5">
        <w:t>a</w:t>
      </w:r>
      <w:proofErr w:type="spellEnd"/>
      <w:r w:rsidR="00E11579">
        <w:t>)</w:t>
      </w:r>
      <w:r>
        <w:t xml:space="preserve">; </w:t>
      </w:r>
      <w:r w:rsidRPr="00262ED3">
        <w:t xml:space="preserve">table </w:t>
      </w:r>
      <w:proofErr w:type="spellStart"/>
      <w:r>
        <w:t>D</w:t>
      </w:r>
      <w:r w:rsidRPr="00262ED3">
        <w:t>A.</w:t>
      </w:r>
      <w:r w:rsidR="00D80966">
        <w:t>7</w:t>
      </w:r>
      <w:proofErr w:type="spellEnd"/>
      <w:r w:rsidRPr="00262ED3">
        <w:t>.</w:t>
      </w:r>
    </w:p>
    <w:p w:rsidR="00F55D63" w:rsidRDefault="00F55D63" w:rsidP="00305D72">
      <w:pPr>
        <w:pStyle w:val="BodyText"/>
      </w:pPr>
      <w:r w:rsidRPr="00CA1305">
        <w:t xml:space="preserve">Annual insured asset losses need to be interpreted with caution as they can be particularly volatile over time because of the influence </w:t>
      </w:r>
      <w:r w:rsidRPr="004955C5">
        <w:t>of large irregular</w:t>
      </w:r>
      <w:r w:rsidRPr="009F2CED">
        <w:t xml:space="preserve"> emergency events such as</w:t>
      </w:r>
      <w:r>
        <w:t xml:space="preserve"> bushfires (chapter</w:t>
      </w:r>
      <w:r w:rsidR="001525FA">
        <w:t> </w:t>
      </w:r>
      <w:r>
        <w:t>9) and extreme weather</w:t>
      </w:r>
      <w:r w:rsidRPr="001E6903">
        <w:t xml:space="preserve"> events</w:t>
      </w:r>
      <w:r>
        <w:t xml:space="preserve"> </w:t>
      </w:r>
      <w:r w:rsidRPr="001E6903">
        <w:t>(box</w:t>
      </w:r>
      <w:r>
        <w:t xml:space="preserve"> </w:t>
      </w:r>
      <w:proofErr w:type="spellStart"/>
      <w:r w:rsidR="00CA09FA">
        <w:t>D.5</w:t>
      </w:r>
      <w:proofErr w:type="spellEnd"/>
      <w:r w:rsidRPr="001E6903">
        <w:t>).</w:t>
      </w:r>
    </w:p>
    <w:p w:rsidR="0091763D" w:rsidRDefault="0091763D" w:rsidP="00585E6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1763D" w:rsidTr="0091763D">
        <w:tc>
          <w:tcPr>
            <w:tcW w:w="8771" w:type="dxa"/>
            <w:tcBorders>
              <w:top w:val="single" w:sz="6" w:space="0" w:color="auto"/>
              <w:bottom w:val="nil"/>
            </w:tcBorders>
          </w:tcPr>
          <w:p w:rsidR="0091763D" w:rsidRPr="000064E2" w:rsidRDefault="0091763D" w:rsidP="00904FC4">
            <w:pPr>
              <w:pStyle w:val="BoxTitle"/>
            </w:pPr>
            <w:r w:rsidRPr="000064E2">
              <w:rPr>
                <w:b w:val="0"/>
              </w:rPr>
              <w:t xml:space="preserve">Box </w:t>
            </w:r>
            <w:bookmarkStart w:id="28" w:name="OLE_LINK71"/>
            <w:proofErr w:type="spellStart"/>
            <w:r w:rsidR="00CA09FA">
              <w:rPr>
                <w:b w:val="0"/>
              </w:rPr>
              <w:t>D.</w:t>
            </w:r>
            <w:r w:rsidR="005A1847">
              <w:rPr>
                <w:b w:val="0"/>
                <w:noProof/>
              </w:rPr>
              <w:t>5</w:t>
            </w:r>
            <w:bookmarkEnd w:id="28"/>
            <w:proofErr w:type="spellEnd"/>
            <w:r w:rsidRPr="000064E2">
              <w:tab/>
            </w:r>
            <w:r w:rsidR="00904FC4" w:rsidRPr="00B73A74">
              <w:t>E</w:t>
            </w:r>
            <w:r w:rsidR="008655B3" w:rsidRPr="00B73A74">
              <w:t xml:space="preserve">xtreme weather </w:t>
            </w:r>
            <w:r w:rsidR="00C21D5B" w:rsidRPr="00B73A74">
              <w:t>events</w:t>
            </w:r>
          </w:p>
        </w:tc>
      </w:tr>
      <w:tr w:rsidR="00495745" w:rsidRPr="00495745" w:rsidTr="007C7AFE">
        <w:tc>
          <w:tcPr>
            <w:tcW w:w="8771" w:type="dxa"/>
            <w:tcBorders>
              <w:top w:val="nil"/>
              <w:left w:val="single" w:sz="6" w:space="0" w:color="auto"/>
              <w:bottom w:val="nil"/>
              <w:right w:val="single" w:sz="6" w:space="0" w:color="auto"/>
            </w:tcBorders>
          </w:tcPr>
          <w:p w:rsidR="0091763D" w:rsidRPr="00495745" w:rsidRDefault="003C0700" w:rsidP="007C7AFE">
            <w:pPr>
              <w:pStyle w:val="Box"/>
              <w:keepNext w:val="0"/>
              <w:spacing w:before="0"/>
            </w:pPr>
            <w:r>
              <w:t xml:space="preserve">In Australia, </w:t>
            </w:r>
            <w:r w:rsidRPr="00495745">
              <w:t xml:space="preserve">extreme </w:t>
            </w:r>
            <w:r w:rsidR="008655B3" w:rsidRPr="00495745">
              <w:t xml:space="preserve">weather events can bring </w:t>
            </w:r>
            <w:r w:rsidR="00B76CC4" w:rsidRPr="009F2CED">
              <w:t>prolonged and high temperatures (</w:t>
            </w:r>
            <w:r w:rsidRPr="009F2CED">
              <w:t>heat wave</w:t>
            </w:r>
            <w:r w:rsidR="00B76CC4" w:rsidRPr="009F2CED">
              <w:t>s)</w:t>
            </w:r>
            <w:r>
              <w:t xml:space="preserve">, </w:t>
            </w:r>
            <w:r w:rsidR="008655B3" w:rsidRPr="00495745">
              <w:t>high winds and coastal storm surges</w:t>
            </w:r>
            <w:r w:rsidR="0041449A" w:rsidRPr="00495745">
              <w:t xml:space="preserve"> (such as cyclones in Australia’s tropical zones)</w:t>
            </w:r>
            <w:r w:rsidR="008655B3" w:rsidRPr="00495745">
              <w:t xml:space="preserve">, </w:t>
            </w:r>
            <w:r w:rsidR="00904FC4" w:rsidRPr="00495745">
              <w:t>torrential</w:t>
            </w:r>
            <w:r w:rsidR="008655B3" w:rsidRPr="00495745">
              <w:t xml:space="preserve"> rain, frosts and </w:t>
            </w:r>
            <w:r w:rsidR="00904FC4" w:rsidRPr="00495745">
              <w:t xml:space="preserve">hail </w:t>
            </w:r>
            <w:r w:rsidR="008655B3" w:rsidRPr="00495745">
              <w:t xml:space="preserve">storms. In Australia’s variable climate the </w:t>
            </w:r>
            <w:r w:rsidR="00904FC4" w:rsidRPr="00495745">
              <w:t>Commonwealth Scientific and Industrial Research Organisation (</w:t>
            </w:r>
            <w:r w:rsidR="008655B3" w:rsidRPr="00495745">
              <w:t>CSIRO</w:t>
            </w:r>
            <w:r w:rsidR="00904FC4" w:rsidRPr="00495745">
              <w:t>)</w:t>
            </w:r>
            <w:r w:rsidR="008655B3" w:rsidRPr="00495745">
              <w:t xml:space="preserve"> notes that extreme </w:t>
            </w:r>
            <w:r w:rsidR="00904FC4" w:rsidRPr="00495745">
              <w:t xml:space="preserve">weather </w:t>
            </w:r>
            <w:r w:rsidR="008655B3" w:rsidRPr="00495745">
              <w:t>events ar</w:t>
            </w:r>
            <w:r w:rsidR="00904FC4" w:rsidRPr="00495745">
              <w:t xml:space="preserve">e a part of Australia’s climate. The CSIRO </w:t>
            </w:r>
            <w:r w:rsidR="008655B3" w:rsidRPr="00495745">
              <w:t xml:space="preserve">predicts that </w:t>
            </w:r>
            <w:r w:rsidR="00904FC4" w:rsidRPr="00495745">
              <w:t xml:space="preserve">weather events </w:t>
            </w:r>
            <w:r w:rsidR="008655B3" w:rsidRPr="00495745">
              <w:t>are likely to be more intense resulting in more severe flooding as a result of climate change (CSIRO 2012).</w:t>
            </w:r>
          </w:p>
          <w:p w:rsidR="001350BD" w:rsidRDefault="00FF27EE" w:rsidP="00A70673">
            <w:pPr>
              <w:pStyle w:val="Box"/>
            </w:pPr>
            <w:r w:rsidRPr="00495745">
              <w:t xml:space="preserve">Natural disasters can have a substantial </w:t>
            </w:r>
            <w:r w:rsidR="0042072C" w:rsidRPr="00495745">
              <w:t>social and</w:t>
            </w:r>
            <w:r w:rsidR="00904FC4" w:rsidRPr="00495745">
              <w:t xml:space="preserve"> economic cost. Recent examples</w:t>
            </w:r>
            <w:r w:rsidR="0042072C" w:rsidRPr="00495745">
              <w:t xml:space="preserve"> </w:t>
            </w:r>
            <w:r w:rsidR="00904FC4" w:rsidRPr="00495745">
              <w:t xml:space="preserve">of extreme weather events leading to </w:t>
            </w:r>
            <w:r w:rsidR="0042072C" w:rsidRPr="00495745">
              <w:t>insured damages greater than $1 billion include:</w:t>
            </w:r>
          </w:p>
          <w:p w:rsidR="001350BD" w:rsidRDefault="001350BD" w:rsidP="001350BD">
            <w:pPr>
              <w:pStyle w:val="BoxListBullet"/>
            </w:pPr>
            <w:r w:rsidRPr="00495745">
              <w:rPr>
                <w:i/>
              </w:rPr>
              <w:t>Cyclone Oswald</w:t>
            </w:r>
            <w:r w:rsidRPr="00495745">
              <w:t xml:space="preserve"> — Tropical Cyclone Oswald formed in the Gulf of Carpentaria on 21</w:t>
            </w:r>
            <w:r w:rsidR="00BE3E26">
              <w:t> </w:t>
            </w:r>
            <w:r w:rsidRPr="00495745">
              <w:t xml:space="preserve">January 2013. The cyclone brought with it a heavy monsoonal rainfall system that lasted for approximately one week. Over the course of the week, six people were killed, thousands were forced to evacuate, and 2000 people were isolated by floodwaters for some days requiring emergency supply drops. Approximately 40 water rescues took place by State Emergency Service volunteers. The Insurance Council of Australia estimated the January 2013 cost at $119 million for New South Wales and $971 million for Queensland. </w:t>
            </w:r>
          </w:p>
          <w:p w:rsidR="001350BD" w:rsidRDefault="001350BD" w:rsidP="001350BD">
            <w:pPr>
              <w:pStyle w:val="BoxListBullet"/>
            </w:pPr>
            <w:r w:rsidRPr="00E0267D">
              <w:rPr>
                <w:i/>
              </w:rPr>
              <w:t xml:space="preserve">Queensland floods </w:t>
            </w:r>
            <w:r>
              <w:t xml:space="preserve">— </w:t>
            </w:r>
            <w:r w:rsidRPr="00E0267D">
              <w:t>Prolonged and extensive rainfall over large areas of Queensland, led to flooding of historic proportions in Queensland in December 2010, stretching into January 2011. Thirty</w:t>
            </w:r>
            <w:r w:rsidR="001525FA">
              <w:noBreakHyphen/>
            </w:r>
            <w:r w:rsidRPr="00E0267D">
              <w:t>three people died in the 2010</w:t>
            </w:r>
            <w:r w:rsidR="001525FA">
              <w:noBreakHyphen/>
            </w:r>
            <w:r w:rsidRPr="00E0267D">
              <w:t>11 floods; three</w:t>
            </w:r>
            <w:r>
              <w:t xml:space="preserve"> </w:t>
            </w:r>
            <w:r w:rsidRPr="00E0267D">
              <w:t>remain missing.</w:t>
            </w:r>
            <w:r>
              <w:t xml:space="preserve"> </w:t>
            </w:r>
            <w:r w:rsidRPr="00E0267D">
              <w:t>Some</w:t>
            </w:r>
            <w:r>
              <w:t xml:space="preserve"> </w:t>
            </w:r>
            <w:r w:rsidRPr="00E0267D">
              <w:t>29</w:t>
            </w:r>
            <w:r>
              <w:t> </w:t>
            </w:r>
            <w:r w:rsidRPr="00E0267D">
              <w:t>000 homes and businesses</w:t>
            </w:r>
            <w:r>
              <w:t xml:space="preserve"> </w:t>
            </w:r>
            <w:r w:rsidRPr="00E0267D">
              <w:t>suffered some form of</w:t>
            </w:r>
            <w:r>
              <w:t xml:space="preserve"> </w:t>
            </w:r>
            <w:r w:rsidRPr="00E0267D">
              <w:t>inundation. The Queensland Reconstruction Authority has estimated that the cost of flooding events will be in excess of $5 billion.</w:t>
            </w:r>
            <w:r>
              <w:t xml:space="preserve"> (The Insurance Council of Australia reports insured asset losses of $2.4 billion.)</w:t>
            </w:r>
          </w:p>
          <w:p w:rsidR="00B35463" w:rsidRPr="001350BD" w:rsidRDefault="001350BD" w:rsidP="001350BD">
            <w:pPr>
              <w:pStyle w:val="BoxListBullet"/>
            </w:pPr>
            <w:r w:rsidRPr="0041449A">
              <w:rPr>
                <w:i/>
              </w:rPr>
              <w:t>WA severe thunderstorms</w:t>
            </w:r>
            <w:r>
              <w:t xml:space="preserve"> — </w:t>
            </w:r>
            <w:r w:rsidRPr="00114794">
              <w:t>Severe thunderstorms occurred on 22</w:t>
            </w:r>
            <w:r w:rsidR="00BE3E26">
              <w:t> </w:t>
            </w:r>
            <w:r w:rsidRPr="00114794">
              <w:t>March 201</w:t>
            </w:r>
            <w:r>
              <w:t>0</w:t>
            </w:r>
            <w:r w:rsidRPr="00114794">
              <w:t xml:space="preserve"> in </w:t>
            </w:r>
            <w:r>
              <w:t xml:space="preserve">the </w:t>
            </w:r>
            <w:r w:rsidRPr="00114794">
              <w:t>south</w:t>
            </w:r>
            <w:r w:rsidR="001525FA">
              <w:noBreakHyphen/>
            </w:r>
            <w:r w:rsidRPr="00114794">
              <w:t xml:space="preserve">west </w:t>
            </w:r>
            <w:r>
              <w:t xml:space="preserve">regions </w:t>
            </w:r>
            <w:r w:rsidRPr="00114794">
              <w:t xml:space="preserve">of WA. </w:t>
            </w:r>
            <w:r>
              <w:t xml:space="preserve">Heavy rain, severe winds, and hail, </w:t>
            </w:r>
            <w:r w:rsidRPr="00114794">
              <w:t xml:space="preserve">large enough to badly damage cars, break car windscreens and windows </w:t>
            </w:r>
            <w:r>
              <w:t>of houses, caused considerable damage</w:t>
            </w:r>
            <w:r w:rsidRPr="00114794">
              <w:t>.</w:t>
            </w:r>
            <w:r>
              <w:t xml:space="preserve"> </w:t>
            </w:r>
            <w:r w:rsidRPr="00114794">
              <w:t>The Insurance Council of Australia estimated the 2010 damage at $1</w:t>
            </w:r>
            <w:r>
              <w:t>.1 b</w:t>
            </w:r>
            <w:r w:rsidRPr="00114794">
              <w:t>illion.</w:t>
            </w:r>
            <w:r w:rsidR="00876403" w:rsidRPr="00495745">
              <w:rPr>
                <w:i/>
              </w:rPr>
              <w:t xml:space="preserve"> </w:t>
            </w:r>
          </w:p>
          <w:p w:rsidR="001350BD" w:rsidRDefault="001350BD" w:rsidP="009F2CED">
            <w:pPr>
              <w:pStyle w:val="BoxHeading1"/>
            </w:pPr>
            <w:r>
              <w:t>Measurement differences in the number of 2011 Queensland flood deaths</w:t>
            </w:r>
          </w:p>
          <w:p w:rsidR="001350BD" w:rsidRPr="00495745" w:rsidRDefault="001350BD" w:rsidP="009F2CED">
            <w:pPr>
              <w:pStyle w:val="Box"/>
            </w:pPr>
            <w:r w:rsidRPr="00B35463">
              <w:t xml:space="preserve">In total, the </w:t>
            </w:r>
            <w:r w:rsidRPr="00B35463">
              <w:rPr>
                <w:i/>
                <w:iCs/>
              </w:rPr>
              <w:t>Queensland Floods Commission of Inquiry</w:t>
            </w:r>
            <w:r w:rsidRPr="00B35463">
              <w:t xml:space="preserve"> (2012) attributed 33 deaths to the 2010</w:t>
            </w:r>
            <w:r w:rsidR="001525FA">
              <w:noBreakHyphen/>
            </w:r>
            <w:r w:rsidRPr="00B35463">
              <w:t>11 Queensland floods. The ABS</w:t>
            </w:r>
            <w:r w:rsidR="00C11B29">
              <w:t>’ (2012)</w:t>
            </w:r>
            <w:r w:rsidRPr="00B35463">
              <w:t xml:space="preserve"> </w:t>
            </w:r>
            <w:r w:rsidR="0042163F">
              <w:rPr>
                <w:iCs/>
              </w:rPr>
              <w:t>c</w:t>
            </w:r>
            <w:r w:rsidRPr="00C11B29">
              <w:rPr>
                <w:iCs/>
              </w:rPr>
              <w:t>ause</w:t>
            </w:r>
            <w:r w:rsidR="0042163F">
              <w:rPr>
                <w:iCs/>
              </w:rPr>
              <w:t>s</w:t>
            </w:r>
            <w:r w:rsidRPr="00C11B29">
              <w:rPr>
                <w:iCs/>
              </w:rPr>
              <w:t xml:space="preserve"> of death</w:t>
            </w:r>
            <w:r w:rsidRPr="00B35463">
              <w:rPr>
                <w:i/>
                <w:iCs/>
              </w:rPr>
              <w:t xml:space="preserve"> </w:t>
            </w:r>
            <w:r w:rsidR="0042163F" w:rsidRPr="0042163F">
              <w:rPr>
                <w:iCs/>
              </w:rPr>
              <w:t>data</w:t>
            </w:r>
            <w:r w:rsidR="0042163F">
              <w:rPr>
                <w:i/>
                <w:iCs/>
              </w:rPr>
              <w:t xml:space="preserve"> </w:t>
            </w:r>
            <w:r w:rsidRPr="00B35463">
              <w:t>recorded fewer Queensland victims of floods in the same period. ABS</w:t>
            </w:r>
            <w:r w:rsidR="0042163F">
              <w:t>’</w:t>
            </w:r>
            <w:r w:rsidRPr="00B35463">
              <w:t xml:space="preserve"> statistics have been coded according to</w:t>
            </w:r>
            <w:r w:rsidR="0042163F">
              <w:t xml:space="preserve"> the</w:t>
            </w:r>
            <w:r w:rsidRPr="00B35463">
              <w:t xml:space="preserve"> ‘International Classification of Diseases’ standard. This results in some deaths, which may have occurred during the floods, being attributed to a different ‘primary’ cause of death. There may also be some deaths which occurred in Queensland, but have been attributed to the state of usual residence of the individual. In addition, the ABS</w:t>
            </w:r>
            <w:r w:rsidR="0042163F">
              <w:t>’</w:t>
            </w:r>
            <w:r w:rsidRPr="00B35463">
              <w:t xml:space="preserve"> cause</w:t>
            </w:r>
            <w:r w:rsidR="0042163F">
              <w:t>s</w:t>
            </w:r>
            <w:r w:rsidRPr="00B35463">
              <w:t xml:space="preserve"> of death data </w:t>
            </w:r>
            <w:r w:rsidR="0042163F">
              <w:t>are</w:t>
            </w:r>
            <w:r w:rsidRPr="00B35463">
              <w:t xml:space="preserve"> subject to a revisions process. Further deaths may be attributed to flooding on the finalisation of all related coronial inquests.</w:t>
            </w:r>
          </w:p>
        </w:tc>
      </w:tr>
      <w:tr w:rsidR="00495745" w:rsidRPr="00495745">
        <w:trPr>
          <w:cantSplit/>
        </w:trPr>
        <w:tc>
          <w:tcPr>
            <w:tcW w:w="8771" w:type="dxa"/>
            <w:tcBorders>
              <w:top w:val="nil"/>
              <w:left w:val="single" w:sz="6" w:space="0" w:color="auto"/>
              <w:bottom w:val="nil"/>
              <w:right w:val="single" w:sz="6" w:space="0" w:color="auto"/>
            </w:tcBorders>
          </w:tcPr>
          <w:p w:rsidR="00FF27EE" w:rsidRPr="00495745" w:rsidRDefault="00FF27EE" w:rsidP="001350BD">
            <w:pPr>
              <w:pStyle w:val="BoxSource"/>
            </w:pPr>
            <w:r w:rsidRPr="00495745">
              <w:rPr>
                <w:i/>
              </w:rPr>
              <w:t>Source</w:t>
            </w:r>
            <w:r w:rsidRPr="00495745">
              <w:t xml:space="preserve">: CSIRO (2012); </w:t>
            </w:r>
            <w:proofErr w:type="spellStart"/>
            <w:r w:rsidRPr="00495745">
              <w:t>A</w:t>
            </w:r>
            <w:r w:rsidR="001350BD">
              <w:t>GD</w:t>
            </w:r>
            <w:proofErr w:type="spellEnd"/>
            <w:r w:rsidRPr="00495745">
              <w:t xml:space="preserve"> (</w:t>
            </w:r>
            <w:proofErr w:type="spellStart"/>
            <w:r w:rsidRPr="00495745">
              <w:rPr>
                <w:spacing w:val="-6"/>
              </w:rPr>
              <w:t>201</w:t>
            </w:r>
            <w:r w:rsidR="001350BD">
              <w:rPr>
                <w:spacing w:val="-6"/>
              </w:rPr>
              <w:t>3</w:t>
            </w:r>
            <w:r w:rsidR="001A29D5">
              <w:rPr>
                <w:spacing w:val="-6"/>
              </w:rPr>
              <w:t>a</w:t>
            </w:r>
            <w:proofErr w:type="spellEnd"/>
            <w:r w:rsidRPr="00495745">
              <w:rPr>
                <w:spacing w:val="-6"/>
              </w:rPr>
              <w:t xml:space="preserve">); </w:t>
            </w:r>
            <w:r w:rsidRPr="00495745">
              <w:t>Queensland Government (unpublished).</w:t>
            </w:r>
          </w:p>
        </w:tc>
      </w:tr>
      <w:tr w:rsidR="00FF27EE">
        <w:trPr>
          <w:cantSplit/>
        </w:trPr>
        <w:tc>
          <w:tcPr>
            <w:tcW w:w="8771" w:type="dxa"/>
            <w:tcBorders>
              <w:top w:val="nil"/>
              <w:left w:val="single" w:sz="6" w:space="0" w:color="auto"/>
              <w:bottom w:val="single" w:sz="6" w:space="0" w:color="auto"/>
              <w:right w:val="single" w:sz="6" w:space="0" w:color="auto"/>
            </w:tcBorders>
          </w:tcPr>
          <w:p w:rsidR="00FF27EE" w:rsidRDefault="00FF27EE">
            <w:pPr>
              <w:pStyle w:val="Box"/>
              <w:spacing w:before="0" w:line="120" w:lineRule="exact"/>
            </w:pPr>
          </w:p>
        </w:tc>
      </w:tr>
      <w:tr w:rsidR="00FF27EE" w:rsidRPr="000863A5">
        <w:tc>
          <w:tcPr>
            <w:tcW w:w="8771" w:type="dxa"/>
            <w:tcBorders>
              <w:top w:val="nil"/>
              <w:left w:val="nil"/>
              <w:bottom w:val="nil"/>
              <w:right w:val="nil"/>
            </w:tcBorders>
          </w:tcPr>
          <w:p w:rsidR="00FF27EE" w:rsidRPr="000863A5" w:rsidRDefault="00FF27EE" w:rsidP="005B57AD">
            <w:pPr>
              <w:pStyle w:val="Box"/>
              <w:keepNext w:val="0"/>
              <w:spacing w:before="60" w:after="60" w:line="80" w:lineRule="exact"/>
              <w:rPr>
                <w:b/>
                <w:sz w:val="14"/>
              </w:rPr>
            </w:pPr>
          </w:p>
        </w:tc>
      </w:tr>
    </w:tbl>
    <w:p w:rsidR="00DE2D11" w:rsidRPr="00262ED3" w:rsidRDefault="00DE2D11" w:rsidP="00585E6B">
      <w:pPr>
        <w:pStyle w:val="Heading5"/>
      </w:pPr>
      <w:r w:rsidRPr="00B65CEF">
        <w:lastRenderedPageBreak/>
        <w:t xml:space="preserve">Deaths from emergency events </w:t>
      </w:r>
    </w:p>
    <w:p w:rsidR="00DE2D11" w:rsidRDefault="00DE2D11" w:rsidP="002D5083">
      <w:pPr>
        <w:pStyle w:val="BodyText"/>
      </w:pPr>
      <w:r>
        <w:t>‘</w:t>
      </w:r>
      <w:r w:rsidRPr="00B65CEF">
        <w:t>Deaths from emergency events</w:t>
      </w:r>
      <w:r>
        <w:t>’ is an</w:t>
      </w:r>
      <w:r w:rsidRPr="009D4350">
        <w:t xml:space="preserve"> indicator of governments’ objective to</w:t>
      </w:r>
      <w:r w:rsidRPr="009F2CED">
        <w:t xml:space="preserve"> </w:t>
      </w:r>
      <w:r w:rsidR="002D5083" w:rsidRPr="009F2CED">
        <w:t>reduce the adverse effects of emergencies and disasters on the community (including people, property, infrastructure, economy and environment)</w:t>
      </w:r>
      <w:r w:rsidR="00305D72" w:rsidRPr="009F2CED">
        <w:t xml:space="preserve"> and to enhance public safety</w:t>
      </w:r>
      <w:r w:rsidR="002D5083">
        <w:t xml:space="preserve"> </w:t>
      </w:r>
      <w:r w:rsidRPr="00262ED3">
        <w:t>(box </w:t>
      </w:r>
      <w:proofErr w:type="spellStart"/>
      <w:r w:rsidR="004A5FB9">
        <w:t>D.6</w:t>
      </w:r>
      <w:proofErr w:type="spellEnd"/>
      <w:r w:rsidRPr="00262ED3">
        <w:t xml:space="preserve">). </w:t>
      </w:r>
    </w:p>
    <w:p w:rsidR="00DE2D11" w:rsidRPr="00262ED3" w:rsidRDefault="00DE2D11" w:rsidP="00DE2D1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E2D11" w:rsidRPr="00262ED3" w:rsidTr="00DE2D11">
        <w:tc>
          <w:tcPr>
            <w:tcW w:w="8771" w:type="dxa"/>
            <w:tcBorders>
              <w:top w:val="single" w:sz="6" w:space="0" w:color="auto"/>
              <w:bottom w:val="nil"/>
            </w:tcBorders>
          </w:tcPr>
          <w:p w:rsidR="00DE2D11" w:rsidRPr="00B65CEF" w:rsidRDefault="00DE2D11" w:rsidP="00DE2D11">
            <w:pPr>
              <w:pStyle w:val="BoxTitle"/>
            </w:pPr>
            <w:r w:rsidRPr="00E21B5B">
              <w:rPr>
                <w:b w:val="0"/>
              </w:rPr>
              <w:t xml:space="preserve">Box </w:t>
            </w:r>
            <w:bookmarkStart w:id="29" w:name="OLE_LINK6"/>
            <w:proofErr w:type="spellStart"/>
            <w:r w:rsidR="00CA09FA">
              <w:rPr>
                <w:b w:val="0"/>
              </w:rPr>
              <w:t>D.</w:t>
            </w:r>
            <w:r w:rsidR="005A1847">
              <w:rPr>
                <w:b w:val="0"/>
                <w:noProof/>
              </w:rPr>
              <w:t>6</w:t>
            </w:r>
            <w:bookmarkEnd w:id="29"/>
            <w:proofErr w:type="spellEnd"/>
            <w:r w:rsidRPr="00262ED3">
              <w:tab/>
            </w:r>
            <w:r w:rsidRPr="00B65CEF">
              <w:t>Deaths from emergency events</w:t>
            </w:r>
          </w:p>
        </w:tc>
      </w:tr>
      <w:tr w:rsidR="00DE2D11" w:rsidRPr="00262ED3" w:rsidTr="00DE2D11">
        <w:trPr>
          <w:cantSplit/>
        </w:trPr>
        <w:tc>
          <w:tcPr>
            <w:tcW w:w="8771" w:type="dxa"/>
            <w:tcBorders>
              <w:top w:val="nil"/>
              <w:left w:val="single" w:sz="6" w:space="0" w:color="auto"/>
              <w:bottom w:val="nil"/>
              <w:right w:val="single" w:sz="6" w:space="0" w:color="auto"/>
            </w:tcBorders>
          </w:tcPr>
          <w:p w:rsidR="00DE2D11" w:rsidRDefault="00DE2D11" w:rsidP="00DE2D11">
            <w:pPr>
              <w:pStyle w:val="Box"/>
            </w:pPr>
            <w:r w:rsidRPr="00262ED3">
              <w:t>‘</w:t>
            </w:r>
            <w:r w:rsidRPr="00B65CEF">
              <w:t>Deaths from emergency events</w:t>
            </w:r>
            <w:r w:rsidRPr="00262ED3">
              <w:t xml:space="preserve">’ is defined as </w:t>
            </w:r>
            <w:r>
              <w:t xml:space="preserve">the number of deaths per calendar year in </w:t>
            </w:r>
            <w:r w:rsidR="001934F4">
              <w:t>three categories</w:t>
            </w:r>
            <w:r>
              <w:t>:</w:t>
            </w:r>
          </w:p>
          <w:p w:rsidR="00DE2D11" w:rsidRDefault="003B79AD" w:rsidP="00DE2D11">
            <w:pPr>
              <w:pStyle w:val="BoxListBullet"/>
            </w:pPr>
            <w:r>
              <w:t>road traffic</w:t>
            </w:r>
            <w:r w:rsidR="00DE2D11">
              <w:t xml:space="preserve"> deaths — deaths primarily caused by accidents involving </w:t>
            </w:r>
            <w:r>
              <w:t xml:space="preserve">road </w:t>
            </w:r>
            <w:r w:rsidR="00DE2D11">
              <w:t>transport vehicles (</w:t>
            </w:r>
            <w:r w:rsidR="00CA43C9">
              <w:t>mainly cars</w:t>
            </w:r>
            <w:r w:rsidR="00DE2D11">
              <w:t>)</w:t>
            </w:r>
          </w:p>
          <w:p w:rsidR="00DE2D11" w:rsidRDefault="00DE2D11" w:rsidP="00DE2D11">
            <w:pPr>
              <w:pStyle w:val="BoxListBullet"/>
            </w:pPr>
            <w:r>
              <w:t>fire deaths — deaths primarily caused by exposure to smoke, fire or flames</w:t>
            </w:r>
          </w:p>
          <w:p w:rsidR="00DE2D11" w:rsidRPr="00262ED3" w:rsidRDefault="00DE2D11" w:rsidP="00DE2D11">
            <w:pPr>
              <w:pStyle w:val="BoxListBullet"/>
            </w:pPr>
            <w:r>
              <w:t>deaths from e</w:t>
            </w:r>
            <w:r w:rsidRPr="00FE2860">
              <w:t>xposure to forces of nature</w:t>
            </w:r>
            <w:r>
              <w:t xml:space="preserve"> — including exposure to excessive natural heat, exposure to excessive natural cold, exposure to sunlight, victim of lightning, victim of earthquake, victim of volcanic eruption, victim of avalanche, landslide and other earth movements, victim of cataclysmic storm, and victim of flood.</w:t>
            </w:r>
            <w:r w:rsidR="001525FA">
              <w:t xml:space="preserve"> </w:t>
            </w:r>
          </w:p>
          <w:p w:rsidR="00DE2D11" w:rsidRPr="00262ED3" w:rsidRDefault="00DE2D11" w:rsidP="00DE2D11">
            <w:pPr>
              <w:pStyle w:val="Box"/>
            </w:pPr>
            <w:r w:rsidRPr="00262ED3">
              <w:t xml:space="preserve">A low or decreasing </w:t>
            </w:r>
            <w:r>
              <w:t xml:space="preserve">number </w:t>
            </w:r>
            <w:r w:rsidRPr="00262ED3">
              <w:t xml:space="preserve">of </w:t>
            </w:r>
            <w:r>
              <w:t>d</w:t>
            </w:r>
            <w:r w:rsidRPr="00B65CEF">
              <w:t>eaths from emergency events</w:t>
            </w:r>
            <w:r>
              <w:t xml:space="preserve"> </w:t>
            </w:r>
            <w:r w:rsidRPr="00262ED3">
              <w:t>is desirable.</w:t>
            </w:r>
          </w:p>
          <w:p w:rsidR="00666F6E" w:rsidRDefault="00666F6E" w:rsidP="00666F6E">
            <w:pPr>
              <w:pStyle w:val="Box"/>
              <w:keepNext w:val="0"/>
              <w:ind w:right="-138"/>
            </w:pPr>
            <w:r>
              <w:t>Data for these measures are:</w:t>
            </w:r>
          </w:p>
          <w:p w:rsidR="00666F6E" w:rsidRPr="00764BB9" w:rsidRDefault="00666F6E" w:rsidP="00666F6E">
            <w:pPr>
              <w:pStyle w:val="BoxListBullet"/>
            </w:pPr>
            <w:r w:rsidRPr="00764BB9">
              <w:t>comparable (subject to caveats) across jurisdictions and over time</w:t>
            </w:r>
          </w:p>
          <w:p w:rsidR="00666F6E" w:rsidRPr="0054109B" w:rsidRDefault="00666F6E" w:rsidP="00666F6E">
            <w:pPr>
              <w:pStyle w:val="BoxListBullet"/>
            </w:pPr>
            <w:r>
              <w:t>complete (subject to caveats) for the current reporting period</w:t>
            </w:r>
            <w:r w:rsidRPr="0052371F">
              <w:t xml:space="preserve">. All required </w:t>
            </w:r>
            <w:r>
              <w:t>2012</w:t>
            </w:r>
            <w:r>
              <w:noBreakHyphen/>
              <w:t xml:space="preserve">13 </w:t>
            </w:r>
            <w:r w:rsidRPr="0052371F">
              <w:t>data are available for all jurisdictions.</w:t>
            </w:r>
          </w:p>
          <w:p w:rsidR="00DE2D11" w:rsidRPr="00262ED3" w:rsidRDefault="00DE2D11" w:rsidP="00DE2D11">
            <w:pPr>
              <w:pStyle w:val="Box"/>
            </w:pPr>
            <w:r w:rsidRPr="00262ED3">
              <w:t xml:space="preserve">Data quality information for this indicator </w:t>
            </w:r>
            <w:r w:rsidR="00CA43C9">
              <w:t>is</w:t>
            </w:r>
            <w:r w:rsidRPr="00262ED3">
              <w:t xml:space="preserve"> </w:t>
            </w:r>
            <w:r w:rsidR="00CA43C9">
              <w:t>under development</w:t>
            </w:r>
            <w:r w:rsidRPr="00262ED3">
              <w:t>.</w:t>
            </w:r>
          </w:p>
        </w:tc>
      </w:tr>
      <w:tr w:rsidR="00DE2D11" w:rsidRPr="00262ED3" w:rsidTr="00DE2D11">
        <w:trPr>
          <w:cantSplit/>
        </w:trPr>
        <w:tc>
          <w:tcPr>
            <w:tcW w:w="8771" w:type="dxa"/>
            <w:tcBorders>
              <w:top w:val="nil"/>
              <w:left w:val="single" w:sz="6" w:space="0" w:color="auto"/>
              <w:bottom w:val="single" w:sz="6" w:space="0" w:color="auto"/>
              <w:right w:val="single" w:sz="6" w:space="0" w:color="auto"/>
            </w:tcBorders>
          </w:tcPr>
          <w:p w:rsidR="00DE2D11" w:rsidRPr="00262ED3" w:rsidRDefault="00DE2D11" w:rsidP="00DE2D11">
            <w:pPr>
              <w:pStyle w:val="Box"/>
              <w:spacing w:before="0" w:line="120" w:lineRule="exact"/>
            </w:pPr>
          </w:p>
        </w:tc>
      </w:tr>
      <w:tr w:rsidR="00DE2D11" w:rsidRPr="00262ED3" w:rsidTr="00DE2D11">
        <w:tc>
          <w:tcPr>
            <w:tcW w:w="8771" w:type="dxa"/>
            <w:tcBorders>
              <w:top w:val="nil"/>
              <w:left w:val="nil"/>
              <w:bottom w:val="nil"/>
              <w:right w:val="nil"/>
            </w:tcBorders>
          </w:tcPr>
          <w:p w:rsidR="00DE2D11" w:rsidRPr="00262ED3" w:rsidRDefault="00DE2D11" w:rsidP="00DE2D11">
            <w:pPr>
              <w:pStyle w:val="Box"/>
              <w:keepNext w:val="0"/>
              <w:spacing w:before="60" w:after="60" w:line="80" w:lineRule="exact"/>
            </w:pPr>
          </w:p>
        </w:tc>
      </w:tr>
    </w:tbl>
    <w:p w:rsidR="00876403" w:rsidRDefault="00876403" w:rsidP="00876403">
      <w:pPr>
        <w:pStyle w:val="BodyText"/>
      </w:pPr>
      <w:bookmarkStart w:id="30" w:name="_Toc343076271"/>
      <w:bookmarkStart w:id="31" w:name="_Toc343077261"/>
      <w:r>
        <w:t xml:space="preserve">Nationally, there were 1454 deaths, 65.1 per million people, from emergency events in 2011 (table </w:t>
      </w:r>
      <w:proofErr w:type="spellStart"/>
      <w:r>
        <w:t>DA.10</w:t>
      </w:r>
      <w:proofErr w:type="spellEnd"/>
      <w:r>
        <w:t>). Across jurisdictions, emergency event deaths ranged from 48.8 deaths per million people in NSW to 246.4 deaths per million people in the NT.</w:t>
      </w:r>
    </w:p>
    <w:p w:rsidR="00FE464E" w:rsidRDefault="00FE464E" w:rsidP="00FE464E">
      <w:pPr>
        <w:pStyle w:val="Heading5"/>
      </w:pPr>
      <w:r>
        <w:t xml:space="preserve">Road traffic deaths </w:t>
      </w:r>
    </w:p>
    <w:p w:rsidR="00FE464E" w:rsidRDefault="00FE464E" w:rsidP="00FE464E">
      <w:pPr>
        <w:pStyle w:val="BodyText"/>
      </w:pPr>
      <w:r w:rsidRPr="00D1457D">
        <w:t xml:space="preserve">Road crash incidents are the single largest contributor to deaths from emergency events reported (by a substantial factor). </w:t>
      </w:r>
      <w:r>
        <w:t>Nationally, there were 1257 road traffic deaths in 2011 (</w:t>
      </w:r>
      <w:r w:rsidR="00666F6E">
        <w:t xml:space="preserve">table </w:t>
      </w:r>
      <w:proofErr w:type="spellStart"/>
      <w:r w:rsidR="00666F6E">
        <w:t>DA.8</w:t>
      </w:r>
      <w:proofErr w:type="spellEnd"/>
      <w:r>
        <w:t xml:space="preserve">). </w:t>
      </w:r>
    </w:p>
    <w:p w:rsidR="00B15A24" w:rsidRDefault="00B15A24" w:rsidP="00B15A24">
      <w:pPr>
        <w:pStyle w:val="BodyText"/>
      </w:pPr>
      <w:r w:rsidRPr="00363A3A">
        <w:t>A primary aim of governments is to reduce death and injury and the personal suffering and economic costs of road crashes</w:t>
      </w:r>
      <w:r>
        <w:t xml:space="preserve"> (box </w:t>
      </w:r>
      <w:proofErr w:type="spellStart"/>
      <w:r w:rsidR="00CA09FA">
        <w:t>D.7</w:t>
      </w:r>
      <w:proofErr w:type="spellEnd"/>
      <w:r>
        <w:t>)</w:t>
      </w:r>
      <w:r w:rsidRPr="00363A3A">
        <w:t>.</w:t>
      </w:r>
      <w:r>
        <w:t xml:space="preserve"> Nationally, over 20 </w:t>
      </w:r>
      <w:r w:rsidRPr="00363A3A">
        <w:t xml:space="preserve">emergency service organisations </w:t>
      </w:r>
      <w:r>
        <w:t>contribute to this through the provision of</w:t>
      </w:r>
      <w:r w:rsidRPr="00363A3A">
        <w:t xml:space="preserve"> effective and efficient medical and </w:t>
      </w:r>
      <w:r>
        <w:t xml:space="preserve">road crash </w:t>
      </w:r>
      <w:r w:rsidRPr="00363A3A">
        <w:t>rescue services</w:t>
      </w:r>
      <w:r w:rsidR="00B360AD">
        <w:t xml:space="preserve"> </w:t>
      </w:r>
      <w:r w:rsidRPr="00363A3A">
        <w:t>(table </w:t>
      </w:r>
      <w:proofErr w:type="spellStart"/>
      <w:r w:rsidRPr="00363A3A">
        <w:t>DA.1</w:t>
      </w:r>
      <w:proofErr w:type="spellEnd"/>
      <w:r w:rsidRPr="00363A3A">
        <w:t xml:space="preserve">). </w:t>
      </w:r>
    </w:p>
    <w:p w:rsidR="00B15A24" w:rsidRDefault="00B15A24" w:rsidP="00B15A24">
      <w:pPr>
        <w:pStyle w:val="BodyText"/>
      </w:pPr>
      <w:r>
        <w:lastRenderedPageBreak/>
        <w:t>From 1982 to 2011, road traffic deaths have declined from 222.3 t</w:t>
      </w:r>
      <w:r w:rsidRPr="00EC296A">
        <w:t xml:space="preserve">o </w:t>
      </w:r>
      <w:r>
        <w:t>56.3 deaths per million people (figure </w:t>
      </w:r>
      <w:proofErr w:type="spellStart"/>
      <w:r w:rsidR="00CA09FA">
        <w:t>D.6</w:t>
      </w:r>
      <w:proofErr w:type="spellEnd"/>
      <w:r>
        <w:t>). Road safety gains have been achieved through a range of community and government efforts including: road infrastructure improvements; safer vehicles; lower speed limits; graduated licensing; and behavioural programs targeting drink driving, seatbelt usage and speeding (</w:t>
      </w:r>
      <w:proofErr w:type="spellStart"/>
      <w:r w:rsidRPr="001352BB">
        <w:t>ATC</w:t>
      </w:r>
      <w:proofErr w:type="spellEnd"/>
      <w:r w:rsidRPr="001352BB">
        <w:t xml:space="preserve"> 2011)</w:t>
      </w:r>
      <w:r>
        <w:t xml:space="preserve">. </w:t>
      </w:r>
    </w:p>
    <w:p w:rsidR="00D761A7" w:rsidRPr="00262ED3" w:rsidRDefault="00D761A7" w:rsidP="00D761A7">
      <w:pPr>
        <w:pStyle w:val="FigureTitle"/>
      </w:pPr>
      <w:r>
        <w:rPr>
          <w:b w:val="0"/>
        </w:rPr>
        <w:t xml:space="preserve">Figure </w:t>
      </w:r>
      <w:bookmarkStart w:id="32" w:name="OLE_LINK8"/>
      <w:proofErr w:type="spellStart"/>
      <w:r w:rsidR="00CA09FA">
        <w:rPr>
          <w:b w:val="0"/>
        </w:rPr>
        <w:t>D.</w:t>
      </w:r>
      <w:r w:rsidR="005A1847">
        <w:rPr>
          <w:b w:val="0"/>
          <w:noProof/>
        </w:rPr>
        <w:t>6</w:t>
      </w:r>
      <w:bookmarkEnd w:id="32"/>
      <w:proofErr w:type="spellEnd"/>
      <w:r>
        <w:tab/>
        <w:t>Road traffic deaths</w:t>
      </w:r>
      <w:r w:rsidRPr="00905495">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761A7">
        <w:tc>
          <w:tcPr>
            <w:tcW w:w="8777" w:type="dxa"/>
          </w:tcPr>
          <w:p w:rsidR="00D761A7" w:rsidRPr="00305D72" w:rsidRDefault="00205B51" w:rsidP="00305D72">
            <w:pPr>
              <w:pStyle w:val="Figure"/>
            </w:pPr>
            <w:r>
              <w:rPr>
                <w:noProof/>
              </w:rPr>
              <w:drawing>
                <wp:inline distT="0" distB="0" distL="0" distR="0" wp14:anchorId="535AF956" wp14:editId="641C366D">
                  <wp:extent cx="5572760" cy="2689225"/>
                  <wp:effectExtent l="0" t="0" r="8890" b="0"/>
                  <wp:docPr id="8" name="Picture 8" descr="Figure D.6 Road traffic death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72760" cy="2689225"/>
                          </a:xfrm>
                          <a:prstGeom prst="rect">
                            <a:avLst/>
                          </a:prstGeom>
                          <a:noFill/>
                          <a:ln>
                            <a:noFill/>
                          </a:ln>
                        </pic:spPr>
                      </pic:pic>
                    </a:graphicData>
                  </a:graphic>
                </wp:inline>
              </w:drawing>
            </w:r>
          </w:p>
        </w:tc>
      </w:tr>
    </w:tbl>
    <w:p w:rsidR="00D761A7" w:rsidRDefault="00D761A7">
      <w:pPr>
        <w:pStyle w:val="Note"/>
      </w:pPr>
      <w:r>
        <w:rPr>
          <w:rStyle w:val="NoteLabel"/>
        </w:rPr>
        <w:t>a</w:t>
      </w:r>
      <w:r>
        <w:t> </w:t>
      </w:r>
      <w:r w:rsidRPr="00D761A7">
        <w:t xml:space="preserve">Deaths are coded according to the </w:t>
      </w:r>
      <w:proofErr w:type="spellStart"/>
      <w:r w:rsidRPr="00D761A7">
        <w:t>ICD</w:t>
      </w:r>
      <w:proofErr w:type="spellEnd"/>
      <w:r w:rsidRPr="00D761A7">
        <w:t xml:space="preserve"> and Related Health Problems Revision 10 (</w:t>
      </w:r>
      <w:proofErr w:type="spellStart"/>
      <w:r w:rsidRPr="00D761A7">
        <w:t>ICD</w:t>
      </w:r>
      <w:proofErr w:type="spellEnd"/>
      <w:r w:rsidR="001525FA">
        <w:noBreakHyphen/>
      </w:r>
      <w:r w:rsidRPr="00D761A7">
        <w:t xml:space="preserve">10). Deaths data are reported by the year the death was registered. Road traffic deaths includes </w:t>
      </w:r>
      <w:proofErr w:type="spellStart"/>
      <w:r w:rsidRPr="00D761A7">
        <w:t>ICD</w:t>
      </w:r>
      <w:proofErr w:type="spellEnd"/>
      <w:r w:rsidRPr="00D761A7">
        <w:t xml:space="preserve"> codes </w:t>
      </w:r>
      <w:proofErr w:type="spellStart"/>
      <w:r w:rsidRPr="00D761A7">
        <w:t>V01</w:t>
      </w:r>
      <w:r w:rsidR="001525FA">
        <w:noBreakHyphen/>
      </w:r>
      <w:r w:rsidRPr="00D761A7">
        <w:t>V99</w:t>
      </w:r>
      <w:proofErr w:type="spellEnd"/>
      <w:r w:rsidRPr="00D761A7">
        <w:t xml:space="preserve">, </w:t>
      </w:r>
      <w:proofErr w:type="spellStart"/>
      <w:r w:rsidRPr="00D761A7">
        <w:t>X82</w:t>
      </w:r>
      <w:proofErr w:type="spellEnd"/>
      <w:r w:rsidRPr="00D761A7">
        <w:t xml:space="preserve">, </w:t>
      </w:r>
      <w:proofErr w:type="spellStart"/>
      <w:r w:rsidRPr="00D761A7">
        <w:t>Y03</w:t>
      </w:r>
      <w:proofErr w:type="spellEnd"/>
      <w:r w:rsidRPr="00D761A7">
        <w:t xml:space="preserve"> and </w:t>
      </w:r>
      <w:proofErr w:type="spellStart"/>
      <w:r w:rsidRPr="00D761A7">
        <w:t>Y32</w:t>
      </w:r>
      <w:proofErr w:type="spellEnd"/>
      <w:r w:rsidRPr="00D761A7">
        <w:t xml:space="preserve">. </w:t>
      </w:r>
      <w:r>
        <w:rPr>
          <w:rStyle w:val="NoteLabel"/>
        </w:rPr>
        <w:t>b</w:t>
      </w:r>
      <w:r>
        <w:t> </w:t>
      </w:r>
      <w:r w:rsidRPr="00D761A7">
        <w:t xml:space="preserve">The number of road traffic deaths provided in </w:t>
      </w:r>
      <w:r w:rsidRPr="00D761A7">
        <w:rPr>
          <w:i/>
        </w:rPr>
        <w:t>Causes of Death</w:t>
      </w:r>
      <w:r w:rsidRPr="00D761A7">
        <w:t xml:space="preserve"> is different to the number of ‘Road fatalities’ presented in chapter</w:t>
      </w:r>
      <w:r w:rsidR="001525FA">
        <w:t> </w:t>
      </w:r>
      <w:r>
        <w:t>6</w:t>
      </w:r>
      <w:r w:rsidRPr="00D761A7">
        <w:t>. ‘Road fatalities’ in chapter</w:t>
      </w:r>
      <w:r w:rsidR="001525FA">
        <w:t> </w:t>
      </w:r>
      <w:r w:rsidRPr="00D761A7">
        <w:t>9 provides more recent data sourced by the Australian Road Deaths Database as reported by the police each month to road safety authorities.</w:t>
      </w:r>
    </w:p>
    <w:p w:rsidR="00D761A7" w:rsidRDefault="00D761A7" w:rsidP="00D761A7">
      <w:pPr>
        <w:pStyle w:val="Source"/>
      </w:pPr>
      <w:r w:rsidRPr="00A05A09">
        <w:rPr>
          <w:i/>
        </w:rPr>
        <w:t>Source</w:t>
      </w:r>
      <w:r w:rsidRPr="00A05A09">
        <w:t>: ABS (</w:t>
      </w:r>
      <w:r>
        <w:t>2013</w:t>
      </w:r>
      <w:r w:rsidRPr="00A05A09">
        <w:t xml:space="preserve">) </w:t>
      </w:r>
      <w:r w:rsidRPr="00A05A09">
        <w:rPr>
          <w:i/>
        </w:rPr>
        <w:t>Causes of Death, Australia</w:t>
      </w:r>
      <w:r>
        <w:t>, Cat. no. 3303.0</w:t>
      </w:r>
      <w:r w:rsidRPr="00A05A09">
        <w:t>; table </w:t>
      </w:r>
      <w:proofErr w:type="spellStart"/>
      <w:r>
        <w:t>D</w:t>
      </w:r>
      <w:r w:rsidRPr="00A05A09">
        <w:t>A.</w:t>
      </w:r>
      <w:r>
        <w:t>8</w:t>
      </w:r>
      <w:proofErr w:type="spellEnd"/>
      <w:r>
        <w:t>.</w:t>
      </w:r>
    </w:p>
    <w:bookmarkEnd w:id="30"/>
    <w:bookmarkEnd w:id="31"/>
    <w:p w:rsidR="008B62CC" w:rsidRDefault="008B62CC" w:rsidP="008B62CC">
      <w:pPr>
        <w:pStyle w:val="BodyText"/>
      </w:pPr>
      <w:r w:rsidRPr="00694FEC">
        <w:t xml:space="preserve">This sector overview provides data on the number of road traffic deaths only. However, </w:t>
      </w:r>
      <w:r>
        <w:t>t</w:t>
      </w:r>
      <w:r w:rsidRPr="00694FEC">
        <w:t xml:space="preserve">he impact of </w:t>
      </w:r>
      <w:r>
        <w:t>over 40 000</w:t>
      </w:r>
      <w:r w:rsidRPr="00694FEC">
        <w:t xml:space="preserve"> traffic injuries and traumas in </w:t>
      </w:r>
      <w:r w:rsidRPr="00B73A74">
        <w:t>201</w:t>
      </w:r>
      <w:r>
        <w:t>2</w:t>
      </w:r>
      <w:r w:rsidRPr="00B73A74">
        <w:noBreakHyphen/>
        <w:t>1</w:t>
      </w:r>
      <w:r>
        <w:t>3</w:t>
      </w:r>
      <w:r w:rsidRPr="00694FEC">
        <w:t xml:space="preserve"> is both ongoing and costly (</w:t>
      </w:r>
      <w:r>
        <w:t xml:space="preserve">box </w:t>
      </w:r>
      <w:proofErr w:type="spellStart"/>
      <w:r w:rsidR="00CA09FA">
        <w:t>D.7</w:t>
      </w:r>
      <w:proofErr w:type="spellEnd"/>
      <w:r>
        <w:t xml:space="preserve"> and </w:t>
      </w:r>
      <w:r w:rsidRPr="00694FEC">
        <w:t>chapter</w:t>
      </w:r>
      <w:r w:rsidR="001525FA">
        <w:t> </w:t>
      </w:r>
      <w:r w:rsidRPr="00694FEC">
        <w:t>6).</w:t>
      </w:r>
      <w:r>
        <w:t xml:space="preserve"> T</w:t>
      </w:r>
      <w:r w:rsidRPr="001352BB">
        <w:t>he role of police services in maximising road safety is provided in Police services (chapter</w:t>
      </w:r>
      <w:r w:rsidR="001525FA">
        <w:t> </w:t>
      </w:r>
      <w:r w:rsidRPr="001352BB">
        <w:t>6)</w:t>
      </w:r>
      <w:r>
        <w:t>.</w:t>
      </w:r>
      <w:r w:rsidRPr="001352BB">
        <w:t xml:space="preserve"> </w:t>
      </w:r>
      <w:r>
        <w:t>T</w:t>
      </w:r>
      <w:r w:rsidRPr="001352BB">
        <w:t>he number of road crash rescue incidents attended to by emergency service organisations i</w:t>
      </w:r>
      <w:r w:rsidR="00676955">
        <w:t>s</w:t>
      </w:r>
      <w:r w:rsidRPr="001352BB">
        <w:t xml:space="preserve"> presented in Fire and ambulance services (chapter</w:t>
      </w:r>
      <w:r w:rsidR="001525FA">
        <w:t> </w:t>
      </w:r>
      <w:r w:rsidRPr="001352BB">
        <w:t>9).</w:t>
      </w:r>
    </w:p>
    <w:p w:rsidR="005B3E0F" w:rsidRPr="00D1457D" w:rsidRDefault="005B3E0F" w:rsidP="005B3E0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B3E0F" w:rsidRPr="00D1457D" w:rsidTr="00FE464E">
        <w:tc>
          <w:tcPr>
            <w:tcW w:w="8771" w:type="dxa"/>
            <w:tcBorders>
              <w:top w:val="single" w:sz="6" w:space="0" w:color="auto"/>
              <w:bottom w:val="nil"/>
            </w:tcBorders>
          </w:tcPr>
          <w:p w:rsidR="005B3E0F" w:rsidRPr="00D1457D" w:rsidRDefault="005B3E0F" w:rsidP="00FE464E">
            <w:pPr>
              <w:pStyle w:val="BoxTitle"/>
            </w:pPr>
            <w:r w:rsidRPr="00D1457D">
              <w:rPr>
                <w:b w:val="0"/>
              </w:rPr>
              <w:t xml:space="preserve">Box </w:t>
            </w:r>
            <w:bookmarkStart w:id="33" w:name="OLE_LINK37"/>
            <w:proofErr w:type="spellStart"/>
            <w:r w:rsidR="00CA09FA">
              <w:rPr>
                <w:b w:val="0"/>
              </w:rPr>
              <w:t>D.</w:t>
            </w:r>
            <w:r w:rsidR="005A1847">
              <w:rPr>
                <w:b w:val="0"/>
                <w:noProof/>
              </w:rPr>
              <w:t>7</w:t>
            </w:r>
            <w:bookmarkEnd w:id="33"/>
            <w:proofErr w:type="spellEnd"/>
            <w:r w:rsidRPr="00D1457D">
              <w:rPr>
                <w:b w:val="0"/>
              </w:rPr>
              <w:tab/>
            </w:r>
            <w:r>
              <w:t xml:space="preserve">Road safety </w:t>
            </w:r>
            <w:r w:rsidRPr="00D1457D">
              <w:t>in Australia</w:t>
            </w:r>
          </w:p>
        </w:tc>
      </w:tr>
      <w:tr w:rsidR="005B3E0F" w:rsidRPr="00D1457D" w:rsidTr="00FE464E">
        <w:trPr>
          <w:cantSplit/>
        </w:trPr>
        <w:tc>
          <w:tcPr>
            <w:tcW w:w="8771" w:type="dxa"/>
            <w:tcBorders>
              <w:top w:val="nil"/>
              <w:left w:val="single" w:sz="6" w:space="0" w:color="auto"/>
              <w:bottom w:val="nil"/>
              <w:right w:val="single" w:sz="6" w:space="0" w:color="auto"/>
            </w:tcBorders>
            <w:shd w:val="clear" w:color="auto" w:fill="auto"/>
          </w:tcPr>
          <w:p w:rsidR="005B3E0F" w:rsidRDefault="005B3E0F" w:rsidP="00222D4A">
            <w:pPr>
              <w:pStyle w:val="BoxHeading1"/>
              <w:keepNext w:val="0"/>
            </w:pPr>
            <w:r>
              <w:t>The cost of road crashes</w:t>
            </w:r>
          </w:p>
          <w:p w:rsidR="00305D72" w:rsidRPr="00D1457D" w:rsidRDefault="005B3E0F" w:rsidP="001525FA">
            <w:pPr>
              <w:pStyle w:val="Box"/>
              <w:keepNext w:val="0"/>
            </w:pPr>
            <w:r>
              <w:t>A</w:t>
            </w:r>
            <w:r w:rsidRPr="00D1457D">
              <w:t xml:space="preserve">n evaluation report </w:t>
            </w:r>
            <w:r>
              <w:t xml:space="preserve">from </w:t>
            </w:r>
            <w:r w:rsidRPr="00D1457D">
              <w:t xml:space="preserve">the Bureau of Infrastructure, Transport and Regional Economics </w:t>
            </w:r>
            <w:r>
              <w:t>estimated t</w:t>
            </w:r>
            <w:r w:rsidRPr="00D1457D">
              <w:t>he</w:t>
            </w:r>
            <w:r w:rsidRPr="00B73A74">
              <w:t xml:space="preserve"> cost </w:t>
            </w:r>
            <w:r w:rsidRPr="00D1457D">
              <w:t xml:space="preserve">of road crashes in 2006 </w:t>
            </w:r>
            <w:r>
              <w:t xml:space="preserve">at </w:t>
            </w:r>
            <w:r w:rsidRPr="00D1457D">
              <w:t>$17.</w:t>
            </w:r>
            <w:r>
              <w:t>9 </w:t>
            </w:r>
            <w:r w:rsidRPr="00D1457D">
              <w:t>billion (1.7 per cent of GDP). This was a real decrease of 7.5 per cent compared to 1996 (2006 dollars). Estimated human losses were approximately $2.4 million per fatality, losses for a hospitalised injury were approximately $214</w:t>
            </w:r>
            <w:r w:rsidR="001525FA">
              <w:t> </w:t>
            </w:r>
            <w:r w:rsidRPr="00D1457D">
              <w:t>000 per injury (including disability</w:t>
            </w:r>
            <w:r>
              <w:noBreakHyphen/>
            </w:r>
            <w:r w:rsidRPr="00D1457D">
              <w:t>related costs), and losses for non</w:t>
            </w:r>
            <w:r w:rsidR="001525FA">
              <w:noBreakHyphen/>
            </w:r>
            <w:r w:rsidRPr="00D1457D">
              <w:t>hospitalised injury were approximately $2200 per injury.</w:t>
            </w:r>
          </w:p>
        </w:tc>
      </w:tr>
      <w:tr w:rsidR="005B3E0F" w:rsidTr="00FE464E">
        <w:trPr>
          <w:cantSplit/>
        </w:trPr>
        <w:tc>
          <w:tcPr>
            <w:tcW w:w="8771" w:type="dxa"/>
            <w:tcBorders>
              <w:top w:val="nil"/>
              <w:left w:val="single" w:sz="6" w:space="0" w:color="auto"/>
              <w:bottom w:val="nil"/>
              <w:right w:val="single" w:sz="6" w:space="0" w:color="auto"/>
            </w:tcBorders>
          </w:tcPr>
          <w:p w:rsidR="008B62CC" w:rsidRDefault="008B62CC" w:rsidP="008B62CC">
            <w:pPr>
              <w:pStyle w:val="Box"/>
            </w:pPr>
            <w:r w:rsidRPr="00D1457D">
              <w:t>The research found that the estimated real cost of road crashes has declined in the ten years from 1996 to 2006. Road crash fatalities peaked in 1970 and many factors have contributed to reductions in the number of fatalities since then. These include investments in road infrastructure and road safety programs, regulated changes in vehicle safety standards (for example, mandatory seat belts), and better vehicle design and safety equipment such as airbags.</w:t>
            </w:r>
          </w:p>
          <w:p w:rsidR="00B15A24" w:rsidRDefault="00B15A24" w:rsidP="00B15A24">
            <w:pPr>
              <w:pStyle w:val="BoxHeading1"/>
            </w:pPr>
            <w:r w:rsidRPr="00BB501D">
              <w:t>National Road Safety Strategy 2011–2020</w:t>
            </w:r>
          </w:p>
          <w:p w:rsidR="00B15A24" w:rsidRDefault="00B15A24" w:rsidP="00B15A24">
            <w:pPr>
              <w:pStyle w:val="Box"/>
            </w:pPr>
            <w:r>
              <w:t>On 20</w:t>
            </w:r>
            <w:r w:rsidR="00BE3E26">
              <w:t> </w:t>
            </w:r>
            <w:r>
              <w:t>May 2011, the</w:t>
            </w:r>
            <w:r w:rsidRPr="00034B03">
              <w:t xml:space="preserve"> </w:t>
            </w:r>
            <w:r w:rsidRPr="00EA1E39">
              <w:t>Standing Council on Transport and Infrastructure</w:t>
            </w:r>
            <w:r>
              <w:t xml:space="preserve"> </w:t>
            </w:r>
            <w:r w:rsidRPr="00034B03">
              <w:t xml:space="preserve">released </w:t>
            </w:r>
            <w:r>
              <w:t xml:space="preserve">an updated </w:t>
            </w:r>
            <w:r w:rsidRPr="00034B03">
              <w:rPr>
                <w:i/>
              </w:rPr>
              <w:t>Nat</w:t>
            </w:r>
            <w:r>
              <w:rPr>
                <w:i/>
              </w:rPr>
              <w:t>ional Road Safety Strategy 2011–</w:t>
            </w:r>
            <w:r w:rsidRPr="00034B03">
              <w:rPr>
                <w:i/>
              </w:rPr>
              <w:t>20</w:t>
            </w:r>
            <w:r>
              <w:t xml:space="preserve">. </w:t>
            </w:r>
            <w:r w:rsidRPr="00572473">
              <w:t xml:space="preserve">This </w:t>
            </w:r>
            <w:r>
              <w:t>s</w:t>
            </w:r>
            <w:r w:rsidRPr="00572473">
              <w:t>trategy aims to elevate Australia’s road safety ambitions through the coming decade and beyond. It is based on Safe System principles and is framed by the guiding vision that no person should be killed or seriously injured on Australia’s roads.</w:t>
            </w:r>
          </w:p>
          <w:p w:rsidR="005B3E0F" w:rsidRDefault="005B3E0F" w:rsidP="00B15A24">
            <w:pPr>
              <w:pStyle w:val="Box"/>
            </w:pPr>
            <w:r>
              <w:t xml:space="preserve">The framework includes </w:t>
            </w:r>
            <w:r w:rsidRPr="002F5529">
              <w:t>10</w:t>
            </w:r>
            <w:r>
              <w:noBreakHyphen/>
            </w:r>
            <w:r w:rsidRPr="002F5529">
              <w:t xml:space="preserve">year targets </w:t>
            </w:r>
            <w:r>
              <w:t>for governments to reduce the annual number of road crash fatalities and reduce the annual number of serious road crash injuries by at least 30 per cent each.</w:t>
            </w:r>
          </w:p>
          <w:p w:rsidR="005B3E0F" w:rsidRDefault="005B3E0F" w:rsidP="00FE464E">
            <w:pPr>
              <w:pStyle w:val="Box"/>
            </w:pPr>
            <w:r w:rsidRPr="00694FEC">
              <w:t>Achieving this aim requires a range of activities, including design and maintenance of vehicles and roads, driver training, road user education, enforcement of road rules, emergency response and health care in the event of an incident</w:t>
            </w:r>
            <w:r>
              <w:t>.</w:t>
            </w:r>
          </w:p>
        </w:tc>
      </w:tr>
      <w:tr w:rsidR="00495745" w:rsidRPr="00495745" w:rsidTr="00FE464E">
        <w:trPr>
          <w:cantSplit/>
        </w:trPr>
        <w:tc>
          <w:tcPr>
            <w:tcW w:w="8771" w:type="dxa"/>
            <w:tcBorders>
              <w:top w:val="nil"/>
              <w:left w:val="single" w:sz="6" w:space="0" w:color="auto"/>
              <w:bottom w:val="nil"/>
              <w:right w:val="single" w:sz="6" w:space="0" w:color="auto"/>
            </w:tcBorders>
          </w:tcPr>
          <w:p w:rsidR="005B3E0F" w:rsidRPr="00495745" w:rsidRDefault="005B3E0F" w:rsidP="00FE464E">
            <w:pPr>
              <w:pStyle w:val="BoxSource"/>
            </w:pPr>
            <w:r w:rsidRPr="00495745">
              <w:rPr>
                <w:i/>
              </w:rPr>
              <w:t>Source</w:t>
            </w:r>
            <w:r w:rsidRPr="00495745">
              <w:t xml:space="preserve">: </w:t>
            </w:r>
            <w:proofErr w:type="spellStart"/>
            <w:r w:rsidRPr="00495745">
              <w:t>BITRE</w:t>
            </w:r>
            <w:proofErr w:type="spellEnd"/>
            <w:r w:rsidRPr="00495745">
              <w:t xml:space="preserve"> (2009); </w:t>
            </w:r>
            <w:proofErr w:type="spellStart"/>
            <w:r w:rsidRPr="00495745">
              <w:t>ATC</w:t>
            </w:r>
            <w:proofErr w:type="spellEnd"/>
            <w:r w:rsidRPr="00495745">
              <w:t xml:space="preserve"> (2011).</w:t>
            </w:r>
          </w:p>
        </w:tc>
      </w:tr>
      <w:tr w:rsidR="005B3E0F" w:rsidTr="00FE464E">
        <w:trPr>
          <w:cantSplit/>
        </w:trPr>
        <w:tc>
          <w:tcPr>
            <w:tcW w:w="8771" w:type="dxa"/>
            <w:tcBorders>
              <w:top w:val="nil"/>
              <w:left w:val="single" w:sz="6" w:space="0" w:color="auto"/>
              <w:bottom w:val="single" w:sz="6" w:space="0" w:color="auto"/>
              <w:right w:val="single" w:sz="6" w:space="0" w:color="auto"/>
            </w:tcBorders>
          </w:tcPr>
          <w:p w:rsidR="005B3E0F" w:rsidRDefault="005B3E0F" w:rsidP="00FE464E">
            <w:pPr>
              <w:pStyle w:val="Box"/>
              <w:spacing w:before="0" w:line="120" w:lineRule="exact"/>
            </w:pPr>
          </w:p>
        </w:tc>
      </w:tr>
      <w:tr w:rsidR="005B3E0F" w:rsidRPr="000863A5" w:rsidTr="00FE464E">
        <w:tc>
          <w:tcPr>
            <w:tcW w:w="8771" w:type="dxa"/>
            <w:tcBorders>
              <w:top w:val="nil"/>
              <w:left w:val="nil"/>
              <w:bottom w:val="nil"/>
              <w:right w:val="nil"/>
            </w:tcBorders>
          </w:tcPr>
          <w:p w:rsidR="005B3E0F" w:rsidRPr="000863A5" w:rsidRDefault="005B3E0F" w:rsidP="00FE464E">
            <w:pPr>
              <w:pStyle w:val="Box"/>
              <w:keepNext w:val="0"/>
              <w:spacing w:before="60" w:after="60" w:line="80" w:lineRule="exact"/>
              <w:rPr>
                <w:b/>
                <w:sz w:val="14"/>
              </w:rPr>
            </w:pPr>
          </w:p>
        </w:tc>
      </w:tr>
    </w:tbl>
    <w:p w:rsidR="00912749" w:rsidRDefault="00912749" w:rsidP="00912749">
      <w:pPr>
        <w:pStyle w:val="Heading5"/>
      </w:pPr>
      <w:r>
        <w:t>Deaths from e</w:t>
      </w:r>
      <w:r w:rsidRPr="00FE2860">
        <w:t>xposure to forces of nature</w:t>
      </w:r>
    </w:p>
    <w:p w:rsidR="008808D6" w:rsidRDefault="00912749" w:rsidP="00912749">
      <w:pPr>
        <w:pStyle w:val="BodyText"/>
      </w:pPr>
      <w:r>
        <w:t>Relatively few deaths (</w:t>
      </w:r>
      <w:r w:rsidR="00E14F3E">
        <w:t>68</w:t>
      </w:r>
      <w:r>
        <w:t> deaths in 201</w:t>
      </w:r>
      <w:r w:rsidR="00E14F3E">
        <w:t>1</w:t>
      </w:r>
      <w:r w:rsidR="008808D6">
        <w:t xml:space="preserve"> nationally</w:t>
      </w:r>
      <w:r>
        <w:t xml:space="preserve">) are primarily caused by exposure to forces of nature (table </w:t>
      </w:r>
      <w:proofErr w:type="spellStart"/>
      <w:r>
        <w:t>DA.</w:t>
      </w:r>
      <w:r w:rsidR="00E14F3E">
        <w:t>9</w:t>
      </w:r>
      <w:proofErr w:type="spellEnd"/>
      <w:r w:rsidR="000A40C4">
        <w:t xml:space="preserve"> and </w:t>
      </w:r>
      <w:r>
        <w:t>figure</w:t>
      </w:r>
      <w:r w:rsidR="00FE727D">
        <w:t> </w:t>
      </w:r>
      <w:proofErr w:type="spellStart"/>
      <w:r w:rsidR="00CA09FA">
        <w:t>D.7</w:t>
      </w:r>
      <w:proofErr w:type="spellEnd"/>
      <w:r>
        <w:t>)</w:t>
      </w:r>
      <w:r w:rsidRPr="00EA07DD">
        <w:t>.</w:t>
      </w:r>
      <w:r>
        <w:t xml:space="preserve"> </w:t>
      </w:r>
      <w:r w:rsidR="008808D6">
        <w:t>Of these deaths</w:t>
      </w:r>
      <w:r w:rsidR="00D761A7">
        <w:t>:</w:t>
      </w:r>
    </w:p>
    <w:p w:rsidR="008808D6" w:rsidRPr="00B35463" w:rsidRDefault="008808D6" w:rsidP="00B35463">
      <w:pPr>
        <w:pStyle w:val="ListBullet"/>
      </w:pPr>
      <w:r>
        <w:t>26 people were victims of floods</w:t>
      </w:r>
      <w:r w:rsidR="0029613B">
        <w:t xml:space="preserve"> </w:t>
      </w:r>
      <w:r w:rsidR="0029613B" w:rsidRPr="009F2CED">
        <w:t xml:space="preserve">— </w:t>
      </w:r>
      <w:r w:rsidR="00B35463" w:rsidRPr="009F2CED">
        <w:t>extreme weather events (and in particular the Queensland floods of 2010</w:t>
      </w:r>
      <w:r w:rsidR="001525FA" w:rsidRPr="009F2CED">
        <w:noBreakHyphen/>
      </w:r>
      <w:r w:rsidR="00B35463" w:rsidRPr="009F2CED">
        <w:t xml:space="preserve">11) help explain the increase in the victims of flood in 2011 compared </w:t>
      </w:r>
      <w:r w:rsidR="0042163F" w:rsidRPr="009F2CED">
        <w:t>with</w:t>
      </w:r>
      <w:r w:rsidR="00B35463" w:rsidRPr="009F2CED">
        <w:t xml:space="preserve"> previous years</w:t>
      </w:r>
      <w:r w:rsidR="00305D72" w:rsidRPr="009F2CED">
        <w:t xml:space="preserve"> </w:t>
      </w:r>
      <w:r w:rsidR="0029613B" w:rsidRPr="009F2CED">
        <w:t xml:space="preserve">(box </w:t>
      </w:r>
      <w:proofErr w:type="spellStart"/>
      <w:r w:rsidR="00CA09FA" w:rsidRPr="00CA09FA">
        <w:rPr>
          <w:bCs/>
          <w:lang w:val="en-US"/>
        </w:rPr>
        <w:t>D.5</w:t>
      </w:r>
      <w:proofErr w:type="spellEnd"/>
      <w:r w:rsidR="0029613B" w:rsidRPr="009F2CED">
        <w:t>)</w:t>
      </w:r>
    </w:p>
    <w:p w:rsidR="008808D6" w:rsidRPr="00495745" w:rsidRDefault="008808D6" w:rsidP="008808D6">
      <w:pPr>
        <w:pStyle w:val="ListBullet"/>
      </w:pPr>
      <w:r w:rsidRPr="00495745">
        <w:t xml:space="preserve">26 people died from </w:t>
      </w:r>
      <w:r w:rsidR="00912749" w:rsidRPr="00495745">
        <w:t>exposure to excessive natural cold</w:t>
      </w:r>
    </w:p>
    <w:p w:rsidR="008808D6" w:rsidRPr="00495745" w:rsidRDefault="008808D6" w:rsidP="008808D6">
      <w:pPr>
        <w:pStyle w:val="ListBullet"/>
      </w:pPr>
      <w:r w:rsidRPr="00495745">
        <w:t>11 people died from exposure to excessive natural heat (ABS 2013).</w:t>
      </w:r>
    </w:p>
    <w:p w:rsidR="00B15A24" w:rsidRDefault="00B15A24" w:rsidP="00B15A24">
      <w:pPr>
        <w:pStyle w:val="BodyText"/>
      </w:pPr>
      <w:r>
        <w:lastRenderedPageBreak/>
        <w:t xml:space="preserve">Research indicates that extremely cold weather conditions and intense and long heatwaves can exceed the capacity of some sections of the community to cope. For example, </w:t>
      </w:r>
      <w:r w:rsidR="00676955">
        <w:t xml:space="preserve">in 2008 and 2009 heatwaves led to </w:t>
      </w:r>
      <w:r>
        <w:t>total SA Ambulance Service daily call</w:t>
      </w:r>
      <w:r>
        <w:noBreakHyphen/>
        <w:t xml:space="preserve">outs </w:t>
      </w:r>
      <w:r w:rsidR="00676955">
        <w:t>to increase</w:t>
      </w:r>
      <w:r>
        <w:t xml:space="preserve"> by 10 per cent and 16 per cent</w:t>
      </w:r>
      <w:r w:rsidR="00A8295C">
        <w:t>,</w:t>
      </w:r>
      <w:r>
        <w:t xml:space="preserve"> </w:t>
      </w:r>
      <w:r w:rsidR="00676955">
        <w:t>respectively</w:t>
      </w:r>
      <w:r w:rsidR="00A8295C">
        <w:t>,</w:t>
      </w:r>
      <w:r w:rsidR="00676955">
        <w:t xml:space="preserve"> </w:t>
      </w:r>
      <w:r>
        <w:t>when compared to previous heatwaves (</w:t>
      </w:r>
      <w:proofErr w:type="spellStart"/>
      <w:r w:rsidRPr="002D1D7E">
        <w:t>Nitschke</w:t>
      </w:r>
      <w:proofErr w:type="spellEnd"/>
      <w:r w:rsidRPr="002D1D7E">
        <w:t xml:space="preserve"> et</w:t>
      </w:r>
      <w:r>
        <w:t> </w:t>
      </w:r>
      <w:r w:rsidRPr="002D1D7E">
        <w:t>al.</w:t>
      </w:r>
      <w:r>
        <w:t xml:space="preserve"> 2011). </w:t>
      </w:r>
    </w:p>
    <w:p w:rsidR="005527CA" w:rsidRPr="00262ED3" w:rsidRDefault="005527CA" w:rsidP="005527CA">
      <w:pPr>
        <w:pStyle w:val="FigureTitle"/>
      </w:pPr>
      <w:r w:rsidRPr="00E21B5B">
        <w:rPr>
          <w:b w:val="0"/>
        </w:rPr>
        <w:t xml:space="preserve">Figure </w:t>
      </w:r>
      <w:bookmarkStart w:id="34" w:name="OLE_LINK11"/>
      <w:proofErr w:type="spellStart"/>
      <w:r w:rsidR="00CA09FA">
        <w:rPr>
          <w:b w:val="0"/>
        </w:rPr>
        <w:t>D.</w:t>
      </w:r>
      <w:r w:rsidR="005A1847">
        <w:rPr>
          <w:b w:val="0"/>
          <w:noProof/>
        </w:rPr>
        <w:t>7</w:t>
      </w:r>
      <w:bookmarkEnd w:id="34"/>
      <w:proofErr w:type="spellEnd"/>
      <w:r w:rsidRPr="00262ED3">
        <w:tab/>
      </w:r>
      <w:r w:rsidRPr="00B65CEF">
        <w:t xml:space="preserve">Deaths from </w:t>
      </w:r>
      <w:r>
        <w:t>exposure to forces of nature</w:t>
      </w:r>
      <w:r w:rsidRPr="00905495">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527CA" w:rsidTr="008C2720">
        <w:tc>
          <w:tcPr>
            <w:tcW w:w="8777" w:type="dxa"/>
          </w:tcPr>
          <w:p w:rsidR="005527CA" w:rsidRPr="00B533AA" w:rsidRDefault="00205B51" w:rsidP="00B533AA">
            <w:pPr>
              <w:pStyle w:val="Figure"/>
              <w:rPr>
                <w:rStyle w:val="entry-date"/>
              </w:rPr>
            </w:pPr>
            <w:r>
              <w:rPr>
                <w:noProof/>
              </w:rPr>
              <w:drawing>
                <wp:inline distT="0" distB="0" distL="0" distR="0" wp14:anchorId="2960D9CD" wp14:editId="03905E06">
                  <wp:extent cx="5572760" cy="2689225"/>
                  <wp:effectExtent l="0" t="0" r="8890" b="0"/>
                  <wp:docPr id="9" name="Picture 9" descr="Figure D.7 Deaths from exposure to forces of natu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72760" cy="2689225"/>
                          </a:xfrm>
                          <a:prstGeom prst="rect">
                            <a:avLst/>
                          </a:prstGeom>
                          <a:noFill/>
                          <a:ln>
                            <a:noFill/>
                          </a:ln>
                        </pic:spPr>
                      </pic:pic>
                    </a:graphicData>
                  </a:graphic>
                </wp:inline>
              </w:drawing>
            </w:r>
          </w:p>
        </w:tc>
      </w:tr>
    </w:tbl>
    <w:p w:rsidR="005527CA" w:rsidRPr="000E45B3" w:rsidRDefault="005527CA" w:rsidP="005527CA">
      <w:pPr>
        <w:pStyle w:val="Note"/>
        <w:rPr>
          <w:rStyle w:val="NoteLabel"/>
          <w:b w:val="0"/>
          <w:position w:val="0"/>
        </w:rPr>
      </w:pPr>
      <w:r w:rsidRPr="00261C7E">
        <w:rPr>
          <w:rStyle w:val="NoteLabel"/>
        </w:rPr>
        <w:t>a</w:t>
      </w:r>
      <w:r>
        <w:rPr>
          <w:rStyle w:val="NoteLabel"/>
        </w:rPr>
        <w:t> </w:t>
      </w:r>
      <w:r w:rsidRPr="00525B83">
        <w:rPr>
          <w:rStyle w:val="NoteLabel"/>
          <w:b w:val="0"/>
          <w:position w:val="0"/>
        </w:rPr>
        <w:t xml:space="preserve">Deaths are coded according to the </w:t>
      </w:r>
      <w:proofErr w:type="spellStart"/>
      <w:r w:rsidRPr="00525B83">
        <w:rPr>
          <w:rStyle w:val="NoteLabel"/>
          <w:b w:val="0"/>
          <w:position w:val="0"/>
        </w:rPr>
        <w:t>ICD</w:t>
      </w:r>
      <w:proofErr w:type="spellEnd"/>
      <w:r w:rsidRPr="00525B83">
        <w:rPr>
          <w:rStyle w:val="NoteLabel"/>
          <w:b w:val="0"/>
          <w:position w:val="0"/>
        </w:rPr>
        <w:t xml:space="preserve"> and Related Health Problems Revision 10 (</w:t>
      </w:r>
      <w:proofErr w:type="spellStart"/>
      <w:r w:rsidRPr="00525B83">
        <w:rPr>
          <w:rStyle w:val="NoteLabel"/>
          <w:b w:val="0"/>
          <w:position w:val="0"/>
        </w:rPr>
        <w:t>ICD</w:t>
      </w:r>
      <w:proofErr w:type="spellEnd"/>
      <w:r w:rsidR="001525FA">
        <w:rPr>
          <w:rStyle w:val="NoteLabel"/>
          <w:b w:val="0"/>
          <w:position w:val="0"/>
        </w:rPr>
        <w:noBreakHyphen/>
      </w:r>
      <w:r w:rsidRPr="00525B83">
        <w:rPr>
          <w:rStyle w:val="NoteLabel"/>
          <w:b w:val="0"/>
          <w:position w:val="0"/>
        </w:rPr>
        <w:t xml:space="preserve">10). Deaths data are reported by the year the death was registered. Exposure to forces of nature includes </w:t>
      </w:r>
      <w:proofErr w:type="spellStart"/>
      <w:r w:rsidRPr="00525B83">
        <w:rPr>
          <w:rStyle w:val="NoteLabel"/>
          <w:b w:val="0"/>
          <w:position w:val="0"/>
        </w:rPr>
        <w:t>ICD</w:t>
      </w:r>
      <w:proofErr w:type="spellEnd"/>
      <w:r w:rsidRPr="00525B83">
        <w:rPr>
          <w:rStyle w:val="NoteLabel"/>
          <w:b w:val="0"/>
          <w:position w:val="0"/>
        </w:rPr>
        <w:t xml:space="preserve"> codes </w:t>
      </w:r>
      <w:proofErr w:type="spellStart"/>
      <w:r w:rsidRPr="00525B83">
        <w:rPr>
          <w:rStyle w:val="NoteLabel"/>
          <w:b w:val="0"/>
          <w:position w:val="0"/>
        </w:rPr>
        <w:t>X30</w:t>
      </w:r>
      <w:r w:rsidR="001525FA">
        <w:rPr>
          <w:rStyle w:val="NoteLabel"/>
          <w:b w:val="0"/>
          <w:position w:val="0"/>
        </w:rPr>
        <w:noBreakHyphen/>
      </w:r>
      <w:r w:rsidRPr="00525B83">
        <w:rPr>
          <w:rStyle w:val="NoteLabel"/>
          <w:b w:val="0"/>
          <w:position w:val="0"/>
        </w:rPr>
        <w:t>X39</w:t>
      </w:r>
      <w:proofErr w:type="spellEnd"/>
      <w:r w:rsidRPr="00525B83">
        <w:rPr>
          <w:rStyle w:val="NoteLabel"/>
          <w:b w:val="0"/>
          <w:position w:val="0"/>
        </w:rPr>
        <w:t>.</w:t>
      </w:r>
      <w:r>
        <w:rPr>
          <w:rStyle w:val="NoteLabel"/>
          <w:b w:val="0"/>
          <w:position w:val="0"/>
        </w:rPr>
        <w:t xml:space="preserve"> </w:t>
      </w:r>
      <w:r>
        <w:rPr>
          <w:rStyle w:val="NoteLabel"/>
        </w:rPr>
        <w:t>b </w:t>
      </w:r>
      <w:r w:rsidRPr="00525B83">
        <w:rPr>
          <w:rStyle w:val="NoteLabel"/>
          <w:b w:val="0"/>
          <w:position w:val="0"/>
        </w:rPr>
        <w:t xml:space="preserve">The small number of </w:t>
      </w:r>
      <w:r>
        <w:rPr>
          <w:rStyle w:val="NoteLabel"/>
          <w:b w:val="0"/>
          <w:position w:val="0"/>
        </w:rPr>
        <w:t xml:space="preserve">fire and exposure to forces of nature </w:t>
      </w:r>
      <w:r w:rsidRPr="00525B83">
        <w:rPr>
          <w:rStyle w:val="NoteLabel"/>
          <w:b w:val="0"/>
          <w:position w:val="0"/>
        </w:rPr>
        <w:t>deaths means it is difficult to establish patterns and provide detailed analysis</w:t>
      </w:r>
      <w:r>
        <w:rPr>
          <w:rStyle w:val="NoteLabel"/>
          <w:b w:val="0"/>
          <w:position w:val="0"/>
        </w:rPr>
        <w:t>.</w:t>
      </w:r>
      <w:r w:rsidRPr="005A41AF">
        <w:rPr>
          <w:rStyle w:val="NoteLabel"/>
        </w:rPr>
        <w:t xml:space="preserve"> </w:t>
      </w:r>
    </w:p>
    <w:p w:rsidR="005527CA" w:rsidRDefault="005527CA" w:rsidP="005527CA">
      <w:pPr>
        <w:pStyle w:val="Source"/>
      </w:pPr>
      <w:r w:rsidRPr="00A05A09">
        <w:rPr>
          <w:i/>
        </w:rPr>
        <w:t>Source</w:t>
      </w:r>
      <w:r w:rsidRPr="00A05A09">
        <w:t>: ABS (</w:t>
      </w:r>
      <w:r>
        <w:t>2013</w:t>
      </w:r>
      <w:r w:rsidRPr="00A05A09">
        <w:t xml:space="preserve">) </w:t>
      </w:r>
      <w:r w:rsidRPr="00A05A09">
        <w:rPr>
          <w:i/>
        </w:rPr>
        <w:t>Causes of Death, Australia</w:t>
      </w:r>
      <w:r>
        <w:t>, Cat. no. 3303.0</w:t>
      </w:r>
      <w:r w:rsidRPr="00A05A09">
        <w:t>; table </w:t>
      </w:r>
      <w:proofErr w:type="spellStart"/>
      <w:r>
        <w:t>D</w:t>
      </w:r>
      <w:r w:rsidRPr="00A05A09">
        <w:t>A.</w:t>
      </w:r>
      <w:r>
        <w:t>9</w:t>
      </w:r>
      <w:proofErr w:type="spellEnd"/>
      <w:r>
        <w:t>.</w:t>
      </w:r>
    </w:p>
    <w:p w:rsidR="000A40C4" w:rsidRDefault="000A40C4" w:rsidP="000A40C4">
      <w:pPr>
        <w:pStyle w:val="Heading5"/>
      </w:pPr>
      <w:r>
        <w:t>Fire deaths</w:t>
      </w:r>
    </w:p>
    <w:p w:rsidR="000A40C4" w:rsidRDefault="000A40C4" w:rsidP="000A40C4">
      <w:pPr>
        <w:pStyle w:val="BodyText"/>
      </w:pPr>
      <w:r>
        <w:t>The number of fire deaths can vary from year to year, often impacted by large bushfires. In 2011 there were 129 fire deaths nationally (</w:t>
      </w:r>
      <w:r w:rsidR="005527CA">
        <w:t xml:space="preserve">details </w:t>
      </w:r>
      <w:r>
        <w:t xml:space="preserve">in chapter 9). </w:t>
      </w:r>
    </w:p>
    <w:p w:rsidR="00DE2D11" w:rsidRDefault="00DE2D11" w:rsidP="00DE2D11">
      <w:pPr>
        <w:pStyle w:val="Heading3"/>
      </w:pPr>
      <w:r w:rsidRPr="00262ED3">
        <w:t>Service</w:t>
      </w:r>
      <w:r w:rsidR="001525FA">
        <w:noBreakHyphen/>
      </w:r>
      <w:r w:rsidRPr="00262ED3">
        <w:t>specific performance indicator</w:t>
      </w:r>
      <w:r>
        <w:t xml:space="preserve"> frameworks</w:t>
      </w:r>
    </w:p>
    <w:p w:rsidR="00DE2D11" w:rsidRDefault="00DE2D11" w:rsidP="00DE2D11">
      <w:pPr>
        <w:pStyle w:val="BodyText"/>
      </w:pPr>
      <w:r>
        <w:t>This section summarises information from the ‘</w:t>
      </w:r>
      <w:r w:rsidRPr="00E6147C">
        <w:t>fire events</w:t>
      </w:r>
      <w:r w:rsidR="0011192E">
        <w:t>’</w:t>
      </w:r>
      <w:r>
        <w:t xml:space="preserve"> and ‘</w:t>
      </w:r>
      <w:r w:rsidRPr="00E6147C">
        <w:t>ambulance events</w:t>
      </w:r>
      <w:r>
        <w:t>’ service</w:t>
      </w:r>
      <w:r>
        <w:noBreakHyphen/>
        <w:t>specific indicator frameworks in chapter 9</w:t>
      </w:r>
      <w:r w:rsidR="00CA43C9">
        <w:t>.</w:t>
      </w:r>
      <w:r w:rsidRPr="00E6147C">
        <w:t xml:space="preserve"> </w:t>
      </w:r>
      <w:r w:rsidR="00CA43C9">
        <w:t>At present it is not possible to report on government services for ‘all</w:t>
      </w:r>
      <w:r w:rsidR="00CA43C9">
        <w:noBreakHyphen/>
        <w:t>hazards</w:t>
      </w:r>
      <w:r w:rsidR="008941A5">
        <w:t>’ (box</w:t>
      </w:r>
      <w:r w:rsidR="00FE727D">
        <w:t xml:space="preserve"> </w:t>
      </w:r>
      <w:proofErr w:type="spellStart"/>
      <w:r w:rsidR="00CA09FA">
        <w:t>D.8</w:t>
      </w:r>
      <w:proofErr w:type="spellEnd"/>
      <w:r w:rsidR="008941A5">
        <w:t>).</w:t>
      </w:r>
    </w:p>
    <w:p w:rsidR="00DE2D11" w:rsidRPr="00262ED3" w:rsidRDefault="00DE2D11" w:rsidP="00DE2D1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E2D11" w:rsidRPr="00262ED3" w:rsidTr="00DE2D11">
        <w:tc>
          <w:tcPr>
            <w:tcW w:w="8771" w:type="dxa"/>
            <w:tcBorders>
              <w:top w:val="single" w:sz="6" w:space="0" w:color="auto"/>
              <w:bottom w:val="nil"/>
            </w:tcBorders>
          </w:tcPr>
          <w:p w:rsidR="00DE2D11" w:rsidRPr="00262ED3" w:rsidRDefault="00DE2D11" w:rsidP="00DE2D11">
            <w:pPr>
              <w:pStyle w:val="BoxTitle"/>
            </w:pPr>
            <w:r w:rsidRPr="00D65202">
              <w:rPr>
                <w:b w:val="0"/>
              </w:rPr>
              <w:t xml:space="preserve">Box </w:t>
            </w:r>
            <w:bookmarkStart w:id="35" w:name="OLE_LINK5"/>
            <w:proofErr w:type="spellStart"/>
            <w:r w:rsidR="00CA09FA">
              <w:rPr>
                <w:b w:val="0"/>
              </w:rPr>
              <w:t>D.</w:t>
            </w:r>
            <w:r w:rsidR="005A1847">
              <w:rPr>
                <w:b w:val="0"/>
                <w:noProof/>
              </w:rPr>
              <w:t>8</w:t>
            </w:r>
            <w:bookmarkEnd w:id="35"/>
            <w:proofErr w:type="spellEnd"/>
            <w:r w:rsidRPr="00D65202">
              <w:rPr>
                <w:b w:val="0"/>
              </w:rPr>
              <w:tab/>
            </w:r>
            <w:r>
              <w:t xml:space="preserve">Reporting on </w:t>
            </w:r>
            <w:r w:rsidR="00C87BA6">
              <w:t>all</w:t>
            </w:r>
            <w:r w:rsidR="00C87BA6">
              <w:noBreakHyphen/>
            </w:r>
            <w:r>
              <w:t>hazards</w:t>
            </w:r>
          </w:p>
        </w:tc>
      </w:tr>
      <w:tr w:rsidR="00DE2D11" w:rsidRPr="00262ED3" w:rsidTr="00DE2D11">
        <w:trPr>
          <w:cantSplit/>
        </w:trPr>
        <w:tc>
          <w:tcPr>
            <w:tcW w:w="8771" w:type="dxa"/>
            <w:tcBorders>
              <w:top w:val="nil"/>
              <w:left w:val="single" w:sz="6" w:space="0" w:color="auto"/>
              <w:bottom w:val="nil"/>
              <w:right w:val="single" w:sz="6" w:space="0" w:color="auto"/>
            </w:tcBorders>
          </w:tcPr>
          <w:p w:rsidR="00DE2D11" w:rsidRDefault="00DE2D11" w:rsidP="00DE2D11">
            <w:pPr>
              <w:pStyle w:val="Box"/>
            </w:pPr>
            <w:r>
              <w:t>While the sector covers a broader array of events</w:t>
            </w:r>
            <w:r w:rsidR="002D5431">
              <w:t>,</w:t>
            </w:r>
            <w:r>
              <w:t xml:space="preserve"> the </w:t>
            </w:r>
            <w:r w:rsidRPr="00EF519F">
              <w:t xml:space="preserve">potential to expand the chapter to cover </w:t>
            </w:r>
            <w:r w:rsidR="009451A0">
              <w:t>all hazards</w:t>
            </w:r>
            <w:r w:rsidRPr="00EF519F">
              <w:t xml:space="preserve"> is limited</w:t>
            </w:r>
            <w:r>
              <w:t xml:space="preserve">. </w:t>
            </w:r>
            <w:r w:rsidRPr="00EF519F">
              <w:t>Many hazards are sporadic in nature (</w:t>
            </w:r>
            <w:r w:rsidR="009451A0">
              <w:t xml:space="preserve">for example </w:t>
            </w:r>
            <w:r w:rsidRPr="00EF519F">
              <w:t>floods, cyclones</w:t>
            </w:r>
            <w:r w:rsidR="009451A0">
              <w:t xml:space="preserve"> and </w:t>
            </w:r>
            <w:r>
              <w:t>acts of terrorism</w:t>
            </w:r>
            <w:r w:rsidRPr="00EF519F">
              <w:t>) and do not lend themselves to annual, comparative reporting.</w:t>
            </w:r>
            <w:r>
              <w:t xml:space="preserve"> Resource constraints and data availability also restrict</w:t>
            </w:r>
            <w:r w:rsidR="00C53C23">
              <w:t xml:space="preserve"> reporting</w:t>
            </w:r>
            <w:r>
              <w:t xml:space="preserve">. </w:t>
            </w:r>
          </w:p>
          <w:p w:rsidR="00DE2D11" w:rsidRPr="00262ED3" w:rsidRDefault="00DE2D11" w:rsidP="00BE7665">
            <w:pPr>
              <w:pStyle w:val="Box"/>
            </w:pPr>
            <w:r>
              <w:t xml:space="preserve">Jurisdictions </w:t>
            </w:r>
            <w:r w:rsidR="00C53C23">
              <w:t xml:space="preserve">have held </w:t>
            </w:r>
            <w:r>
              <w:t xml:space="preserve">inquiries to review and compare government performance following significant emergency events. Recent reports include inquiries from </w:t>
            </w:r>
            <w:r w:rsidR="007B2AAD">
              <w:t xml:space="preserve">Tasmania, </w:t>
            </w:r>
            <w:r w:rsidR="00BE7665">
              <w:t xml:space="preserve">WA </w:t>
            </w:r>
            <w:r>
              <w:t xml:space="preserve">and </w:t>
            </w:r>
            <w:r w:rsidR="00BE7665">
              <w:t xml:space="preserve">Victoria </w:t>
            </w:r>
            <w:r>
              <w:t xml:space="preserve">into </w:t>
            </w:r>
            <w:r w:rsidR="007B2AAD">
              <w:t>bush</w:t>
            </w:r>
            <w:r>
              <w:t xml:space="preserve">fires and Queensland into floods </w:t>
            </w:r>
            <w:r>
              <w:rPr>
                <w:spacing w:val="-6"/>
              </w:rPr>
              <w:t>(</w:t>
            </w:r>
            <w:r w:rsidR="007B2AAD">
              <w:rPr>
                <w:spacing w:val="-6"/>
              </w:rPr>
              <w:t xml:space="preserve">Tasmanian Bushfires Inquiry 2013, </w:t>
            </w:r>
            <w:r w:rsidR="008F2E19" w:rsidRPr="008F2E19">
              <w:rPr>
                <w:spacing w:val="-6"/>
              </w:rPr>
              <w:t>Victorian Bushfires Royal Commission</w:t>
            </w:r>
            <w:r w:rsidR="008F2E19">
              <w:rPr>
                <w:spacing w:val="-6"/>
              </w:rPr>
              <w:t> </w:t>
            </w:r>
            <w:r w:rsidR="008F2E19" w:rsidRPr="008F2E19">
              <w:rPr>
                <w:spacing w:val="-6"/>
              </w:rPr>
              <w:t>2009, Perth Hills Bushfire February 2011 Review</w:t>
            </w:r>
            <w:r w:rsidR="005527CA">
              <w:rPr>
                <w:spacing w:val="-6"/>
              </w:rPr>
              <w:t xml:space="preserve"> (</w:t>
            </w:r>
            <w:proofErr w:type="spellStart"/>
            <w:r w:rsidR="005527CA">
              <w:rPr>
                <w:spacing w:val="-6"/>
              </w:rPr>
              <w:t>Keelty</w:t>
            </w:r>
            <w:proofErr w:type="spellEnd"/>
            <w:r w:rsidR="005527CA">
              <w:rPr>
                <w:spacing w:val="-6"/>
              </w:rPr>
              <w:t> 2011)</w:t>
            </w:r>
            <w:r w:rsidR="008F2E19" w:rsidRPr="008F2E19">
              <w:rPr>
                <w:spacing w:val="-6"/>
              </w:rPr>
              <w:t>, Queensland Floods Commission of Inquiry 2011</w:t>
            </w:r>
            <w:r>
              <w:rPr>
                <w:spacing w:val="-6"/>
              </w:rPr>
              <w:t>)</w:t>
            </w:r>
            <w:r>
              <w:t>.</w:t>
            </w:r>
            <w:r w:rsidR="00E32B82">
              <w:t xml:space="preserve"> Knowledge management </w:t>
            </w:r>
            <w:r w:rsidR="00E738EC">
              <w:t xml:space="preserve">(databases, research and evaluation) </w:t>
            </w:r>
            <w:r w:rsidR="00E32B82">
              <w:t>has been recogni</w:t>
            </w:r>
            <w:r w:rsidR="00C53C23">
              <w:t>s</w:t>
            </w:r>
            <w:r w:rsidR="00E32B82">
              <w:t xml:space="preserve">ed as a key theme identified in these reports </w:t>
            </w:r>
          </w:p>
        </w:tc>
      </w:tr>
      <w:tr w:rsidR="00DE2D11" w:rsidRPr="00262ED3" w:rsidTr="00DE2D11">
        <w:trPr>
          <w:cantSplit/>
        </w:trPr>
        <w:tc>
          <w:tcPr>
            <w:tcW w:w="8771" w:type="dxa"/>
            <w:tcBorders>
              <w:top w:val="nil"/>
              <w:left w:val="single" w:sz="6" w:space="0" w:color="auto"/>
              <w:bottom w:val="nil"/>
              <w:right w:val="single" w:sz="6" w:space="0" w:color="auto"/>
            </w:tcBorders>
          </w:tcPr>
          <w:p w:rsidR="00DE2D11" w:rsidRPr="00262ED3" w:rsidRDefault="00DE2D11" w:rsidP="00A82135">
            <w:pPr>
              <w:pStyle w:val="BoxSource"/>
            </w:pPr>
            <w:r w:rsidRPr="00D56261">
              <w:rPr>
                <w:i/>
              </w:rPr>
              <w:t>Source</w:t>
            </w:r>
            <w:r>
              <w:t xml:space="preserve">: </w:t>
            </w:r>
            <w:r w:rsidR="00A82135">
              <w:t>Monash Injury Research Institute (2012)</w:t>
            </w:r>
            <w:r w:rsidRPr="00262ED3">
              <w:t>.</w:t>
            </w:r>
          </w:p>
        </w:tc>
      </w:tr>
      <w:tr w:rsidR="00DE2D11" w:rsidRPr="00262ED3" w:rsidTr="00DE2D11">
        <w:trPr>
          <w:cantSplit/>
        </w:trPr>
        <w:tc>
          <w:tcPr>
            <w:tcW w:w="8771" w:type="dxa"/>
            <w:tcBorders>
              <w:top w:val="nil"/>
              <w:left w:val="single" w:sz="6" w:space="0" w:color="auto"/>
              <w:bottom w:val="single" w:sz="6" w:space="0" w:color="auto"/>
              <w:right w:val="single" w:sz="6" w:space="0" w:color="auto"/>
            </w:tcBorders>
          </w:tcPr>
          <w:p w:rsidR="00DE2D11" w:rsidRPr="00262ED3" w:rsidRDefault="00DE2D11" w:rsidP="00DE2D11">
            <w:pPr>
              <w:pStyle w:val="Box"/>
              <w:spacing w:before="0" w:line="120" w:lineRule="exact"/>
            </w:pPr>
          </w:p>
        </w:tc>
      </w:tr>
      <w:tr w:rsidR="00DE2D11" w:rsidRPr="00262ED3" w:rsidTr="00DE2D11">
        <w:tc>
          <w:tcPr>
            <w:tcW w:w="8771" w:type="dxa"/>
            <w:tcBorders>
              <w:top w:val="nil"/>
              <w:left w:val="nil"/>
              <w:bottom w:val="nil"/>
              <w:right w:val="nil"/>
            </w:tcBorders>
          </w:tcPr>
          <w:p w:rsidR="00DE2D11" w:rsidRPr="00262ED3" w:rsidRDefault="00DE2D11" w:rsidP="00DE2D11">
            <w:pPr>
              <w:pStyle w:val="Box"/>
              <w:keepNext w:val="0"/>
              <w:spacing w:before="60" w:after="60" w:line="80" w:lineRule="exact"/>
            </w:pPr>
          </w:p>
        </w:tc>
      </w:tr>
    </w:tbl>
    <w:p w:rsidR="002F4D90" w:rsidRPr="00E6147C" w:rsidRDefault="002F4D90" w:rsidP="002F4D90">
      <w:pPr>
        <w:pStyle w:val="BodyText"/>
      </w:pPr>
      <w:r w:rsidRPr="00E6147C">
        <w:t>Additional information is available to assist the interpretation of these results:</w:t>
      </w:r>
    </w:p>
    <w:p w:rsidR="002F4D90" w:rsidRPr="00E6147C" w:rsidRDefault="002F4D90" w:rsidP="002F4D90">
      <w:pPr>
        <w:pStyle w:val="ListBullet"/>
      </w:pPr>
      <w:r w:rsidRPr="00E6147C">
        <w:t>indicator interpretation boxes, which define the measures used and indicate any significant conceptual or methodological issues with the reported information (chapter 9)</w:t>
      </w:r>
    </w:p>
    <w:p w:rsidR="002F4D90" w:rsidRPr="00E6147C" w:rsidRDefault="002F4D90" w:rsidP="002F4D90">
      <w:pPr>
        <w:pStyle w:val="ListBullet"/>
      </w:pPr>
      <w:r w:rsidRPr="00E6147C">
        <w:t xml:space="preserve">caveats and footnotes to the reported data (chapter 9 and </w:t>
      </w:r>
      <w:r w:rsidR="00E41C4F">
        <w:t>a</w:t>
      </w:r>
      <w:r w:rsidRPr="00E6147C">
        <w:t>ttachment </w:t>
      </w:r>
      <w:proofErr w:type="spellStart"/>
      <w:r w:rsidRPr="00E6147C">
        <w:t>9A</w:t>
      </w:r>
      <w:proofErr w:type="spellEnd"/>
      <w:r w:rsidRPr="00E6147C">
        <w:t>)</w:t>
      </w:r>
    </w:p>
    <w:p w:rsidR="002F4D90" w:rsidRPr="00E6147C" w:rsidRDefault="002F4D90" w:rsidP="002F4D90">
      <w:pPr>
        <w:pStyle w:val="ListBullet"/>
      </w:pPr>
      <w:r w:rsidRPr="00E6147C">
        <w:t>additional measures and further disaggregation of reported measures (for example, by remoteness</w:t>
      </w:r>
      <w:r>
        <w:t>)</w:t>
      </w:r>
      <w:r w:rsidRPr="00E6147C">
        <w:t xml:space="preserve"> (chapter 9 and </w:t>
      </w:r>
      <w:r w:rsidR="00E41C4F">
        <w:t>a</w:t>
      </w:r>
      <w:r w:rsidRPr="00E6147C">
        <w:t>ttachment </w:t>
      </w:r>
      <w:proofErr w:type="spellStart"/>
      <w:r w:rsidRPr="00E6147C">
        <w:t>9A</w:t>
      </w:r>
      <w:proofErr w:type="spellEnd"/>
      <w:r w:rsidRPr="00E6147C">
        <w:t>)</w:t>
      </w:r>
    </w:p>
    <w:p w:rsidR="002F4D90" w:rsidRPr="00E6147C" w:rsidRDefault="002F4D90" w:rsidP="002F4D90">
      <w:pPr>
        <w:pStyle w:val="ListBullet"/>
      </w:pPr>
      <w:r w:rsidRPr="00E6147C">
        <w:t>data quality information for many indicators, based on the ABS Data Quality Framework (</w:t>
      </w:r>
      <w:r>
        <w:t>c</w:t>
      </w:r>
      <w:r w:rsidRPr="00E6147C">
        <w:t xml:space="preserve">hapter 9 </w:t>
      </w:r>
      <w:r w:rsidR="00E41C4F">
        <w:t>d</w:t>
      </w:r>
      <w:r w:rsidRPr="00E6147C">
        <w:t xml:space="preserve">ata </w:t>
      </w:r>
      <w:r w:rsidR="00774525">
        <w:t>q</w:t>
      </w:r>
      <w:r w:rsidRPr="00E6147C">
        <w:t xml:space="preserve">uality </w:t>
      </w:r>
      <w:r w:rsidR="00774525">
        <w:t>i</w:t>
      </w:r>
      <w:r w:rsidRPr="00E6147C">
        <w:t>nformation).</w:t>
      </w:r>
    </w:p>
    <w:p w:rsidR="00DE2D11" w:rsidRDefault="00DE2D11" w:rsidP="00DE2D11">
      <w:pPr>
        <w:pStyle w:val="BodyText"/>
      </w:pPr>
      <w:r w:rsidRPr="00E6147C">
        <w:t xml:space="preserve">A full list of attachment tables and available data quality information is provided at the end </w:t>
      </w:r>
      <w:r w:rsidRPr="00E6147C" w:rsidDel="00394893">
        <w:t xml:space="preserve">of </w:t>
      </w:r>
      <w:r w:rsidRPr="00E6147C">
        <w:t>chapter 9.</w:t>
      </w:r>
    </w:p>
    <w:p w:rsidR="00DE2D11" w:rsidRPr="00E6147C" w:rsidRDefault="00DE2D11" w:rsidP="00DE2D11">
      <w:pPr>
        <w:pStyle w:val="Heading4"/>
      </w:pPr>
      <w:r w:rsidRPr="00E6147C">
        <w:t>Fire events</w:t>
      </w:r>
    </w:p>
    <w:p w:rsidR="00DE2D11" w:rsidRPr="00E6147C" w:rsidRDefault="00DE2D11" w:rsidP="00DE2D11">
      <w:pPr>
        <w:pStyle w:val="BodyText"/>
      </w:pPr>
      <w:r w:rsidRPr="00E6147C">
        <w:t>The performance indicator framework for fire events is presented in figure</w:t>
      </w:r>
      <w:r w:rsidR="00FE727D">
        <w:t xml:space="preserve"> </w:t>
      </w:r>
      <w:proofErr w:type="spellStart"/>
      <w:r w:rsidR="00CA09FA">
        <w:t>D.8</w:t>
      </w:r>
      <w:proofErr w:type="spellEnd"/>
      <w:r w:rsidRPr="00E6147C">
        <w:t xml:space="preserve">. </w:t>
      </w:r>
      <w:r w:rsidR="00AB62E8">
        <w:t>This</w:t>
      </w:r>
      <w:r w:rsidR="00AB62E8" w:rsidRPr="00E6147C">
        <w:t xml:space="preserve"> framework provides comprehensive information on the equity, effectiveness</w:t>
      </w:r>
      <w:r w:rsidR="00AB62E8">
        <w:t>,</w:t>
      </w:r>
      <w:r w:rsidR="00AB62E8" w:rsidRPr="00E6147C">
        <w:t xml:space="preserve"> efficiency </w:t>
      </w:r>
      <w:r w:rsidR="00AB62E8">
        <w:t xml:space="preserve">and the outcomes </w:t>
      </w:r>
      <w:r w:rsidR="00AB62E8" w:rsidRPr="00E6147C">
        <w:t xml:space="preserve">of </w:t>
      </w:r>
      <w:r w:rsidR="00AB62E8">
        <w:t>fire events</w:t>
      </w:r>
      <w:r w:rsidR="00AB62E8" w:rsidRPr="00E6147C">
        <w:t>.</w:t>
      </w:r>
    </w:p>
    <w:p w:rsidR="00DE2D11" w:rsidRPr="00E6147C" w:rsidRDefault="00DE2D11" w:rsidP="00DE2D11">
      <w:pPr>
        <w:pStyle w:val="FigureTitle"/>
      </w:pPr>
      <w:bookmarkStart w:id="36" w:name="_Toc343076272"/>
      <w:bookmarkStart w:id="37" w:name="_Toc343077262"/>
      <w:r w:rsidRPr="00E6147C">
        <w:rPr>
          <w:b w:val="0"/>
        </w:rPr>
        <w:lastRenderedPageBreak/>
        <w:t xml:space="preserve">Figure </w:t>
      </w:r>
      <w:bookmarkStart w:id="38" w:name="OLE_LINK12"/>
      <w:proofErr w:type="spellStart"/>
      <w:r w:rsidR="001D458F">
        <w:rPr>
          <w:b w:val="0"/>
        </w:rPr>
        <w:t>D.</w:t>
      </w:r>
      <w:r w:rsidR="005A1847">
        <w:rPr>
          <w:b w:val="0"/>
          <w:noProof/>
        </w:rPr>
        <w:t>8</w:t>
      </w:r>
      <w:bookmarkEnd w:id="38"/>
      <w:proofErr w:type="spellEnd"/>
      <w:r w:rsidRPr="00E6147C">
        <w:tab/>
      </w:r>
      <w:r w:rsidR="00264596">
        <w:t>F</w:t>
      </w:r>
      <w:r w:rsidRPr="00E6147C">
        <w:t xml:space="preserve">ire events </w:t>
      </w:r>
      <w:r w:rsidR="00264596" w:rsidRPr="00262ED3">
        <w:t>performance indicator framework</w:t>
      </w:r>
      <w:bookmarkEnd w:id="36"/>
      <w:bookmarkEnd w:id="37"/>
    </w:p>
    <w:tbl>
      <w:tblPr>
        <w:tblW w:w="0" w:type="auto"/>
        <w:tblInd w:w="11"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8777"/>
      </w:tblGrid>
      <w:tr w:rsidR="00DE2D11" w:rsidRPr="00A05A09" w:rsidTr="00E96EFA">
        <w:tc>
          <w:tcPr>
            <w:tcW w:w="8777" w:type="dxa"/>
          </w:tcPr>
          <w:p w:rsidR="00DE2D11" w:rsidRPr="003474C2" w:rsidRDefault="00483E80" w:rsidP="003474C2">
            <w:pPr>
              <w:pStyle w:val="Figure"/>
            </w:pPr>
            <w:r w:rsidRPr="003474C2">
              <w:rPr>
                <w:noProof/>
              </w:rPr>
              <w:drawing>
                <wp:inline distT="0" distB="0" distL="0" distR="0" wp14:anchorId="7BB21AC4" wp14:editId="7AB9C018">
                  <wp:extent cx="5571490" cy="4391025"/>
                  <wp:effectExtent l="0" t="0" r="0" b="9525"/>
                  <wp:docPr id="2" name="Picture 2" descr="Figure D.8 Fire event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71490" cy="4391025"/>
                          </a:xfrm>
                          <a:prstGeom prst="rect">
                            <a:avLst/>
                          </a:prstGeom>
                          <a:noFill/>
                          <a:ln>
                            <a:noFill/>
                          </a:ln>
                        </pic:spPr>
                      </pic:pic>
                    </a:graphicData>
                  </a:graphic>
                </wp:inline>
              </w:drawing>
            </w:r>
          </w:p>
        </w:tc>
      </w:tr>
    </w:tbl>
    <w:p w:rsidR="00233F2C" w:rsidRDefault="00DE2D11" w:rsidP="00DB43A2">
      <w:pPr>
        <w:pStyle w:val="BodyText"/>
        <w:rPr>
          <w:rFonts w:ascii="Arial" w:hAnsi="Arial"/>
          <w:sz w:val="24"/>
        </w:rPr>
      </w:pPr>
      <w:r w:rsidRPr="00E6147C">
        <w:t>An overview of the fire events indicator results</w:t>
      </w:r>
      <w:r w:rsidR="007F1100">
        <w:t xml:space="preserve"> for 2012</w:t>
      </w:r>
      <w:r w:rsidR="001525FA">
        <w:noBreakHyphen/>
      </w:r>
      <w:r w:rsidR="007F1100">
        <w:t>13 (or latest period available)</w:t>
      </w:r>
      <w:r w:rsidRPr="00E6147C">
        <w:t xml:space="preserve"> is presented in table </w:t>
      </w:r>
      <w:proofErr w:type="spellStart"/>
      <w:r w:rsidR="004A5FB9">
        <w:t>D.</w:t>
      </w:r>
      <w:r w:rsidR="00113BCA">
        <w:t>2</w:t>
      </w:r>
      <w:proofErr w:type="spellEnd"/>
      <w:r w:rsidRPr="00E6147C">
        <w:t xml:space="preserve">. </w:t>
      </w:r>
      <w:r w:rsidR="003A52CA">
        <w:t>Information to assist the interpretation of these data can be found in the indicator interpretation boxes in chapter</w:t>
      </w:r>
      <w:r w:rsidR="001525FA">
        <w:t> </w:t>
      </w:r>
      <w:r w:rsidR="003A52CA">
        <w:t>9 and the footnotes in attachment</w:t>
      </w:r>
      <w:r w:rsidR="001525FA">
        <w:t> </w:t>
      </w:r>
      <w:r w:rsidR="003A52CA">
        <w:t>9A.</w:t>
      </w:r>
      <w:r w:rsidR="00233F2C">
        <w:rPr>
          <w:b/>
        </w:rPr>
        <w:br w:type="page"/>
      </w:r>
    </w:p>
    <w:p w:rsidR="006D72B6" w:rsidRDefault="006D72B6" w:rsidP="006D72B6">
      <w:pPr>
        <w:pStyle w:val="TableTitle"/>
        <w:spacing w:before="240"/>
      </w:pPr>
      <w:r>
        <w:rPr>
          <w:b w:val="0"/>
        </w:rPr>
        <w:lastRenderedPageBreak/>
        <w:t xml:space="preserve">Table </w:t>
      </w:r>
      <w:proofErr w:type="spellStart"/>
      <w:r w:rsidR="001D458F">
        <w:rPr>
          <w:b w:val="0"/>
        </w:rPr>
        <w:t>D.</w:t>
      </w:r>
      <w:r w:rsidR="005A1847">
        <w:rPr>
          <w:b w:val="0"/>
          <w:noProof/>
        </w:rPr>
        <w:t>2</w:t>
      </w:r>
      <w:proofErr w:type="spellEnd"/>
      <w:r>
        <w:tab/>
      </w:r>
      <w:r w:rsidRPr="00262ED3">
        <w:t xml:space="preserve">Performance indicators for </w:t>
      </w:r>
      <w:r>
        <w:t>fire events</w:t>
      </w:r>
      <w:r w:rsidRPr="00FC75AE">
        <w:rPr>
          <w:rStyle w:val="NoteLabel"/>
          <w:b/>
        </w:rPr>
        <w:t>a, b</w:t>
      </w:r>
    </w:p>
    <w:tbl>
      <w:tblPr>
        <w:tblW w:w="5002" w:type="pct"/>
        <w:tblCellMar>
          <w:left w:w="0" w:type="dxa"/>
          <w:right w:w="0" w:type="dxa"/>
        </w:tblCellMar>
        <w:tblLook w:val="0000" w:firstRow="0" w:lastRow="0" w:firstColumn="0" w:lastColumn="0" w:noHBand="0" w:noVBand="0"/>
      </w:tblPr>
      <w:tblGrid>
        <w:gridCol w:w="8793"/>
      </w:tblGrid>
      <w:tr w:rsidR="006D72B6" w:rsidRPr="00262ED3" w:rsidTr="006D72B6">
        <w:tc>
          <w:tcPr>
            <w:tcW w:w="5000" w:type="pct"/>
            <w:shd w:val="clear" w:color="auto" w:fill="auto"/>
          </w:tcPr>
          <w:p w:rsidR="001D458F" w:rsidRPr="001D458F" w:rsidRDefault="001D458F" w:rsidP="001D458F">
            <w:pPr>
              <w:pStyle w:val="HeaderEnd"/>
              <w:rPr>
                <w:sz w:val="20"/>
              </w:rPr>
            </w:pPr>
          </w:p>
          <w:tbl>
            <w:tblPr>
              <w:tblW w:w="5000" w:type="pct"/>
              <w:tblCellMar>
                <w:left w:w="0" w:type="dxa"/>
                <w:right w:w="28" w:type="dxa"/>
              </w:tblCellMar>
              <w:tblLook w:val="04A0" w:firstRow="1" w:lastRow="0" w:firstColumn="1" w:lastColumn="0" w:noHBand="0" w:noVBand="1"/>
            </w:tblPr>
            <w:tblGrid>
              <w:gridCol w:w="559"/>
              <w:gridCol w:w="433"/>
              <w:gridCol w:w="772"/>
              <w:gridCol w:w="81"/>
              <w:gridCol w:w="691"/>
              <w:gridCol w:w="162"/>
              <w:gridCol w:w="612"/>
              <w:gridCol w:w="98"/>
              <w:gridCol w:w="674"/>
              <w:gridCol w:w="37"/>
              <w:gridCol w:w="737"/>
              <w:gridCol w:w="114"/>
              <w:gridCol w:w="658"/>
              <w:gridCol w:w="192"/>
              <w:gridCol w:w="582"/>
              <w:gridCol w:w="128"/>
              <w:gridCol w:w="644"/>
              <w:gridCol w:w="63"/>
              <w:gridCol w:w="710"/>
              <w:gridCol w:w="846"/>
            </w:tblGrid>
            <w:tr w:rsidR="001D458F" w:rsidRPr="001D458F" w:rsidTr="001D458F">
              <w:trPr>
                <w:divId w:val="1902709361"/>
                <w:trHeight w:val="330"/>
              </w:trPr>
              <w:tc>
                <w:tcPr>
                  <w:tcW w:w="318" w:type="pct"/>
                  <w:tcBorders>
                    <w:top w:val="single" w:sz="4" w:space="0" w:color="auto"/>
                    <w:left w:val="nil"/>
                    <w:bottom w:val="single" w:sz="4" w:space="0" w:color="auto"/>
                    <w:right w:val="nil"/>
                  </w:tcBorders>
                  <w:shd w:val="clear" w:color="auto" w:fill="auto"/>
                  <w:vAlign w:val="center"/>
                  <w:hideMark/>
                </w:tcPr>
                <w:p w:rsidR="001D458F" w:rsidRPr="001D458F" w:rsidRDefault="001D458F" w:rsidP="001D458F">
                  <w:pPr>
                    <w:rPr>
                      <w:rFonts w:ascii="Arial" w:hAnsi="Arial" w:cs="Arial"/>
                      <w:i/>
                      <w:iCs/>
                      <w:sz w:val="20"/>
                      <w:szCs w:val="20"/>
                    </w:rPr>
                  </w:pPr>
                  <w:r w:rsidRPr="001D458F">
                    <w:rPr>
                      <w:rFonts w:ascii="Arial" w:hAnsi="Arial" w:cs="Arial"/>
                      <w:i/>
                      <w:iCs/>
                      <w:sz w:val="20"/>
                      <w:szCs w:val="20"/>
                    </w:rPr>
                    <w:t> </w:t>
                  </w:r>
                </w:p>
              </w:tc>
              <w:tc>
                <w:tcPr>
                  <w:tcW w:w="246" w:type="pct"/>
                  <w:tcBorders>
                    <w:top w:val="single" w:sz="4" w:space="0" w:color="auto"/>
                    <w:left w:val="nil"/>
                    <w:bottom w:val="single" w:sz="4" w:space="0" w:color="auto"/>
                    <w:right w:val="nil"/>
                  </w:tcBorders>
                  <w:shd w:val="clear" w:color="auto" w:fill="auto"/>
                  <w:vAlign w:val="center"/>
                  <w:hideMark/>
                </w:tcPr>
                <w:p w:rsidR="001D458F" w:rsidRPr="001D458F" w:rsidRDefault="001D458F" w:rsidP="001D458F">
                  <w:pPr>
                    <w:rPr>
                      <w:rFonts w:ascii="Arial" w:hAnsi="Arial" w:cs="Arial"/>
                      <w:i/>
                      <w:iCs/>
                      <w:sz w:val="20"/>
                      <w:szCs w:val="20"/>
                    </w:rPr>
                  </w:pPr>
                  <w:r w:rsidRPr="001D458F">
                    <w:rPr>
                      <w:rFonts w:ascii="Arial" w:hAnsi="Arial" w:cs="Arial"/>
                      <w:i/>
                      <w:iCs/>
                      <w:sz w:val="20"/>
                      <w:szCs w:val="20"/>
                    </w:rPr>
                    <w:t> </w:t>
                  </w:r>
                </w:p>
              </w:tc>
              <w:tc>
                <w:tcPr>
                  <w:tcW w:w="439" w:type="pct"/>
                  <w:tcBorders>
                    <w:top w:val="single" w:sz="4" w:space="0" w:color="auto"/>
                    <w:left w:val="nil"/>
                    <w:bottom w:val="single" w:sz="4" w:space="0" w:color="auto"/>
                    <w:right w:val="nil"/>
                  </w:tcBorders>
                  <w:shd w:val="clear" w:color="auto" w:fill="auto"/>
                  <w:vAlign w:val="center"/>
                  <w:hideMark/>
                </w:tcPr>
                <w:p w:rsidR="001D458F" w:rsidRPr="001D458F" w:rsidRDefault="001D458F" w:rsidP="001D458F">
                  <w:pPr>
                    <w:jc w:val="right"/>
                    <w:rPr>
                      <w:rFonts w:ascii="Arial" w:hAnsi="Arial" w:cs="Arial"/>
                      <w:i/>
                      <w:iCs/>
                      <w:sz w:val="20"/>
                      <w:szCs w:val="20"/>
                    </w:rPr>
                  </w:pPr>
                  <w:r w:rsidRPr="001D458F">
                    <w:rPr>
                      <w:rFonts w:ascii="Arial" w:hAnsi="Arial" w:cs="Arial"/>
                      <w:i/>
                      <w:iCs/>
                      <w:sz w:val="20"/>
                      <w:szCs w:val="20"/>
                    </w:rPr>
                    <w:t>NSW</w:t>
                  </w:r>
                </w:p>
              </w:tc>
              <w:tc>
                <w:tcPr>
                  <w:tcW w:w="439" w:type="pct"/>
                  <w:gridSpan w:val="2"/>
                  <w:tcBorders>
                    <w:top w:val="single" w:sz="4" w:space="0" w:color="auto"/>
                    <w:left w:val="nil"/>
                    <w:bottom w:val="single" w:sz="4" w:space="0" w:color="auto"/>
                    <w:right w:val="nil"/>
                  </w:tcBorders>
                  <w:shd w:val="clear" w:color="auto" w:fill="auto"/>
                  <w:vAlign w:val="center"/>
                  <w:hideMark/>
                </w:tcPr>
                <w:p w:rsidR="001D458F" w:rsidRPr="001D458F" w:rsidRDefault="001D458F" w:rsidP="001D458F">
                  <w:pPr>
                    <w:jc w:val="right"/>
                    <w:rPr>
                      <w:rFonts w:ascii="Arial" w:hAnsi="Arial" w:cs="Arial"/>
                      <w:i/>
                      <w:iCs/>
                      <w:sz w:val="20"/>
                      <w:szCs w:val="20"/>
                    </w:rPr>
                  </w:pPr>
                  <w:r w:rsidRPr="001D458F">
                    <w:rPr>
                      <w:rFonts w:ascii="Arial" w:hAnsi="Arial" w:cs="Arial"/>
                      <w:i/>
                      <w:iCs/>
                      <w:sz w:val="20"/>
                      <w:szCs w:val="20"/>
                    </w:rPr>
                    <w:t>Vic</w:t>
                  </w:r>
                </w:p>
              </w:tc>
              <w:tc>
                <w:tcPr>
                  <w:tcW w:w="440" w:type="pct"/>
                  <w:gridSpan w:val="2"/>
                  <w:tcBorders>
                    <w:top w:val="single" w:sz="4" w:space="0" w:color="auto"/>
                    <w:left w:val="nil"/>
                    <w:bottom w:val="single" w:sz="4" w:space="0" w:color="auto"/>
                    <w:right w:val="nil"/>
                  </w:tcBorders>
                  <w:shd w:val="clear" w:color="auto" w:fill="auto"/>
                  <w:vAlign w:val="center"/>
                  <w:hideMark/>
                </w:tcPr>
                <w:p w:rsidR="001D458F" w:rsidRPr="001D458F" w:rsidRDefault="001D458F" w:rsidP="001D458F">
                  <w:pPr>
                    <w:jc w:val="right"/>
                    <w:rPr>
                      <w:rFonts w:ascii="Arial" w:hAnsi="Arial" w:cs="Arial"/>
                      <w:i/>
                      <w:iCs/>
                      <w:sz w:val="20"/>
                      <w:szCs w:val="20"/>
                    </w:rPr>
                  </w:pPr>
                  <w:r w:rsidRPr="001D458F">
                    <w:rPr>
                      <w:rFonts w:ascii="Arial" w:hAnsi="Arial" w:cs="Arial"/>
                      <w:i/>
                      <w:iCs/>
                      <w:sz w:val="20"/>
                      <w:szCs w:val="20"/>
                    </w:rPr>
                    <w:t>Qld</w:t>
                  </w:r>
                </w:p>
              </w:tc>
              <w:tc>
                <w:tcPr>
                  <w:tcW w:w="439" w:type="pct"/>
                  <w:gridSpan w:val="2"/>
                  <w:tcBorders>
                    <w:top w:val="single" w:sz="4" w:space="0" w:color="auto"/>
                    <w:left w:val="nil"/>
                    <w:bottom w:val="single" w:sz="4" w:space="0" w:color="auto"/>
                    <w:right w:val="nil"/>
                  </w:tcBorders>
                  <w:shd w:val="clear" w:color="auto" w:fill="auto"/>
                  <w:vAlign w:val="center"/>
                  <w:hideMark/>
                </w:tcPr>
                <w:p w:rsidR="001D458F" w:rsidRPr="001D458F" w:rsidRDefault="001D458F" w:rsidP="001D458F">
                  <w:pPr>
                    <w:jc w:val="right"/>
                    <w:rPr>
                      <w:rFonts w:ascii="Arial" w:hAnsi="Arial" w:cs="Arial"/>
                      <w:i/>
                      <w:iCs/>
                      <w:sz w:val="20"/>
                      <w:szCs w:val="20"/>
                    </w:rPr>
                  </w:pPr>
                  <w:r w:rsidRPr="001D458F">
                    <w:rPr>
                      <w:rFonts w:ascii="Arial" w:hAnsi="Arial" w:cs="Arial"/>
                      <w:i/>
                      <w:iCs/>
                      <w:sz w:val="20"/>
                      <w:szCs w:val="20"/>
                    </w:rPr>
                    <w:t>WA</w:t>
                  </w:r>
                </w:p>
              </w:tc>
              <w:tc>
                <w:tcPr>
                  <w:tcW w:w="440" w:type="pct"/>
                  <w:gridSpan w:val="2"/>
                  <w:tcBorders>
                    <w:top w:val="single" w:sz="4" w:space="0" w:color="auto"/>
                    <w:left w:val="nil"/>
                    <w:bottom w:val="single" w:sz="4" w:space="0" w:color="auto"/>
                    <w:right w:val="nil"/>
                  </w:tcBorders>
                  <w:shd w:val="clear" w:color="auto" w:fill="auto"/>
                  <w:vAlign w:val="center"/>
                  <w:hideMark/>
                </w:tcPr>
                <w:p w:rsidR="001D458F" w:rsidRPr="001D458F" w:rsidRDefault="001D458F" w:rsidP="001D458F">
                  <w:pPr>
                    <w:jc w:val="right"/>
                    <w:rPr>
                      <w:rFonts w:ascii="Arial" w:hAnsi="Arial" w:cs="Arial"/>
                      <w:i/>
                      <w:iCs/>
                      <w:sz w:val="20"/>
                      <w:szCs w:val="20"/>
                    </w:rPr>
                  </w:pPr>
                  <w:r w:rsidRPr="001D458F">
                    <w:rPr>
                      <w:rFonts w:ascii="Arial" w:hAnsi="Arial" w:cs="Arial"/>
                      <w:i/>
                      <w:iCs/>
                      <w:sz w:val="20"/>
                      <w:szCs w:val="20"/>
                    </w:rPr>
                    <w:t>SA</w:t>
                  </w:r>
                </w:p>
              </w:tc>
              <w:tc>
                <w:tcPr>
                  <w:tcW w:w="439" w:type="pct"/>
                  <w:gridSpan w:val="2"/>
                  <w:tcBorders>
                    <w:top w:val="single" w:sz="4" w:space="0" w:color="auto"/>
                    <w:left w:val="nil"/>
                    <w:bottom w:val="single" w:sz="4" w:space="0" w:color="auto"/>
                    <w:right w:val="nil"/>
                  </w:tcBorders>
                  <w:shd w:val="clear" w:color="auto" w:fill="auto"/>
                  <w:vAlign w:val="center"/>
                  <w:hideMark/>
                </w:tcPr>
                <w:p w:rsidR="001D458F" w:rsidRPr="001D458F" w:rsidRDefault="001D458F" w:rsidP="001D458F">
                  <w:pPr>
                    <w:jc w:val="right"/>
                    <w:rPr>
                      <w:rFonts w:ascii="Arial" w:hAnsi="Arial" w:cs="Arial"/>
                      <w:i/>
                      <w:iCs/>
                      <w:sz w:val="20"/>
                      <w:szCs w:val="20"/>
                    </w:rPr>
                  </w:pPr>
                  <w:r w:rsidRPr="001D458F">
                    <w:rPr>
                      <w:rFonts w:ascii="Arial" w:hAnsi="Arial" w:cs="Arial"/>
                      <w:i/>
                      <w:iCs/>
                      <w:sz w:val="20"/>
                      <w:szCs w:val="20"/>
                    </w:rPr>
                    <w:t>Tas</w:t>
                  </w:r>
                </w:p>
              </w:tc>
              <w:tc>
                <w:tcPr>
                  <w:tcW w:w="440" w:type="pct"/>
                  <w:gridSpan w:val="2"/>
                  <w:tcBorders>
                    <w:top w:val="single" w:sz="4" w:space="0" w:color="auto"/>
                    <w:left w:val="nil"/>
                    <w:bottom w:val="single" w:sz="4" w:space="0" w:color="auto"/>
                    <w:right w:val="nil"/>
                  </w:tcBorders>
                  <w:shd w:val="clear" w:color="auto" w:fill="auto"/>
                  <w:vAlign w:val="center"/>
                  <w:hideMark/>
                </w:tcPr>
                <w:p w:rsidR="001D458F" w:rsidRPr="001D458F" w:rsidRDefault="001D458F" w:rsidP="001D458F">
                  <w:pPr>
                    <w:jc w:val="right"/>
                    <w:rPr>
                      <w:rFonts w:ascii="Arial" w:hAnsi="Arial" w:cs="Arial"/>
                      <w:i/>
                      <w:iCs/>
                      <w:sz w:val="20"/>
                      <w:szCs w:val="20"/>
                    </w:rPr>
                  </w:pPr>
                  <w:r w:rsidRPr="001D458F">
                    <w:rPr>
                      <w:rFonts w:ascii="Arial" w:hAnsi="Arial" w:cs="Arial"/>
                      <w:i/>
                      <w:iCs/>
                      <w:sz w:val="20"/>
                      <w:szCs w:val="20"/>
                    </w:rPr>
                    <w:t>ACT</w:t>
                  </w:r>
                </w:p>
              </w:tc>
              <w:tc>
                <w:tcPr>
                  <w:tcW w:w="439" w:type="pct"/>
                  <w:gridSpan w:val="2"/>
                  <w:tcBorders>
                    <w:top w:val="single" w:sz="4" w:space="0" w:color="auto"/>
                    <w:left w:val="nil"/>
                    <w:bottom w:val="single" w:sz="4" w:space="0" w:color="auto"/>
                    <w:right w:val="nil"/>
                  </w:tcBorders>
                  <w:shd w:val="clear" w:color="auto" w:fill="auto"/>
                  <w:vAlign w:val="center"/>
                  <w:hideMark/>
                </w:tcPr>
                <w:p w:rsidR="001D458F" w:rsidRPr="001D458F" w:rsidRDefault="001D458F" w:rsidP="001D458F">
                  <w:pPr>
                    <w:jc w:val="right"/>
                    <w:rPr>
                      <w:rFonts w:ascii="Arial" w:hAnsi="Arial" w:cs="Arial"/>
                      <w:i/>
                      <w:iCs/>
                      <w:sz w:val="20"/>
                      <w:szCs w:val="20"/>
                    </w:rPr>
                  </w:pPr>
                  <w:r w:rsidRPr="001D458F">
                    <w:rPr>
                      <w:rFonts w:ascii="Arial" w:hAnsi="Arial" w:cs="Arial"/>
                      <w:i/>
                      <w:iCs/>
                      <w:sz w:val="20"/>
                      <w:szCs w:val="20"/>
                    </w:rPr>
                    <w:t>NT</w:t>
                  </w:r>
                </w:p>
              </w:tc>
              <w:tc>
                <w:tcPr>
                  <w:tcW w:w="440" w:type="pct"/>
                  <w:gridSpan w:val="2"/>
                  <w:tcBorders>
                    <w:top w:val="single" w:sz="4" w:space="0" w:color="auto"/>
                    <w:left w:val="nil"/>
                    <w:bottom w:val="single" w:sz="4" w:space="0" w:color="auto"/>
                    <w:right w:val="nil"/>
                  </w:tcBorders>
                  <w:shd w:val="clear" w:color="auto" w:fill="auto"/>
                  <w:vAlign w:val="center"/>
                  <w:hideMark/>
                </w:tcPr>
                <w:p w:rsidR="001D458F" w:rsidRPr="001D458F" w:rsidRDefault="001D458F" w:rsidP="001D458F">
                  <w:pPr>
                    <w:jc w:val="right"/>
                    <w:rPr>
                      <w:rFonts w:ascii="Arial" w:hAnsi="Arial" w:cs="Arial"/>
                      <w:i/>
                      <w:iCs/>
                      <w:sz w:val="20"/>
                      <w:szCs w:val="20"/>
                    </w:rPr>
                  </w:pPr>
                  <w:r w:rsidRPr="001D458F">
                    <w:rPr>
                      <w:rFonts w:ascii="Arial" w:hAnsi="Arial" w:cs="Arial"/>
                      <w:i/>
                      <w:iCs/>
                      <w:sz w:val="20"/>
                      <w:szCs w:val="20"/>
                    </w:rPr>
                    <w:t>Aust</w:t>
                  </w:r>
                </w:p>
              </w:tc>
              <w:tc>
                <w:tcPr>
                  <w:tcW w:w="483" w:type="pct"/>
                  <w:tcBorders>
                    <w:top w:val="single" w:sz="4" w:space="0" w:color="auto"/>
                    <w:left w:val="nil"/>
                    <w:bottom w:val="single" w:sz="4" w:space="0" w:color="auto"/>
                    <w:right w:val="nil"/>
                  </w:tcBorders>
                  <w:shd w:val="clear" w:color="auto" w:fill="auto"/>
                  <w:vAlign w:val="center"/>
                  <w:hideMark/>
                </w:tcPr>
                <w:p w:rsidR="001D458F" w:rsidRPr="001D458F" w:rsidRDefault="001D458F" w:rsidP="001D458F">
                  <w:pPr>
                    <w:jc w:val="right"/>
                    <w:rPr>
                      <w:rFonts w:ascii="Arial" w:hAnsi="Arial" w:cs="Arial"/>
                      <w:i/>
                      <w:iCs/>
                      <w:sz w:val="20"/>
                      <w:szCs w:val="20"/>
                    </w:rPr>
                  </w:pPr>
                  <w:r w:rsidRPr="001D458F">
                    <w:rPr>
                      <w:rFonts w:ascii="Arial" w:hAnsi="Arial" w:cs="Arial"/>
                      <w:i/>
                      <w:iCs/>
                      <w:sz w:val="20"/>
                      <w:szCs w:val="20"/>
                    </w:rPr>
                    <w:t>Source</w:t>
                  </w:r>
                </w:p>
              </w:tc>
            </w:tr>
            <w:tr w:rsidR="001D458F" w:rsidRPr="001D458F" w:rsidTr="001D458F">
              <w:trPr>
                <w:divId w:val="1902709361"/>
                <w:trHeight w:val="330"/>
              </w:trPr>
              <w:tc>
                <w:tcPr>
                  <w:tcW w:w="5000" w:type="pct"/>
                  <w:gridSpan w:val="20"/>
                  <w:tcBorders>
                    <w:top w:val="nil"/>
                    <w:left w:val="nil"/>
                    <w:bottom w:val="nil"/>
                    <w:right w:val="nil"/>
                  </w:tcBorders>
                  <w:shd w:val="clear" w:color="auto" w:fill="auto"/>
                  <w:hideMark/>
                </w:tcPr>
                <w:p w:rsidR="001D458F" w:rsidRPr="001D458F" w:rsidRDefault="001D458F" w:rsidP="001D458F">
                  <w:pPr>
                    <w:rPr>
                      <w:rFonts w:ascii="Arial" w:hAnsi="Arial" w:cs="Arial"/>
                      <w:b/>
                      <w:bCs/>
                      <w:sz w:val="20"/>
                      <w:szCs w:val="20"/>
                    </w:rPr>
                  </w:pPr>
                  <w:r w:rsidRPr="001D458F">
                    <w:rPr>
                      <w:rFonts w:ascii="Arial" w:hAnsi="Arial" w:cs="Arial"/>
                      <w:b/>
                      <w:bCs/>
                      <w:sz w:val="20"/>
                      <w:szCs w:val="20"/>
                    </w:rPr>
                    <w:t>Equity and effectiveness — prevention/mitigation indicators</w:t>
                  </w:r>
                </w:p>
              </w:tc>
            </w:tr>
            <w:tr w:rsidR="001D458F" w:rsidRPr="001D458F" w:rsidTr="001D458F">
              <w:trPr>
                <w:divId w:val="1902709361"/>
                <w:trHeight w:val="330"/>
              </w:trPr>
              <w:tc>
                <w:tcPr>
                  <w:tcW w:w="5000" w:type="pct"/>
                  <w:gridSpan w:val="20"/>
                  <w:tcBorders>
                    <w:top w:val="nil"/>
                    <w:left w:val="nil"/>
                    <w:bottom w:val="nil"/>
                    <w:right w:val="nil"/>
                  </w:tcBorders>
                  <w:shd w:val="clear" w:color="auto" w:fill="auto"/>
                  <w:vAlign w:val="center"/>
                  <w:hideMark/>
                </w:tcPr>
                <w:p w:rsidR="001D458F" w:rsidRPr="001D458F" w:rsidRDefault="001D458F" w:rsidP="001D458F">
                  <w:pPr>
                    <w:ind w:firstLineChars="100" w:firstLine="200"/>
                    <w:rPr>
                      <w:rFonts w:ascii="Arial" w:hAnsi="Arial" w:cs="Arial"/>
                      <w:i/>
                      <w:iCs/>
                      <w:sz w:val="20"/>
                      <w:szCs w:val="20"/>
                    </w:rPr>
                  </w:pPr>
                  <w:r w:rsidRPr="001D458F">
                    <w:rPr>
                      <w:rFonts w:ascii="Arial" w:hAnsi="Arial" w:cs="Arial"/>
                      <w:i/>
                      <w:iCs/>
                      <w:sz w:val="20"/>
                      <w:szCs w:val="20"/>
                    </w:rPr>
                    <w:t>Number of fire incidents, 2012</w:t>
                  </w:r>
                  <w:r w:rsidR="001525FA">
                    <w:rPr>
                      <w:rFonts w:ascii="Arial" w:hAnsi="Arial" w:cs="Arial"/>
                      <w:i/>
                      <w:iCs/>
                      <w:sz w:val="20"/>
                      <w:szCs w:val="20"/>
                    </w:rPr>
                    <w:noBreakHyphen/>
                  </w:r>
                  <w:r w:rsidRPr="001D458F">
                    <w:rPr>
                      <w:rFonts w:ascii="Arial" w:hAnsi="Arial" w:cs="Arial"/>
                      <w:i/>
                      <w:iCs/>
                      <w:sz w:val="20"/>
                      <w:szCs w:val="20"/>
                    </w:rPr>
                    <w:t>13</w:t>
                  </w:r>
                </w:p>
              </w:tc>
            </w:tr>
            <w:tr w:rsidR="001D458F" w:rsidRPr="001D458F" w:rsidTr="001D458F">
              <w:trPr>
                <w:divId w:val="1902709361"/>
                <w:trHeight w:val="199"/>
              </w:trPr>
              <w:tc>
                <w:tcPr>
                  <w:tcW w:w="5000" w:type="pct"/>
                  <w:gridSpan w:val="20"/>
                  <w:tcBorders>
                    <w:top w:val="nil"/>
                    <w:left w:val="nil"/>
                    <w:bottom w:val="nil"/>
                    <w:right w:val="nil"/>
                  </w:tcBorders>
                  <w:shd w:val="clear" w:color="auto" w:fill="auto"/>
                  <w:vAlign w:val="center"/>
                  <w:hideMark/>
                </w:tcPr>
                <w:p w:rsidR="001D458F" w:rsidRPr="001D458F" w:rsidRDefault="001D458F" w:rsidP="001D458F">
                  <w:pPr>
                    <w:ind w:firstLineChars="100" w:firstLine="160"/>
                    <w:rPr>
                      <w:rFonts w:ascii="Arial" w:hAnsi="Arial" w:cs="Arial"/>
                      <w:sz w:val="16"/>
                      <w:szCs w:val="16"/>
                    </w:rPr>
                  </w:pPr>
                  <w:r w:rsidRPr="001D458F">
                    <w:rPr>
                      <w:rFonts w:ascii="Arial" w:hAnsi="Arial" w:cs="Arial"/>
                      <w:sz w:val="16"/>
                      <w:szCs w:val="16"/>
                    </w:rPr>
                    <w:t>Most recent data for this measure are complete but are not comparable (chapter 9)</w:t>
                  </w:r>
                </w:p>
              </w:tc>
            </w:tr>
            <w:tr w:rsidR="001D458F" w:rsidRPr="001D458F" w:rsidTr="001D458F">
              <w:trPr>
                <w:divId w:val="1902709361"/>
                <w:trHeight w:val="255"/>
              </w:trPr>
              <w:tc>
                <w:tcPr>
                  <w:tcW w:w="5000" w:type="pct"/>
                  <w:gridSpan w:val="20"/>
                  <w:tcBorders>
                    <w:top w:val="nil"/>
                    <w:left w:val="nil"/>
                    <w:bottom w:val="nil"/>
                    <w:right w:val="nil"/>
                  </w:tcBorders>
                  <w:shd w:val="clear" w:color="auto" w:fill="auto"/>
                  <w:vAlign w:val="center"/>
                  <w:hideMark/>
                </w:tcPr>
                <w:p w:rsidR="001D458F" w:rsidRPr="001D458F" w:rsidRDefault="001D458F" w:rsidP="001D458F">
                  <w:pPr>
                    <w:ind w:firstLineChars="200" w:firstLine="400"/>
                    <w:rPr>
                      <w:rFonts w:ascii="Arial" w:hAnsi="Arial" w:cs="Arial"/>
                      <w:sz w:val="20"/>
                      <w:szCs w:val="20"/>
                    </w:rPr>
                  </w:pPr>
                  <w:r w:rsidRPr="001D458F">
                    <w:rPr>
                      <w:rFonts w:ascii="Arial" w:hAnsi="Arial" w:cs="Arial"/>
                      <w:sz w:val="20"/>
                      <w:szCs w:val="20"/>
                    </w:rPr>
                    <w:t>Fire incidents attended by fire service organisations per 100 000 people</w:t>
                  </w:r>
                </w:p>
              </w:tc>
            </w:tr>
            <w:tr w:rsidR="001D458F" w:rsidRPr="001D458F" w:rsidTr="001D458F">
              <w:trPr>
                <w:divId w:val="1902709361"/>
                <w:trHeight w:val="330"/>
              </w:trPr>
              <w:tc>
                <w:tcPr>
                  <w:tcW w:w="564" w:type="pct"/>
                  <w:gridSpan w:val="2"/>
                  <w:tcBorders>
                    <w:top w:val="nil"/>
                    <w:left w:val="nil"/>
                    <w:bottom w:val="nil"/>
                    <w:right w:val="nil"/>
                  </w:tcBorders>
                  <w:shd w:val="clear" w:color="auto" w:fill="auto"/>
                  <w:vAlign w:val="center"/>
                  <w:hideMark/>
                </w:tcPr>
                <w:p w:rsidR="001D458F" w:rsidRPr="001D458F" w:rsidRDefault="001D458F" w:rsidP="001D458F">
                  <w:pPr>
                    <w:ind w:firstLineChars="200" w:firstLine="400"/>
                    <w:rPr>
                      <w:rFonts w:ascii="Arial" w:hAnsi="Arial" w:cs="Arial"/>
                      <w:sz w:val="20"/>
                      <w:szCs w:val="20"/>
                    </w:rPr>
                  </w:pPr>
                  <w:r w:rsidRPr="001D458F">
                    <w:rPr>
                      <w:rFonts w:ascii="Arial" w:hAnsi="Arial" w:cs="Arial"/>
                      <w:sz w:val="20"/>
                      <w:szCs w:val="20"/>
                    </w:rPr>
                    <w:t>no.</w:t>
                  </w:r>
                </w:p>
              </w:tc>
              <w:tc>
                <w:tcPr>
                  <w:tcW w:w="485"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551</w:t>
                  </w:r>
                </w:p>
              </w:tc>
              <w:tc>
                <w:tcPr>
                  <w:tcW w:w="485"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434</w:t>
                  </w:r>
                </w:p>
              </w:tc>
              <w:tc>
                <w:tcPr>
                  <w:tcW w:w="404"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472</w:t>
                  </w:r>
                </w:p>
              </w:tc>
              <w:tc>
                <w:tcPr>
                  <w:tcW w:w="404"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468</w:t>
                  </w:r>
                </w:p>
              </w:tc>
              <w:tc>
                <w:tcPr>
                  <w:tcW w:w="484"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354</w:t>
                  </w:r>
                </w:p>
              </w:tc>
              <w:tc>
                <w:tcPr>
                  <w:tcW w:w="483"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804</w:t>
                  </w:r>
                </w:p>
              </w:tc>
              <w:tc>
                <w:tcPr>
                  <w:tcW w:w="404"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265</w:t>
                  </w:r>
                </w:p>
              </w:tc>
              <w:tc>
                <w:tcPr>
                  <w:tcW w:w="402"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 xml:space="preserve"> 1 202</w:t>
                  </w:r>
                </w:p>
              </w:tc>
              <w:tc>
                <w:tcPr>
                  <w:tcW w:w="403" w:type="pct"/>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490</w:t>
                  </w:r>
                </w:p>
              </w:tc>
              <w:tc>
                <w:tcPr>
                  <w:tcW w:w="483" w:type="pct"/>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roofErr w:type="spellStart"/>
                  <w:r w:rsidRPr="001D458F">
                    <w:rPr>
                      <w:rFonts w:ascii="Arial" w:hAnsi="Arial" w:cs="Arial"/>
                      <w:sz w:val="20"/>
                      <w:szCs w:val="20"/>
                    </w:rPr>
                    <w:t>9A.15</w:t>
                  </w:r>
                  <w:proofErr w:type="spellEnd"/>
                </w:p>
              </w:tc>
            </w:tr>
            <w:tr w:rsidR="001D458F" w:rsidRPr="001D458F" w:rsidTr="001D458F">
              <w:trPr>
                <w:divId w:val="1902709361"/>
                <w:trHeight w:val="330"/>
              </w:trPr>
              <w:tc>
                <w:tcPr>
                  <w:tcW w:w="5000" w:type="pct"/>
                  <w:gridSpan w:val="20"/>
                  <w:tcBorders>
                    <w:top w:val="nil"/>
                    <w:left w:val="nil"/>
                    <w:bottom w:val="nil"/>
                    <w:right w:val="nil"/>
                  </w:tcBorders>
                  <w:shd w:val="clear" w:color="auto" w:fill="auto"/>
                  <w:vAlign w:val="center"/>
                  <w:hideMark/>
                </w:tcPr>
                <w:p w:rsidR="001D458F" w:rsidRPr="001D458F" w:rsidRDefault="001D458F" w:rsidP="001D458F">
                  <w:pPr>
                    <w:ind w:firstLineChars="100" w:firstLine="200"/>
                    <w:rPr>
                      <w:rFonts w:ascii="Arial" w:hAnsi="Arial" w:cs="Arial"/>
                      <w:i/>
                      <w:iCs/>
                      <w:sz w:val="20"/>
                      <w:szCs w:val="20"/>
                    </w:rPr>
                  </w:pPr>
                  <w:r w:rsidRPr="001D458F">
                    <w:rPr>
                      <w:rFonts w:ascii="Arial" w:hAnsi="Arial" w:cs="Arial"/>
                      <w:i/>
                      <w:iCs/>
                      <w:sz w:val="20"/>
                      <w:szCs w:val="20"/>
                    </w:rPr>
                    <w:t>Estimated percentage of households with a smoke alarm/detector, 2012</w:t>
                  </w:r>
                  <w:r w:rsidR="001525FA">
                    <w:rPr>
                      <w:rFonts w:ascii="Arial" w:hAnsi="Arial" w:cs="Arial"/>
                      <w:i/>
                      <w:iCs/>
                      <w:sz w:val="20"/>
                      <w:szCs w:val="20"/>
                    </w:rPr>
                    <w:noBreakHyphen/>
                  </w:r>
                  <w:r w:rsidRPr="001D458F">
                    <w:rPr>
                      <w:rFonts w:ascii="Arial" w:hAnsi="Arial" w:cs="Arial"/>
                      <w:i/>
                      <w:iCs/>
                      <w:sz w:val="20"/>
                      <w:szCs w:val="20"/>
                    </w:rPr>
                    <w:t>13</w:t>
                  </w:r>
                  <w:r w:rsidR="001525FA">
                    <w:rPr>
                      <w:rFonts w:ascii="Arial" w:hAnsi="Arial" w:cs="Arial"/>
                      <w:sz w:val="16"/>
                      <w:szCs w:val="16"/>
                    </w:rPr>
                    <w:t xml:space="preserve"> </w:t>
                  </w:r>
                </w:p>
              </w:tc>
            </w:tr>
            <w:tr w:rsidR="001D458F" w:rsidRPr="001D458F" w:rsidTr="001D458F">
              <w:trPr>
                <w:divId w:val="1902709361"/>
                <w:trHeight w:val="199"/>
              </w:trPr>
              <w:tc>
                <w:tcPr>
                  <w:tcW w:w="5000" w:type="pct"/>
                  <w:gridSpan w:val="20"/>
                  <w:tcBorders>
                    <w:top w:val="nil"/>
                    <w:left w:val="nil"/>
                    <w:bottom w:val="nil"/>
                    <w:right w:val="nil"/>
                  </w:tcBorders>
                  <w:shd w:val="clear" w:color="auto" w:fill="auto"/>
                  <w:vAlign w:val="center"/>
                  <w:hideMark/>
                </w:tcPr>
                <w:p w:rsidR="001D458F" w:rsidRPr="001D458F" w:rsidRDefault="001D458F" w:rsidP="001D458F">
                  <w:pPr>
                    <w:ind w:firstLineChars="100" w:firstLine="160"/>
                    <w:rPr>
                      <w:rFonts w:ascii="Arial" w:hAnsi="Arial" w:cs="Arial"/>
                      <w:sz w:val="16"/>
                      <w:szCs w:val="16"/>
                    </w:rPr>
                  </w:pPr>
                  <w:r w:rsidRPr="001D458F">
                    <w:rPr>
                      <w:rFonts w:ascii="Arial" w:hAnsi="Arial" w:cs="Arial"/>
                      <w:sz w:val="16"/>
                      <w:szCs w:val="16"/>
                    </w:rPr>
                    <w:t>Most recent data for this measure are incomplete and are not comparable (chapter 9)</w:t>
                  </w:r>
                </w:p>
              </w:tc>
            </w:tr>
            <w:tr w:rsidR="001D458F" w:rsidRPr="001D458F" w:rsidTr="001D458F">
              <w:trPr>
                <w:divId w:val="1902709361"/>
                <w:trHeight w:val="330"/>
              </w:trPr>
              <w:tc>
                <w:tcPr>
                  <w:tcW w:w="564" w:type="pct"/>
                  <w:gridSpan w:val="2"/>
                  <w:tcBorders>
                    <w:top w:val="nil"/>
                    <w:left w:val="nil"/>
                    <w:bottom w:val="nil"/>
                    <w:right w:val="nil"/>
                  </w:tcBorders>
                  <w:shd w:val="clear" w:color="auto" w:fill="auto"/>
                  <w:vAlign w:val="center"/>
                  <w:hideMark/>
                </w:tcPr>
                <w:p w:rsidR="001D458F" w:rsidRPr="001D458F" w:rsidRDefault="001D458F" w:rsidP="001D458F">
                  <w:pPr>
                    <w:ind w:firstLineChars="200" w:firstLine="400"/>
                    <w:rPr>
                      <w:rFonts w:ascii="Arial" w:hAnsi="Arial" w:cs="Arial"/>
                      <w:sz w:val="20"/>
                      <w:szCs w:val="20"/>
                    </w:rPr>
                  </w:pPr>
                  <w:r w:rsidRPr="001D458F">
                    <w:rPr>
                      <w:rFonts w:ascii="Arial" w:hAnsi="Arial" w:cs="Arial"/>
                      <w:sz w:val="20"/>
                      <w:szCs w:val="20"/>
                    </w:rPr>
                    <w:t>%</w:t>
                  </w:r>
                </w:p>
              </w:tc>
              <w:tc>
                <w:tcPr>
                  <w:tcW w:w="485"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92.8</w:t>
                  </w:r>
                </w:p>
              </w:tc>
              <w:tc>
                <w:tcPr>
                  <w:tcW w:w="485"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97.2</w:t>
                  </w:r>
                </w:p>
              </w:tc>
              <w:tc>
                <w:tcPr>
                  <w:tcW w:w="404"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95.5</w:t>
                  </w:r>
                </w:p>
              </w:tc>
              <w:tc>
                <w:tcPr>
                  <w:tcW w:w="404"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91.0</w:t>
                  </w:r>
                </w:p>
              </w:tc>
              <w:tc>
                <w:tcPr>
                  <w:tcW w:w="484"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na</w:t>
                  </w:r>
                </w:p>
              </w:tc>
              <w:tc>
                <w:tcPr>
                  <w:tcW w:w="483"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na</w:t>
                  </w:r>
                </w:p>
              </w:tc>
              <w:tc>
                <w:tcPr>
                  <w:tcW w:w="404"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na</w:t>
                  </w:r>
                </w:p>
              </w:tc>
              <w:tc>
                <w:tcPr>
                  <w:tcW w:w="402"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na</w:t>
                  </w:r>
                </w:p>
              </w:tc>
              <w:tc>
                <w:tcPr>
                  <w:tcW w:w="403" w:type="pct"/>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na</w:t>
                  </w:r>
                </w:p>
              </w:tc>
              <w:tc>
                <w:tcPr>
                  <w:tcW w:w="483" w:type="pct"/>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roofErr w:type="spellStart"/>
                  <w:r w:rsidRPr="001D458F">
                    <w:rPr>
                      <w:rFonts w:ascii="Arial" w:hAnsi="Arial" w:cs="Arial"/>
                      <w:sz w:val="20"/>
                      <w:szCs w:val="20"/>
                    </w:rPr>
                    <w:t>9A.25</w:t>
                  </w:r>
                  <w:proofErr w:type="spellEnd"/>
                </w:p>
              </w:tc>
            </w:tr>
            <w:tr w:rsidR="001D458F" w:rsidRPr="001D458F" w:rsidTr="001D458F">
              <w:trPr>
                <w:divId w:val="1902709361"/>
                <w:trHeight w:hRule="exact" w:val="28"/>
              </w:trPr>
              <w:tc>
                <w:tcPr>
                  <w:tcW w:w="318" w:type="pct"/>
                  <w:tcBorders>
                    <w:top w:val="nil"/>
                    <w:left w:val="nil"/>
                    <w:bottom w:val="nil"/>
                    <w:right w:val="nil"/>
                  </w:tcBorders>
                  <w:shd w:val="clear" w:color="auto" w:fill="auto"/>
                  <w:vAlign w:val="center"/>
                  <w:hideMark/>
                </w:tcPr>
                <w:p w:rsidR="001D458F" w:rsidRPr="001D458F" w:rsidRDefault="001D458F" w:rsidP="001D458F">
                  <w:pPr>
                    <w:ind w:firstLineChars="200" w:firstLine="400"/>
                    <w:rPr>
                      <w:rFonts w:ascii="Arial" w:hAnsi="Arial" w:cs="Arial"/>
                      <w:sz w:val="20"/>
                      <w:szCs w:val="20"/>
                    </w:rPr>
                  </w:pPr>
                </w:p>
              </w:tc>
              <w:tc>
                <w:tcPr>
                  <w:tcW w:w="246" w:type="pct"/>
                  <w:tcBorders>
                    <w:top w:val="nil"/>
                    <w:left w:val="nil"/>
                    <w:bottom w:val="nil"/>
                    <w:right w:val="nil"/>
                  </w:tcBorders>
                  <w:shd w:val="clear" w:color="auto" w:fill="auto"/>
                  <w:vAlign w:val="center"/>
                  <w:hideMark/>
                </w:tcPr>
                <w:p w:rsidR="001D458F" w:rsidRPr="001D458F" w:rsidRDefault="001D458F" w:rsidP="001D458F">
                  <w:pPr>
                    <w:ind w:firstLineChars="200" w:firstLine="400"/>
                    <w:rPr>
                      <w:rFonts w:ascii="Arial" w:hAnsi="Arial" w:cs="Arial"/>
                      <w:sz w:val="20"/>
                      <w:szCs w:val="20"/>
                    </w:rPr>
                  </w:pPr>
                </w:p>
              </w:tc>
              <w:tc>
                <w:tcPr>
                  <w:tcW w:w="485"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85"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04"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04"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84"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83"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04"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02"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03" w:type="pct"/>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83" w:type="pct"/>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r>
            <w:tr w:rsidR="001D458F" w:rsidRPr="001D458F" w:rsidTr="001D458F">
              <w:trPr>
                <w:divId w:val="1902709361"/>
                <w:trHeight w:val="330"/>
              </w:trPr>
              <w:tc>
                <w:tcPr>
                  <w:tcW w:w="5000" w:type="pct"/>
                  <w:gridSpan w:val="20"/>
                  <w:tcBorders>
                    <w:top w:val="nil"/>
                    <w:left w:val="nil"/>
                    <w:bottom w:val="nil"/>
                    <w:right w:val="nil"/>
                  </w:tcBorders>
                  <w:shd w:val="clear" w:color="auto" w:fill="auto"/>
                  <w:vAlign w:val="center"/>
                  <w:hideMark/>
                </w:tcPr>
                <w:p w:rsidR="001D458F" w:rsidRPr="001D458F" w:rsidRDefault="001D458F" w:rsidP="001D458F">
                  <w:pPr>
                    <w:rPr>
                      <w:rFonts w:ascii="Arial" w:hAnsi="Arial" w:cs="Arial"/>
                      <w:b/>
                      <w:bCs/>
                      <w:sz w:val="20"/>
                      <w:szCs w:val="20"/>
                    </w:rPr>
                  </w:pPr>
                  <w:r w:rsidRPr="001D458F">
                    <w:rPr>
                      <w:rFonts w:ascii="Arial" w:hAnsi="Arial" w:cs="Arial"/>
                      <w:b/>
                      <w:bCs/>
                      <w:sz w:val="20"/>
                      <w:szCs w:val="20"/>
                    </w:rPr>
                    <w:t>Equity and effectiveness — preparedness</w:t>
                  </w:r>
                </w:p>
              </w:tc>
            </w:tr>
            <w:tr w:rsidR="001D458F" w:rsidRPr="001D458F" w:rsidTr="001D458F">
              <w:trPr>
                <w:divId w:val="1902709361"/>
                <w:trHeight w:val="330"/>
              </w:trPr>
              <w:tc>
                <w:tcPr>
                  <w:tcW w:w="5000" w:type="pct"/>
                  <w:gridSpan w:val="20"/>
                  <w:tcBorders>
                    <w:top w:val="nil"/>
                    <w:left w:val="nil"/>
                    <w:bottom w:val="nil"/>
                    <w:right w:val="nil"/>
                  </w:tcBorders>
                  <w:shd w:val="clear" w:color="auto" w:fill="auto"/>
                  <w:vAlign w:val="center"/>
                  <w:hideMark/>
                </w:tcPr>
                <w:p w:rsidR="001D458F" w:rsidRPr="001D458F" w:rsidRDefault="001D458F" w:rsidP="001D458F">
                  <w:pPr>
                    <w:ind w:firstLineChars="100" w:firstLine="200"/>
                    <w:rPr>
                      <w:rFonts w:ascii="Arial" w:hAnsi="Arial" w:cs="Arial"/>
                      <w:i/>
                      <w:iCs/>
                      <w:sz w:val="20"/>
                      <w:szCs w:val="20"/>
                    </w:rPr>
                  </w:pPr>
                  <w:r w:rsidRPr="001D458F">
                    <w:rPr>
                      <w:rFonts w:ascii="Arial" w:hAnsi="Arial" w:cs="Arial"/>
                      <w:i/>
                      <w:iCs/>
                      <w:sz w:val="20"/>
                      <w:szCs w:val="20"/>
                    </w:rPr>
                    <w:t>Level of safe fire practices in the community, October 2007</w:t>
                  </w:r>
                  <w:r w:rsidRPr="001D458F">
                    <w:rPr>
                      <w:rFonts w:ascii="Arial" w:hAnsi="Arial" w:cs="Arial"/>
                      <w:sz w:val="16"/>
                      <w:szCs w:val="16"/>
                    </w:rPr>
                    <w:t xml:space="preserve"> </w:t>
                  </w:r>
                </w:p>
              </w:tc>
            </w:tr>
            <w:tr w:rsidR="001D458F" w:rsidRPr="001D458F" w:rsidTr="001D458F">
              <w:trPr>
                <w:divId w:val="1902709361"/>
                <w:trHeight w:val="199"/>
              </w:trPr>
              <w:tc>
                <w:tcPr>
                  <w:tcW w:w="5000" w:type="pct"/>
                  <w:gridSpan w:val="20"/>
                  <w:tcBorders>
                    <w:top w:val="nil"/>
                    <w:left w:val="nil"/>
                    <w:bottom w:val="nil"/>
                    <w:right w:val="nil"/>
                  </w:tcBorders>
                  <w:shd w:val="clear" w:color="auto" w:fill="auto"/>
                  <w:vAlign w:val="center"/>
                  <w:hideMark/>
                </w:tcPr>
                <w:p w:rsidR="001D458F" w:rsidRPr="001D458F" w:rsidRDefault="001D458F" w:rsidP="001D458F">
                  <w:pPr>
                    <w:ind w:firstLineChars="100" w:firstLine="160"/>
                    <w:rPr>
                      <w:rFonts w:ascii="Arial" w:hAnsi="Arial" w:cs="Arial"/>
                      <w:sz w:val="16"/>
                      <w:szCs w:val="16"/>
                    </w:rPr>
                  </w:pPr>
                  <w:r w:rsidRPr="001D458F">
                    <w:rPr>
                      <w:rFonts w:ascii="Arial" w:hAnsi="Arial" w:cs="Arial"/>
                      <w:sz w:val="16"/>
                      <w:szCs w:val="16"/>
                    </w:rPr>
                    <w:t>Most recent data for this measure are incomplete and are not comparable (chapter 9)</w:t>
                  </w:r>
                </w:p>
              </w:tc>
            </w:tr>
            <w:tr w:rsidR="001D458F" w:rsidRPr="001D458F" w:rsidTr="001D458F">
              <w:trPr>
                <w:divId w:val="1902709361"/>
                <w:trHeight w:val="255"/>
              </w:trPr>
              <w:tc>
                <w:tcPr>
                  <w:tcW w:w="5000" w:type="pct"/>
                  <w:gridSpan w:val="20"/>
                  <w:tcBorders>
                    <w:top w:val="nil"/>
                    <w:left w:val="nil"/>
                    <w:bottom w:val="nil"/>
                    <w:right w:val="nil"/>
                  </w:tcBorders>
                  <w:shd w:val="clear" w:color="auto" w:fill="auto"/>
                  <w:vAlign w:val="center"/>
                  <w:hideMark/>
                </w:tcPr>
                <w:p w:rsidR="001D458F" w:rsidRPr="001D458F" w:rsidRDefault="001D458F" w:rsidP="001D458F">
                  <w:pPr>
                    <w:ind w:firstLineChars="200" w:firstLine="400"/>
                    <w:rPr>
                      <w:rFonts w:ascii="Arial" w:hAnsi="Arial" w:cs="Arial"/>
                      <w:sz w:val="20"/>
                      <w:szCs w:val="20"/>
                    </w:rPr>
                  </w:pPr>
                  <w:r w:rsidRPr="001D458F">
                    <w:rPr>
                      <w:rFonts w:ascii="Arial" w:hAnsi="Arial" w:cs="Arial"/>
                      <w:sz w:val="20"/>
                      <w:szCs w:val="20"/>
                    </w:rPr>
                    <w:t>Presence of selected safety precautions — Written or rehearsed emergency plan</w:t>
                  </w:r>
                </w:p>
              </w:tc>
            </w:tr>
            <w:tr w:rsidR="001D458F" w:rsidRPr="001D458F" w:rsidTr="001D458F">
              <w:trPr>
                <w:divId w:val="1902709361"/>
                <w:trHeight w:val="330"/>
              </w:trPr>
              <w:tc>
                <w:tcPr>
                  <w:tcW w:w="564" w:type="pct"/>
                  <w:gridSpan w:val="2"/>
                  <w:tcBorders>
                    <w:top w:val="nil"/>
                    <w:left w:val="nil"/>
                    <w:bottom w:val="nil"/>
                    <w:right w:val="nil"/>
                  </w:tcBorders>
                  <w:shd w:val="clear" w:color="auto" w:fill="auto"/>
                  <w:vAlign w:val="center"/>
                  <w:hideMark/>
                </w:tcPr>
                <w:p w:rsidR="001D458F" w:rsidRPr="001D458F" w:rsidRDefault="001D458F" w:rsidP="001D458F">
                  <w:pPr>
                    <w:ind w:firstLineChars="200" w:firstLine="400"/>
                    <w:rPr>
                      <w:rFonts w:ascii="Arial" w:hAnsi="Arial" w:cs="Arial"/>
                      <w:sz w:val="20"/>
                      <w:szCs w:val="20"/>
                    </w:rPr>
                  </w:pPr>
                  <w:r w:rsidRPr="001D458F">
                    <w:rPr>
                      <w:rFonts w:ascii="Arial" w:hAnsi="Arial" w:cs="Arial"/>
                      <w:sz w:val="20"/>
                      <w:szCs w:val="20"/>
                    </w:rPr>
                    <w:t>%</w:t>
                  </w:r>
                </w:p>
              </w:tc>
              <w:tc>
                <w:tcPr>
                  <w:tcW w:w="485"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13.3</w:t>
                  </w:r>
                </w:p>
              </w:tc>
              <w:tc>
                <w:tcPr>
                  <w:tcW w:w="485"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15.1</w:t>
                  </w:r>
                </w:p>
              </w:tc>
              <w:tc>
                <w:tcPr>
                  <w:tcW w:w="404"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19.7</w:t>
                  </w:r>
                </w:p>
              </w:tc>
              <w:tc>
                <w:tcPr>
                  <w:tcW w:w="404"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na</w:t>
                  </w:r>
                </w:p>
              </w:tc>
              <w:tc>
                <w:tcPr>
                  <w:tcW w:w="484"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na</w:t>
                  </w:r>
                </w:p>
              </w:tc>
              <w:tc>
                <w:tcPr>
                  <w:tcW w:w="483"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na</w:t>
                  </w:r>
                </w:p>
              </w:tc>
              <w:tc>
                <w:tcPr>
                  <w:tcW w:w="404"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14.7</w:t>
                  </w:r>
                </w:p>
              </w:tc>
              <w:tc>
                <w:tcPr>
                  <w:tcW w:w="402"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na</w:t>
                  </w:r>
                </w:p>
              </w:tc>
              <w:tc>
                <w:tcPr>
                  <w:tcW w:w="403" w:type="pct"/>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na</w:t>
                  </w:r>
                </w:p>
              </w:tc>
              <w:tc>
                <w:tcPr>
                  <w:tcW w:w="483" w:type="pct"/>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roofErr w:type="spellStart"/>
                  <w:r w:rsidRPr="001D458F">
                    <w:rPr>
                      <w:rFonts w:ascii="Arial" w:hAnsi="Arial" w:cs="Arial"/>
                      <w:sz w:val="20"/>
                      <w:szCs w:val="20"/>
                    </w:rPr>
                    <w:t>9A.24</w:t>
                  </w:r>
                  <w:proofErr w:type="spellEnd"/>
                </w:p>
              </w:tc>
            </w:tr>
            <w:tr w:rsidR="001D458F" w:rsidRPr="001D458F" w:rsidTr="001D458F">
              <w:trPr>
                <w:divId w:val="1902709361"/>
                <w:trHeight w:hRule="exact" w:val="22"/>
              </w:trPr>
              <w:tc>
                <w:tcPr>
                  <w:tcW w:w="318" w:type="pct"/>
                  <w:tcBorders>
                    <w:top w:val="nil"/>
                    <w:left w:val="nil"/>
                    <w:bottom w:val="nil"/>
                    <w:right w:val="nil"/>
                  </w:tcBorders>
                  <w:shd w:val="clear" w:color="auto" w:fill="auto"/>
                  <w:vAlign w:val="center"/>
                  <w:hideMark/>
                </w:tcPr>
                <w:p w:rsidR="001D458F" w:rsidRPr="001D458F" w:rsidRDefault="001D458F" w:rsidP="001D458F">
                  <w:pPr>
                    <w:ind w:firstLineChars="200" w:firstLine="400"/>
                    <w:rPr>
                      <w:rFonts w:ascii="Arial" w:hAnsi="Arial" w:cs="Arial"/>
                      <w:sz w:val="20"/>
                      <w:szCs w:val="20"/>
                    </w:rPr>
                  </w:pPr>
                </w:p>
              </w:tc>
              <w:tc>
                <w:tcPr>
                  <w:tcW w:w="246" w:type="pct"/>
                  <w:tcBorders>
                    <w:top w:val="nil"/>
                    <w:left w:val="nil"/>
                    <w:bottom w:val="nil"/>
                    <w:right w:val="nil"/>
                  </w:tcBorders>
                  <w:shd w:val="clear" w:color="auto" w:fill="auto"/>
                  <w:vAlign w:val="center"/>
                  <w:hideMark/>
                </w:tcPr>
                <w:p w:rsidR="001D458F" w:rsidRPr="001D458F" w:rsidRDefault="001D458F" w:rsidP="001D458F">
                  <w:pPr>
                    <w:ind w:firstLineChars="200" w:firstLine="400"/>
                    <w:rPr>
                      <w:rFonts w:ascii="Arial" w:hAnsi="Arial" w:cs="Arial"/>
                      <w:sz w:val="20"/>
                      <w:szCs w:val="20"/>
                    </w:rPr>
                  </w:pPr>
                </w:p>
              </w:tc>
              <w:tc>
                <w:tcPr>
                  <w:tcW w:w="485"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85"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04"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04"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84"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83"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04"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02"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03" w:type="pct"/>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83" w:type="pct"/>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r>
            <w:tr w:rsidR="001D458F" w:rsidRPr="001D458F" w:rsidTr="001D458F">
              <w:trPr>
                <w:divId w:val="1902709361"/>
                <w:trHeight w:val="330"/>
              </w:trPr>
              <w:tc>
                <w:tcPr>
                  <w:tcW w:w="5000" w:type="pct"/>
                  <w:gridSpan w:val="20"/>
                  <w:tcBorders>
                    <w:top w:val="nil"/>
                    <w:left w:val="nil"/>
                    <w:bottom w:val="nil"/>
                    <w:right w:val="nil"/>
                  </w:tcBorders>
                  <w:shd w:val="clear" w:color="auto" w:fill="auto"/>
                  <w:vAlign w:val="center"/>
                  <w:hideMark/>
                </w:tcPr>
                <w:p w:rsidR="001D458F" w:rsidRPr="001D458F" w:rsidRDefault="001D458F" w:rsidP="001D458F">
                  <w:pPr>
                    <w:rPr>
                      <w:rFonts w:ascii="Arial" w:hAnsi="Arial" w:cs="Arial"/>
                      <w:b/>
                      <w:bCs/>
                      <w:sz w:val="20"/>
                      <w:szCs w:val="20"/>
                    </w:rPr>
                  </w:pPr>
                  <w:r w:rsidRPr="001D458F">
                    <w:rPr>
                      <w:rFonts w:ascii="Arial" w:hAnsi="Arial" w:cs="Arial"/>
                      <w:b/>
                      <w:bCs/>
                      <w:sz w:val="20"/>
                      <w:szCs w:val="20"/>
                    </w:rPr>
                    <w:t>Equity and effectiveness — response</w:t>
                  </w:r>
                </w:p>
              </w:tc>
            </w:tr>
            <w:tr w:rsidR="001D458F" w:rsidRPr="001D458F" w:rsidTr="001D458F">
              <w:trPr>
                <w:divId w:val="1902709361"/>
                <w:trHeight w:val="330"/>
              </w:trPr>
              <w:tc>
                <w:tcPr>
                  <w:tcW w:w="5000" w:type="pct"/>
                  <w:gridSpan w:val="20"/>
                  <w:tcBorders>
                    <w:top w:val="nil"/>
                    <w:left w:val="nil"/>
                    <w:bottom w:val="nil"/>
                    <w:right w:val="nil"/>
                  </w:tcBorders>
                  <w:shd w:val="clear" w:color="auto" w:fill="auto"/>
                  <w:vAlign w:val="center"/>
                  <w:hideMark/>
                </w:tcPr>
                <w:p w:rsidR="001D458F" w:rsidRPr="001D458F" w:rsidRDefault="001D458F" w:rsidP="001D458F">
                  <w:pPr>
                    <w:ind w:firstLineChars="100" w:firstLine="200"/>
                    <w:rPr>
                      <w:rFonts w:ascii="Arial" w:hAnsi="Arial" w:cs="Arial"/>
                      <w:i/>
                      <w:iCs/>
                      <w:sz w:val="20"/>
                      <w:szCs w:val="20"/>
                    </w:rPr>
                  </w:pPr>
                  <w:r w:rsidRPr="001D458F">
                    <w:rPr>
                      <w:rFonts w:ascii="Arial" w:hAnsi="Arial" w:cs="Arial"/>
                      <w:i/>
                      <w:iCs/>
                      <w:sz w:val="20"/>
                      <w:szCs w:val="20"/>
                    </w:rPr>
                    <w:t>State-wide response times to structure fires, 2012</w:t>
                  </w:r>
                  <w:r w:rsidR="001525FA">
                    <w:rPr>
                      <w:rFonts w:ascii="Arial" w:hAnsi="Arial" w:cs="Arial"/>
                      <w:i/>
                      <w:iCs/>
                      <w:sz w:val="20"/>
                      <w:szCs w:val="20"/>
                    </w:rPr>
                    <w:noBreakHyphen/>
                  </w:r>
                  <w:r w:rsidRPr="001D458F">
                    <w:rPr>
                      <w:rFonts w:ascii="Arial" w:hAnsi="Arial" w:cs="Arial"/>
                      <w:i/>
                      <w:iCs/>
                      <w:sz w:val="20"/>
                      <w:szCs w:val="20"/>
                    </w:rPr>
                    <w:t>13</w:t>
                  </w:r>
                  <w:r w:rsidRPr="001D458F">
                    <w:rPr>
                      <w:rFonts w:ascii="Arial" w:hAnsi="Arial" w:cs="Arial"/>
                      <w:sz w:val="16"/>
                      <w:szCs w:val="16"/>
                    </w:rPr>
                    <w:t xml:space="preserve"> </w:t>
                  </w:r>
                </w:p>
              </w:tc>
            </w:tr>
            <w:tr w:rsidR="001D458F" w:rsidRPr="001D458F" w:rsidTr="001D458F">
              <w:trPr>
                <w:divId w:val="1902709361"/>
                <w:trHeight w:val="199"/>
              </w:trPr>
              <w:tc>
                <w:tcPr>
                  <w:tcW w:w="5000" w:type="pct"/>
                  <w:gridSpan w:val="20"/>
                  <w:tcBorders>
                    <w:top w:val="nil"/>
                    <w:left w:val="nil"/>
                    <w:bottom w:val="nil"/>
                    <w:right w:val="nil"/>
                  </w:tcBorders>
                  <w:shd w:val="clear" w:color="auto" w:fill="auto"/>
                  <w:vAlign w:val="center"/>
                  <w:hideMark/>
                </w:tcPr>
                <w:p w:rsidR="001D458F" w:rsidRPr="001D458F" w:rsidRDefault="001D458F" w:rsidP="001D458F">
                  <w:pPr>
                    <w:ind w:firstLineChars="100" w:firstLine="160"/>
                    <w:rPr>
                      <w:rFonts w:ascii="Arial" w:hAnsi="Arial" w:cs="Arial"/>
                      <w:sz w:val="16"/>
                      <w:szCs w:val="16"/>
                    </w:rPr>
                  </w:pPr>
                  <w:r w:rsidRPr="001D458F">
                    <w:rPr>
                      <w:rFonts w:ascii="Arial" w:hAnsi="Arial" w:cs="Arial"/>
                      <w:sz w:val="16"/>
                      <w:szCs w:val="16"/>
                    </w:rPr>
                    <w:t>Most recent data for this measure are incomplete and are not comparable (chapter 9)</w:t>
                  </w:r>
                </w:p>
              </w:tc>
            </w:tr>
            <w:tr w:rsidR="001D458F" w:rsidRPr="001D458F" w:rsidTr="001D458F">
              <w:trPr>
                <w:divId w:val="1902709361"/>
                <w:trHeight w:val="255"/>
              </w:trPr>
              <w:tc>
                <w:tcPr>
                  <w:tcW w:w="5000" w:type="pct"/>
                  <w:gridSpan w:val="20"/>
                  <w:tcBorders>
                    <w:top w:val="nil"/>
                    <w:left w:val="nil"/>
                    <w:bottom w:val="nil"/>
                    <w:right w:val="nil"/>
                  </w:tcBorders>
                  <w:shd w:val="clear" w:color="auto" w:fill="auto"/>
                  <w:vAlign w:val="center"/>
                  <w:hideMark/>
                </w:tcPr>
                <w:p w:rsidR="001D458F" w:rsidRPr="001D458F" w:rsidRDefault="001D458F" w:rsidP="001D458F">
                  <w:pPr>
                    <w:ind w:firstLineChars="200" w:firstLine="400"/>
                    <w:rPr>
                      <w:rFonts w:ascii="Arial" w:hAnsi="Arial" w:cs="Arial"/>
                      <w:sz w:val="20"/>
                      <w:szCs w:val="20"/>
                    </w:rPr>
                  </w:pPr>
                  <w:r w:rsidRPr="001D458F">
                    <w:rPr>
                      <w:rFonts w:ascii="Arial" w:hAnsi="Arial" w:cs="Arial"/>
                      <w:sz w:val="20"/>
                      <w:szCs w:val="20"/>
                    </w:rPr>
                    <w:t>Including call processing time, 90th percentile</w:t>
                  </w:r>
                  <w:r w:rsidR="001525FA">
                    <w:rPr>
                      <w:rFonts w:ascii="Arial" w:hAnsi="Arial" w:cs="Arial"/>
                      <w:sz w:val="20"/>
                      <w:szCs w:val="20"/>
                    </w:rPr>
                    <w:t xml:space="preserve"> </w:t>
                  </w:r>
                </w:p>
              </w:tc>
            </w:tr>
            <w:tr w:rsidR="001D458F" w:rsidRPr="001D458F" w:rsidTr="001D458F">
              <w:trPr>
                <w:divId w:val="1902709361"/>
                <w:trHeight w:val="330"/>
              </w:trPr>
              <w:tc>
                <w:tcPr>
                  <w:tcW w:w="564" w:type="pct"/>
                  <w:gridSpan w:val="2"/>
                  <w:tcBorders>
                    <w:top w:val="nil"/>
                    <w:left w:val="nil"/>
                    <w:bottom w:val="nil"/>
                    <w:right w:val="nil"/>
                  </w:tcBorders>
                  <w:shd w:val="clear" w:color="auto" w:fill="auto"/>
                  <w:vAlign w:val="center"/>
                  <w:hideMark/>
                </w:tcPr>
                <w:p w:rsidR="001D458F" w:rsidRPr="001D458F" w:rsidRDefault="001D458F" w:rsidP="001D458F">
                  <w:pPr>
                    <w:ind w:firstLineChars="200" w:firstLine="400"/>
                    <w:rPr>
                      <w:rFonts w:ascii="Arial" w:hAnsi="Arial" w:cs="Arial"/>
                      <w:sz w:val="20"/>
                      <w:szCs w:val="20"/>
                    </w:rPr>
                  </w:pPr>
                  <w:r w:rsidRPr="001D458F">
                    <w:rPr>
                      <w:rFonts w:ascii="Arial" w:hAnsi="Arial" w:cs="Arial"/>
                      <w:sz w:val="20"/>
                      <w:szCs w:val="20"/>
                    </w:rPr>
                    <w:t>min.</w:t>
                  </w:r>
                </w:p>
              </w:tc>
              <w:tc>
                <w:tcPr>
                  <w:tcW w:w="485"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15.0</w:t>
                  </w:r>
                </w:p>
              </w:tc>
              <w:tc>
                <w:tcPr>
                  <w:tcW w:w="485"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10.6</w:t>
                  </w:r>
                </w:p>
              </w:tc>
              <w:tc>
                <w:tcPr>
                  <w:tcW w:w="404"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11.9</w:t>
                  </w:r>
                </w:p>
              </w:tc>
              <w:tc>
                <w:tcPr>
                  <w:tcW w:w="404"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15.6</w:t>
                  </w:r>
                </w:p>
              </w:tc>
              <w:tc>
                <w:tcPr>
                  <w:tcW w:w="484"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na</w:t>
                  </w:r>
                </w:p>
              </w:tc>
              <w:tc>
                <w:tcPr>
                  <w:tcW w:w="483"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18.4</w:t>
                  </w:r>
                </w:p>
              </w:tc>
              <w:tc>
                <w:tcPr>
                  <w:tcW w:w="404"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10.5</w:t>
                  </w:r>
                </w:p>
              </w:tc>
              <w:tc>
                <w:tcPr>
                  <w:tcW w:w="402"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18.4</w:t>
                  </w:r>
                </w:p>
              </w:tc>
              <w:tc>
                <w:tcPr>
                  <w:tcW w:w="403" w:type="pct"/>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na</w:t>
                  </w:r>
                </w:p>
              </w:tc>
              <w:tc>
                <w:tcPr>
                  <w:tcW w:w="483" w:type="pct"/>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roofErr w:type="spellStart"/>
                  <w:r w:rsidRPr="001D458F">
                    <w:rPr>
                      <w:rFonts w:ascii="Arial" w:hAnsi="Arial" w:cs="Arial"/>
                      <w:sz w:val="20"/>
                      <w:szCs w:val="20"/>
                    </w:rPr>
                    <w:t>9A.27</w:t>
                  </w:r>
                  <w:proofErr w:type="spellEnd"/>
                </w:p>
              </w:tc>
            </w:tr>
            <w:tr w:rsidR="001D458F" w:rsidRPr="001D458F" w:rsidTr="001D458F">
              <w:trPr>
                <w:divId w:val="1902709361"/>
                <w:trHeight w:val="255"/>
              </w:trPr>
              <w:tc>
                <w:tcPr>
                  <w:tcW w:w="5000" w:type="pct"/>
                  <w:gridSpan w:val="20"/>
                  <w:tcBorders>
                    <w:top w:val="nil"/>
                    <w:left w:val="nil"/>
                    <w:bottom w:val="nil"/>
                    <w:right w:val="nil"/>
                  </w:tcBorders>
                  <w:shd w:val="clear" w:color="auto" w:fill="auto"/>
                  <w:vAlign w:val="center"/>
                  <w:hideMark/>
                </w:tcPr>
                <w:p w:rsidR="001D458F" w:rsidRPr="001D458F" w:rsidRDefault="001D458F" w:rsidP="001D458F">
                  <w:pPr>
                    <w:ind w:firstLineChars="200" w:firstLine="400"/>
                    <w:rPr>
                      <w:rFonts w:ascii="Arial" w:hAnsi="Arial" w:cs="Arial"/>
                      <w:sz w:val="20"/>
                      <w:szCs w:val="20"/>
                    </w:rPr>
                  </w:pPr>
                  <w:r w:rsidRPr="001D458F">
                    <w:rPr>
                      <w:rFonts w:ascii="Arial" w:hAnsi="Arial" w:cs="Arial"/>
                      <w:sz w:val="20"/>
                      <w:szCs w:val="20"/>
                    </w:rPr>
                    <w:t>Excluding call processing time, 90th percentile</w:t>
                  </w:r>
                  <w:r w:rsidR="001525FA">
                    <w:rPr>
                      <w:rFonts w:ascii="Arial" w:hAnsi="Arial" w:cs="Arial"/>
                      <w:sz w:val="20"/>
                      <w:szCs w:val="20"/>
                    </w:rPr>
                    <w:t xml:space="preserve"> </w:t>
                  </w:r>
                </w:p>
              </w:tc>
            </w:tr>
            <w:tr w:rsidR="001D458F" w:rsidRPr="001D458F" w:rsidTr="001D458F">
              <w:trPr>
                <w:divId w:val="1902709361"/>
                <w:trHeight w:val="330"/>
              </w:trPr>
              <w:tc>
                <w:tcPr>
                  <w:tcW w:w="564" w:type="pct"/>
                  <w:gridSpan w:val="2"/>
                  <w:tcBorders>
                    <w:top w:val="nil"/>
                    <w:left w:val="nil"/>
                    <w:bottom w:val="nil"/>
                    <w:right w:val="nil"/>
                  </w:tcBorders>
                  <w:shd w:val="clear" w:color="auto" w:fill="auto"/>
                  <w:vAlign w:val="center"/>
                  <w:hideMark/>
                </w:tcPr>
                <w:p w:rsidR="001D458F" w:rsidRPr="001D458F" w:rsidRDefault="001D458F" w:rsidP="001D458F">
                  <w:pPr>
                    <w:ind w:firstLineChars="200" w:firstLine="400"/>
                    <w:rPr>
                      <w:rFonts w:ascii="Arial" w:hAnsi="Arial" w:cs="Arial"/>
                      <w:sz w:val="20"/>
                      <w:szCs w:val="20"/>
                    </w:rPr>
                  </w:pPr>
                  <w:r w:rsidRPr="001D458F">
                    <w:rPr>
                      <w:rFonts w:ascii="Arial" w:hAnsi="Arial" w:cs="Arial"/>
                      <w:sz w:val="20"/>
                      <w:szCs w:val="20"/>
                    </w:rPr>
                    <w:t>min.</w:t>
                  </w:r>
                </w:p>
              </w:tc>
              <w:tc>
                <w:tcPr>
                  <w:tcW w:w="485"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14.0</w:t>
                  </w:r>
                </w:p>
              </w:tc>
              <w:tc>
                <w:tcPr>
                  <w:tcW w:w="485"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9.2</w:t>
                  </w:r>
                </w:p>
              </w:tc>
              <w:tc>
                <w:tcPr>
                  <w:tcW w:w="404"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11.3</w:t>
                  </w:r>
                </w:p>
              </w:tc>
              <w:tc>
                <w:tcPr>
                  <w:tcW w:w="404"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14.2</w:t>
                  </w:r>
                </w:p>
              </w:tc>
              <w:tc>
                <w:tcPr>
                  <w:tcW w:w="484"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14.6</w:t>
                  </w:r>
                </w:p>
              </w:tc>
              <w:tc>
                <w:tcPr>
                  <w:tcW w:w="483"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16.8</w:t>
                  </w:r>
                </w:p>
              </w:tc>
              <w:tc>
                <w:tcPr>
                  <w:tcW w:w="404"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8.9</w:t>
                  </w:r>
                </w:p>
              </w:tc>
              <w:tc>
                <w:tcPr>
                  <w:tcW w:w="402"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13.5</w:t>
                  </w:r>
                </w:p>
              </w:tc>
              <w:tc>
                <w:tcPr>
                  <w:tcW w:w="403" w:type="pct"/>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na</w:t>
                  </w:r>
                </w:p>
              </w:tc>
              <w:tc>
                <w:tcPr>
                  <w:tcW w:w="483" w:type="pct"/>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roofErr w:type="spellStart"/>
                  <w:r w:rsidRPr="001D458F">
                    <w:rPr>
                      <w:rFonts w:ascii="Arial" w:hAnsi="Arial" w:cs="Arial"/>
                      <w:sz w:val="20"/>
                      <w:szCs w:val="20"/>
                    </w:rPr>
                    <w:t>9A.28</w:t>
                  </w:r>
                  <w:proofErr w:type="spellEnd"/>
                </w:p>
              </w:tc>
            </w:tr>
            <w:tr w:rsidR="001D458F" w:rsidRPr="001D458F" w:rsidTr="001D458F">
              <w:trPr>
                <w:divId w:val="1902709361"/>
                <w:trHeight w:hRule="exact" w:val="28"/>
              </w:trPr>
              <w:tc>
                <w:tcPr>
                  <w:tcW w:w="318" w:type="pct"/>
                  <w:tcBorders>
                    <w:top w:val="nil"/>
                    <w:left w:val="nil"/>
                    <w:bottom w:val="nil"/>
                    <w:right w:val="nil"/>
                  </w:tcBorders>
                  <w:shd w:val="clear" w:color="auto" w:fill="auto"/>
                  <w:vAlign w:val="center"/>
                  <w:hideMark/>
                </w:tcPr>
                <w:p w:rsidR="001D458F" w:rsidRPr="001D458F" w:rsidRDefault="001D458F" w:rsidP="001D458F">
                  <w:pPr>
                    <w:ind w:firstLineChars="200" w:firstLine="400"/>
                    <w:rPr>
                      <w:rFonts w:ascii="Arial" w:hAnsi="Arial" w:cs="Arial"/>
                      <w:sz w:val="20"/>
                      <w:szCs w:val="20"/>
                    </w:rPr>
                  </w:pPr>
                </w:p>
              </w:tc>
              <w:tc>
                <w:tcPr>
                  <w:tcW w:w="246" w:type="pct"/>
                  <w:tcBorders>
                    <w:top w:val="nil"/>
                    <w:left w:val="nil"/>
                    <w:bottom w:val="nil"/>
                    <w:right w:val="nil"/>
                  </w:tcBorders>
                  <w:shd w:val="clear" w:color="auto" w:fill="auto"/>
                  <w:vAlign w:val="center"/>
                  <w:hideMark/>
                </w:tcPr>
                <w:p w:rsidR="001D458F" w:rsidRPr="001D458F" w:rsidRDefault="001D458F" w:rsidP="001D458F">
                  <w:pPr>
                    <w:ind w:firstLineChars="200" w:firstLine="400"/>
                    <w:rPr>
                      <w:rFonts w:ascii="Arial" w:hAnsi="Arial" w:cs="Arial"/>
                      <w:sz w:val="20"/>
                      <w:szCs w:val="20"/>
                    </w:rPr>
                  </w:pPr>
                </w:p>
              </w:tc>
              <w:tc>
                <w:tcPr>
                  <w:tcW w:w="485"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85"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04"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04"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84"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83"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04"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02"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03" w:type="pct"/>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83" w:type="pct"/>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r>
            <w:tr w:rsidR="001D458F" w:rsidRPr="001D458F" w:rsidTr="001D458F">
              <w:trPr>
                <w:divId w:val="1902709361"/>
                <w:trHeight w:val="330"/>
              </w:trPr>
              <w:tc>
                <w:tcPr>
                  <w:tcW w:w="5000" w:type="pct"/>
                  <w:gridSpan w:val="20"/>
                  <w:tcBorders>
                    <w:top w:val="nil"/>
                    <w:left w:val="nil"/>
                    <w:bottom w:val="nil"/>
                    <w:right w:val="nil"/>
                  </w:tcBorders>
                  <w:shd w:val="clear" w:color="auto" w:fill="auto"/>
                  <w:vAlign w:val="center"/>
                  <w:hideMark/>
                </w:tcPr>
                <w:p w:rsidR="001D458F" w:rsidRPr="001D458F" w:rsidRDefault="001D458F" w:rsidP="001D458F">
                  <w:pPr>
                    <w:rPr>
                      <w:rFonts w:ascii="Arial" w:hAnsi="Arial" w:cs="Arial"/>
                      <w:b/>
                      <w:bCs/>
                      <w:sz w:val="20"/>
                      <w:szCs w:val="20"/>
                    </w:rPr>
                  </w:pPr>
                  <w:r w:rsidRPr="001D458F">
                    <w:rPr>
                      <w:rFonts w:ascii="Arial" w:hAnsi="Arial" w:cs="Arial"/>
                      <w:b/>
                      <w:bCs/>
                      <w:sz w:val="20"/>
                      <w:szCs w:val="20"/>
                    </w:rPr>
                    <w:t>Efficiency indicators</w:t>
                  </w:r>
                </w:p>
              </w:tc>
            </w:tr>
            <w:tr w:rsidR="001D458F" w:rsidRPr="001D458F" w:rsidTr="001D458F">
              <w:trPr>
                <w:divId w:val="1902709361"/>
                <w:trHeight w:val="330"/>
              </w:trPr>
              <w:tc>
                <w:tcPr>
                  <w:tcW w:w="5000" w:type="pct"/>
                  <w:gridSpan w:val="20"/>
                  <w:tcBorders>
                    <w:top w:val="nil"/>
                    <w:left w:val="nil"/>
                    <w:bottom w:val="nil"/>
                    <w:right w:val="nil"/>
                  </w:tcBorders>
                  <w:shd w:val="clear" w:color="auto" w:fill="auto"/>
                  <w:vAlign w:val="center"/>
                  <w:hideMark/>
                </w:tcPr>
                <w:p w:rsidR="001D458F" w:rsidRPr="001D458F" w:rsidRDefault="001D458F" w:rsidP="001D458F">
                  <w:pPr>
                    <w:ind w:firstLineChars="100" w:firstLine="200"/>
                    <w:rPr>
                      <w:rFonts w:ascii="Arial" w:hAnsi="Arial" w:cs="Arial"/>
                      <w:i/>
                      <w:iCs/>
                      <w:sz w:val="20"/>
                      <w:szCs w:val="20"/>
                    </w:rPr>
                  </w:pPr>
                  <w:r w:rsidRPr="001D458F">
                    <w:rPr>
                      <w:rFonts w:ascii="Arial" w:hAnsi="Arial" w:cs="Arial"/>
                      <w:i/>
                      <w:iCs/>
                      <w:sz w:val="20"/>
                      <w:szCs w:val="20"/>
                    </w:rPr>
                    <w:t>Fire service organisations</w:t>
                  </w:r>
                  <w:r w:rsidR="001525FA">
                    <w:rPr>
                      <w:rFonts w:ascii="Arial" w:hAnsi="Arial" w:cs="Arial"/>
                      <w:i/>
                      <w:iCs/>
                      <w:sz w:val="20"/>
                      <w:szCs w:val="20"/>
                    </w:rPr>
                    <w:t>’</w:t>
                  </w:r>
                  <w:r w:rsidRPr="001D458F">
                    <w:rPr>
                      <w:rFonts w:ascii="Arial" w:hAnsi="Arial" w:cs="Arial"/>
                      <w:i/>
                      <w:iCs/>
                      <w:sz w:val="20"/>
                      <w:szCs w:val="20"/>
                    </w:rPr>
                    <w:t xml:space="preserve"> expenditure per person, 2012</w:t>
                  </w:r>
                  <w:r w:rsidR="001525FA">
                    <w:rPr>
                      <w:rFonts w:ascii="Arial" w:hAnsi="Arial" w:cs="Arial"/>
                      <w:i/>
                      <w:iCs/>
                      <w:sz w:val="20"/>
                      <w:szCs w:val="20"/>
                    </w:rPr>
                    <w:noBreakHyphen/>
                  </w:r>
                  <w:r w:rsidRPr="001D458F">
                    <w:rPr>
                      <w:rFonts w:ascii="Arial" w:hAnsi="Arial" w:cs="Arial"/>
                      <w:i/>
                      <w:iCs/>
                      <w:sz w:val="20"/>
                      <w:szCs w:val="20"/>
                    </w:rPr>
                    <w:t>13</w:t>
                  </w:r>
                </w:p>
              </w:tc>
            </w:tr>
            <w:tr w:rsidR="001D458F" w:rsidRPr="001D458F" w:rsidTr="001D458F">
              <w:trPr>
                <w:divId w:val="1902709361"/>
                <w:trHeight w:val="199"/>
              </w:trPr>
              <w:tc>
                <w:tcPr>
                  <w:tcW w:w="5000" w:type="pct"/>
                  <w:gridSpan w:val="20"/>
                  <w:tcBorders>
                    <w:top w:val="nil"/>
                    <w:left w:val="nil"/>
                    <w:bottom w:val="nil"/>
                    <w:right w:val="nil"/>
                  </w:tcBorders>
                  <w:shd w:val="clear" w:color="auto" w:fill="auto"/>
                  <w:vAlign w:val="center"/>
                  <w:hideMark/>
                </w:tcPr>
                <w:p w:rsidR="001D458F" w:rsidRPr="001D458F" w:rsidRDefault="001D458F" w:rsidP="001D458F">
                  <w:pPr>
                    <w:ind w:firstLineChars="100" w:firstLine="160"/>
                    <w:rPr>
                      <w:rFonts w:ascii="Arial" w:hAnsi="Arial" w:cs="Arial"/>
                      <w:sz w:val="16"/>
                      <w:szCs w:val="16"/>
                    </w:rPr>
                  </w:pPr>
                  <w:r w:rsidRPr="001D458F">
                    <w:rPr>
                      <w:rFonts w:ascii="Arial" w:hAnsi="Arial" w:cs="Arial"/>
                      <w:sz w:val="16"/>
                      <w:szCs w:val="16"/>
                    </w:rPr>
                    <w:t>Most recent data for this measure are complete but are not comparable (chapter 9)</w:t>
                  </w:r>
                </w:p>
              </w:tc>
            </w:tr>
            <w:tr w:rsidR="001D458F" w:rsidRPr="001D458F" w:rsidTr="001D458F">
              <w:trPr>
                <w:divId w:val="1902709361"/>
                <w:trHeight w:val="330"/>
              </w:trPr>
              <w:tc>
                <w:tcPr>
                  <w:tcW w:w="564" w:type="pct"/>
                  <w:gridSpan w:val="2"/>
                  <w:tcBorders>
                    <w:top w:val="nil"/>
                    <w:left w:val="nil"/>
                    <w:bottom w:val="nil"/>
                    <w:right w:val="nil"/>
                  </w:tcBorders>
                  <w:shd w:val="clear" w:color="auto" w:fill="auto"/>
                  <w:vAlign w:val="center"/>
                  <w:hideMark/>
                </w:tcPr>
                <w:p w:rsidR="001D458F" w:rsidRPr="001D458F" w:rsidRDefault="001D458F" w:rsidP="001D458F">
                  <w:pPr>
                    <w:ind w:firstLineChars="200" w:firstLine="400"/>
                    <w:rPr>
                      <w:rFonts w:ascii="Arial" w:hAnsi="Arial" w:cs="Arial"/>
                      <w:sz w:val="20"/>
                      <w:szCs w:val="20"/>
                    </w:rPr>
                  </w:pPr>
                  <w:r w:rsidRPr="001D458F">
                    <w:rPr>
                      <w:rFonts w:ascii="Arial" w:hAnsi="Arial" w:cs="Arial"/>
                      <w:sz w:val="20"/>
                      <w:szCs w:val="20"/>
                    </w:rPr>
                    <w:t>$</w:t>
                  </w:r>
                </w:p>
              </w:tc>
              <w:tc>
                <w:tcPr>
                  <w:tcW w:w="485"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140.18</w:t>
                  </w:r>
                </w:p>
              </w:tc>
              <w:tc>
                <w:tcPr>
                  <w:tcW w:w="485"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218.26</w:t>
                  </w:r>
                </w:p>
              </w:tc>
              <w:tc>
                <w:tcPr>
                  <w:tcW w:w="404"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108.29</w:t>
                  </w:r>
                </w:p>
              </w:tc>
              <w:tc>
                <w:tcPr>
                  <w:tcW w:w="404"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186.43</w:t>
                  </w:r>
                </w:p>
              </w:tc>
              <w:tc>
                <w:tcPr>
                  <w:tcW w:w="484"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126.37</w:t>
                  </w:r>
                </w:p>
              </w:tc>
              <w:tc>
                <w:tcPr>
                  <w:tcW w:w="483"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168.06</w:t>
                  </w:r>
                </w:p>
              </w:tc>
              <w:tc>
                <w:tcPr>
                  <w:tcW w:w="404"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197.41</w:t>
                  </w:r>
                </w:p>
              </w:tc>
              <w:tc>
                <w:tcPr>
                  <w:tcW w:w="402"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198.41</w:t>
                  </w:r>
                </w:p>
              </w:tc>
              <w:tc>
                <w:tcPr>
                  <w:tcW w:w="403" w:type="pct"/>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159.27</w:t>
                  </w:r>
                </w:p>
              </w:tc>
              <w:tc>
                <w:tcPr>
                  <w:tcW w:w="483" w:type="pct"/>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roofErr w:type="spellStart"/>
                  <w:r w:rsidRPr="001D458F">
                    <w:rPr>
                      <w:rFonts w:ascii="Arial" w:hAnsi="Arial" w:cs="Arial"/>
                      <w:sz w:val="20"/>
                      <w:szCs w:val="20"/>
                    </w:rPr>
                    <w:t>9A.30</w:t>
                  </w:r>
                  <w:proofErr w:type="spellEnd"/>
                </w:p>
              </w:tc>
            </w:tr>
            <w:tr w:rsidR="001D458F" w:rsidRPr="001D458F" w:rsidTr="001D458F">
              <w:trPr>
                <w:divId w:val="1902709361"/>
                <w:trHeight w:hRule="exact" w:val="28"/>
              </w:trPr>
              <w:tc>
                <w:tcPr>
                  <w:tcW w:w="318" w:type="pct"/>
                  <w:tcBorders>
                    <w:top w:val="nil"/>
                    <w:left w:val="nil"/>
                    <w:bottom w:val="nil"/>
                    <w:right w:val="nil"/>
                  </w:tcBorders>
                  <w:shd w:val="clear" w:color="auto" w:fill="auto"/>
                  <w:vAlign w:val="center"/>
                  <w:hideMark/>
                </w:tcPr>
                <w:p w:rsidR="001D458F" w:rsidRPr="001D458F" w:rsidRDefault="001D458F" w:rsidP="001D458F">
                  <w:pPr>
                    <w:ind w:firstLineChars="200" w:firstLine="400"/>
                    <w:rPr>
                      <w:rFonts w:ascii="Arial" w:hAnsi="Arial" w:cs="Arial"/>
                      <w:sz w:val="20"/>
                      <w:szCs w:val="20"/>
                    </w:rPr>
                  </w:pPr>
                </w:p>
              </w:tc>
              <w:tc>
                <w:tcPr>
                  <w:tcW w:w="246" w:type="pct"/>
                  <w:tcBorders>
                    <w:top w:val="nil"/>
                    <w:left w:val="nil"/>
                    <w:bottom w:val="nil"/>
                    <w:right w:val="nil"/>
                  </w:tcBorders>
                  <w:shd w:val="clear" w:color="auto" w:fill="auto"/>
                  <w:vAlign w:val="center"/>
                  <w:hideMark/>
                </w:tcPr>
                <w:p w:rsidR="001D458F" w:rsidRPr="001D458F" w:rsidRDefault="001D458F" w:rsidP="001D458F">
                  <w:pPr>
                    <w:ind w:firstLineChars="200" w:firstLine="400"/>
                    <w:rPr>
                      <w:rFonts w:ascii="Arial" w:hAnsi="Arial" w:cs="Arial"/>
                      <w:sz w:val="20"/>
                      <w:szCs w:val="20"/>
                    </w:rPr>
                  </w:pPr>
                </w:p>
              </w:tc>
              <w:tc>
                <w:tcPr>
                  <w:tcW w:w="485"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85"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04"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04"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84"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83"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04"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02" w:type="pct"/>
                  <w:gridSpan w:val="2"/>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03" w:type="pct"/>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c>
                <w:tcPr>
                  <w:tcW w:w="483" w:type="pct"/>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
              </w:tc>
            </w:tr>
            <w:tr w:rsidR="001D458F" w:rsidRPr="001D458F" w:rsidTr="001D458F">
              <w:trPr>
                <w:divId w:val="1902709361"/>
                <w:trHeight w:val="330"/>
              </w:trPr>
              <w:tc>
                <w:tcPr>
                  <w:tcW w:w="5000" w:type="pct"/>
                  <w:gridSpan w:val="20"/>
                  <w:tcBorders>
                    <w:top w:val="nil"/>
                    <w:left w:val="nil"/>
                    <w:bottom w:val="nil"/>
                    <w:right w:val="nil"/>
                  </w:tcBorders>
                  <w:shd w:val="clear" w:color="auto" w:fill="auto"/>
                  <w:vAlign w:val="center"/>
                  <w:hideMark/>
                </w:tcPr>
                <w:p w:rsidR="001D458F" w:rsidRPr="001D458F" w:rsidRDefault="001D458F" w:rsidP="001D458F">
                  <w:pPr>
                    <w:rPr>
                      <w:rFonts w:ascii="Arial" w:hAnsi="Arial" w:cs="Arial"/>
                      <w:b/>
                      <w:bCs/>
                      <w:sz w:val="20"/>
                      <w:szCs w:val="20"/>
                    </w:rPr>
                  </w:pPr>
                  <w:r w:rsidRPr="001D458F">
                    <w:rPr>
                      <w:rFonts w:ascii="Arial" w:hAnsi="Arial" w:cs="Arial"/>
                      <w:b/>
                      <w:bCs/>
                      <w:sz w:val="20"/>
                      <w:szCs w:val="20"/>
                    </w:rPr>
                    <w:t>Outcome indicators</w:t>
                  </w:r>
                </w:p>
              </w:tc>
            </w:tr>
            <w:tr w:rsidR="001D458F" w:rsidRPr="001D458F" w:rsidTr="001D458F">
              <w:trPr>
                <w:divId w:val="1902709361"/>
                <w:trHeight w:val="330"/>
              </w:trPr>
              <w:tc>
                <w:tcPr>
                  <w:tcW w:w="5000" w:type="pct"/>
                  <w:gridSpan w:val="20"/>
                  <w:tcBorders>
                    <w:top w:val="nil"/>
                    <w:left w:val="nil"/>
                    <w:bottom w:val="nil"/>
                    <w:right w:val="nil"/>
                  </w:tcBorders>
                  <w:shd w:val="clear" w:color="auto" w:fill="auto"/>
                  <w:vAlign w:val="center"/>
                  <w:hideMark/>
                </w:tcPr>
                <w:p w:rsidR="001D458F" w:rsidRPr="001D458F" w:rsidRDefault="001D458F" w:rsidP="001D458F">
                  <w:pPr>
                    <w:ind w:firstLineChars="100" w:firstLine="200"/>
                    <w:rPr>
                      <w:rFonts w:ascii="Arial" w:hAnsi="Arial" w:cs="Arial"/>
                      <w:i/>
                      <w:iCs/>
                      <w:sz w:val="20"/>
                      <w:szCs w:val="20"/>
                    </w:rPr>
                  </w:pPr>
                  <w:r w:rsidRPr="001D458F">
                    <w:rPr>
                      <w:rFonts w:ascii="Arial" w:hAnsi="Arial" w:cs="Arial"/>
                      <w:i/>
                      <w:iCs/>
                      <w:sz w:val="20"/>
                      <w:szCs w:val="20"/>
                    </w:rPr>
                    <w:t>Fire death rate, per million people, 2011</w:t>
                  </w:r>
                </w:p>
              </w:tc>
            </w:tr>
            <w:tr w:rsidR="001D458F" w:rsidRPr="001D458F" w:rsidTr="001D458F">
              <w:trPr>
                <w:divId w:val="1902709361"/>
                <w:trHeight w:val="199"/>
              </w:trPr>
              <w:tc>
                <w:tcPr>
                  <w:tcW w:w="5000" w:type="pct"/>
                  <w:gridSpan w:val="20"/>
                  <w:tcBorders>
                    <w:top w:val="nil"/>
                    <w:left w:val="nil"/>
                    <w:bottom w:val="nil"/>
                    <w:right w:val="nil"/>
                  </w:tcBorders>
                  <w:shd w:val="clear" w:color="auto" w:fill="auto"/>
                  <w:vAlign w:val="center"/>
                  <w:hideMark/>
                </w:tcPr>
                <w:p w:rsidR="001D458F" w:rsidRPr="001D458F" w:rsidRDefault="001D458F" w:rsidP="001D458F">
                  <w:pPr>
                    <w:ind w:firstLineChars="100" w:firstLine="160"/>
                    <w:rPr>
                      <w:rFonts w:ascii="Arial" w:hAnsi="Arial" w:cs="Arial"/>
                      <w:sz w:val="16"/>
                      <w:szCs w:val="16"/>
                    </w:rPr>
                  </w:pPr>
                  <w:r w:rsidRPr="001D458F">
                    <w:rPr>
                      <w:rFonts w:ascii="Arial" w:hAnsi="Arial" w:cs="Arial"/>
                      <w:sz w:val="16"/>
                      <w:szCs w:val="16"/>
                    </w:rPr>
                    <w:t>Most recent data for this measure are comparable and complete (chapter 9)</w:t>
                  </w:r>
                </w:p>
              </w:tc>
            </w:tr>
            <w:tr w:rsidR="001D458F" w:rsidRPr="001D458F" w:rsidTr="001D458F">
              <w:trPr>
                <w:divId w:val="1902709361"/>
                <w:trHeight w:val="330"/>
              </w:trPr>
              <w:tc>
                <w:tcPr>
                  <w:tcW w:w="564" w:type="pct"/>
                  <w:gridSpan w:val="2"/>
                  <w:tcBorders>
                    <w:top w:val="nil"/>
                    <w:left w:val="nil"/>
                    <w:bottom w:val="nil"/>
                    <w:right w:val="nil"/>
                  </w:tcBorders>
                  <w:shd w:val="clear" w:color="auto" w:fill="auto"/>
                  <w:vAlign w:val="center"/>
                  <w:hideMark/>
                </w:tcPr>
                <w:p w:rsidR="001D458F" w:rsidRPr="001D458F" w:rsidRDefault="001D458F" w:rsidP="001D458F">
                  <w:pPr>
                    <w:ind w:firstLineChars="200" w:firstLine="400"/>
                    <w:rPr>
                      <w:rFonts w:ascii="Arial" w:hAnsi="Arial" w:cs="Arial"/>
                      <w:sz w:val="20"/>
                      <w:szCs w:val="20"/>
                    </w:rPr>
                  </w:pPr>
                  <w:r w:rsidRPr="001D458F">
                    <w:rPr>
                      <w:rFonts w:ascii="Arial" w:hAnsi="Arial" w:cs="Arial"/>
                      <w:sz w:val="20"/>
                      <w:szCs w:val="20"/>
                    </w:rPr>
                    <w:t>no.</w:t>
                  </w:r>
                </w:p>
              </w:tc>
              <w:tc>
                <w:tcPr>
                  <w:tcW w:w="485"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6.5</w:t>
                  </w:r>
                </w:p>
              </w:tc>
              <w:tc>
                <w:tcPr>
                  <w:tcW w:w="485"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5.1</w:t>
                  </w:r>
                </w:p>
              </w:tc>
              <w:tc>
                <w:tcPr>
                  <w:tcW w:w="404"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6.5</w:t>
                  </w:r>
                </w:p>
              </w:tc>
              <w:tc>
                <w:tcPr>
                  <w:tcW w:w="404"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5.1</w:t>
                  </w:r>
                </w:p>
              </w:tc>
              <w:tc>
                <w:tcPr>
                  <w:tcW w:w="484"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6.1</w:t>
                  </w:r>
                </w:p>
              </w:tc>
              <w:tc>
                <w:tcPr>
                  <w:tcW w:w="483"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9.8</w:t>
                  </w:r>
                </w:p>
              </w:tc>
              <w:tc>
                <w:tcPr>
                  <w:tcW w:w="404"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13.6</w:t>
                  </w:r>
                </w:p>
              </w:tc>
              <w:tc>
                <w:tcPr>
                  <w:tcW w:w="402"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34.6</w:t>
                  </w:r>
                </w:p>
              </w:tc>
              <w:tc>
                <w:tcPr>
                  <w:tcW w:w="403" w:type="pct"/>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5.8</w:t>
                  </w:r>
                </w:p>
              </w:tc>
              <w:tc>
                <w:tcPr>
                  <w:tcW w:w="483" w:type="pct"/>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roofErr w:type="spellStart"/>
                  <w:r w:rsidRPr="001D458F">
                    <w:rPr>
                      <w:rFonts w:ascii="Arial" w:hAnsi="Arial" w:cs="Arial"/>
                      <w:sz w:val="20"/>
                      <w:szCs w:val="20"/>
                    </w:rPr>
                    <w:t>9A.6</w:t>
                  </w:r>
                  <w:proofErr w:type="spellEnd"/>
                </w:p>
              </w:tc>
            </w:tr>
            <w:tr w:rsidR="001D458F" w:rsidRPr="001D458F" w:rsidTr="001D458F">
              <w:trPr>
                <w:divId w:val="1902709361"/>
                <w:trHeight w:val="330"/>
              </w:trPr>
              <w:tc>
                <w:tcPr>
                  <w:tcW w:w="5000" w:type="pct"/>
                  <w:gridSpan w:val="20"/>
                  <w:tcBorders>
                    <w:top w:val="nil"/>
                    <w:left w:val="nil"/>
                    <w:bottom w:val="nil"/>
                    <w:right w:val="nil"/>
                  </w:tcBorders>
                  <w:shd w:val="clear" w:color="auto" w:fill="auto"/>
                  <w:vAlign w:val="center"/>
                  <w:hideMark/>
                </w:tcPr>
                <w:p w:rsidR="001D458F" w:rsidRPr="001D458F" w:rsidRDefault="001D458F" w:rsidP="001D458F">
                  <w:pPr>
                    <w:ind w:firstLineChars="100" w:firstLine="200"/>
                    <w:rPr>
                      <w:rFonts w:ascii="Arial" w:hAnsi="Arial" w:cs="Arial"/>
                      <w:i/>
                      <w:iCs/>
                      <w:sz w:val="20"/>
                      <w:szCs w:val="20"/>
                    </w:rPr>
                  </w:pPr>
                  <w:r w:rsidRPr="001D458F">
                    <w:rPr>
                      <w:rFonts w:ascii="Arial" w:hAnsi="Arial" w:cs="Arial"/>
                      <w:i/>
                      <w:iCs/>
                      <w:sz w:val="20"/>
                      <w:szCs w:val="20"/>
                    </w:rPr>
                    <w:t>Fire injury rate: Rate of hospital admissions due to fire injury, per 100 000 people, 2011</w:t>
                  </w:r>
                  <w:r w:rsidR="001525FA">
                    <w:rPr>
                      <w:rFonts w:ascii="Arial" w:hAnsi="Arial" w:cs="Arial"/>
                      <w:i/>
                      <w:iCs/>
                      <w:sz w:val="20"/>
                      <w:szCs w:val="20"/>
                    </w:rPr>
                    <w:noBreakHyphen/>
                  </w:r>
                  <w:r w:rsidRPr="001D458F">
                    <w:rPr>
                      <w:rFonts w:ascii="Arial" w:hAnsi="Arial" w:cs="Arial"/>
                      <w:i/>
                      <w:iCs/>
                      <w:sz w:val="20"/>
                      <w:szCs w:val="20"/>
                    </w:rPr>
                    <w:t>12</w:t>
                  </w:r>
                </w:p>
              </w:tc>
            </w:tr>
            <w:tr w:rsidR="001D458F" w:rsidRPr="001D458F" w:rsidTr="001D458F">
              <w:trPr>
                <w:divId w:val="1902709361"/>
                <w:trHeight w:val="199"/>
              </w:trPr>
              <w:tc>
                <w:tcPr>
                  <w:tcW w:w="5000" w:type="pct"/>
                  <w:gridSpan w:val="20"/>
                  <w:tcBorders>
                    <w:top w:val="nil"/>
                    <w:left w:val="nil"/>
                    <w:bottom w:val="nil"/>
                    <w:right w:val="nil"/>
                  </w:tcBorders>
                  <w:shd w:val="clear" w:color="auto" w:fill="auto"/>
                  <w:vAlign w:val="center"/>
                  <w:hideMark/>
                </w:tcPr>
                <w:p w:rsidR="001D458F" w:rsidRPr="001D458F" w:rsidRDefault="001D458F" w:rsidP="001D458F">
                  <w:pPr>
                    <w:ind w:firstLineChars="100" w:firstLine="160"/>
                    <w:rPr>
                      <w:rFonts w:ascii="Arial" w:hAnsi="Arial" w:cs="Arial"/>
                      <w:sz w:val="16"/>
                      <w:szCs w:val="16"/>
                    </w:rPr>
                  </w:pPr>
                  <w:r w:rsidRPr="001D458F">
                    <w:rPr>
                      <w:rFonts w:ascii="Arial" w:hAnsi="Arial" w:cs="Arial"/>
                      <w:sz w:val="16"/>
                      <w:szCs w:val="16"/>
                    </w:rPr>
                    <w:t>Most recent data for this measure are comparable and complete (chapter 9)</w:t>
                  </w:r>
                </w:p>
              </w:tc>
            </w:tr>
            <w:tr w:rsidR="001D458F" w:rsidRPr="001D458F" w:rsidTr="001D458F">
              <w:trPr>
                <w:divId w:val="1902709361"/>
                <w:trHeight w:val="330"/>
              </w:trPr>
              <w:tc>
                <w:tcPr>
                  <w:tcW w:w="564" w:type="pct"/>
                  <w:gridSpan w:val="2"/>
                  <w:tcBorders>
                    <w:top w:val="nil"/>
                    <w:left w:val="nil"/>
                    <w:bottom w:val="nil"/>
                    <w:right w:val="nil"/>
                  </w:tcBorders>
                  <w:shd w:val="clear" w:color="auto" w:fill="auto"/>
                  <w:vAlign w:val="center"/>
                  <w:hideMark/>
                </w:tcPr>
                <w:p w:rsidR="001D458F" w:rsidRPr="001D458F" w:rsidRDefault="001D458F" w:rsidP="001D458F">
                  <w:pPr>
                    <w:ind w:firstLineChars="200" w:firstLine="400"/>
                    <w:rPr>
                      <w:rFonts w:ascii="Arial" w:hAnsi="Arial" w:cs="Arial"/>
                      <w:sz w:val="20"/>
                      <w:szCs w:val="20"/>
                    </w:rPr>
                  </w:pPr>
                  <w:r w:rsidRPr="001D458F">
                    <w:rPr>
                      <w:rFonts w:ascii="Arial" w:hAnsi="Arial" w:cs="Arial"/>
                      <w:sz w:val="20"/>
                      <w:szCs w:val="20"/>
                    </w:rPr>
                    <w:t>no.</w:t>
                  </w:r>
                </w:p>
              </w:tc>
              <w:tc>
                <w:tcPr>
                  <w:tcW w:w="485"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15.2</w:t>
                  </w:r>
                </w:p>
              </w:tc>
              <w:tc>
                <w:tcPr>
                  <w:tcW w:w="485"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14.0</w:t>
                  </w:r>
                </w:p>
              </w:tc>
              <w:tc>
                <w:tcPr>
                  <w:tcW w:w="404"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21.1</w:t>
                  </w:r>
                </w:p>
              </w:tc>
              <w:tc>
                <w:tcPr>
                  <w:tcW w:w="404"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20.1</w:t>
                  </w:r>
                </w:p>
              </w:tc>
              <w:tc>
                <w:tcPr>
                  <w:tcW w:w="484"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23.0</w:t>
                  </w:r>
                </w:p>
              </w:tc>
              <w:tc>
                <w:tcPr>
                  <w:tcW w:w="483"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16.0</w:t>
                  </w:r>
                </w:p>
              </w:tc>
              <w:tc>
                <w:tcPr>
                  <w:tcW w:w="404"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8.6</w:t>
                  </w:r>
                </w:p>
              </w:tc>
              <w:tc>
                <w:tcPr>
                  <w:tcW w:w="402"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84.8</w:t>
                  </w:r>
                </w:p>
              </w:tc>
              <w:tc>
                <w:tcPr>
                  <w:tcW w:w="403" w:type="pct"/>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17.8</w:t>
                  </w:r>
                </w:p>
              </w:tc>
              <w:tc>
                <w:tcPr>
                  <w:tcW w:w="483" w:type="pct"/>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roofErr w:type="spellStart"/>
                  <w:r w:rsidRPr="001D458F">
                    <w:rPr>
                      <w:rFonts w:ascii="Arial" w:hAnsi="Arial" w:cs="Arial"/>
                      <w:sz w:val="20"/>
                      <w:szCs w:val="20"/>
                    </w:rPr>
                    <w:t>9A.9</w:t>
                  </w:r>
                  <w:proofErr w:type="spellEnd"/>
                </w:p>
              </w:tc>
            </w:tr>
            <w:tr w:rsidR="001D458F" w:rsidRPr="001D458F" w:rsidTr="001D458F">
              <w:trPr>
                <w:divId w:val="1902709361"/>
                <w:trHeight w:val="330"/>
              </w:trPr>
              <w:tc>
                <w:tcPr>
                  <w:tcW w:w="5000" w:type="pct"/>
                  <w:gridSpan w:val="20"/>
                  <w:tcBorders>
                    <w:top w:val="nil"/>
                    <w:left w:val="nil"/>
                    <w:bottom w:val="nil"/>
                    <w:right w:val="nil"/>
                  </w:tcBorders>
                  <w:shd w:val="clear" w:color="auto" w:fill="auto"/>
                  <w:vAlign w:val="center"/>
                  <w:hideMark/>
                </w:tcPr>
                <w:p w:rsidR="001D458F" w:rsidRPr="001D458F" w:rsidRDefault="001D458F" w:rsidP="001D458F">
                  <w:pPr>
                    <w:ind w:firstLineChars="100" w:firstLine="200"/>
                    <w:rPr>
                      <w:rFonts w:ascii="Arial" w:hAnsi="Arial" w:cs="Arial"/>
                      <w:i/>
                      <w:iCs/>
                      <w:sz w:val="20"/>
                      <w:szCs w:val="20"/>
                    </w:rPr>
                  </w:pPr>
                  <w:r w:rsidRPr="001D458F">
                    <w:rPr>
                      <w:rFonts w:ascii="Arial" w:hAnsi="Arial" w:cs="Arial"/>
                      <w:i/>
                      <w:iCs/>
                      <w:sz w:val="20"/>
                      <w:szCs w:val="20"/>
                    </w:rPr>
                    <w:t>Confinement to room/object of origin, 2012</w:t>
                  </w:r>
                  <w:r w:rsidR="001525FA">
                    <w:rPr>
                      <w:rFonts w:ascii="Arial" w:hAnsi="Arial" w:cs="Arial"/>
                      <w:i/>
                      <w:iCs/>
                      <w:sz w:val="20"/>
                      <w:szCs w:val="20"/>
                    </w:rPr>
                    <w:noBreakHyphen/>
                  </w:r>
                  <w:r w:rsidRPr="001D458F">
                    <w:rPr>
                      <w:rFonts w:ascii="Arial" w:hAnsi="Arial" w:cs="Arial"/>
                      <w:i/>
                      <w:iCs/>
                      <w:sz w:val="20"/>
                      <w:szCs w:val="20"/>
                    </w:rPr>
                    <w:t>13</w:t>
                  </w:r>
                  <w:r w:rsidRPr="001D458F">
                    <w:rPr>
                      <w:rFonts w:ascii="Arial" w:hAnsi="Arial" w:cs="Arial"/>
                      <w:sz w:val="16"/>
                      <w:szCs w:val="16"/>
                    </w:rPr>
                    <w:t xml:space="preserve"> </w:t>
                  </w:r>
                </w:p>
              </w:tc>
            </w:tr>
            <w:tr w:rsidR="001D458F" w:rsidRPr="001D458F" w:rsidTr="001D458F">
              <w:trPr>
                <w:divId w:val="1902709361"/>
                <w:trHeight w:val="199"/>
              </w:trPr>
              <w:tc>
                <w:tcPr>
                  <w:tcW w:w="5000" w:type="pct"/>
                  <w:gridSpan w:val="20"/>
                  <w:tcBorders>
                    <w:top w:val="nil"/>
                    <w:left w:val="nil"/>
                    <w:bottom w:val="nil"/>
                    <w:right w:val="nil"/>
                  </w:tcBorders>
                  <w:shd w:val="clear" w:color="auto" w:fill="auto"/>
                  <w:vAlign w:val="center"/>
                  <w:hideMark/>
                </w:tcPr>
                <w:p w:rsidR="001D458F" w:rsidRPr="001D458F" w:rsidRDefault="001D458F" w:rsidP="001D458F">
                  <w:pPr>
                    <w:ind w:firstLineChars="100" w:firstLine="160"/>
                    <w:rPr>
                      <w:rFonts w:ascii="Arial" w:hAnsi="Arial" w:cs="Arial"/>
                      <w:sz w:val="16"/>
                      <w:szCs w:val="16"/>
                    </w:rPr>
                  </w:pPr>
                  <w:r w:rsidRPr="001D458F">
                    <w:rPr>
                      <w:rFonts w:ascii="Arial" w:hAnsi="Arial" w:cs="Arial"/>
                      <w:sz w:val="16"/>
                      <w:szCs w:val="16"/>
                    </w:rPr>
                    <w:t>Most recent data for this measure are complete but are not comparable (chapter 9)</w:t>
                  </w:r>
                </w:p>
              </w:tc>
            </w:tr>
            <w:tr w:rsidR="001D458F" w:rsidRPr="001D458F" w:rsidTr="001D458F">
              <w:trPr>
                <w:divId w:val="1902709361"/>
                <w:trHeight w:val="255"/>
              </w:trPr>
              <w:tc>
                <w:tcPr>
                  <w:tcW w:w="5000" w:type="pct"/>
                  <w:gridSpan w:val="20"/>
                  <w:tcBorders>
                    <w:top w:val="nil"/>
                    <w:left w:val="nil"/>
                    <w:bottom w:val="nil"/>
                    <w:right w:val="nil"/>
                  </w:tcBorders>
                  <w:shd w:val="clear" w:color="auto" w:fill="auto"/>
                  <w:vAlign w:val="center"/>
                  <w:hideMark/>
                </w:tcPr>
                <w:p w:rsidR="001D458F" w:rsidRPr="001D458F" w:rsidRDefault="001D458F" w:rsidP="001D458F">
                  <w:pPr>
                    <w:ind w:firstLineChars="200" w:firstLine="400"/>
                    <w:rPr>
                      <w:rFonts w:ascii="Arial" w:hAnsi="Arial" w:cs="Arial"/>
                      <w:sz w:val="20"/>
                      <w:szCs w:val="20"/>
                    </w:rPr>
                  </w:pPr>
                  <w:r w:rsidRPr="001D458F">
                    <w:rPr>
                      <w:rFonts w:ascii="Arial" w:hAnsi="Arial" w:cs="Arial"/>
                      <w:sz w:val="20"/>
                      <w:szCs w:val="20"/>
                    </w:rPr>
                    <w:t>Confinement of building fires to room of origin, all ignition types</w:t>
                  </w:r>
                </w:p>
              </w:tc>
            </w:tr>
            <w:tr w:rsidR="001D458F" w:rsidRPr="001D458F" w:rsidTr="001D458F">
              <w:trPr>
                <w:divId w:val="1902709361"/>
                <w:trHeight w:val="330"/>
              </w:trPr>
              <w:tc>
                <w:tcPr>
                  <w:tcW w:w="564" w:type="pct"/>
                  <w:gridSpan w:val="2"/>
                  <w:tcBorders>
                    <w:top w:val="nil"/>
                    <w:left w:val="nil"/>
                    <w:bottom w:val="nil"/>
                    <w:right w:val="nil"/>
                  </w:tcBorders>
                  <w:shd w:val="clear" w:color="auto" w:fill="auto"/>
                  <w:vAlign w:val="center"/>
                  <w:hideMark/>
                </w:tcPr>
                <w:p w:rsidR="001D458F" w:rsidRPr="001D458F" w:rsidRDefault="001D458F" w:rsidP="001D458F">
                  <w:pPr>
                    <w:ind w:firstLineChars="200" w:firstLine="400"/>
                    <w:rPr>
                      <w:rFonts w:ascii="Arial" w:hAnsi="Arial" w:cs="Arial"/>
                      <w:sz w:val="20"/>
                      <w:szCs w:val="20"/>
                    </w:rPr>
                  </w:pPr>
                  <w:r w:rsidRPr="001D458F">
                    <w:rPr>
                      <w:rFonts w:ascii="Arial" w:hAnsi="Arial" w:cs="Arial"/>
                      <w:sz w:val="20"/>
                      <w:szCs w:val="20"/>
                    </w:rPr>
                    <w:t>%</w:t>
                  </w:r>
                </w:p>
              </w:tc>
              <w:tc>
                <w:tcPr>
                  <w:tcW w:w="485"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66.5</w:t>
                  </w:r>
                </w:p>
              </w:tc>
              <w:tc>
                <w:tcPr>
                  <w:tcW w:w="485"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75.3</w:t>
                  </w:r>
                </w:p>
              </w:tc>
              <w:tc>
                <w:tcPr>
                  <w:tcW w:w="404"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71.3</w:t>
                  </w:r>
                </w:p>
              </w:tc>
              <w:tc>
                <w:tcPr>
                  <w:tcW w:w="404"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64.3</w:t>
                  </w:r>
                </w:p>
              </w:tc>
              <w:tc>
                <w:tcPr>
                  <w:tcW w:w="484"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64.8</w:t>
                  </w:r>
                </w:p>
              </w:tc>
              <w:tc>
                <w:tcPr>
                  <w:tcW w:w="483"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63.6</w:t>
                  </w:r>
                </w:p>
              </w:tc>
              <w:tc>
                <w:tcPr>
                  <w:tcW w:w="404"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65.8</w:t>
                  </w:r>
                </w:p>
              </w:tc>
              <w:tc>
                <w:tcPr>
                  <w:tcW w:w="402"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85.5</w:t>
                  </w:r>
                </w:p>
              </w:tc>
              <w:tc>
                <w:tcPr>
                  <w:tcW w:w="403" w:type="pct"/>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na</w:t>
                  </w:r>
                </w:p>
              </w:tc>
              <w:tc>
                <w:tcPr>
                  <w:tcW w:w="483" w:type="pct"/>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roofErr w:type="spellStart"/>
                  <w:r w:rsidRPr="001D458F">
                    <w:rPr>
                      <w:rFonts w:ascii="Arial" w:hAnsi="Arial" w:cs="Arial"/>
                      <w:sz w:val="20"/>
                      <w:szCs w:val="20"/>
                    </w:rPr>
                    <w:t>9A.10</w:t>
                  </w:r>
                  <w:proofErr w:type="spellEnd"/>
                </w:p>
              </w:tc>
            </w:tr>
            <w:tr w:rsidR="001D458F" w:rsidRPr="001D458F" w:rsidTr="001D458F">
              <w:trPr>
                <w:divId w:val="1902709361"/>
                <w:trHeight w:val="255"/>
              </w:trPr>
              <w:tc>
                <w:tcPr>
                  <w:tcW w:w="5000" w:type="pct"/>
                  <w:gridSpan w:val="20"/>
                  <w:tcBorders>
                    <w:top w:val="nil"/>
                    <w:left w:val="nil"/>
                    <w:bottom w:val="nil"/>
                    <w:right w:val="nil"/>
                  </w:tcBorders>
                  <w:shd w:val="clear" w:color="auto" w:fill="auto"/>
                  <w:vAlign w:val="center"/>
                  <w:hideMark/>
                </w:tcPr>
                <w:p w:rsidR="001D458F" w:rsidRPr="001D458F" w:rsidRDefault="001D458F" w:rsidP="001D458F">
                  <w:pPr>
                    <w:ind w:firstLineChars="200" w:firstLine="400"/>
                    <w:rPr>
                      <w:rFonts w:ascii="Arial" w:hAnsi="Arial" w:cs="Arial"/>
                      <w:sz w:val="20"/>
                      <w:szCs w:val="20"/>
                    </w:rPr>
                  </w:pPr>
                  <w:r w:rsidRPr="001D458F">
                    <w:rPr>
                      <w:rFonts w:ascii="Arial" w:hAnsi="Arial" w:cs="Arial"/>
                      <w:sz w:val="20"/>
                      <w:szCs w:val="20"/>
                    </w:rPr>
                    <w:t>Confinement of building and other structure fires to room/object of origin, all ignition types</w:t>
                  </w:r>
                </w:p>
              </w:tc>
            </w:tr>
            <w:tr w:rsidR="001D458F" w:rsidRPr="001D458F" w:rsidTr="001D458F">
              <w:trPr>
                <w:divId w:val="1902709361"/>
                <w:trHeight w:val="330"/>
              </w:trPr>
              <w:tc>
                <w:tcPr>
                  <w:tcW w:w="564" w:type="pct"/>
                  <w:gridSpan w:val="2"/>
                  <w:tcBorders>
                    <w:top w:val="nil"/>
                    <w:left w:val="nil"/>
                    <w:bottom w:val="nil"/>
                    <w:right w:val="nil"/>
                  </w:tcBorders>
                  <w:shd w:val="clear" w:color="auto" w:fill="auto"/>
                  <w:vAlign w:val="center"/>
                  <w:hideMark/>
                </w:tcPr>
                <w:p w:rsidR="001D458F" w:rsidRPr="001D458F" w:rsidRDefault="001D458F" w:rsidP="001D458F">
                  <w:pPr>
                    <w:ind w:firstLineChars="200" w:firstLine="400"/>
                    <w:rPr>
                      <w:rFonts w:ascii="Arial" w:hAnsi="Arial" w:cs="Arial"/>
                      <w:sz w:val="20"/>
                      <w:szCs w:val="20"/>
                    </w:rPr>
                  </w:pPr>
                  <w:r w:rsidRPr="001D458F">
                    <w:rPr>
                      <w:rFonts w:ascii="Arial" w:hAnsi="Arial" w:cs="Arial"/>
                      <w:sz w:val="20"/>
                      <w:szCs w:val="20"/>
                    </w:rPr>
                    <w:t>%</w:t>
                  </w:r>
                </w:p>
              </w:tc>
              <w:tc>
                <w:tcPr>
                  <w:tcW w:w="485"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79.6</w:t>
                  </w:r>
                </w:p>
              </w:tc>
              <w:tc>
                <w:tcPr>
                  <w:tcW w:w="485"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82.9</w:t>
                  </w:r>
                </w:p>
              </w:tc>
              <w:tc>
                <w:tcPr>
                  <w:tcW w:w="404"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84.4</w:t>
                  </w:r>
                </w:p>
              </w:tc>
              <w:tc>
                <w:tcPr>
                  <w:tcW w:w="404"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76.2</w:t>
                  </w:r>
                </w:p>
              </w:tc>
              <w:tc>
                <w:tcPr>
                  <w:tcW w:w="484"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71.0</w:t>
                  </w:r>
                </w:p>
              </w:tc>
              <w:tc>
                <w:tcPr>
                  <w:tcW w:w="483"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71.8</w:t>
                  </w:r>
                </w:p>
              </w:tc>
              <w:tc>
                <w:tcPr>
                  <w:tcW w:w="404"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81.4</w:t>
                  </w:r>
                </w:p>
              </w:tc>
              <w:tc>
                <w:tcPr>
                  <w:tcW w:w="402" w:type="pct"/>
                  <w:gridSpan w:val="2"/>
                  <w:tcBorders>
                    <w:top w:val="nil"/>
                    <w:left w:val="nil"/>
                    <w:bottom w:val="nil"/>
                    <w:right w:val="nil"/>
                  </w:tcBorders>
                  <w:shd w:val="clear" w:color="auto" w:fill="auto"/>
                  <w:vAlign w:val="center"/>
                  <w:hideMark/>
                </w:tcPr>
                <w:p w:rsidR="001D458F" w:rsidRPr="001D458F" w:rsidRDefault="001525FA" w:rsidP="001D458F">
                  <w:pPr>
                    <w:jc w:val="right"/>
                    <w:rPr>
                      <w:rFonts w:ascii="Arial" w:hAnsi="Arial" w:cs="Arial"/>
                      <w:sz w:val="20"/>
                      <w:szCs w:val="20"/>
                    </w:rPr>
                  </w:pPr>
                  <w:r>
                    <w:rPr>
                      <w:rFonts w:ascii="Arial" w:hAnsi="Arial" w:cs="Arial"/>
                      <w:sz w:val="20"/>
                      <w:szCs w:val="20"/>
                    </w:rPr>
                    <w:t xml:space="preserve"> </w:t>
                  </w:r>
                  <w:r w:rsidR="001D458F" w:rsidRPr="001D458F">
                    <w:rPr>
                      <w:rFonts w:ascii="Arial" w:hAnsi="Arial" w:cs="Arial"/>
                      <w:sz w:val="20"/>
                      <w:szCs w:val="20"/>
                    </w:rPr>
                    <w:t>85.5</w:t>
                  </w:r>
                </w:p>
              </w:tc>
              <w:tc>
                <w:tcPr>
                  <w:tcW w:w="403" w:type="pct"/>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na</w:t>
                  </w:r>
                </w:p>
              </w:tc>
              <w:tc>
                <w:tcPr>
                  <w:tcW w:w="483" w:type="pct"/>
                  <w:tcBorders>
                    <w:top w:val="nil"/>
                    <w:left w:val="nil"/>
                    <w:bottom w:val="nil"/>
                    <w:right w:val="nil"/>
                  </w:tcBorders>
                  <w:shd w:val="clear" w:color="auto" w:fill="auto"/>
                  <w:vAlign w:val="center"/>
                  <w:hideMark/>
                </w:tcPr>
                <w:p w:rsidR="001D458F" w:rsidRPr="001D458F" w:rsidRDefault="001D458F" w:rsidP="001D458F">
                  <w:pPr>
                    <w:jc w:val="right"/>
                    <w:rPr>
                      <w:rFonts w:ascii="Arial" w:hAnsi="Arial" w:cs="Arial"/>
                      <w:sz w:val="20"/>
                      <w:szCs w:val="20"/>
                    </w:rPr>
                  </w:pPr>
                  <w:proofErr w:type="spellStart"/>
                  <w:r w:rsidRPr="001D458F">
                    <w:rPr>
                      <w:rFonts w:ascii="Arial" w:hAnsi="Arial" w:cs="Arial"/>
                      <w:sz w:val="20"/>
                      <w:szCs w:val="20"/>
                    </w:rPr>
                    <w:t>9A.11</w:t>
                  </w:r>
                  <w:proofErr w:type="spellEnd"/>
                </w:p>
              </w:tc>
            </w:tr>
            <w:tr w:rsidR="001D458F" w:rsidRPr="001D458F" w:rsidTr="001D458F">
              <w:trPr>
                <w:divId w:val="1902709361"/>
                <w:trHeight w:val="329"/>
              </w:trPr>
              <w:tc>
                <w:tcPr>
                  <w:tcW w:w="5000" w:type="pct"/>
                  <w:gridSpan w:val="20"/>
                  <w:tcBorders>
                    <w:top w:val="nil"/>
                    <w:left w:val="nil"/>
                    <w:bottom w:val="nil"/>
                    <w:right w:val="nil"/>
                  </w:tcBorders>
                  <w:shd w:val="clear" w:color="auto" w:fill="auto"/>
                  <w:vAlign w:val="center"/>
                  <w:hideMark/>
                </w:tcPr>
                <w:p w:rsidR="001D458F" w:rsidRPr="001D458F" w:rsidRDefault="001D458F" w:rsidP="001D458F">
                  <w:pPr>
                    <w:ind w:firstLineChars="100" w:firstLine="200"/>
                    <w:rPr>
                      <w:rFonts w:ascii="Arial" w:hAnsi="Arial" w:cs="Arial"/>
                      <w:i/>
                      <w:iCs/>
                      <w:sz w:val="20"/>
                      <w:szCs w:val="20"/>
                    </w:rPr>
                  </w:pPr>
                  <w:r w:rsidRPr="001D458F">
                    <w:rPr>
                      <w:rFonts w:ascii="Arial" w:hAnsi="Arial" w:cs="Arial"/>
                      <w:i/>
                      <w:iCs/>
                      <w:sz w:val="20"/>
                      <w:szCs w:val="20"/>
                    </w:rPr>
                    <w:t>Value of property losses from fire events — Household insurance claims per person, 2012</w:t>
                  </w:r>
                  <w:r w:rsidR="001525FA">
                    <w:rPr>
                      <w:rFonts w:ascii="Arial" w:hAnsi="Arial" w:cs="Arial"/>
                      <w:i/>
                      <w:iCs/>
                      <w:sz w:val="20"/>
                      <w:szCs w:val="20"/>
                    </w:rPr>
                    <w:noBreakHyphen/>
                  </w:r>
                  <w:r w:rsidRPr="001D458F">
                    <w:rPr>
                      <w:rFonts w:ascii="Arial" w:hAnsi="Arial" w:cs="Arial"/>
                      <w:i/>
                      <w:iCs/>
                      <w:sz w:val="20"/>
                      <w:szCs w:val="20"/>
                    </w:rPr>
                    <w:t xml:space="preserve">13 </w:t>
                  </w:r>
                </w:p>
              </w:tc>
            </w:tr>
            <w:tr w:rsidR="001D458F" w:rsidRPr="001D458F" w:rsidTr="001D458F">
              <w:trPr>
                <w:divId w:val="1902709361"/>
                <w:trHeight w:val="199"/>
              </w:trPr>
              <w:tc>
                <w:tcPr>
                  <w:tcW w:w="5000" w:type="pct"/>
                  <w:gridSpan w:val="20"/>
                  <w:tcBorders>
                    <w:top w:val="nil"/>
                    <w:left w:val="nil"/>
                    <w:bottom w:val="nil"/>
                    <w:right w:val="nil"/>
                  </w:tcBorders>
                  <w:shd w:val="clear" w:color="auto" w:fill="auto"/>
                  <w:vAlign w:val="center"/>
                  <w:hideMark/>
                </w:tcPr>
                <w:p w:rsidR="001D458F" w:rsidRPr="001D458F" w:rsidRDefault="001D458F" w:rsidP="001D458F">
                  <w:pPr>
                    <w:ind w:firstLineChars="100" w:firstLine="160"/>
                    <w:rPr>
                      <w:rFonts w:ascii="Arial" w:hAnsi="Arial" w:cs="Arial"/>
                      <w:sz w:val="16"/>
                      <w:szCs w:val="16"/>
                    </w:rPr>
                  </w:pPr>
                  <w:r w:rsidRPr="001D458F">
                    <w:rPr>
                      <w:rFonts w:ascii="Arial" w:hAnsi="Arial" w:cs="Arial"/>
                      <w:sz w:val="16"/>
                      <w:szCs w:val="16"/>
                    </w:rPr>
                    <w:t>Most recent data for this measure are comparable and complete (chapter 9)</w:t>
                  </w:r>
                </w:p>
              </w:tc>
            </w:tr>
            <w:tr w:rsidR="001D458F" w:rsidRPr="001D458F" w:rsidTr="001D458F">
              <w:trPr>
                <w:divId w:val="1902709361"/>
                <w:trHeight w:val="330"/>
              </w:trPr>
              <w:tc>
                <w:tcPr>
                  <w:tcW w:w="564" w:type="pct"/>
                  <w:gridSpan w:val="2"/>
                  <w:tcBorders>
                    <w:top w:val="nil"/>
                    <w:left w:val="nil"/>
                    <w:bottom w:val="single" w:sz="4" w:space="0" w:color="auto"/>
                    <w:right w:val="nil"/>
                  </w:tcBorders>
                  <w:shd w:val="clear" w:color="auto" w:fill="auto"/>
                  <w:vAlign w:val="center"/>
                  <w:hideMark/>
                </w:tcPr>
                <w:p w:rsidR="001D458F" w:rsidRPr="001D458F" w:rsidRDefault="001D458F" w:rsidP="001D458F">
                  <w:pPr>
                    <w:ind w:firstLineChars="200" w:firstLine="400"/>
                    <w:rPr>
                      <w:rFonts w:ascii="Arial" w:hAnsi="Arial" w:cs="Arial"/>
                      <w:sz w:val="20"/>
                      <w:szCs w:val="20"/>
                    </w:rPr>
                  </w:pPr>
                  <w:r w:rsidRPr="001D458F">
                    <w:rPr>
                      <w:rFonts w:ascii="Arial" w:hAnsi="Arial" w:cs="Arial"/>
                      <w:sz w:val="20"/>
                      <w:szCs w:val="20"/>
                    </w:rPr>
                    <w:t>$</w:t>
                  </w:r>
                </w:p>
              </w:tc>
              <w:tc>
                <w:tcPr>
                  <w:tcW w:w="485" w:type="pct"/>
                  <w:gridSpan w:val="2"/>
                  <w:tcBorders>
                    <w:top w:val="nil"/>
                    <w:left w:val="nil"/>
                    <w:bottom w:val="single" w:sz="4" w:space="0" w:color="auto"/>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19.08</w:t>
                  </w:r>
                </w:p>
              </w:tc>
              <w:tc>
                <w:tcPr>
                  <w:tcW w:w="485" w:type="pct"/>
                  <w:gridSpan w:val="2"/>
                  <w:tcBorders>
                    <w:top w:val="nil"/>
                    <w:left w:val="nil"/>
                    <w:bottom w:val="single" w:sz="4" w:space="0" w:color="auto"/>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21.08</w:t>
                  </w:r>
                </w:p>
              </w:tc>
              <w:tc>
                <w:tcPr>
                  <w:tcW w:w="404" w:type="pct"/>
                  <w:gridSpan w:val="2"/>
                  <w:tcBorders>
                    <w:top w:val="nil"/>
                    <w:left w:val="nil"/>
                    <w:bottom w:val="single" w:sz="4" w:space="0" w:color="auto"/>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14.01</w:t>
                  </w:r>
                </w:p>
              </w:tc>
              <w:tc>
                <w:tcPr>
                  <w:tcW w:w="404" w:type="pct"/>
                  <w:gridSpan w:val="2"/>
                  <w:tcBorders>
                    <w:top w:val="nil"/>
                    <w:left w:val="nil"/>
                    <w:bottom w:val="single" w:sz="4" w:space="0" w:color="auto"/>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12.32</w:t>
                  </w:r>
                </w:p>
              </w:tc>
              <w:tc>
                <w:tcPr>
                  <w:tcW w:w="484" w:type="pct"/>
                  <w:gridSpan w:val="2"/>
                  <w:tcBorders>
                    <w:top w:val="nil"/>
                    <w:left w:val="nil"/>
                    <w:bottom w:val="single" w:sz="4" w:space="0" w:color="auto"/>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15.62</w:t>
                  </w:r>
                </w:p>
              </w:tc>
              <w:tc>
                <w:tcPr>
                  <w:tcW w:w="483" w:type="pct"/>
                  <w:gridSpan w:val="2"/>
                  <w:tcBorders>
                    <w:top w:val="nil"/>
                    <w:left w:val="nil"/>
                    <w:bottom w:val="single" w:sz="4" w:space="0" w:color="auto"/>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136.57</w:t>
                  </w:r>
                </w:p>
              </w:tc>
              <w:tc>
                <w:tcPr>
                  <w:tcW w:w="404" w:type="pct"/>
                  <w:gridSpan w:val="2"/>
                  <w:tcBorders>
                    <w:top w:val="nil"/>
                    <w:left w:val="nil"/>
                    <w:bottom w:val="single" w:sz="4" w:space="0" w:color="auto"/>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8.77</w:t>
                  </w:r>
                </w:p>
              </w:tc>
              <w:tc>
                <w:tcPr>
                  <w:tcW w:w="402" w:type="pct"/>
                  <w:gridSpan w:val="2"/>
                  <w:tcBorders>
                    <w:top w:val="nil"/>
                    <w:left w:val="nil"/>
                    <w:bottom w:val="single" w:sz="4" w:space="0" w:color="auto"/>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21.52</w:t>
                  </w:r>
                </w:p>
              </w:tc>
              <w:tc>
                <w:tcPr>
                  <w:tcW w:w="403" w:type="pct"/>
                  <w:tcBorders>
                    <w:top w:val="nil"/>
                    <w:left w:val="nil"/>
                    <w:bottom w:val="single" w:sz="4" w:space="0" w:color="auto"/>
                    <w:right w:val="nil"/>
                  </w:tcBorders>
                  <w:shd w:val="clear" w:color="auto" w:fill="auto"/>
                  <w:vAlign w:val="center"/>
                  <w:hideMark/>
                </w:tcPr>
                <w:p w:rsidR="001D458F" w:rsidRPr="001D458F" w:rsidRDefault="001D458F" w:rsidP="001D458F">
                  <w:pPr>
                    <w:jc w:val="right"/>
                    <w:rPr>
                      <w:rFonts w:ascii="Arial" w:hAnsi="Arial" w:cs="Arial"/>
                      <w:sz w:val="20"/>
                      <w:szCs w:val="20"/>
                    </w:rPr>
                  </w:pPr>
                  <w:r w:rsidRPr="001D458F">
                    <w:rPr>
                      <w:rFonts w:ascii="Arial" w:hAnsi="Arial" w:cs="Arial"/>
                      <w:sz w:val="20"/>
                      <w:szCs w:val="20"/>
                    </w:rPr>
                    <w:t>20.05</w:t>
                  </w:r>
                </w:p>
              </w:tc>
              <w:tc>
                <w:tcPr>
                  <w:tcW w:w="483" w:type="pct"/>
                  <w:tcBorders>
                    <w:top w:val="nil"/>
                    <w:left w:val="nil"/>
                    <w:bottom w:val="single" w:sz="4" w:space="0" w:color="auto"/>
                    <w:right w:val="nil"/>
                  </w:tcBorders>
                  <w:shd w:val="clear" w:color="auto" w:fill="auto"/>
                  <w:vAlign w:val="center"/>
                  <w:hideMark/>
                </w:tcPr>
                <w:p w:rsidR="001D458F" w:rsidRPr="001D458F" w:rsidRDefault="001D458F" w:rsidP="001D458F">
                  <w:pPr>
                    <w:jc w:val="right"/>
                    <w:rPr>
                      <w:rFonts w:ascii="Arial" w:hAnsi="Arial" w:cs="Arial"/>
                      <w:sz w:val="20"/>
                      <w:szCs w:val="20"/>
                    </w:rPr>
                  </w:pPr>
                  <w:proofErr w:type="spellStart"/>
                  <w:r w:rsidRPr="001D458F">
                    <w:rPr>
                      <w:rFonts w:ascii="Arial" w:hAnsi="Arial" w:cs="Arial"/>
                      <w:sz w:val="20"/>
                      <w:szCs w:val="20"/>
                    </w:rPr>
                    <w:t>9A.13</w:t>
                  </w:r>
                  <w:proofErr w:type="spellEnd"/>
                </w:p>
              </w:tc>
            </w:tr>
          </w:tbl>
          <w:p w:rsidR="006D72B6" w:rsidRPr="00262ED3" w:rsidRDefault="006D72B6" w:rsidP="00233F2C">
            <w:pPr>
              <w:pStyle w:val="FooterEnd"/>
            </w:pPr>
          </w:p>
        </w:tc>
      </w:tr>
    </w:tbl>
    <w:p w:rsidR="006D72B6" w:rsidRPr="00262ED3" w:rsidRDefault="006D72B6" w:rsidP="006D72B6">
      <w:pPr>
        <w:pStyle w:val="Note"/>
        <w:keepNext/>
        <w:keepLines w:val="0"/>
        <w:widowControl w:val="0"/>
        <w:spacing w:line="180" w:lineRule="exact"/>
      </w:pPr>
      <w:r w:rsidRPr="00A05A09">
        <w:rPr>
          <w:rStyle w:val="NoteLabel"/>
        </w:rPr>
        <w:t>a</w:t>
      </w:r>
      <w:r w:rsidRPr="00262ED3">
        <w:t xml:space="preserve"> Caveats for these data are available in </w:t>
      </w:r>
      <w:r>
        <w:t>c</w:t>
      </w:r>
      <w:r w:rsidRPr="00262ED3">
        <w:t>hapter</w:t>
      </w:r>
      <w:r w:rsidR="001525FA">
        <w:t> </w:t>
      </w:r>
      <w:r>
        <w:t>9</w:t>
      </w:r>
      <w:r w:rsidRPr="00262ED3">
        <w:t xml:space="preserve"> and </w:t>
      </w:r>
      <w:r>
        <w:t>a</w:t>
      </w:r>
      <w:r w:rsidRPr="00262ED3">
        <w:t>ttachment</w:t>
      </w:r>
      <w:r w:rsidR="001525FA">
        <w:t> </w:t>
      </w:r>
      <w:r>
        <w:t>9</w:t>
      </w:r>
      <w:r w:rsidRPr="00262ED3">
        <w:t>A. Refer to the indicator interpretation boxes in chapter</w:t>
      </w:r>
      <w:r w:rsidR="001525FA">
        <w:t> </w:t>
      </w:r>
      <w:r>
        <w:t>9</w:t>
      </w:r>
      <w:r w:rsidRPr="00262ED3">
        <w:t xml:space="preserve"> for information to assist </w:t>
      </w:r>
      <w:r>
        <w:t xml:space="preserve">with the </w:t>
      </w:r>
      <w:r w:rsidRPr="00262ED3">
        <w:t>interpret</w:t>
      </w:r>
      <w:r>
        <w:t>ation of</w:t>
      </w:r>
      <w:r w:rsidRPr="00262ED3">
        <w:t xml:space="preserve"> data presented in this table. </w:t>
      </w:r>
      <w:r>
        <w:rPr>
          <w:rStyle w:val="NoteLabel"/>
        </w:rPr>
        <w:t>b</w:t>
      </w:r>
      <w:r w:rsidRPr="00262ED3">
        <w:t xml:space="preserve"> Some data are derived from detailed data in </w:t>
      </w:r>
      <w:r>
        <w:t>c</w:t>
      </w:r>
      <w:r w:rsidRPr="00262ED3">
        <w:t>hapter</w:t>
      </w:r>
      <w:r w:rsidR="001525FA">
        <w:t> </w:t>
      </w:r>
      <w:r>
        <w:t>9</w:t>
      </w:r>
      <w:r w:rsidRPr="00262ED3">
        <w:t xml:space="preserve"> and </w:t>
      </w:r>
      <w:r>
        <w:t>a</w:t>
      </w:r>
      <w:r w:rsidRPr="00262ED3">
        <w:t>ttachment</w:t>
      </w:r>
      <w:r w:rsidR="001525FA">
        <w:t> </w:t>
      </w:r>
      <w:r>
        <w:t>9</w:t>
      </w:r>
      <w:r w:rsidRPr="00262ED3">
        <w:t xml:space="preserve">A. </w:t>
      </w:r>
      <w:r w:rsidRPr="00912EF9">
        <w:rPr>
          <w:b/>
        </w:rPr>
        <w:t>na</w:t>
      </w:r>
      <w:r w:rsidRPr="00602768">
        <w:t xml:space="preserve"> Not available</w:t>
      </w:r>
      <w:r>
        <w:t xml:space="preserve">. </w:t>
      </w:r>
    </w:p>
    <w:p w:rsidR="006D72B6" w:rsidRDefault="006D72B6" w:rsidP="006D72B6">
      <w:pPr>
        <w:pStyle w:val="Source"/>
        <w:keepLines w:val="0"/>
        <w:widowControl w:val="0"/>
        <w:spacing w:before="40" w:after="0"/>
      </w:pPr>
      <w:r w:rsidRPr="00840D2D">
        <w:rPr>
          <w:i/>
        </w:rPr>
        <w:t>Source</w:t>
      </w:r>
      <w:r w:rsidRPr="00262ED3">
        <w:t>: Chapter</w:t>
      </w:r>
      <w:r w:rsidR="001525FA">
        <w:t> </w:t>
      </w:r>
      <w:r>
        <w:t>9</w:t>
      </w:r>
      <w:r w:rsidRPr="00262ED3">
        <w:t xml:space="preserve"> and </w:t>
      </w:r>
      <w:r>
        <w:t>a</w:t>
      </w:r>
      <w:r w:rsidRPr="00262ED3">
        <w:t>ttachment</w:t>
      </w:r>
      <w:r w:rsidR="001525FA">
        <w:t> </w:t>
      </w:r>
      <w:r>
        <w:t>9</w:t>
      </w:r>
      <w:r w:rsidRPr="00262ED3">
        <w:t>A.</w:t>
      </w:r>
    </w:p>
    <w:p w:rsidR="00DE2D11" w:rsidRDefault="00DE2D11" w:rsidP="00816583">
      <w:pPr>
        <w:pStyle w:val="Heading4"/>
      </w:pPr>
      <w:r w:rsidRPr="00816583">
        <w:lastRenderedPageBreak/>
        <w:t>Ambulance</w:t>
      </w:r>
      <w:r>
        <w:t xml:space="preserve"> events</w:t>
      </w:r>
    </w:p>
    <w:p w:rsidR="00DE2D11" w:rsidRPr="00E6147C" w:rsidRDefault="00DE2D11" w:rsidP="00816583">
      <w:pPr>
        <w:pStyle w:val="BodyText"/>
      </w:pPr>
      <w:r w:rsidRPr="00E6147C">
        <w:t>The performance indicator framework for ambulance events is presented in figure</w:t>
      </w:r>
      <w:r w:rsidR="00FE727D">
        <w:t> </w:t>
      </w:r>
      <w:proofErr w:type="spellStart"/>
      <w:r w:rsidR="00CA09FA">
        <w:t>D.9</w:t>
      </w:r>
      <w:proofErr w:type="spellEnd"/>
      <w:r w:rsidRPr="00E6147C">
        <w:t xml:space="preserve">. </w:t>
      </w:r>
      <w:r w:rsidR="00AB62E8">
        <w:t>This</w:t>
      </w:r>
      <w:r w:rsidR="00AB62E8" w:rsidRPr="00E6147C">
        <w:t xml:space="preserve"> framework provides comprehensive information on the equity, effectiveness</w:t>
      </w:r>
      <w:r w:rsidR="00AB62E8">
        <w:t>,</w:t>
      </w:r>
      <w:r w:rsidR="00AB62E8" w:rsidRPr="00E6147C">
        <w:t xml:space="preserve"> efficiency </w:t>
      </w:r>
      <w:r w:rsidR="00AB62E8">
        <w:t xml:space="preserve">and the outcomes </w:t>
      </w:r>
      <w:r w:rsidR="00AB62E8" w:rsidRPr="00E6147C">
        <w:t xml:space="preserve">of </w:t>
      </w:r>
      <w:r w:rsidR="00AB62E8">
        <w:t>ambulance events</w:t>
      </w:r>
      <w:r w:rsidR="00AB62E8" w:rsidRPr="00E6147C">
        <w:t>.</w:t>
      </w:r>
    </w:p>
    <w:p w:rsidR="00DE2D11" w:rsidRPr="00E6147C" w:rsidRDefault="00DE2D11" w:rsidP="00DE2D11">
      <w:pPr>
        <w:pStyle w:val="FigureTitle"/>
      </w:pPr>
      <w:bookmarkStart w:id="39" w:name="_Toc343076273"/>
      <w:bookmarkStart w:id="40" w:name="_Toc343077263"/>
      <w:r w:rsidRPr="00E6147C">
        <w:rPr>
          <w:b w:val="0"/>
        </w:rPr>
        <w:t>Figure </w:t>
      </w:r>
      <w:bookmarkStart w:id="41" w:name="OLE_LINK19"/>
      <w:proofErr w:type="spellStart"/>
      <w:r w:rsidR="00CA09FA">
        <w:rPr>
          <w:b w:val="0"/>
        </w:rPr>
        <w:t>D.</w:t>
      </w:r>
      <w:r w:rsidR="005A1847">
        <w:rPr>
          <w:b w:val="0"/>
          <w:noProof/>
        </w:rPr>
        <w:t>9</w:t>
      </w:r>
      <w:bookmarkEnd w:id="41"/>
      <w:proofErr w:type="spellEnd"/>
      <w:r w:rsidRPr="00E6147C">
        <w:tab/>
      </w:r>
      <w:r w:rsidR="00264596">
        <w:t>A</w:t>
      </w:r>
      <w:r w:rsidRPr="00E6147C">
        <w:t>mbulance events</w:t>
      </w:r>
      <w:r w:rsidR="00264596">
        <w:t xml:space="preserve"> </w:t>
      </w:r>
      <w:r w:rsidR="00264596" w:rsidRPr="00262ED3">
        <w:t>performance indicator framework</w:t>
      </w:r>
      <w:bookmarkEnd w:id="39"/>
      <w:bookmarkEnd w:id="40"/>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E2D11" w:rsidRPr="00A05A09" w:rsidTr="00DE2D11">
        <w:tc>
          <w:tcPr>
            <w:tcW w:w="8777" w:type="dxa"/>
          </w:tcPr>
          <w:p w:rsidR="00DE2D11" w:rsidRPr="00615D50" w:rsidRDefault="00CD3BFD" w:rsidP="00615D50">
            <w:pPr>
              <w:pStyle w:val="Figure"/>
              <w:keepNext w:val="0"/>
              <w:spacing w:after="0"/>
            </w:pPr>
            <w:r>
              <w:rPr>
                <w:noProof/>
              </w:rPr>
              <w:drawing>
                <wp:inline distT="0" distB="0" distL="0" distR="0" wp14:anchorId="7043665C" wp14:editId="64BABAC6">
                  <wp:extent cx="5571490" cy="6943090"/>
                  <wp:effectExtent l="0" t="0" r="0" b="0"/>
                  <wp:docPr id="6" name="Picture 6" descr="Figure D.9 Ambulance event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71490" cy="6943090"/>
                          </a:xfrm>
                          <a:prstGeom prst="rect">
                            <a:avLst/>
                          </a:prstGeom>
                          <a:noFill/>
                          <a:ln>
                            <a:noFill/>
                          </a:ln>
                        </pic:spPr>
                      </pic:pic>
                    </a:graphicData>
                  </a:graphic>
                </wp:inline>
              </w:drawing>
            </w:r>
          </w:p>
        </w:tc>
      </w:tr>
    </w:tbl>
    <w:p w:rsidR="00840D2D" w:rsidRDefault="00840D2D" w:rsidP="00840D2D">
      <w:pPr>
        <w:pStyle w:val="BodyText"/>
      </w:pPr>
      <w:r w:rsidRPr="00E6147C">
        <w:lastRenderedPageBreak/>
        <w:t xml:space="preserve">An overview of the ambulance events indicator results </w:t>
      </w:r>
      <w:r w:rsidR="007F1100">
        <w:t>for 2012</w:t>
      </w:r>
      <w:r w:rsidR="001525FA">
        <w:noBreakHyphen/>
      </w:r>
      <w:r w:rsidR="007F1100">
        <w:t xml:space="preserve">13 (or latest period available) </w:t>
      </w:r>
      <w:r w:rsidRPr="00E6147C">
        <w:t>is presented in table </w:t>
      </w:r>
      <w:proofErr w:type="spellStart"/>
      <w:r w:rsidR="00CA09FA">
        <w:t>D.3</w:t>
      </w:r>
      <w:proofErr w:type="spellEnd"/>
      <w:r w:rsidRPr="00E6147C">
        <w:t xml:space="preserve">. </w:t>
      </w:r>
      <w:r>
        <w:t>Information to assist the interpretation of these data can be found in the indicator interpretation boxes in chapter</w:t>
      </w:r>
      <w:r w:rsidR="001525FA">
        <w:t> </w:t>
      </w:r>
      <w:r>
        <w:t>9 and the footnotes in attachment</w:t>
      </w:r>
      <w:r w:rsidR="000D104C">
        <w:t> </w:t>
      </w:r>
      <w:r>
        <w:t>9A.</w:t>
      </w:r>
    </w:p>
    <w:p w:rsidR="00C2532A" w:rsidRDefault="00615D50" w:rsidP="00C2532A">
      <w:pPr>
        <w:pStyle w:val="TableTitle"/>
      </w:pPr>
      <w:r w:rsidRPr="00E6147C">
        <w:rPr>
          <w:b w:val="0"/>
        </w:rPr>
        <w:t xml:space="preserve">Table </w:t>
      </w:r>
      <w:bookmarkStart w:id="42" w:name="OLE_LINK3"/>
      <w:proofErr w:type="spellStart"/>
      <w:r w:rsidR="001D458F">
        <w:rPr>
          <w:b w:val="0"/>
        </w:rPr>
        <w:t>D.</w:t>
      </w:r>
      <w:r w:rsidR="005A1847">
        <w:rPr>
          <w:b w:val="0"/>
          <w:noProof/>
        </w:rPr>
        <w:t>3</w:t>
      </w:r>
      <w:bookmarkEnd w:id="42"/>
      <w:proofErr w:type="spellEnd"/>
      <w:r w:rsidRPr="00E6147C">
        <w:rPr>
          <w:b w:val="0"/>
        </w:rPr>
        <w:tab/>
      </w:r>
      <w:r w:rsidRPr="00262ED3">
        <w:t xml:space="preserve">Performance indicators for </w:t>
      </w:r>
      <w:r>
        <w:t>ambulance events</w:t>
      </w:r>
      <w:r w:rsidRPr="00FC75AE">
        <w:rPr>
          <w:rStyle w:val="NoteLabel"/>
          <w:b/>
        </w:rPr>
        <w:t>a, b</w:t>
      </w:r>
    </w:p>
    <w:tbl>
      <w:tblPr>
        <w:tblW w:w="5000" w:type="pct"/>
        <w:tblLayout w:type="fixed"/>
        <w:tblCellMar>
          <w:left w:w="0" w:type="dxa"/>
          <w:right w:w="0" w:type="dxa"/>
        </w:tblCellMar>
        <w:tblLook w:val="0000" w:firstRow="0" w:lastRow="0" w:firstColumn="0" w:lastColumn="0" w:noHBand="0" w:noVBand="0"/>
      </w:tblPr>
      <w:tblGrid>
        <w:gridCol w:w="8789"/>
      </w:tblGrid>
      <w:tr w:rsidR="0042163F" w:rsidTr="003773D9">
        <w:tc>
          <w:tcPr>
            <w:tcW w:w="5000" w:type="pct"/>
            <w:tcBorders>
              <w:top w:val="single" w:sz="4" w:space="0" w:color="auto"/>
              <w:bottom w:val="single" w:sz="4" w:space="0" w:color="auto"/>
            </w:tcBorders>
            <w:shd w:val="clear" w:color="auto" w:fill="auto"/>
          </w:tcPr>
          <w:p w:rsidR="00F01DBE" w:rsidRPr="00F01DBE" w:rsidRDefault="00F01DBE" w:rsidP="00F01DBE">
            <w:pPr>
              <w:pStyle w:val="HeaderEnd"/>
              <w:rPr>
                <w:rFonts w:ascii="Times New Roman" w:hAnsi="Times New Roman"/>
              </w:rPr>
            </w:pPr>
          </w:p>
          <w:tbl>
            <w:tblPr>
              <w:tblW w:w="8877" w:type="dxa"/>
              <w:tblLayout w:type="fixed"/>
              <w:tblLook w:val="04A0" w:firstRow="1" w:lastRow="0" w:firstColumn="1" w:lastColumn="0" w:noHBand="0" w:noVBand="1"/>
            </w:tblPr>
            <w:tblGrid>
              <w:gridCol w:w="993"/>
              <w:gridCol w:w="789"/>
              <w:gridCol w:w="789"/>
              <w:gridCol w:w="788"/>
              <w:gridCol w:w="788"/>
              <w:gridCol w:w="788"/>
              <w:gridCol w:w="788"/>
              <w:gridCol w:w="788"/>
              <w:gridCol w:w="788"/>
              <w:gridCol w:w="788"/>
              <w:gridCol w:w="790"/>
            </w:tblGrid>
            <w:tr w:rsidR="00F01DBE" w:rsidRPr="00F01DBE" w:rsidTr="00F01DBE">
              <w:trPr>
                <w:divId w:val="1267424963"/>
                <w:trHeight w:val="330"/>
              </w:trPr>
              <w:tc>
                <w:tcPr>
                  <w:tcW w:w="559" w:type="pct"/>
                  <w:tcBorders>
                    <w:top w:val="nil"/>
                    <w:left w:val="nil"/>
                    <w:bottom w:val="single" w:sz="4" w:space="0" w:color="auto"/>
                    <w:right w:val="nil"/>
                  </w:tcBorders>
                  <w:shd w:val="clear" w:color="auto" w:fill="auto"/>
                  <w:vAlign w:val="center"/>
                  <w:hideMark/>
                </w:tcPr>
                <w:p w:rsidR="00F01DBE" w:rsidRPr="00F01DBE" w:rsidRDefault="00F01DBE" w:rsidP="00F01DBE">
                  <w:pPr>
                    <w:rPr>
                      <w:rFonts w:ascii="Arial" w:hAnsi="Arial" w:cs="Arial"/>
                      <w:i/>
                      <w:iCs/>
                      <w:sz w:val="20"/>
                      <w:szCs w:val="20"/>
                    </w:rPr>
                  </w:pPr>
                  <w:r w:rsidRPr="00F01DBE">
                    <w:rPr>
                      <w:rFonts w:ascii="Arial" w:hAnsi="Arial" w:cs="Arial"/>
                      <w:i/>
                      <w:iCs/>
                      <w:sz w:val="20"/>
                      <w:szCs w:val="20"/>
                    </w:rPr>
                    <w:t> </w:t>
                  </w:r>
                </w:p>
              </w:tc>
              <w:tc>
                <w:tcPr>
                  <w:tcW w:w="444" w:type="pct"/>
                  <w:tcBorders>
                    <w:top w:val="nil"/>
                    <w:left w:val="nil"/>
                    <w:bottom w:val="single" w:sz="4" w:space="0" w:color="auto"/>
                    <w:right w:val="nil"/>
                  </w:tcBorders>
                  <w:shd w:val="clear" w:color="auto" w:fill="auto"/>
                  <w:vAlign w:val="center"/>
                  <w:hideMark/>
                </w:tcPr>
                <w:p w:rsidR="00F01DBE" w:rsidRPr="00F01DBE" w:rsidRDefault="00F01DBE" w:rsidP="00F01DBE">
                  <w:pPr>
                    <w:jc w:val="right"/>
                    <w:rPr>
                      <w:rFonts w:ascii="Arial" w:hAnsi="Arial" w:cs="Arial"/>
                      <w:i/>
                      <w:iCs/>
                      <w:sz w:val="20"/>
                      <w:szCs w:val="20"/>
                    </w:rPr>
                  </w:pPr>
                  <w:r w:rsidRPr="00F01DBE">
                    <w:rPr>
                      <w:rFonts w:ascii="Arial" w:hAnsi="Arial" w:cs="Arial"/>
                      <w:i/>
                      <w:iCs/>
                      <w:sz w:val="20"/>
                      <w:szCs w:val="20"/>
                    </w:rPr>
                    <w:t>NSW</w:t>
                  </w:r>
                </w:p>
              </w:tc>
              <w:tc>
                <w:tcPr>
                  <w:tcW w:w="444" w:type="pct"/>
                  <w:tcBorders>
                    <w:top w:val="nil"/>
                    <w:left w:val="nil"/>
                    <w:bottom w:val="single" w:sz="4" w:space="0" w:color="auto"/>
                    <w:right w:val="nil"/>
                  </w:tcBorders>
                  <w:shd w:val="clear" w:color="auto" w:fill="auto"/>
                  <w:vAlign w:val="center"/>
                  <w:hideMark/>
                </w:tcPr>
                <w:p w:rsidR="00F01DBE" w:rsidRPr="00F01DBE" w:rsidRDefault="00F01DBE" w:rsidP="00F01DBE">
                  <w:pPr>
                    <w:jc w:val="right"/>
                    <w:rPr>
                      <w:rFonts w:ascii="Arial" w:hAnsi="Arial" w:cs="Arial"/>
                      <w:i/>
                      <w:iCs/>
                      <w:sz w:val="20"/>
                      <w:szCs w:val="20"/>
                    </w:rPr>
                  </w:pPr>
                  <w:r w:rsidRPr="00F01DBE">
                    <w:rPr>
                      <w:rFonts w:ascii="Arial" w:hAnsi="Arial" w:cs="Arial"/>
                      <w:i/>
                      <w:iCs/>
                      <w:sz w:val="20"/>
                      <w:szCs w:val="20"/>
                    </w:rPr>
                    <w:t>Vic</w:t>
                  </w:r>
                </w:p>
              </w:tc>
              <w:tc>
                <w:tcPr>
                  <w:tcW w:w="444" w:type="pct"/>
                  <w:tcBorders>
                    <w:top w:val="nil"/>
                    <w:left w:val="nil"/>
                    <w:bottom w:val="single" w:sz="4" w:space="0" w:color="auto"/>
                    <w:right w:val="nil"/>
                  </w:tcBorders>
                  <w:shd w:val="clear" w:color="auto" w:fill="auto"/>
                  <w:vAlign w:val="center"/>
                  <w:hideMark/>
                </w:tcPr>
                <w:p w:rsidR="00F01DBE" w:rsidRPr="00F01DBE" w:rsidRDefault="00F01DBE" w:rsidP="00F01DBE">
                  <w:pPr>
                    <w:jc w:val="right"/>
                    <w:rPr>
                      <w:rFonts w:ascii="Arial" w:hAnsi="Arial" w:cs="Arial"/>
                      <w:i/>
                      <w:iCs/>
                      <w:sz w:val="20"/>
                      <w:szCs w:val="20"/>
                    </w:rPr>
                  </w:pPr>
                  <w:r w:rsidRPr="00F01DBE">
                    <w:rPr>
                      <w:rFonts w:ascii="Arial" w:hAnsi="Arial" w:cs="Arial"/>
                      <w:i/>
                      <w:iCs/>
                      <w:sz w:val="20"/>
                      <w:szCs w:val="20"/>
                    </w:rPr>
                    <w:t>Qld</w:t>
                  </w:r>
                </w:p>
              </w:tc>
              <w:tc>
                <w:tcPr>
                  <w:tcW w:w="444" w:type="pct"/>
                  <w:tcBorders>
                    <w:top w:val="nil"/>
                    <w:left w:val="nil"/>
                    <w:bottom w:val="single" w:sz="4" w:space="0" w:color="auto"/>
                    <w:right w:val="nil"/>
                  </w:tcBorders>
                  <w:shd w:val="clear" w:color="auto" w:fill="auto"/>
                  <w:vAlign w:val="center"/>
                  <w:hideMark/>
                </w:tcPr>
                <w:p w:rsidR="00F01DBE" w:rsidRPr="00F01DBE" w:rsidRDefault="00F01DBE" w:rsidP="00F01DBE">
                  <w:pPr>
                    <w:jc w:val="right"/>
                    <w:rPr>
                      <w:rFonts w:ascii="Arial" w:hAnsi="Arial" w:cs="Arial"/>
                      <w:i/>
                      <w:iCs/>
                      <w:sz w:val="20"/>
                      <w:szCs w:val="20"/>
                    </w:rPr>
                  </w:pPr>
                  <w:r w:rsidRPr="00F01DBE">
                    <w:rPr>
                      <w:rFonts w:ascii="Arial" w:hAnsi="Arial" w:cs="Arial"/>
                      <w:i/>
                      <w:iCs/>
                      <w:sz w:val="20"/>
                      <w:szCs w:val="20"/>
                    </w:rPr>
                    <w:t>WA</w:t>
                  </w:r>
                </w:p>
              </w:tc>
              <w:tc>
                <w:tcPr>
                  <w:tcW w:w="444" w:type="pct"/>
                  <w:tcBorders>
                    <w:top w:val="nil"/>
                    <w:left w:val="nil"/>
                    <w:bottom w:val="single" w:sz="4" w:space="0" w:color="auto"/>
                    <w:right w:val="nil"/>
                  </w:tcBorders>
                  <w:shd w:val="clear" w:color="auto" w:fill="auto"/>
                  <w:vAlign w:val="center"/>
                  <w:hideMark/>
                </w:tcPr>
                <w:p w:rsidR="00F01DBE" w:rsidRPr="00F01DBE" w:rsidRDefault="00F01DBE" w:rsidP="00F01DBE">
                  <w:pPr>
                    <w:jc w:val="right"/>
                    <w:rPr>
                      <w:rFonts w:ascii="Arial" w:hAnsi="Arial" w:cs="Arial"/>
                      <w:i/>
                      <w:iCs/>
                      <w:sz w:val="20"/>
                      <w:szCs w:val="20"/>
                    </w:rPr>
                  </w:pPr>
                  <w:r w:rsidRPr="00F01DBE">
                    <w:rPr>
                      <w:rFonts w:ascii="Arial" w:hAnsi="Arial" w:cs="Arial"/>
                      <w:i/>
                      <w:iCs/>
                      <w:sz w:val="20"/>
                      <w:szCs w:val="20"/>
                    </w:rPr>
                    <w:t>SA</w:t>
                  </w:r>
                </w:p>
              </w:tc>
              <w:tc>
                <w:tcPr>
                  <w:tcW w:w="444" w:type="pct"/>
                  <w:tcBorders>
                    <w:top w:val="nil"/>
                    <w:left w:val="nil"/>
                    <w:bottom w:val="single" w:sz="4" w:space="0" w:color="auto"/>
                    <w:right w:val="nil"/>
                  </w:tcBorders>
                  <w:shd w:val="clear" w:color="auto" w:fill="auto"/>
                  <w:vAlign w:val="center"/>
                  <w:hideMark/>
                </w:tcPr>
                <w:p w:rsidR="00F01DBE" w:rsidRPr="00F01DBE" w:rsidRDefault="00F01DBE" w:rsidP="00F01DBE">
                  <w:pPr>
                    <w:jc w:val="right"/>
                    <w:rPr>
                      <w:rFonts w:ascii="Arial" w:hAnsi="Arial" w:cs="Arial"/>
                      <w:i/>
                      <w:iCs/>
                      <w:sz w:val="20"/>
                      <w:szCs w:val="20"/>
                    </w:rPr>
                  </w:pPr>
                  <w:r w:rsidRPr="00F01DBE">
                    <w:rPr>
                      <w:rFonts w:ascii="Arial" w:hAnsi="Arial" w:cs="Arial"/>
                      <w:i/>
                      <w:iCs/>
                      <w:sz w:val="20"/>
                      <w:szCs w:val="20"/>
                    </w:rPr>
                    <w:t>Tas</w:t>
                  </w:r>
                </w:p>
              </w:tc>
              <w:tc>
                <w:tcPr>
                  <w:tcW w:w="444" w:type="pct"/>
                  <w:tcBorders>
                    <w:top w:val="nil"/>
                    <w:left w:val="nil"/>
                    <w:bottom w:val="single" w:sz="4" w:space="0" w:color="auto"/>
                    <w:right w:val="nil"/>
                  </w:tcBorders>
                  <w:shd w:val="clear" w:color="auto" w:fill="auto"/>
                  <w:vAlign w:val="center"/>
                  <w:hideMark/>
                </w:tcPr>
                <w:p w:rsidR="00F01DBE" w:rsidRPr="00F01DBE" w:rsidRDefault="00F01DBE" w:rsidP="00F01DBE">
                  <w:pPr>
                    <w:jc w:val="right"/>
                    <w:rPr>
                      <w:rFonts w:ascii="Arial" w:hAnsi="Arial" w:cs="Arial"/>
                      <w:i/>
                      <w:iCs/>
                      <w:sz w:val="20"/>
                      <w:szCs w:val="20"/>
                    </w:rPr>
                  </w:pPr>
                  <w:r w:rsidRPr="00F01DBE">
                    <w:rPr>
                      <w:rFonts w:ascii="Arial" w:hAnsi="Arial" w:cs="Arial"/>
                      <w:i/>
                      <w:iCs/>
                      <w:sz w:val="20"/>
                      <w:szCs w:val="20"/>
                    </w:rPr>
                    <w:t>ACT</w:t>
                  </w:r>
                </w:p>
              </w:tc>
              <w:tc>
                <w:tcPr>
                  <w:tcW w:w="444" w:type="pct"/>
                  <w:tcBorders>
                    <w:top w:val="nil"/>
                    <w:left w:val="nil"/>
                    <w:bottom w:val="single" w:sz="4" w:space="0" w:color="auto"/>
                    <w:right w:val="nil"/>
                  </w:tcBorders>
                  <w:shd w:val="clear" w:color="auto" w:fill="auto"/>
                  <w:vAlign w:val="center"/>
                  <w:hideMark/>
                </w:tcPr>
                <w:p w:rsidR="00F01DBE" w:rsidRPr="00F01DBE" w:rsidRDefault="00F01DBE" w:rsidP="00F01DBE">
                  <w:pPr>
                    <w:jc w:val="right"/>
                    <w:rPr>
                      <w:rFonts w:ascii="Arial" w:hAnsi="Arial" w:cs="Arial"/>
                      <w:i/>
                      <w:iCs/>
                      <w:sz w:val="20"/>
                      <w:szCs w:val="20"/>
                    </w:rPr>
                  </w:pPr>
                  <w:r w:rsidRPr="00F01DBE">
                    <w:rPr>
                      <w:rFonts w:ascii="Arial" w:hAnsi="Arial" w:cs="Arial"/>
                      <w:i/>
                      <w:iCs/>
                      <w:sz w:val="20"/>
                      <w:szCs w:val="20"/>
                    </w:rPr>
                    <w:t>NT</w:t>
                  </w:r>
                </w:p>
              </w:tc>
              <w:tc>
                <w:tcPr>
                  <w:tcW w:w="444" w:type="pct"/>
                  <w:tcBorders>
                    <w:top w:val="nil"/>
                    <w:left w:val="nil"/>
                    <w:bottom w:val="single" w:sz="4" w:space="0" w:color="auto"/>
                    <w:right w:val="nil"/>
                  </w:tcBorders>
                  <w:shd w:val="clear" w:color="auto" w:fill="auto"/>
                  <w:vAlign w:val="center"/>
                  <w:hideMark/>
                </w:tcPr>
                <w:p w:rsidR="00F01DBE" w:rsidRPr="00F01DBE" w:rsidRDefault="00F01DBE" w:rsidP="00F01DBE">
                  <w:pPr>
                    <w:jc w:val="right"/>
                    <w:rPr>
                      <w:rFonts w:ascii="Arial" w:hAnsi="Arial" w:cs="Arial"/>
                      <w:i/>
                      <w:iCs/>
                      <w:sz w:val="20"/>
                      <w:szCs w:val="20"/>
                    </w:rPr>
                  </w:pPr>
                  <w:r w:rsidRPr="00F01DBE">
                    <w:rPr>
                      <w:rFonts w:ascii="Arial" w:hAnsi="Arial" w:cs="Arial"/>
                      <w:i/>
                      <w:iCs/>
                      <w:sz w:val="20"/>
                      <w:szCs w:val="20"/>
                    </w:rPr>
                    <w:t>Aust</w:t>
                  </w:r>
                </w:p>
              </w:tc>
              <w:tc>
                <w:tcPr>
                  <w:tcW w:w="445" w:type="pct"/>
                  <w:tcBorders>
                    <w:top w:val="nil"/>
                    <w:left w:val="nil"/>
                    <w:bottom w:val="single" w:sz="4" w:space="0" w:color="auto"/>
                    <w:right w:val="nil"/>
                  </w:tcBorders>
                  <w:shd w:val="clear" w:color="auto" w:fill="auto"/>
                  <w:vAlign w:val="center"/>
                  <w:hideMark/>
                </w:tcPr>
                <w:p w:rsidR="00F01DBE" w:rsidRPr="00F01DBE" w:rsidRDefault="00F01DBE" w:rsidP="00F01DBE">
                  <w:pPr>
                    <w:ind w:hanging="115"/>
                    <w:jc w:val="right"/>
                    <w:rPr>
                      <w:rFonts w:ascii="Arial" w:hAnsi="Arial" w:cs="Arial"/>
                      <w:i/>
                      <w:iCs/>
                      <w:sz w:val="20"/>
                      <w:szCs w:val="20"/>
                    </w:rPr>
                  </w:pPr>
                  <w:r w:rsidRPr="00F01DBE">
                    <w:rPr>
                      <w:rFonts w:ascii="Arial" w:hAnsi="Arial" w:cs="Arial"/>
                      <w:i/>
                      <w:iCs/>
                      <w:sz w:val="20"/>
                      <w:szCs w:val="20"/>
                    </w:rPr>
                    <w:t>Source</w:t>
                  </w:r>
                </w:p>
              </w:tc>
            </w:tr>
            <w:tr w:rsidR="00F01DBE" w:rsidRPr="00F01DBE" w:rsidTr="00F01DBE">
              <w:trPr>
                <w:divId w:val="1267424963"/>
                <w:trHeight w:val="330"/>
              </w:trPr>
              <w:tc>
                <w:tcPr>
                  <w:tcW w:w="5000" w:type="pct"/>
                  <w:gridSpan w:val="11"/>
                  <w:tcBorders>
                    <w:top w:val="nil"/>
                    <w:left w:val="nil"/>
                    <w:bottom w:val="nil"/>
                    <w:right w:val="nil"/>
                  </w:tcBorders>
                  <w:shd w:val="clear" w:color="auto" w:fill="auto"/>
                  <w:vAlign w:val="center"/>
                  <w:hideMark/>
                </w:tcPr>
                <w:p w:rsidR="00F01DBE" w:rsidRPr="00F01DBE" w:rsidRDefault="00F01DBE" w:rsidP="00F01DBE">
                  <w:pPr>
                    <w:rPr>
                      <w:rFonts w:ascii="Arial" w:hAnsi="Arial" w:cs="Arial"/>
                      <w:b/>
                      <w:bCs/>
                      <w:sz w:val="20"/>
                      <w:szCs w:val="20"/>
                    </w:rPr>
                  </w:pPr>
                  <w:r w:rsidRPr="00F01DBE">
                    <w:rPr>
                      <w:rFonts w:ascii="Arial" w:hAnsi="Arial" w:cs="Arial"/>
                      <w:b/>
                      <w:bCs/>
                      <w:sz w:val="20"/>
                      <w:szCs w:val="20"/>
                    </w:rPr>
                    <w:t>Equity — Access indicators</w:t>
                  </w:r>
                </w:p>
              </w:tc>
            </w:tr>
            <w:tr w:rsidR="00F01DBE" w:rsidRPr="00F01DBE" w:rsidTr="00F01DBE">
              <w:trPr>
                <w:divId w:val="1267424963"/>
                <w:trHeight w:val="330"/>
              </w:trPr>
              <w:tc>
                <w:tcPr>
                  <w:tcW w:w="5000" w:type="pct"/>
                  <w:gridSpan w:val="11"/>
                  <w:tcBorders>
                    <w:top w:val="nil"/>
                    <w:left w:val="nil"/>
                    <w:bottom w:val="nil"/>
                    <w:right w:val="nil"/>
                  </w:tcBorders>
                  <w:shd w:val="clear" w:color="auto" w:fill="auto"/>
                  <w:vAlign w:val="center"/>
                  <w:hideMark/>
                </w:tcPr>
                <w:p w:rsidR="00F01DBE" w:rsidRPr="00F01DBE" w:rsidRDefault="00F01DBE" w:rsidP="00F01DBE">
                  <w:pPr>
                    <w:ind w:leftChars="60" w:left="274" w:hangingChars="59" w:hanging="118"/>
                    <w:rPr>
                      <w:rFonts w:ascii="Arial" w:hAnsi="Arial" w:cs="Arial"/>
                      <w:i/>
                      <w:iCs/>
                      <w:sz w:val="20"/>
                      <w:szCs w:val="20"/>
                    </w:rPr>
                  </w:pPr>
                  <w:r w:rsidRPr="00F01DBE">
                    <w:rPr>
                      <w:rFonts w:ascii="Arial" w:hAnsi="Arial" w:cs="Arial"/>
                      <w:i/>
                      <w:iCs/>
                      <w:sz w:val="20"/>
                      <w:szCs w:val="20"/>
                    </w:rPr>
                    <w:t>Response locations, 2012</w:t>
                  </w:r>
                  <w:r w:rsidR="001525FA">
                    <w:rPr>
                      <w:rFonts w:ascii="Arial" w:hAnsi="Arial" w:cs="Arial"/>
                      <w:i/>
                      <w:iCs/>
                      <w:sz w:val="20"/>
                      <w:szCs w:val="20"/>
                    </w:rPr>
                    <w:noBreakHyphen/>
                  </w:r>
                  <w:r w:rsidRPr="00F01DBE">
                    <w:rPr>
                      <w:rFonts w:ascii="Arial" w:hAnsi="Arial" w:cs="Arial"/>
                      <w:i/>
                      <w:iCs/>
                      <w:sz w:val="20"/>
                      <w:szCs w:val="20"/>
                    </w:rPr>
                    <w:t>13 — Paid, mixed and volunteer locations per 100 000 people</w:t>
                  </w:r>
                </w:p>
              </w:tc>
            </w:tr>
            <w:tr w:rsidR="00F01DBE" w:rsidRPr="00F01DBE" w:rsidTr="00F01DBE">
              <w:trPr>
                <w:divId w:val="1267424963"/>
                <w:trHeight w:val="195"/>
              </w:trPr>
              <w:tc>
                <w:tcPr>
                  <w:tcW w:w="5000" w:type="pct"/>
                  <w:gridSpan w:val="11"/>
                  <w:tcBorders>
                    <w:top w:val="nil"/>
                    <w:left w:val="nil"/>
                    <w:bottom w:val="nil"/>
                    <w:right w:val="nil"/>
                  </w:tcBorders>
                  <w:shd w:val="clear" w:color="auto" w:fill="auto"/>
                  <w:vAlign w:val="center"/>
                  <w:hideMark/>
                </w:tcPr>
                <w:p w:rsidR="00F01DBE" w:rsidRPr="00F01DBE" w:rsidRDefault="00F01DBE" w:rsidP="00F01DBE">
                  <w:pPr>
                    <w:ind w:firstLineChars="100" w:firstLine="160"/>
                    <w:rPr>
                      <w:rFonts w:ascii="Arial" w:hAnsi="Arial" w:cs="Arial"/>
                      <w:sz w:val="16"/>
                      <w:szCs w:val="16"/>
                    </w:rPr>
                  </w:pPr>
                  <w:r w:rsidRPr="00F01DBE">
                    <w:rPr>
                      <w:rFonts w:ascii="Arial" w:hAnsi="Arial" w:cs="Arial"/>
                      <w:sz w:val="16"/>
                      <w:szCs w:val="16"/>
                    </w:rPr>
                    <w:t>Most recent data for this measure are comparable and complete (chapter 9)</w:t>
                  </w:r>
                </w:p>
              </w:tc>
            </w:tr>
            <w:tr w:rsidR="00F01DBE" w:rsidRPr="00F01DBE" w:rsidTr="00F01DBE">
              <w:trPr>
                <w:divId w:val="1267424963"/>
                <w:trHeight w:val="255"/>
              </w:trPr>
              <w:tc>
                <w:tcPr>
                  <w:tcW w:w="559" w:type="pct"/>
                  <w:tcBorders>
                    <w:top w:val="nil"/>
                    <w:left w:val="nil"/>
                    <w:bottom w:val="nil"/>
                    <w:right w:val="nil"/>
                  </w:tcBorders>
                  <w:shd w:val="clear" w:color="auto" w:fill="auto"/>
                  <w:vAlign w:val="center"/>
                  <w:hideMark/>
                </w:tcPr>
                <w:p w:rsidR="00F01DBE" w:rsidRPr="00F01DBE" w:rsidRDefault="00F01DBE" w:rsidP="00F01DBE">
                  <w:pPr>
                    <w:ind w:firstLineChars="159" w:firstLine="318"/>
                    <w:rPr>
                      <w:rFonts w:ascii="Arial" w:hAnsi="Arial" w:cs="Arial"/>
                      <w:sz w:val="20"/>
                      <w:szCs w:val="20"/>
                    </w:rPr>
                  </w:pPr>
                  <w:r w:rsidRPr="00F01DBE">
                    <w:rPr>
                      <w:rFonts w:ascii="Arial" w:hAnsi="Arial" w:cs="Arial"/>
                      <w:sz w:val="20"/>
                      <w:szCs w:val="20"/>
                    </w:rPr>
                    <w:t>no.</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3.6</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4.5</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5.8</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7.6</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6.8</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9.6</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1.8</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3.8</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5.1</w:t>
                  </w:r>
                </w:p>
              </w:tc>
              <w:tc>
                <w:tcPr>
                  <w:tcW w:w="445"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proofErr w:type="spellStart"/>
                  <w:r w:rsidRPr="00F01DBE">
                    <w:rPr>
                      <w:rFonts w:ascii="Arial" w:hAnsi="Arial" w:cs="Arial"/>
                      <w:sz w:val="20"/>
                      <w:szCs w:val="20"/>
                    </w:rPr>
                    <w:t>9A.38</w:t>
                  </w:r>
                  <w:proofErr w:type="spellEnd"/>
                </w:p>
              </w:tc>
            </w:tr>
            <w:tr w:rsidR="00F01DBE" w:rsidRPr="00F01DBE" w:rsidTr="00F01DBE">
              <w:trPr>
                <w:divId w:val="1267424963"/>
                <w:trHeight w:val="615"/>
              </w:trPr>
              <w:tc>
                <w:tcPr>
                  <w:tcW w:w="5000" w:type="pct"/>
                  <w:gridSpan w:val="11"/>
                  <w:tcBorders>
                    <w:top w:val="nil"/>
                    <w:left w:val="nil"/>
                    <w:bottom w:val="nil"/>
                    <w:right w:val="nil"/>
                  </w:tcBorders>
                  <w:shd w:val="clear" w:color="auto" w:fill="auto"/>
                  <w:vAlign w:val="center"/>
                  <w:hideMark/>
                </w:tcPr>
                <w:p w:rsidR="00F01DBE" w:rsidRPr="00F01DBE" w:rsidRDefault="00F01DBE" w:rsidP="00F01DBE">
                  <w:pPr>
                    <w:ind w:leftChars="60" w:left="274" w:hangingChars="59" w:hanging="118"/>
                    <w:rPr>
                      <w:rFonts w:ascii="Arial" w:hAnsi="Arial" w:cs="Arial"/>
                      <w:i/>
                      <w:iCs/>
                      <w:sz w:val="20"/>
                      <w:szCs w:val="20"/>
                    </w:rPr>
                  </w:pPr>
                  <w:r w:rsidRPr="00F01DBE">
                    <w:rPr>
                      <w:rFonts w:ascii="Arial" w:hAnsi="Arial" w:cs="Arial"/>
                      <w:i/>
                      <w:iCs/>
                      <w:sz w:val="20"/>
                      <w:szCs w:val="20"/>
                    </w:rPr>
                    <w:t>Availability of ambulance officers/paramedics, 2012</w:t>
                  </w:r>
                  <w:r w:rsidR="001525FA">
                    <w:rPr>
                      <w:rFonts w:ascii="Arial" w:hAnsi="Arial" w:cs="Arial"/>
                      <w:i/>
                      <w:iCs/>
                      <w:sz w:val="20"/>
                      <w:szCs w:val="20"/>
                    </w:rPr>
                    <w:noBreakHyphen/>
                  </w:r>
                  <w:r w:rsidRPr="00F01DBE">
                    <w:rPr>
                      <w:rFonts w:ascii="Arial" w:hAnsi="Arial" w:cs="Arial"/>
                      <w:i/>
                      <w:iCs/>
                      <w:sz w:val="20"/>
                      <w:szCs w:val="20"/>
                    </w:rPr>
                    <w:t xml:space="preserve">13 — Number of full time equivalent </w:t>
                  </w:r>
                  <w:r w:rsidRPr="00F01DBE">
                    <w:rPr>
                      <w:rFonts w:ascii="Arial" w:hAnsi="Arial" w:cs="Arial"/>
                      <w:i/>
                      <w:iCs/>
                      <w:sz w:val="20"/>
                      <w:szCs w:val="20"/>
                    </w:rPr>
                    <w:br/>
                    <w:t>ambulance officers/paramedics</w:t>
                  </w:r>
                  <w:r w:rsidR="001525FA">
                    <w:rPr>
                      <w:rFonts w:ascii="Arial" w:hAnsi="Arial" w:cs="Arial"/>
                      <w:i/>
                      <w:iCs/>
                      <w:sz w:val="20"/>
                      <w:szCs w:val="20"/>
                    </w:rPr>
                    <w:t xml:space="preserve"> </w:t>
                  </w:r>
                  <w:r w:rsidRPr="00F01DBE">
                    <w:rPr>
                      <w:rFonts w:ascii="Arial" w:hAnsi="Arial" w:cs="Arial"/>
                      <w:i/>
                      <w:iCs/>
                      <w:sz w:val="20"/>
                      <w:szCs w:val="20"/>
                    </w:rPr>
                    <w:t>per 100 000 people</w:t>
                  </w:r>
                </w:p>
              </w:tc>
            </w:tr>
            <w:tr w:rsidR="00F01DBE" w:rsidRPr="00F01DBE" w:rsidTr="00F01DBE">
              <w:trPr>
                <w:divId w:val="1267424963"/>
                <w:trHeight w:val="199"/>
              </w:trPr>
              <w:tc>
                <w:tcPr>
                  <w:tcW w:w="5000" w:type="pct"/>
                  <w:gridSpan w:val="11"/>
                  <w:tcBorders>
                    <w:top w:val="nil"/>
                    <w:left w:val="nil"/>
                    <w:bottom w:val="nil"/>
                    <w:right w:val="nil"/>
                  </w:tcBorders>
                  <w:shd w:val="clear" w:color="auto" w:fill="auto"/>
                  <w:vAlign w:val="center"/>
                  <w:hideMark/>
                </w:tcPr>
                <w:p w:rsidR="00F01DBE" w:rsidRPr="00F01DBE" w:rsidRDefault="00F01DBE" w:rsidP="00F01DBE">
                  <w:pPr>
                    <w:ind w:firstLineChars="100" w:firstLine="160"/>
                    <w:rPr>
                      <w:rFonts w:ascii="Arial" w:hAnsi="Arial" w:cs="Arial"/>
                      <w:sz w:val="16"/>
                      <w:szCs w:val="16"/>
                    </w:rPr>
                  </w:pPr>
                  <w:r w:rsidRPr="00F01DBE">
                    <w:rPr>
                      <w:rFonts w:ascii="Arial" w:hAnsi="Arial" w:cs="Arial"/>
                      <w:sz w:val="16"/>
                      <w:szCs w:val="16"/>
                    </w:rPr>
                    <w:t>Most recent data for this measure are complete but are not comparable (chapter 9)</w:t>
                  </w:r>
                </w:p>
              </w:tc>
            </w:tr>
            <w:tr w:rsidR="00F01DBE" w:rsidRPr="00F01DBE" w:rsidTr="00F01DBE">
              <w:trPr>
                <w:divId w:val="1267424963"/>
                <w:trHeight w:val="330"/>
              </w:trPr>
              <w:tc>
                <w:tcPr>
                  <w:tcW w:w="559" w:type="pct"/>
                  <w:tcBorders>
                    <w:top w:val="nil"/>
                    <w:left w:val="nil"/>
                    <w:bottom w:val="nil"/>
                    <w:right w:val="nil"/>
                  </w:tcBorders>
                  <w:shd w:val="clear" w:color="auto" w:fill="auto"/>
                  <w:vAlign w:val="center"/>
                  <w:hideMark/>
                </w:tcPr>
                <w:p w:rsidR="00F01DBE" w:rsidRPr="00F01DBE" w:rsidRDefault="00F01DBE" w:rsidP="00F01DBE">
                  <w:pPr>
                    <w:ind w:firstLineChars="159" w:firstLine="318"/>
                    <w:rPr>
                      <w:rFonts w:ascii="Arial" w:hAnsi="Arial" w:cs="Arial"/>
                      <w:sz w:val="20"/>
                      <w:szCs w:val="20"/>
                    </w:rPr>
                  </w:pPr>
                  <w:r w:rsidRPr="00F01DBE">
                    <w:rPr>
                      <w:rFonts w:ascii="Arial" w:hAnsi="Arial" w:cs="Arial"/>
                      <w:sz w:val="20"/>
                      <w:szCs w:val="20"/>
                    </w:rPr>
                    <w:t>no.</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42.4</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49.3</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59.4</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28.3</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46.7</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46.3</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41.3</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43.1</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46.4</w:t>
                  </w:r>
                </w:p>
              </w:tc>
              <w:tc>
                <w:tcPr>
                  <w:tcW w:w="445"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proofErr w:type="spellStart"/>
                  <w:r w:rsidRPr="00F01DBE">
                    <w:rPr>
                      <w:rFonts w:ascii="Arial" w:hAnsi="Arial" w:cs="Arial"/>
                      <w:sz w:val="20"/>
                      <w:szCs w:val="20"/>
                    </w:rPr>
                    <w:t>9A.36</w:t>
                  </w:r>
                  <w:proofErr w:type="spellEnd"/>
                </w:p>
              </w:tc>
            </w:tr>
            <w:tr w:rsidR="00F01DBE" w:rsidRPr="00F01DBE" w:rsidTr="00F01DBE">
              <w:trPr>
                <w:divId w:val="1267424963"/>
                <w:trHeight w:val="330"/>
              </w:trPr>
              <w:tc>
                <w:tcPr>
                  <w:tcW w:w="5000" w:type="pct"/>
                  <w:gridSpan w:val="11"/>
                  <w:tcBorders>
                    <w:top w:val="nil"/>
                    <w:left w:val="nil"/>
                    <w:bottom w:val="nil"/>
                    <w:right w:val="nil"/>
                  </w:tcBorders>
                  <w:shd w:val="clear" w:color="auto" w:fill="auto"/>
                  <w:vAlign w:val="center"/>
                  <w:hideMark/>
                </w:tcPr>
                <w:p w:rsidR="00F01DBE" w:rsidRPr="00F01DBE" w:rsidRDefault="00F01DBE" w:rsidP="00F01DBE">
                  <w:pPr>
                    <w:ind w:leftChars="60" w:left="274" w:hangingChars="59" w:hanging="118"/>
                    <w:rPr>
                      <w:rFonts w:ascii="Arial" w:hAnsi="Arial" w:cs="Arial"/>
                      <w:i/>
                      <w:iCs/>
                      <w:sz w:val="20"/>
                      <w:szCs w:val="20"/>
                    </w:rPr>
                  </w:pPr>
                  <w:r w:rsidRPr="00F01DBE">
                    <w:rPr>
                      <w:rFonts w:ascii="Arial" w:hAnsi="Arial" w:cs="Arial"/>
                      <w:i/>
                      <w:iCs/>
                      <w:sz w:val="20"/>
                      <w:szCs w:val="20"/>
                    </w:rPr>
                    <w:t>Capital city centre response times, 90th percentile, 2012-13</w:t>
                  </w:r>
                </w:p>
              </w:tc>
            </w:tr>
            <w:tr w:rsidR="00F01DBE" w:rsidRPr="00F01DBE" w:rsidTr="00F01DBE">
              <w:trPr>
                <w:divId w:val="1267424963"/>
                <w:trHeight w:val="199"/>
              </w:trPr>
              <w:tc>
                <w:tcPr>
                  <w:tcW w:w="5000" w:type="pct"/>
                  <w:gridSpan w:val="11"/>
                  <w:tcBorders>
                    <w:top w:val="nil"/>
                    <w:left w:val="nil"/>
                    <w:bottom w:val="nil"/>
                    <w:right w:val="nil"/>
                  </w:tcBorders>
                  <w:shd w:val="clear" w:color="auto" w:fill="auto"/>
                  <w:vAlign w:val="center"/>
                  <w:hideMark/>
                </w:tcPr>
                <w:p w:rsidR="00F01DBE" w:rsidRPr="00F01DBE" w:rsidRDefault="00F01DBE" w:rsidP="00F01DBE">
                  <w:pPr>
                    <w:ind w:firstLineChars="100" w:firstLine="160"/>
                    <w:rPr>
                      <w:rFonts w:ascii="Arial" w:hAnsi="Arial" w:cs="Arial"/>
                      <w:sz w:val="16"/>
                      <w:szCs w:val="16"/>
                    </w:rPr>
                  </w:pPr>
                  <w:r w:rsidRPr="00F01DBE">
                    <w:rPr>
                      <w:rFonts w:ascii="Arial" w:hAnsi="Arial" w:cs="Arial"/>
                      <w:sz w:val="16"/>
                      <w:szCs w:val="16"/>
                    </w:rPr>
                    <w:t>Most recent data for this measure are complete but are not comparable (chapter 9)</w:t>
                  </w:r>
                </w:p>
              </w:tc>
            </w:tr>
            <w:tr w:rsidR="00F01DBE" w:rsidRPr="00F01DBE" w:rsidTr="00F01DBE">
              <w:trPr>
                <w:divId w:val="1267424963"/>
                <w:trHeight w:val="330"/>
              </w:trPr>
              <w:tc>
                <w:tcPr>
                  <w:tcW w:w="559" w:type="pct"/>
                  <w:tcBorders>
                    <w:top w:val="nil"/>
                    <w:left w:val="nil"/>
                    <w:bottom w:val="nil"/>
                    <w:right w:val="nil"/>
                  </w:tcBorders>
                  <w:shd w:val="clear" w:color="auto" w:fill="auto"/>
                  <w:vAlign w:val="center"/>
                  <w:hideMark/>
                </w:tcPr>
                <w:p w:rsidR="00F01DBE" w:rsidRPr="00F01DBE" w:rsidRDefault="00F01DBE" w:rsidP="00F01DBE">
                  <w:pPr>
                    <w:ind w:firstLineChars="159" w:firstLine="318"/>
                    <w:rPr>
                      <w:rFonts w:ascii="Arial" w:hAnsi="Arial" w:cs="Arial"/>
                      <w:sz w:val="20"/>
                      <w:szCs w:val="20"/>
                    </w:rPr>
                  </w:pPr>
                  <w:r w:rsidRPr="00F01DBE">
                    <w:rPr>
                      <w:rFonts w:ascii="Arial" w:hAnsi="Arial" w:cs="Arial"/>
                      <w:sz w:val="20"/>
                      <w:szCs w:val="20"/>
                    </w:rPr>
                    <w:t>min.</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20.6</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19.5</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14.9</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14.2</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15.4</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16.1</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13.7</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14.6</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na</w:t>
                  </w:r>
                </w:p>
              </w:tc>
              <w:tc>
                <w:tcPr>
                  <w:tcW w:w="445"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proofErr w:type="spellStart"/>
                  <w:r w:rsidRPr="00F01DBE">
                    <w:rPr>
                      <w:rFonts w:ascii="Arial" w:hAnsi="Arial" w:cs="Arial"/>
                      <w:sz w:val="20"/>
                      <w:szCs w:val="20"/>
                    </w:rPr>
                    <w:t>9A.44</w:t>
                  </w:r>
                  <w:proofErr w:type="spellEnd"/>
                </w:p>
              </w:tc>
            </w:tr>
            <w:tr w:rsidR="00F01DBE" w:rsidRPr="00F01DBE" w:rsidTr="00B6312B">
              <w:trPr>
                <w:divId w:val="1267424963"/>
                <w:trHeight w:val="91"/>
              </w:trPr>
              <w:tc>
                <w:tcPr>
                  <w:tcW w:w="559" w:type="pct"/>
                  <w:tcBorders>
                    <w:top w:val="nil"/>
                    <w:left w:val="nil"/>
                    <w:bottom w:val="nil"/>
                    <w:right w:val="nil"/>
                  </w:tcBorders>
                  <w:shd w:val="clear" w:color="auto" w:fill="auto"/>
                  <w:vAlign w:val="center"/>
                  <w:hideMark/>
                </w:tcPr>
                <w:p w:rsidR="00F01DBE" w:rsidRPr="00F01DBE" w:rsidRDefault="00F01DBE" w:rsidP="00B6312B">
                  <w:pPr>
                    <w:pStyle w:val="HeaderEnd"/>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rPr>
                      <w:rFonts w:cs="Arial"/>
                    </w:rPr>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rPr>
                      <w:rFonts w:cs="Arial"/>
                    </w:rPr>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rPr>
                      <w:rFonts w:cs="Arial"/>
                    </w:rPr>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rPr>
                      <w:rFonts w:cs="Arial"/>
                    </w:rPr>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rPr>
                      <w:rFonts w:cs="Arial"/>
                    </w:rPr>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rPr>
                      <w:rFonts w:cs="Arial"/>
                    </w:rPr>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rPr>
                      <w:rFonts w:cs="Arial"/>
                    </w:rPr>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rPr>
                      <w:rFonts w:cs="Arial"/>
                    </w:rPr>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rPr>
                      <w:rFonts w:cs="Arial"/>
                    </w:rPr>
                  </w:pPr>
                </w:p>
              </w:tc>
              <w:tc>
                <w:tcPr>
                  <w:tcW w:w="445" w:type="pct"/>
                  <w:tcBorders>
                    <w:top w:val="nil"/>
                    <w:left w:val="nil"/>
                    <w:bottom w:val="nil"/>
                    <w:right w:val="nil"/>
                  </w:tcBorders>
                  <w:shd w:val="clear" w:color="auto" w:fill="auto"/>
                  <w:vAlign w:val="center"/>
                  <w:hideMark/>
                </w:tcPr>
                <w:p w:rsidR="00F01DBE" w:rsidRPr="00F01DBE" w:rsidRDefault="00F01DBE" w:rsidP="00B6312B">
                  <w:pPr>
                    <w:pStyle w:val="HeaderEnd"/>
                    <w:rPr>
                      <w:rFonts w:cs="Arial"/>
                    </w:rPr>
                  </w:pPr>
                </w:p>
              </w:tc>
            </w:tr>
            <w:tr w:rsidR="00F01DBE" w:rsidRPr="00F01DBE" w:rsidTr="00F01DBE">
              <w:trPr>
                <w:divId w:val="1267424963"/>
                <w:trHeight w:val="330"/>
              </w:trPr>
              <w:tc>
                <w:tcPr>
                  <w:tcW w:w="5000" w:type="pct"/>
                  <w:gridSpan w:val="11"/>
                  <w:tcBorders>
                    <w:top w:val="nil"/>
                    <w:left w:val="nil"/>
                    <w:bottom w:val="nil"/>
                    <w:right w:val="nil"/>
                  </w:tcBorders>
                  <w:shd w:val="clear" w:color="auto" w:fill="auto"/>
                  <w:vAlign w:val="center"/>
                  <w:hideMark/>
                </w:tcPr>
                <w:p w:rsidR="00F01DBE" w:rsidRPr="00F01DBE" w:rsidRDefault="00F01DBE" w:rsidP="00F01DBE">
                  <w:pPr>
                    <w:rPr>
                      <w:rFonts w:ascii="Arial" w:hAnsi="Arial" w:cs="Arial"/>
                      <w:b/>
                      <w:bCs/>
                      <w:sz w:val="20"/>
                      <w:szCs w:val="20"/>
                    </w:rPr>
                  </w:pPr>
                  <w:r w:rsidRPr="00F01DBE">
                    <w:rPr>
                      <w:rFonts w:ascii="Arial" w:hAnsi="Arial" w:cs="Arial"/>
                      <w:b/>
                      <w:bCs/>
                      <w:sz w:val="20"/>
                      <w:szCs w:val="20"/>
                    </w:rPr>
                    <w:t>Effectiveness — Access indicators</w:t>
                  </w:r>
                </w:p>
              </w:tc>
            </w:tr>
            <w:tr w:rsidR="00F01DBE" w:rsidRPr="00F01DBE" w:rsidTr="00F01DBE">
              <w:trPr>
                <w:divId w:val="1267424963"/>
                <w:trHeight w:val="330"/>
              </w:trPr>
              <w:tc>
                <w:tcPr>
                  <w:tcW w:w="5000" w:type="pct"/>
                  <w:gridSpan w:val="11"/>
                  <w:tcBorders>
                    <w:top w:val="nil"/>
                    <w:left w:val="nil"/>
                    <w:bottom w:val="nil"/>
                    <w:right w:val="nil"/>
                  </w:tcBorders>
                  <w:shd w:val="clear" w:color="auto" w:fill="auto"/>
                  <w:vAlign w:val="center"/>
                  <w:hideMark/>
                </w:tcPr>
                <w:p w:rsidR="00F01DBE" w:rsidRPr="00F01DBE" w:rsidRDefault="00F01DBE" w:rsidP="00F01DBE">
                  <w:pPr>
                    <w:ind w:firstLineChars="100" w:firstLine="200"/>
                    <w:rPr>
                      <w:rFonts w:ascii="Arial" w:hAnsi="Arial" w:cs="Arial"/>
                      <w:i/>
                      <w:iCs/>
                      <w:sz w:val="20"/>
                      <w:szCs w:val="20"/>
                    </w:rPr>
                  </w:pPr>
                  <w:r w:rsidRPr="00F01DBE">
                    <w:rPr>
                      <w:rFonts w:ascii="Arial" w:hAnsi="Arial" w:cs="Arial"/>
                      <w:i/>
                      <w:iCs/>
                      <w:sz w:val="20"/>
                      <w:szCs w:val="20"/>
                    </w:rPr>
                    <w:t>State-wide response times, 90th percentile, 2012-13</w:t>
                  </w:r>
                </w:p>
              </w:tc>
            </w:tr>
            <w:tr w:rsidR="00F01DBE" w:rsidRPr="00F01DBE" w:rsidTr="00F01DBE">
              <w:trPr>
                <w:divId w:val="1267424963"/>
                <w:trHeight w:val="199"/>
              </w:trPr>
              <w:tc>
                <w:tcPr>
                  <w:tcW w:w="5000" w:type="pct"/>
                  <w:gridSpan w:val="11"/>
                  <w:tcBorders>
                    <w:top w:val="nil"/>
                    <w:left w:val="nil"/>
                    <w:bottom w:val="nil"/>
                    <w:right w:val="nil"/>
                  </w:tcBorders>
                  <w:shd w:val="clear" w:color="auto" w:fill="auto"/>
                  <w:vAlign w:val="center"/>
                  <w:hideMark/>
                </w:tcPr>
                <w:p w:rsidR="00F01DBE" w:rsidRPr="00F01DBE" w:rsidRDefault="00F01DBE" w:rsidP="00F01DBE">
                  <w:pPr>
                    <w:ind w:firstLineChars="100" w:firstLine="160"/>
                    <w:rPr>
                      <w:rFonts w:ascii="Arial" w:hAnsi="Arial" w:cs="Arial"/>
                      <w:sz w:val="16"/>
                      <w:szCs w:val="16"/>
                    </w:rPr>
                  </w:pPr>
                  <w:r w:rsidRPr="00F01DBE">
                    <w:rPr>
                      <w:rFonts w:ascii="Arial" w:hAnsi="Arial" w:cs="Arial"/>
                      <w:sz w:val="16"/>
                      <w:szCs w:val="16"/>
                    </w:rPr>
                    <w:t>Most recent data for this measure are complete but are not comparable (chapter 9)</w:t>
                  </w:r>
                </w:p>
              </w:tc>
            </w:tr>
            <w:tr w:rsidR="00F01DBE" w:rsidRPr="00F01DBE" w:rsidTr="00F01DBE">
              <w:trPr>
                <w:divId w:val="1267424963"/>
                <w:trHeight w:val="330"/>
              </w:trPr>
              <w:tc>
                <w:tcPr>
                  <w:tcW w:w="559" w:type="pct"/>
                  <w:tcBorders>
                    <w:top w:val="nil"/>
                    <w:left w:val="nil"/>
                    <w:bottom w:val="nil"/>
                    <w:right w:val="nil"/>
                  </w:tcBorders>
                  <w:shd w:val="clear" w:color="auto" w:fill="auto"/>
                  <w:vAlign w:val="center"/>
                  <w:hideMark/>
                </w:tcPr>
                <w:p w:rsidR="00F01DBE" w:rsidRPr="00F01DBE" w:rsidRDefault="00F01DBE" w:rsidP="00F01DBE">
                  <w:pPr>
                    <w:ind w:firstLineChars="159" w:firstLine="318"/>
                    <w:rPr>
                      <w:rFonts w:ascii="Arial" w:hAnsi="Arial" w:cs="Arial"/>
                      <w:sz w:val="20"/>
                      <w:szCs w:val="20"/>
                    </w:rPr>
                  </w:pPr>
                  <w:r w:rsidRPr="00F01DBE">
                    <w:rPr>
                      <w:rFonts w:ascii="Arial" w:hAnsi="Arial" w:cs="Arial"/>
                      <w:sz w:val="20"/>
                      <w:szCs w:val="20"/>
                    </w:rPr>
                    <w:t>min.</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23.0</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22.9</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16.5</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16.5</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17.4</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22.8</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13.7</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21.6</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na</w:t>
                  </w:r>
                </w:p>
              </w:tc>
              <w:tc>
                <w:tcPr>
                  <w:tcW w:w="445"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proofErr w:type="spellStart"/>
                  <w:r w:rsidRPr="00F01DBE">
                    <w:rPr>
                      <w:rFonts w:ascii="Arial" w:hAnsi="Arial" w:cs="Arial"/>
                      <w:sz w:val="20"/>
                      <w:szCs w:val="20"/>
                    </w:rPr>
                    <w:t>9A.44</w:t>
                  </w:r>
                  <w:proofErr w:type="spellEnd"/>
                </w:p>
              </w:tc>
            </w:tr>
            <w:tr w:rsidR="00F01DBE" w:rsidRPr="00F01DBE" w:rsidTr="00F01DBE">
              <w:trPr>
                <w:divId w:val="1267424963"/>
                <w:trHeight w:val="855"/>
              </w:trPr>
              <w:tc>
                <w:tcPr>
                  <w:tcW w:w="5000" w:type="pct"/>
                  <w:gridSpan w:val="11"/>
                  <w:tcBorders>
                    <w:top w:val="nil"/>
                    <w:left w:val="nil"/>
                    <w:bottom w:val="nil"/>
                    <w:right w:val="nil"/>
                  </w:tcBorders>
                  <w:shd w:val="clear" w:color="auto" w:fill="auto"/>
                  <w:vAlign w:val="center"/>
                  <w:hideMark/>
                </w:tcPr>
                <w:p w:rsidR="00F01DBE" w:rsidRPr="00F01DBE" w:rsidRDefault="00F01DBE" w:rsidP="00F01DBE">
                  <w:pPr>
                    <w:ind w:leftChars="60" w:left="274" w:hangingChars="59" w:hanging="118"/>
                    <w:rPr>
                      <w:rFonts w:ascii="Arial" w:hAnsi="Arial" w:cs="Arial"/>
                      <w:i/>
                      <w:iCs/>
                      <w:sz w:val="20"/>
                      <w:szCs w:val="20"/>
                    </w:rPr>
                  </w:pPr>
                  <w:r w:rsidRPr="00F01DBE">
                    <w:rPr>
                      <w:rFonts w:ascii="Arial" w:hAnsi="Arial" w:cs="Arial"/>
                      <w:i/>
                      <w:iCs/>
                      <w:sz w:val="20"/>
                      <w:szCs w:val="20"/>
                    </w:rPr>
                    <w:t>Triple zero call answering time, 2012</w:t>
                  </w:r>
                  <w:r w:rsidR="001525FA">
                    <w:rPr>
                      <w:rFonts w:ascii="Arial" w:hAnsi="Arial" w:cs="Arial"/>
                      <w:i/>
                      <w:iCs/>
                      <w:sz w:val="20"/>
                      <w:szCs w:val="20"/>
                    </w:rPr>
                    <w:noBreakHyphen/>
                  </w:r>
                  <w:r w:rsidRPr="00F01DBE">
                    <w:rPr>
                      <w:rFonts w:ascii="Arial" w:hAnsi="Arial" w:cs="Arial"/>
                      <w:i/>
                      <w:iCs/>
                      <w:sz w:val="20"/>
                      <w:szCs w:val="20"/>
                    </w:rPr>
                    <w:t>13 — Proportion of calls from the emergency call service answered by ambulance service communication centre staff in a time equal to or less than 10 seconds</w:t>
                  </w:r>
                </w:p>
              </w:tc>
            </w:tr>
            <w:tr w:rsidR="00F01DBE" w:rsidRPr="00F01DBE" w:rsidTr="00F01DBE">
              <w:trPr>
                <w:divId w:val="1267424963"/>
                <w:trHeight w:val="199"/>
              </w:trPr>
              <w:tc>
                <w:tcPr>
                  <w:tcW w:w="5000" w:type="pct"/>
                  <w:gridSpan w:val="11"/>
                  <w:tcBorders>
                    <w:top w:val="nil"/>
                    <w:left w:val="nil"/>
                    <w:bottom w:val="nil"/>
                    <w:right w:val="nil"/>
                  </w:tcBorders>
                  <w:shd w:val="clear" w:color="auto" w:fill="auto"/>
                  <w:vAlign w:val="center"/>
                  <w:hideMark/>
                </w:tcPr>
                <w:p w:rsidR="00F01DBE" w:rsidRPr="00F01DBE" w:rsidRDefault="00F01DBE" w:rsidP="00F01DBE">
                  <w:pPr>
                    <w:ind w:firstLineChars="100" w:firstLine="160"/>
                    <w:rPr>
                      <w:rFonts w:ascii="Arial" w:hAnsi="Arial" w:cs="Arial"/>
                      <w:sz w:val="16"/>
                      <w:szCs w:val="16"/>
                    </w:rPr>
                  </w:pPr>
                  <w:r w:rsidRPr="00F01DBE">
                    <w:rPr>
                      <w:rFonts w:ascii="Arial" w:hAnsi="Arial" w:cs="Arial"/>
                      <w:sz w:val="16"/>
                      <w:szCs w:val="16"/>
                    </w:rPr>
                    <w:t>Most recent data for this measure are complete but are not comparable (chapter 9)</w:t>
                  </w:r>
                </w:p>
              </w:tc>
            </w:tr>
            <w:tr w:rsidR="00F01DBE" w:rsidRPr="00F01DBE" w:rsidTr="009F2CED">
              <w:trPr>
                <w:divId w:val="1267424963"/>
                <w:trHeight w:val="330"/>
              </w:trPr>
              <w:tc>
                <w:tcPr>
                  <w:tcW w:w="559" w:type="pct"/>
                  <w:tcBorders>
                    <w:top w:val="nil"/>
                    <w:left w:val="nil"/>
                    <w:bottom w:val="nil"/>
                    <w:right w:val="nil"/>
                  </w:tcBorders>
                  <w:shd w:val="clear" w:color="auto" w:fill="auto"/>
                  <w:vAlign w:val="center"/>
                  <w:hideMark/>
                </w:tcPr>
                <w:p w:rsidR="00F01DBE" w:rsidRPr="00F01DBE" w:rsidRDefault="00F01DBE" w:rsidP="00F01DBE">
                  <w:pPr>
                    <w:ind w:firstLineChars="159" w:firstLine="318"/>
                    <w:rPr>
                      <w:rFonts w:ascii="Arial" w:hAnsi="Arial" w:cs="Arial"/>
                      <w:sz w:val="20"/>
                      <w:szCs w:val="20"/>
                    </w:rPr>
                  </w:pPr>
                  <w:r w:rsidRPr="00F01DBE">
                    <w:rPr>
                      <w:rFonts w:ascii="Arial" w:hAnsi="Arial" w:cs="Arial"/>
                      <w:sz w:val="20"/>
                      <w:szCs w:val="20"/>
                    </w:rPr>
                    <w:t>%</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90.9</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91.4</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90.6</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94.4</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91.3</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94.2</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88.7</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10.4</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89.9</w:t>
                  </w:r>
                </w:p>
              </w:tc>
              <w:tc>
                <w:tcPr>
                  <w:tcW w:w="445"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proofErr w:type="spellStart"/>
                  <w:r w:rsidRPr="00F01DBE">
                    <w:rPr>
                      <w:rFonts w:ascii="Arial" w:hAnsi="Arial" w:cs="Arial"/>
                      <w:sz w:val="20"/>
                      <w:szCs w:val="20"/>
                    </w:rPr>
                    <w:t>9A.45</w:t>
                  </w:r>
                  <w:proofErr w:type="spellEnd"/>
                </w:p>
              </w:tc>
            </w:tr>
            <w:tr w:rsidR="00F01DBE" w:rsidRPr="00F01DBE" w:rsidTr="00B6312B">
              <w:trPr>
                <w:divId w:val="1267424963"/>
                <w:trHeight w:val="90"/>
              </w:trPr>
              <w:tc>
                <w:tcPr>
                  <w:tcW w:w="559" w:type="pct"/>
                  <w:tcBorders>
                    <w:top w:val="nil"/>
                    <w:left w:val="nil"/>
                    <w:bottom w:val="nil"/>
                    <w:right w:val="nil"/>
                  </w:tcBorders>
                  <w:shd w:val="clear" w:color="auto" w:fill="auto"/>
                  <w:vAlign w:val="center"/>
                  <w:hideMark/>
                </w:tcPr>
                <w:p w:rsidR="00F01DBE" w:rsidRPr="00F01DBE" w:rsidRDefault="00F01DBE" w:rsidP="00B6312B">
                  <w:pPr>
                    <w:pStyle w:val="HeaderEnd"/>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pPr>
                </w:p>
              </w:tc>
              <w:tc>
                <w:tcPr>
                  <w:tcW w:w="445" w:type="pct"/>
                  <w:tcBorders>
                    <w:top w:val="nil"/>
                    <w:left w:val="nil"/>
                    <w:bottom w:val="nil"/>
                    <w:right w:val="nil"/>
                  </w:tcBorders>
                  <w:shd w:val="clear" w:color="auto" w:fill="auto"/>
                  <w:vAlign w:val="center"/>
                  <w:hideMark/>
                </w:tcPr>
                <w:p w:rsidR="00F01DBE" w:rsidRPr="00F01DBE" w:rsidRDefault="00F01DBE" w:rsidP="00B6312B">
                  <w:pPr>
                    <w:pStyle w:val="HeaderEnd"/>
                  </w:pPr>
                </w:p>
              </w:tc>
            </w:tr>
            <w:tr w:rsidR="00F01DBE" w:rsidRPr="00F01DBE" w:rsidTr="00F01DBE">
              <w:trPr>
                <w:divId w:val="1267424963"/>
                <w:trHeight w:val="330"/>
              </w:trPr>
              <w:tc>
                <w:tcPr>
                  <w:tcW w:w="5000" w:type="pct"/>
                  <w:gridSpan w:val="11"/>
                  <w:tcBorders>
                    <w:top w:val="nil"/>
                    <w:left w:val="nil"/>
                    <w:bottom w:val="nil"/>
                    <w:right w:val="nil"/>
                  </w:tcBorders>
                  <w:shd w:val="clear" w:color="auto" w:fill="auto"/>
                  <w:vAlign w:val="center"/>
                  <w:hideMark/>
                </w:tcPr>
                <w:p w:rsidR="00F01DBE" w:rsidRPr="00F01DBE" w:rsidRDefault="00F01DBE" w:rsidP="00F01DBE">
                  <w:pPr>
                    <w:rPr>
                      <w:rFonts w:ascii="Arial" w:hAnsi="Arial" w:cs="Arial"/>
                      <w:b/>
                      <w:bCs/>
                      <w:sz w:val="20"/>
                      <w:szCs w:val="20"/>
                    </w:rPr>
                  </w:pPr>
                  <w:r w:rsidRPr="00F01DBE">
                    <w:rPr>
                      <w:rFonts w:ascii="Arial" w:hAnsi="Arial" w:cs="Arial"/>
                      <w:b/>
                      <w:bCs/>
                      <w:sz w:val="20"/>
                      <w:szCs w:val="20"/>
                    </w:rPr>
                    <w:t>Effectiveness — Sustainability indicators</w:t>
                  </w:r>
                </w:p>
              </w:tc>
            </w:tr>
            <w:tr w:rsidR="00F01DBE" w:rsidRPr="00F01DBE" w:rsidTr="00F01DBE">
              <w:trPr>
                <w:divId w:val="1267424963"/>
                <w:trHeight w:val="330"/>
              </w:trPr>
              <w:tc>
                <w:tcPr>
                  <w:tcW w:w="5000" w:type="pct"/>
                  <w:gridSpan w:val="11"/>
                  <w:tcBorders>
                    <w:top w:val="nil"/>
                    <w:left w:val="nil"/>
                    <w:bottom w:val="nil"/>
                    <w:right w:val="nil"/>
                  </w:tcBorders>
                  <w:shd w:val="clear" w:color="auto" w:fill="auto"/>
                  <w:vAlign w:val="center"/>
                  <w:hideMark/>
                </w:tcPr>
                <w:p w:rsidR="00F01DBE" w:rsidRPr="00F01DBE" w:rsidRDefault="00F01DBE" w:rsidP="00F01DBE">
                  <w:pPr>
                    <w:ind w:leftChars="60" w:left="274" w:hangingChars="59" w:hanging="118"/>
                    <w:rPr>
                      <w:rFonts w:ascii="Arial" w:hAnsi="Arial" w:cs="Arial"/>
                      <w:i/>
                      <w:iCs/>
                      <w:sz w:val="20"/>
                      <w:szCs w:val="20"/>
                    </w:rPr>
                  </w:pPr>
                  <w:r w:rsidRPr="00F01DBE">
                    <w:rPr>
                      <w:rFonts w:ascii="Arial" w:hAnsi="Arial" w:cs="Arial"/>
                      <w:i/>
                      <w:iCs/>
                      <w:sz w:val="20"/>
                      <w:szCs w:val="20"/>
                    </w:rPr>
                    <w:t>Workforce by age group — Operational workforce under 50 years of age, 2012-13</w:t>
                  </w:r>
                </w:p>
              </w:tc>
            </w:tr>
            <w:tr w:rsidR="00F01DBE" w:rsidRPr="00F01DBE" w:rsidTr="00F01DBE">
              <w:trPr>
                <w:divId w:val="1267424963"/>
                <w:trHeight w:val="199"/>
              </w:trPr>
              <w:tc>
                <w:tcPr>
                  <w:tcW w:w="5000" w:type="pct"/>
                  <w:gridSpan w:val="11"/>
                  <w:tcBorders>
                    <w:top w:val="nil"/>
                    <w:left w:val="nil"/>
                    <w:bottom w:val="nil"/>
                    <w:right w:val="nil"/>
                  </w:tcBorders>
                  <w:shd w:val="clear" w:color="auto" w:fill="auto"/>
                  <w:vAlign w:val="center"/>
                  <w:hideMark/>
                </w:tcPr>
                <w:p w:rsidR="00F01DBE" w:rsidRPr="00F01DBE" w:rsidRDefault="00F01DBE" w:rsidP="00F01DBE">
                  <w:pPr>
                    <w:ind w:firstLineChars="100" w:firstLine="160"/>
                    <w:rPr>
                      <w:rFonts w:ascii="Arial" w:hAnsi="Arial" w:cs="Arial"/>
                      <w:sz w:val="16"/>
                      <w:szCs w:val="16"/>
                    </w:rPr>
                  </w:pPr>
                  <w:r w:rsidRPr="00F01DBE">
                    <w:rPr>
                      <w:rFonts w:ascii="Arial" w:hAnsi="Arial" w:cs="Arial"/>
                      <w:sz w:val="16"/>
                      <w:szCs w:val="16"/>
                    </w:rPr>
                    <w:t>Most recent data for this measure are complete but are not comparable (chapter 9)</w:t>
                  </w:r>
                </w:p>
              </w:tc>
            </w:tr>
            <w:tr w:rsidR="00F01DBE" w:rsidRPr="00F01DBE" w:rsidTr="00B6312B">
              <w:trPr>
                <w:divId w:val="1267424963"/>
                <w:trHeight w:val="330"/>
              </w:trPr>
              <w:tc>
                <w:tcPr>
                  <w:tcW w:w="559" w:type="pct"/>
                  <w:tcBorders>
                    <w:top w:val="nil"/>
                    <w:left w:val="nil"/>
                    <w:bottom w:val="nil"/>
                    <w:right w:val="nil"/>
                  </w:tcBorders>
                  <w:shd w:val="clear" w:color="auto" w:fill="auto"/>
                  <w:vAlign w:val="center"/>
                  <w:hideMark/>
                </w:tcPr>
                <w:p w:rsidR="00F01DBE" w:rsidRPr="00F01DBE" w:rsidRDefault="00F01DBE" w:rsidP="00F01DBE">
                  <w:pPr>
                    <w:ind w:firstLineChars="159" w:firstLine="318"/>
                    <w:rPr>
                      <w:rFonts w:ascii="Arial" w:hAnsi="Arial" w:cs="Arial"/>
                      <w:sz w:val="20"/>
                      <w:szCs w:val="20"/>
                    </w:rPr>
                  </w:pPr>
                  <w:r w:rsidRPr="00F01DBE">
                    <w:rPr>
                      <w:rFonts w:ascii="Arial" w:hAnsi="Arial" w:cs="Arial"/>
                      <w:sz w:val="20"/>
                      <w:szCs w:val="20"/>
                    </w:rPr>
                    <w:t>%</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78.3</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76.4</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80.2</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86.4</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78.1</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78.2</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84.7</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88.4</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79.1</w:t>
                  </w:r>
                </w:p>
              </w:tc>
              <w:tc>
                <w:tcPr>
                  <w:tcW w:w="445"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proofErr w:type="spellStart"/>
                  <w:r w:rsidRPr="00F01DBE">
                    <w:rPr>
                      <w:rFonts w:ascii="Arial" w:hAnsi="Arial" w:cs="Arial"/>
                      <w:sz w:val="20"/>
                      <w:szCs w:val="20"/>
                    </w:rPr>
                    <w:t>9A.37</w:t>
                  </w:r>
                  <w:proofErr w:type="spellEnd"/>
                </w:p>
              </w:tc>
            </w:tr>
            <w:tr w:rsidR="00F01DBE" w:rsidRPr="00F01DBE" w:rsidTr="00F01DBE">
              <w:trPr>
                <w:divId w:val="1267424963"/>
                <w:trHeight w:val="330"/>
              </w:trPr>
              <w:tc>
                <w:tcPr>
                  <w:tcW w:w="5000" w:type="pct"/>
                  <w:gridSpan w:val="11"/>
                  <w:tcBorders>
                    <w:top w:val="nil"/>
                    <w:left w:val="nil"/>
                    <w:bottom w:val="nil"/>
                    <w:right w:val="nil"/>
                  </w:tcBorders>
                  <w:shd w:val="clear" w:color="auto" w:fill="auto"/>
                  <w:vAlign w:val="center"/>
                  <w:hideMark/>
                </w:tcPr>
                <w:p w:rsidR="00F01DBE" w:rsidRPr="00F01DBE" w:rsidRDefault="00F01DBE" w:rsidP="00F01DBE">
                  <w:pPr>
                    <w:ind w:firstLineChars="100" w:firstLine="200"/>
                    <w:rPr>
                      <w:rFonts w:ascii="Arial" w:hAnsi="Arial" w:cs="Arial"/>
                      <w:i/>
                      <w:iCs/>
                      <w:sz w:val="20"/>
                      <w:szCs w:val="20"/>
                    </w:rPr>
                  </w:pPr>
                  <w:r w:rsidRPr="00F01DBE">
                    <w:rPr>
                      <w:rFonts w:ascii="Arial" w:hAnsi="Arial" w:cs="Arial"/>
                      <w:i/>
                      <w:iCs/>
                      <w:sz w:val="20"/>
                      <w:szCs w:val="20"/>
                    </w:rPr>
                    <w:t>Staff attrition, 2012-13</w:t>
                  </w:r>
                </w:p>
              </w:tc>
            </w:tr>
            <w:tr w:rsidR="00F01DBE" w:rsidRPr="00F01DBE" w:rsidTr="00F01DBE">
              <w:trPr>
                <w:divId w:val="1267424963"/>
                <w:trHeight w:val="199"/>
              </w:trPr>
              <w:tc>
                <w:tcPr>
                  <w:tcW w:w="5000" w:type="pct"/>
                  <w:gridSpan w:val="11"/>
                  <w:tcBorders>
                    <w:top w:val="nil"/>
                    <w:left w:val="nil"/>
                    <w:bottom w:val="nil"/>
                    <w:right w:val="nil"/>
                  </w:tcBorders>
                  <w:shd w:val="clear" w:color="auto" w:fill="auto"/>
                  <w:vAlign w:val="center"/>
                  <w:hideMark/>
                </w:tcPr>
                <w:p w:rsidR="00F01DBE" w:rsidRPr="00F01DBE" w:rsidRDefault="00F01DBE" w:rsidP="00F01DBE">
                  <w:pPr>
                    <w:ind w:firstLineChars="100" w:firstLine="160"/>
                    <w:rPr>
                      <w:rFonts w:ascii="Arial" w:hAnsi="Arial" w:cs="Arial"/>
                      <w:sz w:val="16"/>
                      <w:szCs w:val="16"/>
                    </w:rPr>
                  </w:pPr>
                  <w:r w:rsidRPr="00F01DBE">
                    <w:rPr>
                      <w:rFonts w:ascii="Arial" w:hAnsi="Arial" w:cs="Arial"/>
                      <w:sz w:val="16"/>
                      <w:szCs w:val="16"/>
                    </w:rPr>
                    <w:t>Most recent data for this measure are complete but are not comparable (chapter 9)</w:t>
                  </w:r>
                </w:p>
              </w:tc>
            </w:tr>
            <w:tr w:rsidR="00F01DBE" w:rsidRPr="00F01DBE" w:rsidTr="00305A8E">
              <w:trPr>
                <w:divId w:val="1267424963"/>
                <w:trHeight w:val="330"/>
              </w:trPr>
              <w:tc>
                <w:tcPr>
                  <w:tcW w:w="559" w:type="pct"/>
                  <w:tcBorders>
                    <w:top w:val="nil"/>
                    <w:left w:val="nil"/>
                    <w:bottom w:val="nil"/>
                    <w:right w:val="nil"/>
                  </w:tcBorders>
                  <w:shd w:val="clear" w:color="auto" w:fill="auto"/>
                  <w:vAlign w:val="center"/>
                  <w:hideMark/>
                </w:tcPr>
                <w:p w:rsidR="00F01DBE" w:rsidRPr="00F01DBE" w:rsidRDefault="00F01DBE" w:rsidP="00F01DBE">
                  <w:pPr>
                    <w:ind w:firstLineChars="159" w:firstLine="318"/>
                    <w:rPr>
                      <w:rFonts w:ascii="Arial" w:hAnsi="Arial" w:cs="Arial"/>
                      <w:sz w:val="20"/>
                      <w:szCs w:val="20"/>
                    </w:rPr>
                  </w:pPr>
                  <w:r w:rsidRPr="00F01DBE">
                    <w:rPr>
                      <w:rFonts w:ascii="Arial" w:hAnsi="Arial" w:cs="Arial"/>
                      <w:sz w:val="20"/>
                      <w:szCs w:val="20"/>
                    </w:rPr>
                    <w:t>%</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5.5</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4.3</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3.8</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4.8</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1.4</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2.3</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2.6</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5.0</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r w:rsidRPr="00F01DBE">
                    <w:rPr>
                      <w:rFonts w:ascii="Arial" w:hAnsi="Arial" w:cs="Arial"/>
                      <w:sz w:val="20"/>
                      <w:szCs w:val="20"/>
                    </w:rPr>
                    <w:t>4.3</w:t>
                  </w:r>
                </w:p>
              </w:tc>
              <w:tc>
                <w:tcPr>
                  <w:tcW w:w="444"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proofErr w:type="spellStart"/>
                  <w:r w:rsidRPr="00F01DBE">
                    <w:rPr>
                      <w:rFonts w:ascii="Arial" w:hAnsi="Arial" w:cs="Arial"/>
                      <w:sz w:val="20"/>
                      <w:szCs w:val="20"/>
                    </w:rPr>
                    <w:t>9A.37</w:t>
                  </w:r>
                  <w:proofErr w:type="spellEnd"/>
                </w:p>
              </w:tc>
            </w:tr>
            <w:tr w:rsidR="00F01DBE" w:rsidRPr="00F01DBE" w:rsidTr="00305A8E">
              <w:trPr>
                <w:divId w:val="1267424963"/>
                <w:trHeight w:val="90"/>
              </w:trPr>
              <w:tc>
                <w:tcPr>
                  <w:tcW w:w="559" w:type="pct"/>
                  <w:tcBorders>
                    <w:top w:val="nil"/>
                    <w:left w:val="nil"/>
                    <w:bottom w:val="nil"/>
                    <w:right w:val="nil"/>
                  </w:tcBorders>
                  <w:shd w:val="clear" w:color="auto" w:fill="auto"/>
                  <w:vAlign w:val="center"/>
                  <w:hideMark/>
                </w:tcPr>
                <w:p w:rsidR="00F01DBE" w:rsidRPr="00F01DBE" w:rsidRDefault="00F01DBE" w:rsidP="00B6312B">
                  <w:pPr>
                    <w:pStyle w:val="HeaderEnd"/>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pPr>
                </w:p>
              </w:tc>
            </w:tr>
            <w:tr w:rsidR="00F01DBE" w:rsidRPr="00F01DBE" w:rsidTr="00F01DBE">
              <w:trPr>
                <w:divId w:val="1267424963"/>
                <w:trHeight w:val="330"/>
              </w:trPr>
              <w:tc>
                <w:tcPr>
                  <w:tcW w:w="5000" w:type="pct"/>
                  <w:gridSpan w:val="11"/>
                  <w:tcBorders>
                    <w:top w:val="nil"/>
                    <w:left w:val="nil"/>
                    <w:bottom w:val="nil"/>
                    <w:right w:val="nil"/>
                  </w:tcBorders>
                  <w:shd w:val="clear" w:color="auto" w:fill="auto"/>
                  <w:vAlign w:val="center"/>
                  <w:hideMark/>
                </w:tcPr>
                <w:p w:rsidR="00F01DBE" w:rsidRPr="00F01DBE" w:rsidRDefault="00F01DBE" w:rsidP="00F01DBE">
                  <w:pPr>
                    <w:rPr>
                      <w:rFonts w:ascii="Arial" w:hAnsi="Arial" w:cs="Arial"/>
                      <w:b/>
                      <w:bCs/>
                      <w:sz w:val="20"/>
                      <w:szCs w:val="20"/>
                    </w:rPr>
                  </w:pPr>
                  <w:r w:rsidRPr="00F01DBE">
                    <w:rPr>
                      <w:rFonts w:ascii="Arial" w:hAnsi="Arial" w:cs="Arial"/>
                      <w:b/>
                      <w:bCs/>
                      <w:sz w:val="20"/>
                      <w:szCs w:val="20"/>
                    </w:rPr>
                    <w:t>Efficiency indicators</w:t>
                  </w:r>
                </w:p>
              </w:tc>
            </w:tr>
            <w:tr w:rsidR="00F01DBE" w:rsidRPr="00F01DBE" w:rsidTr="00F01DBE">
              <w:trPr>
                <w:divId w:val="1267424963"/>
                <w:trHeight w:val="330"/>
              </w:trPr>
              <w:tc>
                <w:tcPr>
                  <w:tcW w:w="5000" w:type="pct"/>
                  <w:gridSpan w:val="11"/>
                  <w:tcBorders>
                    <w:top w:val="nil"/>
                    <w:left w:val="nil"/>
                    <w:bottom w:val="nil"/>
                    <w:right w:val="nil"/>
                  </w:tcBorders>
                  <w:shd w:val="clear" w:color="auto" w:fill="auto"/>
                  <w:vAlign w:val="center"/>
                  <w:hideMark/>
                </w:tcPr>
                <w:p w:rsidR="00F01DBE" w:rsidRPr="00F01DBE" w:rsidRDefault="00F01DBE" w:rsidP="00F01DBE">
                  <w:pPr>
                    <w:ind w:leftChars="60" w:left="274" w:hangingChars="59" w:hanging="118"/>
                    <w:rPr>
                      <w:rFonts w:ascii="Arial" w:hAnsi="Arial" w:cs="Arial"/>
                      <w:i/>
                      <w:iCs/>
                      <w:sz w:val="20"/>
                      <w:szCs w:val="20"/>
                    </w:rPr>
                  </w:pPr>
                  <w:r w:rsidRPr="00F01DBE">
                    <w:rPr>
                      <w:rFonts w:ascii="Arial" w:hAnsi="Arial" w:cs="Arial"/>
                      <w:i/>
                      <w:iCs/>
                      <w:sz w:val="20"/>
                      <w:szCs w:val="20"/>
                    </w:rPr>
                    <w:t>Ambulance service expenditure per person, 2012-13</w:t>
                  </w:r>
                </w:p>
              </w:tc>
            </w:tr>
            <w:tr w:rsidR="00F01DBE" w:rsidRPr="00F01DBE" w:rsidTr="00F01DBE">
              <w:trPr>
                <w:divId w:val="1267424963"/>
                <w:trHeight w:val="199"/>
              </w:trPr>
              <w:tc>
                <w:tcPr>
                  <w:tcW w:w="5000" w:type="pct"/>
                  <w:gridSpan w:val="11"/>
                  <w:tcBorders>
                    <w:top w:val="nil"/>
                    <w:left w:val="nil"/>
                    <w:bottom w:val="nil"/>
                    <w:right w:val="nil"/>
                  </w:tcBorders>
                  <w:shd w:val="clear" w:color="auto" w:fill="auto"/>
                  <w:vAlign w:val="center"/>
                  <w:hideMark/>
                </w:tcPr>
                <w:p w:rsidR="00F01DBE" w:rsidRPr="00F01DBE" w:rsidRDefault="00F01DBE" w:rsidP="00F01DBE">
                  <w:pPr>
                    <w:ind w:firstLineChars="100" w:firstLine="160"/>
                    <w:rPr>
                      <w:rFonts w:ascii="Arial" w:hAnsi="Arial" w:cs="Arial"/>
                      <w:sz w:val="16"/>
                      <w:szCs w:val="16"/>
                    </w:rPr>
                  </w:pPr>
                  <w:r w:rsidRPr="00F01DBE">
                    <w:rPr>
                      <w:rFonts w:ascii="Arial" w:hAnsi="Arial" w:cs="Arial"/>
                      <w:sz w:val="16"/>
                      <w:szCs w:val="16"/>
                    </w:rPr>
                    <w:t>Most recent data for this measure are complete but are not comparable (chapter 9)</w:t>
                  </w:r>
                </w:p>
              </w:tc>
            </w:tr>
            <w:tr w:rsidR="00F01DBE" w:rsidRPr="00F01DBE" w:rsidTr="00305A8E">
              <w:trPr>
                <w:divId w:val="1267424963"/>
                <w:trHeight w:val="330"/>
              </w:trPr>
              <w:tc>
                <w:tcPr>
                  <w:tcW w:w="559" w:type="pct"/>
                  <w:tcBorders>
                    <w:top w:val="nil"/>
                    <w:left w:val="nil"/>
                    <w:bottom w:val="nil"/>
                    <w:right w:val="nil"/>
                  </w:tcBorders>
                  <w:shd w:val="clear" w:color="auto" w:fill="auto"/>
                  <w:vAlign w:val="center"/>
                  <w:hideMark/>
                </w:tcPr>
                <w:p w:rsidR="00F01DBE" w:rsidRPr="00F01DBE" w:rsidRDefault="00F01DBE" w:rsidP="00F01DBE">
                  <w:pPr>
                    <w:ind w:firstLineChars="159" w:firstLine="318"/>
                    <w:rPr>
                      <w:rFonts w:ascii="Arial" w:hAnsi="Arial" w:cs="Arial"/>
                      <w:sz w:val="20"/>
                      <w:szCs w:val="20"/>
                    </w:rPr>
                  </w:pPr>
                  <w:r w:rsidRPr="00F01DBE">
                    <w:rPr>
                      <w:rFonts w:ascii="Arial" w:hAnsi="Arial" w:cs="Arial"/>
                      <w:sz w:val="20"/>
                      <w:szCs w:val="20"/>
                    </w:rPr>
                    <w:t>$</w:t>
                  </w:r>
                </w:p>
              </w:tc>
              <w:tc>
                <w:tcPr>
                  <w:tcW w:w="444" w:type="pct"/>
                  <w:tcBorders>
                    <w:top w:val="nil"/>
                    <w:left w:val="nil"/>
                    <w:bottom w:val="nil"/>
                    <w:right w:val="nil"/>
                  </w:tcBorders>
                  <w:shd w:val="clear" w:color="auto" w:fill="auto"/>
                  <w:vAlign w:val="center"/>
                  <w:hideMark/>
                </w:tcPr>
                <w:p w:rsidR="00F01DBE" w:rsidRPr="00F01DBE" w:rsidRDefault="00F01DBE" w:rsidP="00B6312B">
                  <w:pPr>
                    <w:ind w:hanging="108"/>
                    <w:jc w:val="right"/>
                    <w:rPr>
                      <w:rFonts w:ascii="Arial" w:hAnsi="Arial" w:cs="Arial"/>
                      <w:sz w:val="20"/>
                      <w:szCs w:val="20"/>
                    </w:rPr>
                  </w:pPr>
                  <w:r w:rsidRPr="00F01DBE">
                    <w:rPr>
                      <w:rFonts w:ascii="Arial" w:hAnsi="Arial" w:cs="Arial"/>
                      <w:sz w:val="20"/>
                      <w:szCs w:val="20"/>
                    </w:rPr>
                    <w:t>103.21</w:t>
                  </w:r>
                </w:p>
              </w:tc>
              <w:tc>
                <w:tcPr>
                  <w:tcW w:w="444" w:type="pct"/>
                  <w:tcBorders>
                    <w:top w:val="nil"/>
                    <w:left w:val="nil"/>
                    <w:bottom w:val="nil"/>
                    <w:right w:val="nil"/>
                  </w:tcBorders>
                  <w:shd w:val="clear" w:color="auto" w:fill="auto"/>
                  <w:vAlign w:val="center"/>
                  <w:hideMark/>
                </w:tcPr>
                <w:p w:rsidR="00F01DBE" w:rsidRPr="00F01DBE" w:rsidRDefault="00F01DBE" w:rsidP="00B6312B">
                  <w:pPr>
                    <w:ind w:hanging="46"/>
                    <w:jc w:val="right"/>
                    <w:rPr>
                      <w:rFonts w:ascii="Arial" w:hAnsi="Arial" w:cs="Arial"/>
                      <w:sz w:val="20"/>
                      <w:szCs w:val="20"/>
                    </w:rPr>
                  </w:pPr>
                  <w:r w:rsidRPr="00F01DBE">
                    <w:rPr>
                      <w:rFonts w:ascii="Arial" w:hAnsi="Arial" w:cs="Arial"/>
                      <w:sz w:val="20"/>
                      <w:szCs w:val="20"/>
                    </w:rPr>
                    <w:t>110.33</w:t>
                  </w:r>
                </w:p>
              </w:tc>
              <w:tc>
                <w:tcPr>
                  <w:tcW w:w="444" w:type="pct"/>
                  <w:tcBorders>
                    <w:top w:val="nil"/>
                    <w:left w:val="nil"/>
                    <w:bottom w:val="nil"/>
                    <w:right w:val="nil"/>
                  </w:tcBorders>
                  <w:shd w:val="clear" w:color="auto" w:fill="auto"/>
                  <w:vAlign w:val="center"/>
                  <w:hideMark/>
                </w:tcPr>
                <w:p w:rsidR="00F01DBE" w:rsidRPr="00F01DBE" w:rsidRDefault="00F01DBE" w:rsidP="00B6312B">
                  <w:pPr>
                    <w:ind w:hanging="46"/>
                    <w:jc w:val="right"/>
                    <w:rPr>
                      <w:rFonts w:ascii="Arial" w:hAnsi="Arial" w:cs="Arial"/>
                      <w:sz w:val="20"/>
                      <w:szCs w:val="20"/>
                    </w:rPr>
                  </w:pPr>
                  <w:r w:rsidRPr="00F01DBE">
                    <w:rPr>
                      <w:rFonts w:ascii="Arial" w:hAnsi="Arial" w:cs="Arial"/>
                      <w:sz w:val="20"/>
                      <w:szCs w:val="20"/>
                    </w:rPr>
                    <w:t>123.22</w:t>
                  </w:r>
                </w:p>
              </w:tc>
              <w:tc>
                <w:tcPr>
                  <w:tcW w:w="444" w:type="pct"/>
                  <w:tcBorders>
                    <w:top w:val="nil"/>
                    <w:left w:val="nil"/>
                    <w:bottom w:val="nil"/>
                    <w:right w:val="nil"/>
                  </w:tcBorders>
                  <w:shd w:val="clear" w:color="auto" w:fill="auto"/>
                  <w:vAlign w:val="center"/>
                  <w:hideMark/>
                </w:tcPr>
                <w:p w:rsidR="00F01DBE" w:rsidRPr="00F01DBE" w:rsidRDefault="00F01DBE" w:rsidP="00B6312B">
                  <w:pPr>
                    <w:ind w:hanging="46"/>
                    <w:jc w:val="right"/>
                    <w:rPr>
                      <w:rFonts w:ascii="Arial" w:hAnsi="Arial" w:cs="Arial"/>
                      <w:sz w:val="20"/>
                      <w:szCs w:val="20"/>
                    </w:rPr>
                  </w:pPr>
                  <w:r w:rsidRPr="00F01DBE">
                    <w:rPr>
                      <w:rFonts w:ascii="Arial" w:hAnsi="Arial" w:cs="Arial"/>
                      <w:sz w:val="20"/>
                      <w:szCs w:val="20"/>
                    </w:rPr>
                    <w:t>81.06</w:t>
                  </w:r>
                </w:p>
              </w:tc>
              <w:tc>
                <w:tcPr>
                  <w:tcW w:w="444" w:type="pct"/>
                  <w:tcBorders>
                    <w:top w:val="nil"/>
                    <w:left w:val="nil"/>
                    <w:bottom w:val="nil"/>
                    <w:right w:val="nil"/>
                  </w:tcBorders>
                  <w:shd w:val="clear" w:color="auto" w:fill="auto"/>
                  <w:vAlign w:val="center"/>
                  <w:hideMark/>
                </w:tcPr>
                <w:p w:rsidR="00F01DBE" w:rsidRPr="00F01DBE" w:rsidRDefault="00F01DBE" w:rsidP="00B6312B">
                  <w:pPr>
                    <w:ind w:hanging="46"/>
                    <w:jc w:val="right"/>
                    <w:rPr>
                      <w:rFonts w:ascii="Arial" w:hAnsi="Arial" w:cs="Arial"/>
                      <w:sz w:val="20"/>
                      <w:szCs w:val="20"/>
                    </w:rPr>
                  </w:pPr>
                  <w:r w:rsidRPr="00F01DBE">
                    <w:rPr>
                      <w:rFonts w:ascii="Arial" w:hAnsi="Arial" w:cs="Arial"/>
                      <w:sz w:val="20"/>
                      <w:szCs w:val="20"/>
                    </w:rPr>
                    <w:t>126.19</w:t>
                  </w:r>
                </w:p>
              </w:tc>
              <w:tc>
                <w:tcPr>
                  <w:tcW w:w="444" w:type="pct"/>
                  <w:tcBorders>
                    <w:top w:val="nil"/>
                    <w:left w:val="nil"/>
                    <w:bottom w:val="nil"/>
                    <w:right w:val="nil"/>
                  </w:tcBorders>
                  <w:shd w:val="clear" w:color="auto" w:fill="auto"/>
                  <w:vAlign w:val="center"/>
                  <w:hideMark/>
                </w:tcPr>
                <w:p w:rsidR="00F01DBE" w:rsidRPr="00F01DBE" w:rsidRDefault="00F01DBE" w:rsidP="00B6312B">
                  <w:pPr>
                    <w:ind w:hanging="46"/>
                    <w:jc w:val="right"/>
                    <w:rPr>
                      <w:rFonts w:ascii="Arial" w:hAnsi="Arial" w:cs="Arial"/>
                      <w:sz w:val="20"/>
                      <w:szCs w:val="20"/>
                    </w:rPr>
                  </w:pPr>
                  <w:r w:rsidRPr="00F01DBE">
                    <w:rPr>
                      <w:rFonts w:ascii="Arial" w:hAnsi="Arial" w:cs="Arial"/>
                      <w:sz w:val="20"/>
                      <w:szCs w:val="20"/>
                    </w:rPr>
                    <w:t>118.84</w:t>
                  </w:r>
                </w:p>
              </w:tc>
              <w:tc>
                <w:tcPr>
                  <w:tcW w:w="444" w:type="pct"/>
                  <w:tcBorders>
                    <w:top w:val="nil"/>
                    <w:left w:val="nil"/>
                    <w:bottom w:val="nil"/>
                    <w:right w:val="nil"/>
                  </w:tcBorders>
                  <w:shd w:val="clear" w:color="auto" w:fill="auto"/>
                  <w:vAlign w:val="center"/>
                  <w:hideMark/>
                </w:tcPr>
                <w:p w:rsidR="00F01DBE" w:rsidRPr="00F01DBE" w:rsidRDefault="00F01DBE" w:rsidP="00B6312B">
                  <w:pPr>
                    <w:ind w:hanging="46"/>
                    <w:jc w:val="right"/>
                    <w:rPr>
                      <w:rFonts w:ascii="Arial" w:hAnsi="Arial" w:cs="Arial"/>
                      <w:sz w:val="20"/>
                      <w:szCs w:val="20"/>
                    </w:rPr>
                  </w:pPr>
                  <w:r w:rsidRPr="00F01DBE">
                    <w:rPr>
                      <w:rFonts w:ascii="Arial" w:hAnsi="Arial" w:cs="Arial"/>
                      <w:sz w:val="20"/>
                      <w:szCs w:val="20"/>
                    </w:rPr>
                    <w:t>118.70</w:t>
                  </w:r>
                </w:p>
              </w:tc>
              <w:tc>
                <w:tcPr>
                  <w:tcW w:w="444" w:type="pct"/>
                  <w:tcBorders>
                    <w:top w:val="nil"/>
                    <w:left w:val="nil"/>
                    <w:bottom w:val="nil"/>
                    <w:right w:val="nil"/>
                  </w:tcBorders>
                  <w:shd w:val="clear" w:color="auto" w:fill="auto"/>
                  <w:vAlign w:val="center"/>
                  <w:hideMark/>
                </w:tcPr>
                <w:p w:rsidR="00F01DBE" w:rsidRPr="00F01DBE" w:rsidRDefault="00F01DBE" w:rsidP="00B6312B">
                  <w:pPr>
                    <w:ind w:hanging="46"/>
                    <w:jc w:val="right"/>
                    <w:rPr>
                      <w:rFonts w:ascii="Arial" w:hAnsi="Arial" w:cs="Arial"/>
                      <w:sz w:val="20"/>
                      <w:szCs w:val="20"/>
                    </w:rPr>
                  </w:pPr>
                  <w:r w:rsidRPr="00F01DBE">
                    <w:rPr>
                      <w:rFonts w:ascii="Arial" w:hAnsi="Arial" w:cs="Arial"/>
                      <w:sz w:val="20"/>
                      <w:szCs w:val="20"/>
                    </w:rPr>
                    <w:t>109.47</w:t>
                  </w:r>
                </w:p>
              </w:tc>
              <w:tc>
                <w:tcPr>
                  <w:tcW w:w="444" w:type="pct"/>
                  <w:tcBorders>
                    <w:top w:val="nil"/>
                    <w:left w:val="nil"/>
                    <w:bottom w:val="nil"/>
                    <w:right w:val="nil"/>
                  </w:tcBorders>
                  <w:shd w:val="clear" w:color="auto" w:fill="auto"/>
                  <w:vAlign w:val="center"/>
                  <w:hideMark/>
                </w:tcPr>
                <w:p w:rsidR="00F01DBE" w:rsidRPr="00F01DBE" w:rsidRDefault="00F01DBE" w:rsidP="00B6312B">
                  <w:pPr>
                    <w:ind w:hanging="46"/>
                    <w:jc w:val="right"/>
                    <w:rPr>
                      <w:rFonts w:ascii="Arial" w:hAnsi="Arial" w:cs="Arial"/>
                      <w:sz w:val="20"/>
                      <w:szCs w:val="20"/>
                    </w:rPr>
                  </w:pPr>
                  <w:r w:rsidRPr="00F01DBE">
                    <w:rPr>
                      <w:rFonts w:ascii="Arial" w:hAnsi="Arial" w:cs="Arial"/>
                      <w:sz w:val="20"/>
                      <w:szCs w:val="20"/>
                    </w:rPr>
                    <w:t>108.94</w:t>
                  </w:r>
                </w:p>
              </w:tc>
              <w:tc>
                <w:tcPr>
                  <w:tcW w:w="445" w:type="pct"/>
                  <w:tcBorders>
                    <w:top w:val="nil"/>
                    <w:left w:val="nil"/>
                    <w:bottom w:val="nil"/>
                    <w:right w:val="nil"/>
                  </w:tcBorders>
                  <w:shd w:val="clear" w:color="auto" w:fill="auto"/>
                  <w:vAlign w:val="center"/>
                  <w:hideMark/>
                </w:tcPr>
                <w:p w:rsidR="00F01DBE" w:rsidRPr="00F01DBE" w:rsidRDefault="00F01DBE" w:rsidP="00F01DBE">
                  <w:pPr>
                    <w:jc w:val="right"/>
                    <w:rPr>
                      <w:rFonts w:ascii="Arial" w:hAnsi="Arial" w:cs="Arial"/>
                      <w:sz w:val="20"/>
                      <w:szCs w:val="20"/>
                    </w:rPr>
                  </w:pPr>
                  <w:proofErr w:type="spellStart"/>
                  <w:r w:rsidRPr="00F01DBE">
                    <w:rPr>
                      <w:rFonts w:ascii="Arial" w:hAnsi="Arial" w:cs="Arial"/>
                      <w:sz w:val="20"/>
                      <w:szCs w:val="20"/>
                    </w:rPr>
                    <w:t>9A.47</w:t>
                  </w:r>
                  <w:proofErr w:type="spellEnd"/>
                </w:p>
              </w:tc>
            </w:tr>
            <w:tr w:rsidR="00F01DBE" w:rsidRPr="00F01DBE" w:rsidTr="00305A8E">
              <w:trPr>
                <w:divId w:val="1267424963"/>
                <w:trHeight w:val="90"/>
              </w:trPr>
              <w:tc>
                <w:tcPr>
                  <w:tcW w:w="559" w:type="pct"/>
                  <w:tcBorders>
                    <w:top w:val="nil"/>
                    <w:left w:val="nil"/>
                    <w:bottom w:val="nil"/>
                    <w:right w:val="nil"/>
                  </w:tcBorders>
                  <w:shd w:val="clear" w:color="auto" w:fill="auto"/>
                  <w:vAlign w:val="center"/>
                  <w:hideMark/>
                </w:tcPr>
                <w:p w:rsidR="00F01DBE" w:rsidRPr="00F01DBE" w:rsidRDefault="00F01DBE" w:rsidP="00B6312B">
                  <w:pPr>
                    <w:pStyle w:val="HeaderEnd"/>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pPr>
                </w:p>
              </w:tc>
              <w:tc>
                <w:tcPr>
                  <w:tcW w:w="444" w:type="pct"/>
                  <w:tcBorders>
                    <w:top w:val="nil"/>
                    <w:left w:val="nil"/>
                    <w:bottom w:val="nil"/>
                    <w:right w:val="nil"/>
                  </w:tcBorders>
                  <w:shd w:val="clear" w:color="auto" w:fill="auto"/>
                  <w:vAlign w:val="center"/>
                  <w:hideMark/>
                </w:tcPr>
                <w:p w:rsidR="00F01DBE" w:rsidRPr="00F01DBE" w:rsidRDefault="00F01DBE" w:rsidP="00B6312B">
                  <w:pPr>
                    <w:pStyle w:val="HeaderEnd"/>
                  </w:pPr>
                </w:p>
              </w:tc>
              <w:tc>
                <w:tcPr>
                  <w:tcW w:w="445" w:type="pct"/>
                  <w:tcBorders>
                    <w:top w:val="nil"/>
                    <w:left w:val="nil"/>
                    <w:bottom w:val="nil"/>
                    <w:right w:val="nil"/>
                  </w:tcBorders>
                  <w:shd w:val="clear" w:color="auto" w:fill="auto"/>
                  <w:vAlign w:val="center"/>
                  <w:hideMark/>
                </w:tcPr>
                <w:p w:rsidR="00F01DBE" w:rsidRPr="00F01DBE" w:rsidRDefault="00F01DBE" w:rsidP="00B6312B">
                  <w:pPr>
                    <w:pStyle w:val="HeaderEnd"/>
                  </w:pPr>
                </w:p>
              </w:tc>
            </w:tr>
          </w:tbl>
          <w:p w:rsidR="0042163F" w:rsidRDefault="0042163F" w:rsidP="00474B07">
            <w:pPr>
              <w:pStyle w:val="FooterEnd"/>
            </w:pPr>
          </w:p>
        </w:tc>
      </w:tr>
      <w:tr w:rsidR="00B673BA" w:rsidTr="003773D9">
        <w:tc>
          <w:tcPr>
            <w:tcW w:w="5000" w:type="pct"/>
            <w:tcBorders>
              <w:top w:val="single" w:sz="4" w:space="0" w:color="auto"/>
            </w:tcBorders>
            <w:shd w:val="clear" w:color="auto" w:fill="auto"/>
          </w:tcPr>
          <w:p w:rsidR="0042163F" w:rsidRPr="0042163F" w:rsidRDefault="0042163F" w:rsidP="0042163F">
            <w:pPr>
              <w:pStyle w:val="HeaderEnd"/>
              <w:rPr>
                <w:rFonts w:ascii="Times New Roman" w:hAnsi="Times New Roman"/>
              </w:rPr>
            </w:pPr>
          </w:p>
          <w:p w:rsidR="00B673BA" w:rsidRDefault="00C447E3" w:rsidP="00C447E3">
            <w:pPr>
              <w:pStyle w:val="Continued"/>
            </w:pPr>
            <w:r>
              <w:t>(Continued next page)</w:t>
            </w:r>
          </w:p>
        </w:tc>
      </w:tr>
      <w:tr w:rsidR="0042163F" w:rsidTr="00F01DBE">
        <w:tc>
          <w:tcPr>
            <w:tcW w:w="5000" w:type="pct"/>
            <w:shd w:val="clear" w:color="auto" w:fill="auto"/>
          </w:tcPr>
          <w:p w:rsidR="0042163F" w:rsidRDefault="0042163F" w:rsidP="00474B07">
            <w:pPr>
              <w:pStyle w:val="FooterEnd"/>
            </w:pPr>
          </w:p>
        </w:tc>
      </w:tr>
    </w:tbl>
    <w:p w:rsidR="00C447E3" w:rsidRPr="008A3A67" w:rsidRDefault="00C447E3" w:rsidP="00B6312B">
      <w:pPr>
        <w:pStyle w:val="TableTitle"/>
        <w:rPr>
          <w:sz w:val="18"/>
          <w:szCs w:val="18"/>
        </w:rPr>
      </w:pPr>
      <w:r w:rsidRPr="00E6147C">
        <w:rPr>
          <w:b w:val="0"/>
        </w:rPr>
        <w:lastRenderedPageBreak/>
        <w:t>Table</w:t>
      </w:r>
      <w:r w:rsidR="008A3A67">
        <w:rPr>
          <w:b w:val="0"/>
        </w:rPr>
        <w:t xml:space="preserve"> </w:t>
      </w:r>
      <w:proofErr w:type="spellStart"/>
      <w:r w:rsidR="00CA09FA" w:rsidRPr="00CA09FA">
        <w:rPr>
          <w:b w:val="0"/>
        </w:rPr>
        <w:t>D.3</w:t>
      </w:r>
      <w:proofErr w:type="spellEnd"/>
      <w:r w:rsidRPr="00E6147C">
        <w:rPr>
          <w:b w:val="0"/>
        </w:rPr>
        <w:tab/>
      </w:r>
      <w:r w:rsidR="008A3A67" w:rsidRPr="008A3A67">
        <w:rPr>
          <w:sz w:val="18"/>
          <w:szCs w:val="18"/>
        </w:rPr>
        <w:t>Continued</w:t>
      </w:r>
    </w:p>
    <w:tbl>
      <w:tblPr>
        <w:tblW w:w="5000" w:type="pct"/>
        <w:tblLayout w:type="fixed"/>
        <w:tblCellMar>
          <w:left w:w="0" w:type="dxa"/>
          <w:right w:w="0" w:type="dxa"/>
        </w:tblCellMar>
        <w:tblLook w:val="0000" w:firstRow="0" w:lastRow="0" w:firstColumn="0" w:lastColumn="0" w:noHBand="0" w:noVBand="0"/>
      </w:tblPr>
      <w:tblGrid>
        <w:gridCol w:w="8789"/>
      </w:tblGrid>
      <w:tr w:rsidR="00C447E3" w:rsidTr="00176AB6">
        <w:tc>
          <w:tcPr>
            <w:tcW w:w="5000" w:type="pct"/>
            <w:tcBorders>
              <w:top w:val="single" w:sz="4" w:space="0" w:color="auto"/>
              <w:bottom w:val="single" w:sz="4" w:space="0" w:color="auto"/>
            </w:tcBorders>
            <w:shd w:val="clear" w:color="auto" w:fill="auto"/>
          </w:tcPr>
          <w:p w:rsidR="00F01DBE" w:rsidRPr="00F01DBE" w:rsidRDefault="00F01DBE" w:rsidP="00B6312B">
            <w:pPr>
              <w:pStyle w:val="HeaderEnd"/>
              <w:keepNext/>
              <w:rPr>
                <w:rFonts w:ascii="Times New Roman" w:hAnsi="Times New Roman"/>
              </w:rPr>
            </w:pPr>
          </w:p>
          <w:p w:rsidR="005A787B" w:rsidRDefault="005A787B" w:rsidP="00B6312B">
            <w:pPr>
              <w:pStyle w:val="FooterEnd"/>
              <w:keepNext/>
              <w:rPr>
                <w:caps w:val="0"/>
                <w:spacing w:val="0"/>
                <w:sz w:val="20"/>
              </w:rPr>
            </w:pPr>
          </w:p>
          <w:tbl>
            <w:tblPr>
              <w:tblW w:w="5000" w:type="pct"/>
              <w:tblLayout w:type="fixed"/>
              <w:tblLook w:val="04A0" w:firstRow="1" w:lastRow="0" w:firstColumn="1" w:lastColumn="0" w:noHBand="0" w:noVBand="1"/>
            </w:tblPr>
            <w:tblGrid>
              <w:gridCol w:w="707"/>
              <w:gridCol w:w="808"/>
              <w:gridCol w:w="808"/>
              <w:gridCol w:w="809"/>
              <w:gridCol w:w="809"/>
              <w:gridCol w:w="809"/>
              <w:gridCol w:w="809"/>
              <w:gridCol w:w="809"/>
              <w:gridCol w:w="809"/>
              <w:gridCol w:w="809"/>
              <w:gridCol w:w="803"/>
            </w:tblGrid>
            <w:tr w:rsidR="005A787B" w:rsidRPr="005A787B" w:rsidTr="005A787B">
              <w:trPr>
                <w:trHeight w:val="330"/>
              </w:trPr>
              <w:tc>
                <w:tcPr>
                  <w:tcW w:w="403" w:type="pct"/>
                  <w:tcBorders>
                    <w:top w:val="nil"/>
                    <w:left w:val="nil"/>
                    <w:bottom w:val="single" w:sz="4" w:space="0" w:color="auto"/>
                    <w:right w:val="nil"/>
                  </w:tcBorders>
                  <w:shd w:val="clear" w:color="auto" w:fill="auto"/>
                  <w:vAlign w:val="center"/>
                  <w:hideMark/>
                </w:tcPr>
                <w:p w:rsidR="005A787B" w:rsidRPr="005A787B" w:rsidRDefault="005A787B" w:rsidP="005A787B">
                  <w:pPr>
                    <w:rPr>
                      <w:rFonts w:ascii="Arial" w:hAnsi="Arial" w:cs="Arial"/>
                      <w:i/>
                      <w:iCs/>
                      <w:sz w:val="20"/>
                      <w:szCs w:val="20"/>
                    </w:rPr>
                  </w:pPr>
                  <w:r w:rsidRPr="005A787B">
                    <w:rPr>
                      <w:rFonts w:ascii="Arial" w:hAnsi="Arial" w:cs="Arial"/>
                      <w:i/>
                      <w:iCs/>
                      <w:sz w:val="20"/>
                      <w:szCs w:val="20"/>
                    </w:rPr>
                    <w:t> </w:t>
                  </w:r>
                </w:p>
              </w:tc>
              <w:tc>
                <w:tcPr>
                  <w:tcW w:w="460" w:type="pct"/>
                  <w:tcBorders>
                    <w:top w:val="nil"/>
                    <w:left w:val="nil"/>
                    <w:bottom w:val="single" w:sz="4" w:space="0" w:color="auto"/>
                    <w:right w:val="nil"/>
                  </w:tcBorders>
                  <w:shd w:val="clear" w:color="auto" w:fill="auto"/>
                  <w:vAlign w:val="center"/>
                  <w:hideMark/>
                </w:tcPr>
                <w:p w:rsidR="005A787B" w:rsidRPr="005A787B" w:rsidRDefault="005A787B" w:rsidP="005A787B">
                  <w:pPr>
                    <w:jc w:val="right"/>
                    <w:rPr>
                      <w:rFonts w:ascii="Arial" w:hAnsi="Arial" w:cs="Arial"/>
                      <w:i/>
                      <w:iCs/>
                      <w:sz w:val="20"/>
                      <w:szCs w:val="20"/>
                    </w:rPr>
                  </w:pPr>
                  <w:r w:rsidRPr="005A787B">
                    <w:rPr>
                      <w:rFonts w:ascii="Arial" w:hAnsi="Arial" w:cs="Arial"/>
                      <w:i/>
                      <w:iCs/>
                      <w:sz w:val="20"/>
                      <w:szCs w:val="20"/>
                    </w:rPr>
                    <w:t>NSW</w:t>
                  </w:r>
                </w:p>
              </w:tc>
              <w:tc>
                <w:tcPr>
                  <w:tcW w:w="460" w:type="pct"/>
                  <w:tcBorders>
                    <w:top w:val="nil"/>
                    <w:left w:val="nil"/>
                    <w:bottom w:val="single" w:sz="4" w:space="0" w:color="auto"/>
                    <w:right w:val="nil"/>
                  </w:tcBorders>
                  <w:shd w:val="clear" w:color="auto" w:fill="auto"/>
                  <w:vAlign w:val="center"/>
                  <w:hideMark/>
                </w:tcPr>
                <w:p w:rsidR="005A787B" w:rsidRPr="005A787B" w:rsidRDefault="005A787B" w:rsidP="005A787B">
                  <w:pPr>
                    <w:jc w:val="right"/>
                    <w:rPr>
                      <w:rFonts w:ascii="Arial" w:hAnsi="Arial" w:cs="Arial"/>
                      <w:i/>
                      <w:iCs/>
                      <w:sz w:val="20"/>
                      <w:szCs w:val="20"/>
                    </w:rPr>
                  </w:pPr>
                  <w:r w:rsidRPr="005A787B">
                    <w:rPr>
                      <w:rFonts w:ascii="Arial" w:hAnsi="Arial" w:cs="Arial"/>
                      <w:i/>
                      <w:iCs/>
                      <w:sz w:val="20"/>
                      <w:szCs w:val="20"/>
                    </w:rPr>
                    <w:t>Vic</w:t>
                  </w:r>
                </w:p>
              </w:tc>
              <w:tc>
                <w:tcPr>
                  <w:tcW w:w="460" w:type="pct"/>
                  <w:tcBorders>
                    <w:top w:val="nil"/>
                    <w:left w:val="nil"/>
                    <w:bottom w:val="single" w:sz="4" w:space="0" w:color="auto"/>
                    <w:right w:val="nil"/>
                  </w:tcBorders>
                  <w:shd w:val="clear" w:color="auto" w:fill="auto"/>
                  <w:vAlign w:val="center"/>
                  <w:hideMark/>
                </w:tcPr>
                <w:p w:rsidR="005A787B" w:rsidRPr="005A787B" w:rsidRDefault="005A787B" w:rsidP="005A787B">
                  <w:pPr>
                    <w:jc w:val="right"/>
                    <w:rPr>
                      <w:rFonts w:ascii="Arial" w:hAnsi="Arial" w:cs="Arial"/>
                      <w:i/>
                      <w:iCs/>
                      <w:sz w:val="20"/>
                      <w:szCs w:val="20"/>
                    </w:rPr>
                  </w:pPr>
                  <w:r w:rsidRPr="005A787B">
                    <w:rPr>
                      <w:rFonts w:ascii="Arial" w:hAnsi="Arial" w:cs="Arial"/>
                      <w:i/>
                      <w:iCs/>
                      <w:sz w:val="20"/>
                      <w:szCs w:val="20"/>
                    </w:rPr>
                    <w:t>Qld</w:t>
                  </w:r>
                </w:p>
              </w:tc>
              <w:tc>
                <w:tcPr>
                  <w:tcW w:w="460" w:type="pct"/>
                  <w:tcBorders>
                    <w:top w:val="nil"/>
                    <w:left w:val="nil"/>
                    <w:bottom w:val="single" w:sz="4" w:space="0" w:color="auto"/>
                    <w:right w:val="nil"/>
                  </w:tcBorders>
                  <w:shd w:val="clear" w:color="auto" w:fill="auto"/>
                  <w:vAlign w:val="center"/>
                  <w:hideMark/>
                </w:tcPr>
                <w:p w:rsidR="005A787B" w:rsidRPr="005A787B" w:rsidRDefault="005A787B" w:rsidP="005A787B">
                  <w:pPr>
                    <w:jc w:val="right"/>
                    <w:rPr>
                      <w:rFonts w:ascii="Arial" w:hAnsi="Arial" w:cs="Arial"/>
                      <w:i/>
                      <w:iCs/>
                      <w:sz w:val="20"/>
                      <w:szCs w:val="20"/>
                    </w:rPr>
                  </w:pPr>
                  <w:r w:rsidRPr="005A787B">
                    <w:rPr>
                      <w:rFonts w:ascii="Arial" w:hAnsi="Arial" w:cs="Arial"/>
                      <w:i/>
                      <w:iCs/>
                      <w:sz w:val="20"/>
                      <w:szCs w:val="20"/>
                    </w:rPr>
                    <w:t>WA</w:t>
                  </w:r>
                </w:p>
              </w:tc>
              <w:tc>
                <w:tcPr>
                  <w:tcW w:w="460" w:type="pct"/>
                  <w:tcBorders>
                    <w:top w:val="nil"/>
                    <w:left w:val="nil"/>
                    <w:bottom w:val="single" w:sz="4" w:space="0" w:color="auto"/>
                    <w:right w:val="nil"/>
                  </w:tcBorders>
                  <w:shd w:val="clear" w:color="auto" w:fill="auto"/>
                  <w:vAlign w:val="center"/>
                  <w:hideMark/>
                </w:tcPr>
                <w:p w:rsidR="005A787B" w:rsidRPr="005A787B" w:rsidRDefault="005A787B" w:rsidP="005A787B">
                  <w:pPr>
                    <w:jc w:val="right"/>
                    <w:rPr>
                      <w:rFonts w:ascii="Arial" w:hAnsi="Arial" w:cs="Arial"/>
                      <w:i/>
                      <w:iCs/>
                      <w:sz w:val="20"/>
                      <w:szCs w:val="20"/>
                    </w:rPr>
                  </w:pPr>
                  <w:r w:rsidRPr="005A787B">
                    <w:rPr>
                      <w:rFonts w:ascii="Arial" w:hAnsi="Arial" w:cs="Arial"/>
                      <w:i/>
                      <w:iCs/>
                      <w:sz w:val="20"/>
                      <w:szCs w:val="20"/>
                    </w:rPr>
                    <w:t>SA</w:t>
                  </w:r>
                </w:p>
              </w:tc>
              <w:tc>
                <w:tcPr>
                  <w:tcW w:w="460" w:type="pct"/>
                  <w:tcBorders>
                    <w:top w:val="nil"/>
                    <w:left w:val="nil"/>
                    <w:bottom w:val="single" w:sz="4" w:space="0" w:color="auto"/>
                    <w:right w:val="nil"/>
                  </w:tcBorders>
                  <w:shd w:val="clear" w:color="auto" w:fill="auto"/>
                  <w:vAlign w:val="center"/>
                  <w:hideMark/>
                </w:tcPr>
                <w:p w:rsidR="005A787B" w:rsidRPr="005A787B" w:rsidRDefault="005A787B" w:rsidP="005A787B">
                  <w:pPr>
                    <w:jc w:val="right"/>
                    <w:rPr>
                      <w:rFonts w:ascii="Arial" w:hAnsi="Arial" w:cs="Arial"/>
                      <w:i/>
                      <w:iCs/>
                      <w:sz w:val="20"/>
                      <w:szCs w:val="20"/>
                    </w:rPr>
                  </w:pPr>
                  <w:r w:rsidRPr="005A787B">
                    <w:rPr>
                      <w:rFonts w:ascii="Arial" w:hAnsi="Arial" w:cs="Arial"/>
                      <w:i/>
                      <w:iCs/>
                      <w:sz w:val="20"/>
                      <w:szCs w:val="20"/>
                    </w:rPr>
                    <w:t>Tas</w:t>
                  </w:r>
                </w:p>
              </w:tc>
              <w:tc>
                <w:tcPr>
                  <w:tcW w:w="460" w:type="pct"/>
                  <w:tcBorders>
                    <w:top w:val="nil"/>
                    <w:left w:val="nil"/>
                    <w:bottom w:val="single" w:sz="4" w:space="0" w:color="auto"/>
                    <w:right w:val="nil"/>
                  </w:tcBorders>
                  <w:shd w:val="clear" w:color="auto" w:fill="auto"/>
                  <w:vAlign w:val="center"/>
                  <w:hideMark/>
                </w:tcPr>
                <w:p w:rsidR="005A787B" w:rsidRPr="005A787B" w:rsidRDefault="005A787B" w:rsidP="005A787B">
                  <w:pPr>
                    <w:jc w:val="right"/>
                    <w:rPr>
                      <w:rFonts w:ascii="Arial" w:hAnsi="Arial" w:cs="Arial"/>
                      <w:i/>
                      <w:iCs/>
                      <w:sz w:val="20"/>
                      <w:szCs w:val="20"/>
                    </w:rPr>
                  </w:pPr>
                  <w:r w:rsidRPr="005A787B">
                    <w:rPr>
                      <w:rFonts w:ascii="Arial" w:hAnsi="Arial" w:cs="Arial"/>
                      <w:i/>
                      <w:iCs/>
                      <w:sz w:val="20"/>
                      <w:szCs w:val="20"/>
                    </w:rPr>
                    <w:t>ACT</w:t>
                  </w:r>
                </w:p>
              </w:tc>
              <w:tc>
                <w:tcPr>
                  <w:tcW w:w="460" w:type="pct"/>
                  <w:tcBorders>
                    <w:top w:val="nil"/>
                    <w:left w:val="nil"/>
                    <w:bottom w:val="single" w:sz="4" w:space="0" w:color="auto"/>
                    <w:right w:val="nil"/>
                  </w:tcBorders>
                  <w:shd w:val="clear" w:color="auto" w:fill="auto"/>
                  <w:vAlign w:val="center"/>
                  <w:hideMark/>
                </w:tcPr>
                <w:p w:rsidR="005A787B" w:rsidRPr="005A787B" w:rsidRDefault="005A787B" w:rsidP="005A787B">
                  <w:pPr>
                    <w:jc w:val="right"/>
                    <w:rPr>
                      <w:rFonts w:ascii="Arial" w:hAnsi="Arial" w:cs="Arial"/>
                      <w:i/>
                      <w:iCs/>
                      <w:sz w:val="20"/>
                      <w:szCs w:val="20"/>
                    </w:rPr>
                  </w:pPr>
                  <w:r w:rsidRPr="005A787B">
                    <w:rPr>
                      <w:rFonts w:ascii="Arial" w:hAnsi="Arial" w:cs="Arial"/>
                      <w:i/>
                      <w:iCs/>
                      <w:sz w:val="20"/>
                      <w:szCs w:val="20"/>
                    </w:rPr>
                    <w:t>NT</w:t>
                  </w:r>
                </w:p>
              </w:tc>
              <w:tc>
                <w:tcPr>
                  <w:tcW w:w="460" w:type="pct"/>
                  <w:tcBorders>
                    <w:top w:val="nil"/>
                    <w:left w:val="nil"/>
                    <w:bottom w:val="single" w:sz="4" w:space="0" w:color="auto"/>
                    <w:right w:val="nil"/>
                  </w:tcBorders>
                  <w:shd w:val="clear" w:color="auto" w:fill="auto"/>
                  <w:vAlign w:val="center"/>
                  <w:hideMark/>
                </w:tcPr>
                <w:p w:rsidR="005A787B" w:rsidRPr="005A787B" w:rsidRDefault="005A787B" w:rsidP="005A787B">
                  <w:pPr>
                    <w:jc w:val="right"/>
                    <w:rPr>
                      <w:rFonts w:ascii="Arial" w:hAnsi="Arial" w:cs="Arial"/>
                      <w:i/>
                      <w:iCs/>
                      <w:sz w:val="20"/>
                      <w:szCs w:val="20"/>
                    </w:rPr>
                  </w:pPr>
                  <w:r w:rsidRPr="005A787B">
                    <w:rPr>
                      <w:rFonts w:ascii="Arial" w:hAnsi="Arial" w:cs="Arial"/>
                      <w:i/>
                      <w:iCs/>
                      <w:sz w:val="20"/>
                      <w:szCs w:val="20"/>
                    </w:rPr>
                    <w:t>Aust</w:t>
                  </w:r>
                </w:p>
              </w:tc>
              <w:tc>
                <w:tcPr>
                  <w:tcW w:w="457" w:type="pct"/>
                  <w:tcBorders>
                    <w:top w:val="nil"/>
                    <w:left w:val="nil"/>
                    <w:bottom w:val="single" w:sz="4" w:space="0" w:color="auto"/>
                    <w:right w:val="nil"/>
                  </w:tcBorders>
                  <w:shd w:val="clear" w:color="auto" w:fill="auto"/>
                  <w:vAlign w:val="center"/>
                  <w:hideMark/>
                </w:tcPr>
                <w:p w:rsidR="005A787B" w:rsidRPr="005A787B" w:rsidRDefault="005A787B" w:rsidP="005A787B">
                  <w:pPr>
                    <w:ind w:hanging="156"/>
                    <w:jc w:val="right"/>
                    <w:rPr>
                      <w:rFonts w:ascii="Arial" w:hAnsi="Arial" w:cs="Arial"/>
                      <w:i/>
                      <w:iCs/>
                      <w:sz w:val="20"/>
                      <w:szCs w:val="20"/>
                    </w:rPr>
                  </w:pPr>
                  <w:r w:rsidRPr="005A787B">
                    <w:rPr>
                      <w:rFonts w:ascii="Arial" w:hAnsi="Arial" w:cs="Arial"/>
                      <w:i/>
                      <w:iCs/>
                      <w:sz w:val="20"/>
                      <w:szCs w:val="20"/>
                    </w:rPr>
                    <w:t>Source</w:t>
                  </w:r>
                </w:p>
              </w:tc>
            </w:tr>
            <w:tr w:rsidR="005A787B" w:rsidRPr="005A787B" w:rsidTr="005A787B">
              <w:trPr>
                <w:trHeight w:val="330"/>
              </w:trPr>
              <w:tc>
                <w:tcPr>
                  <w:tcW w:w="5000" w:type="pct"/>
                  <w:gridSpan w:val="11"/>
                  <w:tcBorders>
                    <w:top w:val="nil"/>
                    <w:left w:val="nil"/>
                    <w:bottom w:val="nil"/>
                    <w:right w:val="nil"/>
                  </w:tcBorders>
                  <w:shd w:val="clear" w:color="auto" w:fill="auto"/>
                  <w:vAlign w:val="center"/>
                  <w:hideMark/>
                </w:tcPr>
                <w:p w:rsidR="005A787B" w:rsidRPr="005A787B" w:rsidRDefault="005A787B" w:rsidP="005A787B">
                  <w:pPr>
                    <w:rPr>
                      <w:rFonts w:ascii="Arial" w:hAnsi="Arial" w:cs="Arial"/>
                      <w:b/>
                      <w:bCs/>
                      <w:sz w:val="20"/>
                      <w:szCs w:val="20"/>
                    </w:rPr>
                  </w:pPr>
                  <w:r w:rsidRPr="005A787B">
                    <w:rPr>
                      <w:rFonts w:ascii="Arial" w:hAnsi="Arial" w:cs="Arial"/>
                      <w:b/>
                      <w:bCs/>
                      <w:sz w:val="20"/>
                      <w:szCs w:val="20"/>
                    </w:rPr>
                    <w:t>Outcome indicators</w:t>
                  </w:r>
                </w:p>
              </w:tc>
            </w:tr>
            <w:tr w:rsidR="005A787B" w:rsidRPr="005A787B" w:rsidTr="005A787B">
              <w:trPr>
                <w:trHeight w:val="615"/>
              </w:trPr>
              <w:tc>
                <w:tcPr>
                  <w:tcW w:w="5000" w:type="pct"/>
                  <w:gridSpan w:val="11"/>
                  <w:tcBorders>
                    <w:top w:val="nil"/>
                    <w:left w:val="nil"/>
                    <w:bottom w:val="nil"/>
                    <w:right w:val="nil"/>
                  </w:tcBorders>
                  <w:shd w:val="clear" w:color="auto" w:fill="auto"/>
                  <w:vAlign w:val="center"/>
                  <w:hideMark/>
                </w:tcPr>
                <w:p w:rsidR="005A787B" w:rsidRPr="005A787B" w:rsidRDefault="005A787B" w:rsidP="005A787B">
                  <w:pPr>
                    <w:ind w:leftChars="60" w:left="274" w:hangingChars="59" w:hanging="118"/>
                    <w:rPr>
                      <w:rFonts w:ascii="Arial" w:hAnsi="Arial" w:cs="Arial"/>
                      <w:i/>
                      <w:iCs/>
                      <w:sz w:val="20"/>
                      <w:szCs w:val="20"/>
                    </w:rPr>
                  </w:pPr>
                  <w:r w:rsidRPr="005A787B">
                    <w:rPr>
                      <w:rFonts w:ascii="Arial" w:hAnsi="Arial" w:cs="Arial"/>
                      <w:i/>
                      <w:iCs/>
                      <w:sz w:val="20"/>
                      <w:szCs w:val="20"/>
                    </w:rPr>
                    <w:t>Cardiac arrest survived event, 2012</w:t>
                  </w:r>
                  <w:r w:rsidR="001525FA">
                    <w:rPr>
                      <w:rFonts w:ascii="Arial" w:hAnsi="Arial" w:cs="Arial"/>
                      <w:i/>
                      <w:iCs/>
                      <w:sz w:val="20"/>
                      <w:szCs w:val="20"/>
                    </w:rPr>
                    <w:noBreakHyphen/>
                  </w:r>
                  <w:r w:rsidRPr="005A787B">
                    <w:rPr>
                      <w:rFonts w:ascii="Arial" w:hAnsi="Arial" w:cs="Arial"/>
                      <w:i/>
                      <w:iCs/>
                      <w:sz w:val="20"/>
                      <w:szCs w:val="20"/>
                    </w:rPr>
                    <w:t xml:space="preserve">13 — Adult cardiac arrest survived event rate </w:t>
                  </w:r>
                  <w:r w:rsidRPr="005A787B">
                    <w:rPr>
                      <w:rFonts w:ascii="Arial" w:hAnsi="Arial" w:cs="Arial"/>
                      <w:i/>
                      <w:iCs/>
                      <w:sz w:val="20"/>
                      <w:szCs w:val="20"/>
                    </w:rPr>
                    <w:br/>
                    <w:t>— where resuscitation attempted (excluding paramedic witnessed)</w:t>
                  </w:r>
                </w:p>
              </w:tc>
            </w:tr>
            <w:tr w:rsidR="005A787B" w:rsidRPr="005A787B" w:rsidTr="005A787B">
              <w:trPr>
                <w:trHeight w:val="199"/>
              </w:trPr>
              <w:tc>
                <w:tcPr>
                  <w:tcW w:w="5000" w:type="pct"/>
                  <w:gridSpan w:val="11"/>
                  <w:tcBorders>
                    <w:top w:val="nil"/>
                    <w:left w:val="nil"/>
                    <w:bottom w:val="nil"/>
                    <w:right w:val="nil"/>
                  </w:tcBorders>
                  <w:shd w:val="clear" w:color="auto" w:fill="auto"/>
                  <w:vAlign w:val="center"/>
                  <w:hideMark/>
                </w:tcPr>
                <w:p w:rsidR="005A787B" w:rsidRPr="005A787B" w:rsidRDefault="005A787B" w:rsidP="005A787B">
                  <w:pPr>
                    <w:ind w:firstLineChars="100" w:firstLine="160"/>
                    <w:rPr>
                      <w:rFonts w:ascii="Arial" w:hAnsi="Arial" w:cs="Arial"/>
                      <w:sz w:val="16"/>
                      <w:szCs w:val="16"/>
                    </w:rPr>
                  </w:pPr>
                  <w:r w:rsidRPr="005A787B">
                    <w:rPr>
                      <w:rFonts w:ascii="Arial" w:hAnsi="Arial" w:cs="Arial"/>
                      <w:sz w:val="16"/>
                      <w:szCs w:val="16"/>
                    </w:rPr>
                    <w:t>Most recent data for this measure are complete but are not comparable (chapter 9)</w:t>
                  </w:r>
                </w:p>
              </w:tc>
            </w:tr>
            <w:tr w:rsidR="005A787B" w:rsidRPr="005A787B" w:rsidTr="005A787B">
              <w:trPr>
                <w:trHeight w:val="330"/>
              </w:trPr>
              <w:tc>
                <w:tcPr>
                  <w:tcW w:w="403" w:type="pct"/>
                  <w:tcBorders>
                    <w:top w:val="nil"/>
                    <w:left w:val="nil"/>
                    <w:bottom w:val="nil"/>
                    <w:right w:val="nil"/>
                  </w:tcBorders>
                  <w:shd w:val="clear" w:color="auto" w:fill="auto"/>
                  <w:vAlign w:val="center"/>
                  <w:hideMark/>
                </w:tcPr>
                <w:p w:rsidR="005A787B" w:rsidRPr="005A787B" w:rsidRDefault="005A787B" w:rsidP="005A787B">
                  <w:pPr>
                    <w:ind w:firstLineChars="159" w:firstLine="318"/>
                    <w:rPr>
                      <w:rFonts w:ascii="Arial" w:hAnsi="Arial" w:cs="Arial"/>
                      <w:sz w:val="20"/>
                      <w:szCs w:val="20"/>
                    </w:rPr>
                  </w:pPr>
                  <w:r w:rsidRPr="005A787B">
                    <w:rPr>
                      <w:rFonts w:ascii="Arial" w:hAnsi="Arial" w:cs="Arial"/>
                      <w:sz w:val="20"/>
                      <w:szCs w:val="20"/>
                    </w:rPr>
                    <w:t>%</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na</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30.1</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24.5</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27.0</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24.4</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30.7</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21.7</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28.3</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na</w:t>
                  </w:r>
                </w:p>
              </w:tc>
              <w:tc>
                <w:tcPr>
                  <w:tcW w:w="457"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proofErr w:type="spellStart"/>
                  <w:r w:rsidRPr="005A787B">
                    <w:rPr>
                      <w:rFonts w:ascii="Arial" w:hAnsi="Arial" w:cs="Arial"/>
                      <w:sz w:val="20"/>
                      <w:szCs w:val="20"/>
                    </w:rPr>
                    <w:t>9A.41</w:t>
                  </w:r>
                  <w:proofErr w:type="spellEnd"/>
                </w:p>
              </w:tc>
            </w:tr>
            <w:tr w:rsidR="005A787B" w:rsidRPr="005A787B" w:rsidTr="005A787B">
              <w:trPr>
                <w:trHeight w:val="330"/>
              </w:trPr>
              <w:tc>
                <w:tcPr>
                  <w:tcW w:w="5000" w:type="pct"/>
                  <w:gridSpan w:val="11"/>
                  <w:tcBorders>
                    <w:top w:val="nil"/>
                    <w:left w:val="nil"/>
                    <w:bottom w:val="nil"/>
                    <w:right w:val="nil"/>
                  </w:tcBorders>
                  <w:shd w:val="clear" w:color="auto" w:fill="auto"/>
                  <w:vAlign w:val="center"/>
                  <w:hideMark/>
                </w:tcPr>
                <w:p w:rsidR="005A787B" w:rsidRPr="005A787B" w:rsidRDefault="005A787B" w:rsidP="005A787B">
                  <w:pPr>
                    <w:ind w:leftChars="60" w:left="274" w:hangingChars="59" w:hanging="118"/>
                    <w:rPr>
                      <w:rFonts w:ascii="Arial" w:hAnsi="Arial" w:cs="Arial"/>
                      <w:i/>
                      <w:iCs/>
                      <w:sz w:val="20"/>
                      <w:szCs w:val="20"/>
                    </w:rPr>
                  </w:pPr>
                  <w:r w:rsidRPr="005A787B">
                    <w:rPr>
                      <w:rFonts w:ascii="Arial" w:hAnsi="Arial" w:cs="Arial"/>
                      <w:i/>
                      <w:iCs/>
                      <w:sz w:val="20"/>
                      <w:szCs w:val="20"/>
                    </w:rPr>
                    <w:t>Pain management, 2012-13</w:t>
                  </w:r>
                </w:p>
              </w:tc>
            </w:tr>
            <w:tr w:rsidR="005A787B" w:rsidRPr="005A787B" w:rsidTr="005A787B">
              <w:trPr>
                <w:trHeight w:val="199"/>
              </w:trPr>
              <w:tc>
                <w:tcPr>
                  <w:tcW w:w="5000" w:type="pct"/>
                  <w:gridSpan w:val="11"/>
                  <w:tcBorders>
                    <w:top w:val="nil"/>
                    <w:left w:val="nil"/>
                    <w:bottom w:val="nil"/>
                    <w:right w:val="nil"/>
                  </w:tcBorders>
                  <w:shd w:val="clear" w:color="auto" w:fill="auto"/>
                  <w:vAlign w:val="center"/>
                  <w:hideMark/>
                </w:tcPr>
                <w:p w:rsidR="005A787B" w:rsidRPr="005A787B" w:rsidRDefault="005A787B" w:rsidP="005A787B">
                  <w:pPr>
                    <w:ind w:firstLineChars="100" w:firstLine="160"/>
                    <w:rPr>
                      <w:rFonts w:ascii="Arial" w:hAnsi="Arial" w:cs="Arial"/>
                      <w:sz w:val="16"/>
                      <w:szCs w:val="16"/>
                    </w:rPr>
                  </w:pPr>
                  <w:r w:rsidRPr="005A787B">
                    <w:rPr>
                      <w:rFonts w:ascii="Arial" w:hAnsi="Arial" w:cs="Arial"/>
                      <w:sz w:val="16"/>
                      <w:szCs w:val="16"/>
                    </w:rPr>
                    <w:t>Most recent data for this measure are complete but are not comparable (chapter 9)</w:t>
                  </w:r>
                </w:p>
              </w:tc>
            </w:tr>
            <w:tr w:rsidR="005A787B" w:rsidRPr="005A787B" w:rsidTr="005A787B">
              <w:trPr>
                <w:trHeight w:val="330"/>
              </w:trPr>
              <w:tc>
                <w:tcPr>
                  <w:tcW w:w="403" w:type="pct"/>
                  <w:tcBorders>
                    <w:top w:val="nil"/>
                    <w:left w:val="nil"/>
                    <w:bottom w:val="nil"/>
                    <w:right w:val="nil"/>
                  </w:tcBorders>
                  <w:shd w:val="clear" w:color="auto" w:fill="auto"/>
                  <w:vAlign w:val="center"/>
                  <w:hideMark/>
                </w:tcPr>
                <w:p w:rsidR="005A787B" w:rsidRPr="005A787B" w:rsidRDefault="005A787B" w:rsidP="005A787B">
                  <w:pPr>
                    <w:ind w:firstLineChars="159" w:firstLine="318"/>
                    <w:rPr>
                      <w:rFonts w:ascii="Arial" w:hAnsi="Arial" w:cs="Arial"/>
                      <w:sz w:val="20"/>
                      <w:szCs w:val="20"/>
                    </w:rPr>
                  </w:pPr>
                  <w:r w:rsidRPr="005A787B">
                    <w:rPr>
                      <w:rFonts w:ascii="Arial" w:hAnsi="Arial" w:cs="Arial"/>
                      <w:sz w:val="20"/>
                      <w:szCs w:val="20"/>
                    </w:rPr>
                    <w:t>%</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72.9</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91.3</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89.2</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80.4</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na</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84.3</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na</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na</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84.2</w:t>
                  </w:r>
                </w:p>
              </w:tc>
              <w:tc>
                <w:tcPr>
                  <w:tcW w:w="457"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proofErr w:type="spellStart"/>
                  <w:r w:rsidRPr="005A787B">
                    <w:rPr>
                      <w:rFonts w:ascii="Arial" w:hAnsi="Arial" w:cs="Arial"/>
                      <w:sz w:val="20"/>
                      <w:szCs w:val="20"/>
                    </w:rPr>
                    <w:t>9A.42</w:t>
                  </w:r>
                  <w:proofErr w:type="spellEnd"/>
                </w:p>
              </w:tc>
            </w:tr>
            <w:tr w:rsidR="005A787B" w:rsidRPr="005A787B" w:rsidTr="005A787B">
              <w:trPr>
                <w:trHeight w:val="330"/>
              </w:trPr>
              <w:tc>
                <w:tcPr>
                  <w:tcW w:w="5000" w:type="pct"/>
                  <w:gridSpan w:val="11"/>
                  <w:tcBorders>
                    <w:top w:val="nil"/>
                    <w:left w:val="nil"/>
                    <w:bottom w:val="nil"/>
                    <w:right w:val="nil"/>
                  </w:tcBorders>
                  <w:shd w:val="clear" w:color="auto" w:fill="auto"/>
                  <w:vAlign w:val="center"/>
                  <w:hideMark/>
                </w:tcPr>
                <w:p w:rsidR="005A787B" w:rsidRPr="005A787B" w:rsidRDefault="005A787B" w:rsidP="005A787B">
                  <w:pPr>
                    <w:ind w:leftChars="60" w:left="274" w:hangingChars="59" w:hanging="118"/>
                    <w:rPr>
                      <w:rFonts w:ascii="Arial" w:hAnsi="Arial" w:cs="Arial"/>
                      <w:i/>
                      <w:iCs/>
                      <w:sz w:val="20"/>
                      <w:szCs w:val="20"/>
                    </w:rPr>
                  </w:pPr>
                  <w:r w:rsidRPr="005A787B">
                    <w:rPr>
                      <w:rFonts w:ascii="Arial" w:hAnsi="Arial" w:cs="Arial"/>
                      <w:i/>
                      <w:iCs/>
                      <w:sz w:val="20"/>
                      <w:szCs w:val="20"/>
                    </w:rPr>
                    <w:t>Level of patient satisfaction — overall satisfaction</w:t>
                  </w:r>
                  <w:r w:rsidRPr="005A787B">
                    <w:rPr>
                      <w:rFonts w:ascii="Arial" w:hAnsi="Arial" w:cs="Arial"/>
                      <w:sz w:val="16"/>
                      <w:szCs w:val="16"/>
                    </w:rPr>
                    <w:t xml:space="preserve"> </w:t>
                  </w:r>
                  <w:r w:rsidRPr="005A787B">
                    <w:rPr>
                      <w:rFonts w:ascii="Arial" w:hAnsi="Arial" w:cs="Arial"/>
                      <w:i/>
                      <w:iCs/>
                      <w:sz w:val="20"/>
                      <w:szCs w:val="20"/>
                    </w:rPr>
                    <w:t>rate, 2013</w:t>
                  </w:r>
                </w:p>
              </w:tc>
            </w:tr>
            <w:tr w:rsidR="005A787B" w:rsidRPr="005A787B" w:rsidTr="005A787B">
              <w:trPr>
                <w:trHeight w:val="199"/>
              </w:trPr>
              <w:tc>
                <w:tcPr>
                  <w:tcW w:w="5000" w:type="pct"/>
                  <w:gridSpan w:val="11"/>
                  <w:tcBorders>
                    <w:top w:val="nil"/>
                    <w:left w:val="nil"/>
                    <w:bottom w:val="nil"/>
                    <w:right w:val="nil"/>
                  </w:tcBorders>
                  <w:shd w:val="clear" w:color="auto" w:fill="auto"/>
                  <w:vAlign w:val="center"/>
                  <w:hideMark/>
                </w:tcPr>
                <w:p w:rsidR="005A787B" w:rsidRPr="005A787B" w:rsidRDefault="005A787B" w:rsidP="005A787B">
                  <w:pPr>
                    <w:ind w:firstLineChars="100" w:firstLine="160"/>
                    <w:rPr>
                      <w:rFonts w:ascii="Arial" w:hAnsi="Arial" w:cs="Arial"/>
                      <w:sz w:val="16"/>
                      <w:szCs w:val="16"/>
                    </w:rPr>
                  </w:pPr>
                  <w:r w:rsidRPr="005A787B">
                    <w:rPr>
                      <w:rFonts w:ascii="Arial" w:hAnsi="Arial" w:cs="Arial"/>
                      <w:sz w:val="16"/>
                      <w:szCs w:val="16"/>
                    </w:rPr>
                    <w:t>Most recent data for this measure are comparable and complete (chapter 9)</w:t>
                  </w:r>
                </w:p>
              </w:tc>
            </w:tr>
            <w:tr w:rsidR="005A787B" w:rsidRPr="005A787B" w:rsidTr="005A787B">
              <w:trPr>
                <w:trHeight w:val="330"/>
              </w:trPr>
              <w:tc>
                <w:tcPr>
                  <w:tcW w:w="403" w:type="pct"/>
                  <w:vMerge w:val="restart"/>
                  <w:tcBorders>
                    <w:top w:val="nil"/>
                    <w:left w:val="nil"/>
                    <w:bottom w:val="nil"/>
                    <w:right w:val="nil"/>
                  </w:tcBorders>
                  <w:shd w:val="clear" w:color="auto" w:fill="auto"/>
                  <w:vAlign w:val="center"/>
                  <w:hideMark/>
                </w:tcPr>
                <w:p w:rsidR="005A787B" w:rsidRPr="005A787B" w:rsidRDefault="005A787B" w:rsidP="005A787B">
                  <w:pPr>
                    <w:ind w:firstLineChars="159" w:firstLine="318"/>
                    <w:rPr>
                      <w:rFonts w:ascii="Arial" w:hAnsi="Arial" w:cs="Arial"/>
                      <w:sz w:val="20"/>
                      <w:szCs w:val="20"/>
                    </w:rPr>
                  </w:pPr>
                  <w:r w:rsidRPr="005A787B">
                    <w:rPr>
                      <w:rFonts w:ascii="Arial" w:hAnsi="Arial" w:cs="Arial"/>
                      <w:sz w:val="20"/>
                      <w:szCs w:val="20"/>
                    </w:rPr>
                    <w:t>%</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99</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98</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96</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99</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99</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98</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98</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95</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98</w:t>
                  </w:r>
                </w:p>
              </w:tc>
              <w:tc>
                <w:tcPr>
                  <w:tcW w:w="460" w:type="pct"/>
                  <w:vMerge w:val="restar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proofErr w:type="spellStart"/>
                  <w:r w:rsidRPr="005A787B">
                    <w:rPr>
                      <w:rFonts w:ascii="Arial" w:hAnsi="Arial" w:cs="Arial"/>
                      <w:sz w:val="20"/>
                      <w:szCs w:val="20"/>
                    </w:rPr>
                    <w:t>9A.43</w:t>
                  </w:r>
                  <w:proofErr w:type="spellEnd"/>
                </w:p>
              </w:tc>
            </w:tr>
            <w:tr w:rsidR="005A787B" w:rsidRPr="005A787B" w:rsidTr="005A787B">
              <w:trPr>
                <w:trHeight w:val="255"/>
              </w:trPr>
              <w:tc>
                <w:tcPr>
                  <w:tcW w:w="403" w:type="pct"/>
                  <w:vMerge/>
                  <w:tcBorders>
                    <w:top w:val="nil"/>
                    <w:left w:val="nil"/>
                    <w:bottom w:val="nil"/>
                    <w:right w:val="nil"/>
                  </w:tcBorders>
                  <w:vAlign w:val="center"/>
                  <w:hideMark/>
                </w:tcPr>
                <w:p w:rsidR="005A787B" w:rsidRPr="005A787B" w:rsidRDefault="005A787B" w:rsidP="005A787B">
                  <w:pPr>
                    <w:rPr>
                      <w:rFonts w:ascii="Arial" w:hAnsi="Arial" w:cs="Arial"/>
                      <w:sz w:val="20"/>
                      <w:szCs w:val="20"/>
                    </w:rPr>
                  </w:pP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 1.0</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 1.3</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 2.0</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 1.2</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 1.0</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 1.0</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 1.2</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 2.9</w:t>
                  </w:r>
                </w:p>
              </w:tc>
              <w:tc>
                <w:tcPr>
                  <w:tcW w:w="460" w:type="pct"/>
                  <w:tcBorders>
                    <w:top w:val="nil"/>
                    <w:left w:val="nil"/>
                    <w:bottom w:val="nil"/>
                    <w:right w:val="nil"/>
                  </w:tcBorders>
                  <w:shd w:val="clear" w:color="auto" w:fill="auto"/>
                  <w:vAlign w:val="center"/>
                  <w:hideMark/>
                </w:tcPr>
                <w:p w:rsidR="005A787B" w:rsidRPr="005A787B" w:rsidRDefault="005A787B" w:rsidP="005A787B">
                  <w:pPr>
                    <w:jc w:val="right"/>
                    <w:rPr>
                      <w:rFonts w:ascii="Arial" w:hAnsi="Arial" w:cs="Arial"/>
                      <w:sz w:val="20"/>
                      <w:szCs w:val="20"/>
                    </w:rPr>
                  </w:pPr>
                  <w:r w:rsidRPr="005A787B">
                    <w:rPr>
                      <w:rFonts w:ascii="Arial" w:hAnsi="Arial" w:cs="Arial"/>
                      <w:sz w:val="20"/>
                      <w:szCs w:val="20"/>
                    </w:rPr>
                    <w:t>± 0.5</w:t>
                  </w:r>
                </w:p>
              </w:tc>
              <w:tc>
                <w:tcPr>
                  <w:tcW w:w="460" w:type="pct"/>
                  <w:vMerge/>
                  <w:tcBorders>
                    <w:top w:val="nil"/>
                    <w:left w:val="nil"/>
                    <w:bottom w:val="nil"/>
                    <w:right w:val="nil"/>
                  </w:tcBorders>
                  <w:vAlign w:val="center"/>
                  <w:hideMark/>
                </w:tcPr>
                <w:p w:rsidR="005A787B" w:rsidRPr="005A787B" w:rsidRDefault="005A787B" w:rsidP="005A787B">
                  <w:pPr>
                    <w:rPr>
                      <w:rFonts w:ascii="Arial" w:hAnsi="Arial" w:cs="Arial"/>
                      <w:sz w:val="20"/>
                      <w:szCs w:val="20"/>
                    </w:rPr>
                  </w:pPr>
                </w:p>
              </w:tc>
            </w:tr>
          </w:tbl>
          <w:p w:rsidR="00C447E3" w:rsidRDefault="00C447E3" w:rsidP="00B6312B">
            <w:pPr>
              <w:pStyle w:val="FooterEnd"/>
              <w:keepNext/>
            </w:pPr>
            <w:r>
              <w:t xml:space="preserve"> </w:t>
            </w:r>
          </w:p>
        </w:tc>
      </w:tr>
    </w:tbl>
    <w:p w:rsidR="00B558A6" w:rsidRPr="00262ED3" w:rsidRDefault="00B558A6" w:rsidP="00B558A6">
      <w:pPr>
        <w:pStyle w:val="Note"/>
      </w:pPr>
      <w:r w:rsidRPr="00A05A09">
        <w:rPr>
          <w:rStyle w:val="NoteLabel"/>
        </w:rPr>
        <w:t>a</w:t>
      </w:r>
      <w:r w:rsidRPr="00262ED3">
        <w:t xml:space="preserve"> Caveats for these data are available in </w:t>
      </w:r>
      <w:r>
        <w:t>c</w:t>
      </w:r>
      <w:r w:rsidRPr="00262ED3">
        <w:t>hapter</w:t>
      </w:r>
      <w:r w:rsidR="001525FA">
        <w:t> </w:t>
      </w:r>
      <w:r>
        <w:t>9</w:t>
      </w:r>
      <w:r w:rsidRPr="00262ED3">
        <w:t xml:space="preserve"> and </w:t>
      </w:r>
      <w:r>
        <w:t>a</w:t>
      </w:r>
      <w:r w:rsidRPr="00262ED3">
        <w:t>ttachment</w:t>
      </w:r>
      <w:r w:rsidR="001525FA">
        <w:t> </w:t>
      </w:r>
      <w:r>
        <w:t>9</w:t>
      </w:r>
      <w:r w:rsidRPr="00262ED3">
        <w:t>A. Refer to the indicator interpretation boxes in chapter</w:t>
      </w:r>
      <w:r w:rsidR="001525FA">
        <w:t> </w:t>
      </w:r>
      <w:r>
        <w:t>9</w:t>
      </w:r>
      <w:r w:rsidRPr="00262ED3">
        <w:t xml:space="preserve"> for information to assist with </w:t>
      </w:r>
      <w:r>
        <w:t xml:space="preserve">the </w:t>
      </w:r>
      <w:r w:rsidRPr="00262ED3">
        <w:t>interpret</w:t>
      </w:r>
      <w:r>
        <w:t>ation of</w:t>
      </w:r>
      <w:r w:rsidRPr="00262ED3">
        <w:t xml:space="preserve"> data presented in this table. </w:t>
      </w:r>
      <w:r>
        <w:rPr>
          <w:rStyle w:val="NoteLabel"/>
        </w:rPr>
        <w:t>b</w:t>
      </w:r>
      <w:r w:rsidRPr="00262ED3">
        <w:t xml:space="preserve"> Some data are derived from detailed data in </w:t>
      </w:r>
      <w:r>
        <w:t>c</w:t>
      </w:r>
      <w:r w:rsidRPr="00262ED3">
        <w:t>hapter</w:t>
      </w:r>
      <w:r w:rsidR="001525FA">
        <w:t> </w:t>
      </w:r>
      <w:r>
        <w:t>9</w:t>
      </w:r>
      <w:r w:rsidRPr="00262ED3">
        <w:t xml:space="preserve"> and </w:t>
      </w:r>
      <w:r>
        <w:t>a</w:t>
      </w:r>
      <w:r w:rsidRPr="00262ED3">
        <w:t>ttachment</w:t>
      </w:r>
      <w:r w:rsidR="001525FA">
        <w:t> </w:t>
      </w:r>
      <w:r>
        <w:t>9</w:t>
      </w:r>
      <w:r w:rsidRPr="00262ED3">
        <w:t xml:space="preserve">A. </w:t>
      </w:r>
      <w:r w:rsidRPr="00912EF9">
        <w:rPr>
          <w:b/>
        </w:rPr>
        <w:t>na</w:t>
      </w:r>
      <w:r w:rsidRPr="00602768">
        <w:t xml:space="preserve"> Not available</w:t>
      </w:r>
      <w:r>
        <w:t>.</w:t>
      </w:r>
    </w:p>
    <w:p w:rsidR="00B558A6" w:rsidRDefault="00B558A6" w:rsidP="00B558A6">
      <w:pPr>
        <w:pStyle w:val="Source"/>
      </w:pPr>
      <w:r w:rsidRPr="00840D2D">
        <w:rPr>
          <w:i/>
        </w:rPr>
        <w:t>Source</w:t>
      </w:r>
      <w:r w:rsidRPr="00262ED3">
        <w:t>: Chapter</w:t>
      </w:r>
      <w:r w:rsidR="001525FA">
        <w:t> </w:t>
      </w:r>
      <w:r>
        <w:t>9</w:t>
      </w:r>
      <w:r w:rsidRPr="00262ED3">
        <w:t xml:space="preserve"> and </w:t>
      </w:r>
      <w:r>
        <w:t>a</w:t>
      </w:r>
      <w:r w:rsidRPr="00262ED3">
        <w:t>ttachment</w:t>
      </w:r>
      <w:r w:rsidR="001525FA">
        <w:t> </w:t>
      </w:r>
      <w:r>
        <w:t>9</w:t>
      </w:r>
      <w:r w:rsidRPr="00262ED3">
        <w:t>A.</w:t>
      </w:r>
    </w:p>
    <w:p w:rsidR="00DE2D11" w:rsidRPr="00262ED3" w:rsidRDefault="001D458F" w:rsidP="00DE2D11">
      <w:pPr>
        <w:pStyle w:val="Heading2"/>
      </w:pPr>
      <w:bookmarkStart w:id="43" w:name="_Toc337997852"/>
      <w:bookmarkStart w:id="44" w:name="_Toc294252408"/>
      <w:proofErr w:type="spellStart"/>
      <w:r>
        <w:t>D.</w:t>
      </w:r>
      <w:r w:rsidR="005A1847">
        <w:rPr>
          <w:noProof/>
        </w:rPr>
        <w:t>3</w:t>
      </w:r>
      <w:proofErr w:type="spellEnd"/>
      <w:r w:rsidR="00DE2D11">
        <w:tab/>
      </w:r>
      <w:r w:rsidR="00DE2D11" w:rsidRPr="00262ED3">
        <w:t>Cross</w:t>
      </w:r>
      <w:r w:rsidR="001525FA">
        <w:noBreakHyphen/>
      </w:r>
      <w:r w:rsidR="00DE2D11" w:rsidRPr="00262ED3">
        <w:t>cutting and interface issues</w:t>
      </w:r>
      <w:bookmarkEnd w:id="43"/>
    </w:p>
    <w:p w:rsidR="00DE2D11" w:rsidRPr="009777D8" w:rsidRDefault="00DE2D11" w:rsidP="00DE2D11">
      <w:pPr>
        <w:pStyle w:val="BodyText"/>
      </w:pPr>
      <w:r w:rsidRPr="009777D8">
        <w:t>The effective development of a ‘resilient community’ — one that works together to understand and manage the risks that it confronts</w:t>
      </w:r>
      <w:r w:rsidR="002322A2">
        <w:t xml:space="preserve"> (</w:t>
      </w:r>
      <w:proofErr w:type="spellStart"/>
      <w:r w:rsidR="002322A2">
        <w:t>COAG</w:t>
      </w:r>
      <w:proofErr w:type="spellEnd"/>
      <w:r w:rsidR="002322A2">
        <w:t xml:space="preserve"> 2011)</w:t>
      </w:r>
      <w:r w:rsidRPr="009777D8">
        <w:t xml:space="preserve"> — requires the support and input of a range of community stakeholders, including from other government services</w:t>
      </w:r>
      <w:r>
        <w:t>:</w:t>
      </w:r>
    </w:p>
    <w:p w:rsidR="00DE2D11" w:rsidRDefault="00DE2D11" w:rsidP="00DE2D11">
      <w:pPr>
        <w:pStyle w:val="ListBullet"/>
      </w:pPr>
      <w:r w:rsidRPr="000B68CD">
        <w:rPr>
          <w:i/>
        </w:rPr>
        <w:t>Police services</w:t>
      </w:r>
      <w:r w:rsidRPr="009777D8">
        <w:t xml:space="preserve"> have a critical role in effective emergency management within each jurisdiction</w:t>
      </w:r>
      <w:r>
        <w:t xml:space="preserve">. They generally </w:t>
      </w:r>
      <w:r w:rsidRPr="009777D8">
        <w:t>assum</w:t>
      </w:r>
      <w:r>
        <w:t>e</w:t>
      </w:r>
      <w:r w:rsidRPr="009777D8">
        <w:t xml:space="preserve"> critical roles </w:t>
      </w:r>
      <w:r>
        <w:t xml:space="preserve">in </w:t>
      </w:r>
      <w:r w:rsidRPr="009777D8">
        <w:t xml:space="preserve">a jurisdiction’s disaster management </w:t>
      </w:r>
      <w:r>
        <w:t xml:space="preserve">plans and coordination authorities </w:t>
      </w:r>
      <w:r w:rsidRPr="009777D8">
        <w:t>(</w:t>
      </w:r>
      <w:r w:rsidRPr="00E52605">
        <w:rPr>
          <w:spacing w:val="-6"/>
        </w:rPr>
        <w:t>Victorian Bushfires Commission</w:t>
      </w:r>
      <w:r>
        <w:rPr>
          <w:spacing w:val="-6"/>
        </w:rPr>
        <w:t> </w:t>
      </w:r>
      <w:r w:rsidRPr="00D9622F">
        <w:rPr>
          <w:spacing w:val="-6"/>
        </w:rPr>
        <w:t>20</w:t>
      </w:r>
      <w:r>
        <w:rPr>
          <w:spacing w:val="-6"/>
        </w:rPr>
        <w:t>10</w:t>
      </w:r>
      <w:r w:rsidRPr="009777D8">
        <w:t xml:space="preserve">; </w:t>
      </w:r>
      <w:r>
        <w:rPr>
          <w:spacing w:val="-6"/>
        </w:rPr>
        <w:t>Queensland Floods Commission of Inquiry </w:t>
      </w:r>
      <w:r w:rsidRPr="009777D8">
        <w:t xml:space="preserve">2011). For example, the Queensland Police Service is responsible for coordinating the response phase of disaster management. </w:t>
      </w:r>
    </w:p>
    <w:p w:rsidR="00DE2D11" w:rsidRPr="009777D8" w:rsidRDefault="00DE2D11" w:rsidP="00DE2D11">
      <w:pPr>
        <w:pStyle w:val="ListBullet"/>
        <w:numPr>
          <w:ilvl w:val="0"/>
          <w:numId w:val="0"/>
        </w:numPr>
        <w:ind w:left="340"/>
      </w:pPr>
      <w:r w:rsidRPr="009777D8">
        <w:t>Police services (and the justice system) have a critical role in implementing the prevention st</w:t>
      </w:r>
      <w:r>
        <w:t>rategies</w:t>
      </w:r>
      <w:r w:rsidRPr="009777D8">
        <w:t xml:space="preserve"> of a jurisdiction — such as enforcing road laws.</w:t>
      </w:r>
    </w:p>
    <w:p w:rsidR="00DE2D11" w:rsidRDefault="00DE2D11" w:rsidP="00DE2D11">
      <w:pPr>
        <w:pStyle w:val="ListBullet"/>
      </w:pPr>
      <w:r w:rsidRPr="000B68CD">
        <w:rPr>
          <w:i/>
        </w:rPr>
        <w:t>Health services</w:t>
      </w:r>
      <w:r w:rsidR="00C56C0E">
        <w:t>,</w:t>
      </w:r>
      <w:r w:rsidRPr="009777D8">
        <w:t xml:space="preserve"> in particular emergency departments of public hospitals</w:t>
      </w:r>
      <w:r>
        <w:t xml:space="preserve">, </w:t>
      </w:r>
      <w:r w:rsidRPr="009777D8">
        <w:t xml:space="preserve">have an important role in the preparation and response to emergency events. </w:t>
      </w:r>
    </w:p>
    <w:p w:rsidR="00DE2D11" w:rsidRPr="009777D8" w:rsidRDefault="00DE2D11" w:rsidP="00DE2D11">
      <w:pPr>
        <w:pStyle w:val="ListBullet"/>
        <w:numPr>
          <w:ilvl w:val="0"/>
          <w:numId w:val="0"/>
        </w:numPr>
        <w:ind w:left="340"/>
      </w:pPr>
      <w:r>
        <w:t>Similarly, a</w:t>
      </w:r>
      <w:r w:rsidRPr="009777D8">
        <w:t xml:space="preserve">mbulance services </w:t>
      </w:r>
      <w:r>
        <w:t xml:space="preserve">are an </w:t>
      </w:r>
      <w:r w:rsidRPr="009777D8">
        <w:t xml:space="preserve">integral part of </w:t>
      </w:r>
      <w:r>
        <w:t xml:space="preserve">a jurisdiction’s </w:t>
      </w:r>
      <w:r w:rsidRPr="009777D8">
        <w:t xml:space="preserve">health </w:t>
      </w:r>
      <w:r>
        <w:t>service</w:t>
      </w:r>
      <w:r w:rsidRPr="009777D8">
        <w:t xml:space="preserve"> providing emergency </w:t>
      </w:r>
      <w:r>
        <w:t>as well as</w:t>
      </w:r>
      <w:r w:rsidRPr="009777D8">
        <w:t xml:space="preserve"> non</w:t>
      </w:r>
      <w:r w:rsidRPr="009777D8">
        <w:noBreakHyphen/>
        <w:t>emergency patient care and transport.</w:t>
      </w:r>
    </w:p>
    <w:p w:rsidR="00BF7142" w:rsidRPr="009777D8" w:rsidRDefault="00BF7142" w:rsidP="00BF7142">
      <w:pPr>
        <w:pStyle w:val="ListBullet"/>
      </w:pPr>
      <w:r w:rsidRPr="00BF7142">
        <w:t xml:space="preserve">In large scale emergencies, a range of agencies may be called upon to provide assistance. For example, through Australian Government arrangements for the </w:t>
      </w:r>
      <w:r w:rsidRPr="00BF7142">
        <w:lastRenderedPageBreak/>
        <w:t>provision of assistance to States/Territories, the Australian Defence Force has been called upon to assist emergency services organisations in responding to emergencies such as the 2011 Queensland floods (Queensland Floods Commission of Inquiry 2011).</w:t>
      </w:r>
    </w:p>
    <w:p w:rsidR="00867919" w:rsidRDefault="00206FD1" w:rsidP="00DE2D11">
      <w:pPr>
        <w:pStyle w:val="BodyText"/>
      </w:pPr>
      <w:r>
        <w:t>E</w:t>
      </w:r>
      <w:r w:rsidR="00867919" w:rsidRPr="00867919">
        <w:t>mergency services, police and public hospitals are</w:t>
      </w:r>
      <w:r>
        <w:t xml:space="preserve"> also</w:t>
      </w:r>
      <w:r w:rsidR="00867919" w:rsidRPr="00867919">
        <w:t xml:space="preserve"> key services involved </w:t>
      </w:r>
      <w:r w:rsidR="00B607AC">
        <w:t>in</w:t>
      </w:r>
      <w:r>
        <w:t xml:space="preserve"> preventing and dealing with acts of terrorism </w:t>
      </w:r>
      <w:r w:rsidR="00CE7072">
        <w:t xml:space="preserve">as </w:t>
      </w:r>
      <w:r>
        <w:t xml:space="preserve">set out in </w:t>
      </w:r>
      <w:r w:rsidRPr="00CE7072">
        <w:t>Australia</w:t>
      </w:r>
      <w:r w:rsidR="00B607AC">
        <w:t>’s</w:t>
      </w:r>
      <w:r w:rsidR="00867919" w:rsidRPr="00CE7072">
        <w:t xml:space="preserve"> National Counter Terrorism Plan</w:t>
      </w:r>
      <w:r w:rsidR="00867919">
        <w:t xml:space="preserve"> (</w:t>
      </w:r>
      <w:proofErr w:type="spellStart"/>
      <w:r w:rsidR="00867919">
        <w:t>NCTC</w:t>
      </w:r>
      <w:proofErr w:type="spellEnd"/>
      <w:r w:rsidR="00867919">
        <w:t> 2012)</w:t>
      </w:r>
      <w:r w:rsidR="00867919" w:rsidRPr="00867919">
        <w:t>. While performance data in RoGS do not explicitly include the details of these government activities, such activities need to be kept in mind when interpreting performance results</w:t>
      </w:r>
      <w:r w:rsidR="00867919">
        <w:t>.</w:t>
      </w:r>
    </w:p>
    <w:p w:rsidR="00DE2D11" w:rsidRPr="00495745" w:rsidRDefault="00DE2D11" w:rsidP="00DE2D11">
      <w:pPr>
        <w:pStyle w:val="BodyText"/>
      </w:pPr>
      <w:r w:rsidRPr="00495745">
        <w:t xml:space="preserve">Emergency management policies need to consider how government services cut across populations and communities with special needs. </w:t>
      </w:r>
      <w:r w:rsidR="00BF7142" w:rsidRPr="00495745">
        <w:t>The Standing Council on Police and Emergency Management’s terms of reference emphasise that cross</w:t>
      </w:r>
      <w:r w:rsidR="00BF7142" w:rsidRPr="00495745">
        <w:noBreakHyphen/>
        <w:t>cutting issues such as Indigenous disadvantage, access to services, gender equality, and inclusion for people with disability, as well as the specific needs of regional Australia should to be taken into account in pursuing its priority issues of national significance</w:t>
      </w:r>
      <w:r w:rsidR="00BF75CC" w:rsidRPr="00495745">
        <w:t xml:space="preserve"> (</w:t>
      </w:r>
      <w:proofErr w:type="spellStart"/>
      <w:r w:rsidR="00BF75CC" w:rsidRPr="00495745">
        <w:t>COAG</w:t>
      </w:r>
      <w:proofErr w:type="spellEnd"/>
      <w:r w:rsidR="00BF75CC" w:rsidRPr="00495745">
        <w:t xml:space="preserve"> 2012)</w:t>
      </w:r>
      <w:r w:rsidR="00BF7142" w:rsidRPr="00495745">
        <w:t>.</w:t>
      </w:r>
      <w:r w:rsidR="00BF75CC" w:rsidRPr="00495745">
        <w:t xml:space="preserve"> </w:t>
      </w:r>
    </w:p>
    <w:p w:rsidR="00DE2D11" w:rsidRPr="009777D8" w:rsidRDefault="00DE2D11" w:rsidP="00DE2D11">
      <w:pPr>
        <w:pStyle w:val="BodyText"/>
      </w:pPr>
      <w:r w:rsidRPr="009777D8">
        <w:t xml:space="preserve">The development of the National Emergency Management Strategy for Remote Indigenous Communities was initiated by the Australian </w:t>
      </w:r>
      <w:r w:rsidR="001D2BC1">
        <w:t>Emergency Management Committee</w:t>
      </w:r>
      <w:r w:rsidRPr="009777D8">
        <w:t xml:space="preserve"> in 2004</w:t>
      </w:r>
      <w:r w:rsidR="00BF7142">
        <w:t xml:space="preserve"> (</w:t>
      </w:r>
      <w:proofErr w:type="spellStart"/>
      <w:r w:rsidR="00BF7142">
        <w:t>RICAC</w:t>
      </w:r>
      <w:proofErr w:type="spellEnd"/>
      <w:r w:rsidR="00BF7142">
        <w:t xml:space="preserve"> 2007)</w:t>
      </w:r>
      <w:r w:rsidRPr="009777D8">
        <w:t xml:space="preserve">. The </w:t>
      </w:r>
      <w:r w:rsidR="00E41C4F">
        <w:t>finalised</w:t>
      </w:r>
      <w:r w:rsidRPr="009777D8">
        <w:t xml:space="preserve"> </w:t>
      </w:r>
      <w:r w:rsidR="00E41C4F" w:rsidRPr="009777D8">
        <w:t xml:space="preserve">strategy </w:t>
      </w:r>
      <w:r w:rsidRPr="009777D8">
        <w:t xml:space="preserve">has been endorsed by the Augmented Australasian Police Ministers’ Council (now </w:t>
      </w:r>
      <w:r>
        <w:t xml:space="preserve">the </w:t>
      </w:r>
      <w:r w:rsidRPr="006511E7">
        <w:t>Standing Council on Police and Emergency Management</w:t>
      </w:r>
      <w:r w:rsidRPr="009777D8">
        <w:t>). The strategy aims to improve the disaster resilience of remote Indigenous communities.</w:t>
      </w:r>
    </w:p>
    <w:p w:rsidR="00DE2D11" w:rsidRDefault="001D458F" w:rsidP="00DE2D11">
      <w:pPr>
        <w:pStyle w:val="Heading2"/>
      </w:pPr>
      <w:bookmarkStart w:id="45" w:name="_Toc300750882"/>
      <w:bookmarkStart w:id="46" w:name="_Toc337997853"/>
      <w:proofErr w:type="spellStart"/>
      <w:r>
        <w:t>D.</w:t>
      </w:r>
      <w:r w:rsidR="005A1847">
        <w:rPr>
          <w:noProof/>
        </w:rPr>
        <w:t>4</w:t>
      </w:r>
      <w:proofErr w:type="spellEnd"/>
      <w:r w:rsidR="00DE2D11">
        <w:tab/>
        <w:t>Future directions</w:t>
      </w:r>
      <w:bookmarkEnd w:id="45"/>
      <w:r w:rsidR="00DE2D11">
        <w:t xml:space="preserve"> in performance reporting</w:t>
      </w:r>
      <w:bookmarkEnd w:id="46"/>
    </w:p>
    <w:p w:rsidR="00DE2D11" w:rsidRDefault="00DE2D11" w:rsidP="00DE2D11">
      <w:pPr>
        <w:pStyle w:val="BodyText"/>
      </w:pPr>
      <w:r>
        <w:t xml:space="preserve">This emergency management </w:t>
      </w:r>
      <w:r w:rsidR="0054554B">
        <w:t>sector overview</w:t>
      </w:r>
      <w:r w:rsidRPr="00FD6A36">
        <w:t xml:space="preserve"> </w:t>
      </w:r>
      <w:r>
        <w:t xml:space="preserve">will </w:t>
      </w:r>
      <w:r w:rsidRPr="00FD6A36">
        <w:t xml:space="preserve">continue to </w:t>
      </w:r>
      <w:r w:rsidR="006331FB">
        <w:t>be developed in future reports.</w:t>
      </w:r>
      <w:r w:rsidR="00DB43A2">
        <w:t xml:space="preserve"> </w:t>
      </w:r>
      <w:r>
        <w:t>It</w:t>
      </w:r>
      <w:r w:rsidR="005A4694">
        <w:t xml:space="preserve"> </w:t>
      </w:r>
      <w:r>
        <w:t xml:space="preserve">is anticipated that work undertaken to achieve the </w:t>
      </w:r>
      <w:proofErr w:type="spellStart"/>
      <w:r>
        <w:t>COAG</w:t>
      </w:r>
      <w:proofErr w:type="spellEnd"/>
      <w:r>
        <w:t xml:space="preserve"> aspirations will lead to improvements in performance reporting for the emergency management sector. There are several </w:t>
      </w:r>
      <w:r w:rsidRPr="006677FB">
        <w:t xml:space="preserve">important </w:t>
      </w:r>
      <w:r>
        <w:t xml:space="preserve">national </w:t>
      </w:r>
      <w:r w:rsidRPr="006677FB">
        <w:t xml:space="preserve">initiatives </w:t>
      </w:r>
      <w:r>
        <w:t xml:space="preserve">currently underway. These include: </w:t>
      </w:r>
    </w:p>
    <w:p w:rsidR="00DE2D11" w:rsidRDefault="00DE2D11" w:rsidP="00DE2D11">
      <w:pPr>
        <w:pStyle w:val="ListBullet"/>
      </w:pPr>
      <w:r>
        <w:t>development of risk register</w:t>
      </w:r>
      <w:r w:rsidR="005657CA">
        <w:t>s</w:t>
      </w:r>
      <w:r w:rsidR="004415F2">
        <w:t xml:space="preserve"> that assess</w:t>
      </w:r>
      <w:r>
        <w:t xml:space="preserve"> the likelihood and potential impacts of particular emergency events</w:t>
      </w:r>
    </w:p>
    <w:p w:rsidR="00DE2D11" w:rsidRDefault="00DE2D11" w:rsidP="00DE2D11">
      <w:pPr>
        <w:pStyle w:val="ListBullet"/>
      </w:pPr>
      <w:r>
        <w:t xml:space="preserve">development of the disasters database to </w:t>
      </w:r>
      <w:r w:rsidRPr="0004695E">
        <w:t xml:space="preserve">provide </w:t>
      </w:r>
      <w:r>
        <w:t xml:space="preserve">more </w:t>
      </w:r>
      <w:r w:rsidRPr="0004695E">
        <w:t xml:space="preserve">information on the costs of disasters </w:t>
      </w:r>
      <w:r>
        <w:t xml:space="preserve">beyond insured </w:t>
      </w:r>
      <w:r w:rsidRPr="0004695E">
        <w:t>asset loss</w:t>
      </w:r>
      <w:r>
        <w:t>es</w:t>
      </w:r>
    </w:p>
    <w:p w:rsidR="00DE2D11" w:rsidRDefault="00DE2D11" w:rsidP="00DE2D11">
      <w:pPr>
        <w:pStyle w:val="ListBullet"/>
      </w:pPr>
      <w:r w:rsidRPr="00092F33">
        <w:t xml:space="preserve">development of an expanded action plan to enhance disaster resilience in the built environment, including consideration of land use planning, building codes and property resilience ratings. </w:t>
      </w:r>
    </w:p>
    <w:p w:rsidR="003E0ED2" w:rsidRDefault="006331FB" w:rsidP="00DE2D11">
      <w:pPr>
        <w:pStyle w:val="BodyText"/>
      </w:pPr>
      <w:r>
        <w:lastRenderedPageBreak/>
        <w:t xml:space="preserve">The </w:t>
      </w:r>
      <w:r w:rsidR="007321F1">
        <w:t>Fire</w:t>
      </w:r>
      <w:r w:rsidR="00E25825">
        <w:t xml:space="preserve"> </w:t>
      </w:r>
      <w:r w:rsidR="007321F1">
        <w:t>and ambulance</w:t>
      </w:r>
      <w:r>
        <w:t xml:space="preserve"> </w:t>
      </w:r>
      <w:r w:rsidR="00E25825">
        <w:t xml:space="preserve">services </w:t>
      </w:r>
      <w:r>
        <w:t>chapter</w:t>
      </w:r>
      <w:r w:rsidRPr="00881445">
        <w:t xml:space="preserve"> contains </w:t>
      </w:r>
      <w:r>
        <w:t>a</w:t>
      </w:r>
      <w:r w:rsidRPr="00881445">
        <w:t xml:space="preserve"> service</w:t>
      </w:r>
      <w:r>
        <w:noBreakHyphen/>
      </w:r>
      <w:r w:rsidRPr="00881445">
        <w:t>specific section on future directions</w:t>
      </w:r>
      <w:r>
        <w:t xml:space="preserve"> in performance reporting</w:t>
      </w:r>
      <w:r w:rsidRPr="00881445">
        <w:t>.</w:t>
      </w:r>
    </w:p>
    <w:p w:rsidR="00DE2D11" w:rsidRPr="00262ED3" w:rsidRDefault="001D458F" w:rsidP="00DE2D11">
      <w:pPr>
        <w:pStyle w:val="Heading2"/>
      </w:pPr>
      <w:bookmarkStart w:id="47" w:name="_Toc337997854"/>
      <w:proofErr w:type="spellStart"/>
      <w:r>
        <w:t>D.</w:t>
      </w:r>
      <w:r w:rsidR="005A1847">
        <w:rPr>
          <w:noProof/>
        </w:rPr>
        <w:t>5</w:t>
      </w:r>
      <w:proofErr w:type="spellEnd"/>
      <w:r w:rsidR="00DE2D11">
        <w:tab/>
      </w:r>
      <w:r w:rsidR="00DE2D11" w:rsidRPr="00262ED3">
        <w:t>List of attachment tables</w:t>
      </w:r>
      <w:bookmarkEnd w:id="44"/>
      <w:bookmarkEnd w:id="47"/>
    </w:p>
    <w:p w:rsidR="009E5BCA" w:rsidRDefault="009E5BCA" w:rsidP="00DE2D11">
      <w:pPr>
        <w:pStyle w:val="BodyText"/>
      </w:pPr>
      <w:r w:rsidRPr="009E5BCA">
        <w:t xml:space="preserve">Attachment tables are identified in references throughout this </w:t>
      </w:r>
      <w:r w:rsidR="0054554B">
        <w:t>sector overview</w:t>
      </w:r>
      <w:r w:rsidRPr="009E5BCA">
        <w:t xml:space="preserve"> by a ‘</w:t>
      </w:r>
      <w:r>
        <w:t>D</w:t>
      </w:r>
      <w:r w:rsidRPr="00262ED3">
        <w:t>A</w:t>
      </w:r>
      <w:r w:rsidRPr="009E5BCA">
        <w:t xml:space="preserve">’ </w:t>
      </w:r>
      <w:r w:rsidR="00774525">
        <w:t>prefix</w:t>
      </w:r>
      <w:r w:rsidRPr="009E5BCA">
        <w:t xml:space="preserve"> (for example, table </w:t>
      </w:r>
      <w:proofErr w:type="spellStart"/>
      <w:r>
        <w:t>D</w:t>
      </w:r>
      <w:r w:rsidRPr="009E5BCA">
        <w:t>A.1</w:t>
      </w:r>
      <w:proofErr w:type="spellEnd"/>
      <w:r w:rsidRPr="009E5BCA">
        <w:t xml:space="preserve">). A full list of attachment tables is provided at the end of this </w:t>
      </w:r>
      <w:r w:rsidR="0054554B">
        <w:t>sector overview</w:t>
      </w:r>
      <w:r w:rsidRPr="009E5BCA">
        <w:t xml:space="preserve">, and the attachment tables are available from the Review website at </w:t>
      </w:r>
      <w:proofErr w:type="spellStart"/>
      <w:r w:rsidR="00A15163" w:rsidRPr="00A15163">
        <w:t>www.pc.gov.au</w:t>
      </w:r>
      <w:proofErr w:type="spellEnd"/>
      <w:r w:rsidR="00A15163" w:rsidRPr="00A15163">
        <w:t>/</w:t>
      </w:r>
      <w:proofErr w:type="spellStart"/>
      <w:r w:rsidR="00A15163" w:rsidRPr="00A15163">
        <w:t>gsp</w:t>
      </w:r>
      <w:proofErr w:type="spellEnd"/>
      <w:r w:rsidRPr="009E5BCA">
        <w:t>.</w:t>
      </w:r>
    </w:p>
    <w:p w:rsidR="00A15163" w:rsidRPr="00495745" w:rsidRDefault="00A15163" w:rsidP="00DE2D11">
      <w:pPr>
        <w:pStyle w:val="BodyText"/>
      </w:pPr>
    </w:p>
    <w:tbl>
      <w:tblPr>
        <w:tblW w:w="8876" w:type="dxa"/>
        <w:tblInd w:w="108" w:type="dxa"/>
        <w:tblLook w:val="04A0" w:firstRow="1" w:lastRow="0" w:firstColumn="1" w:lastColumn="0" w:noHBand="0" w:noVBand="1"/>
      </w:tblPr>
      <w:tblGrid>
        <w:gridCol w:w="1852"/>
        <w:gridCol w:w="7024"/>
      </w:tblGrid>
      <w:tr w:rsidR="00495745" w:rsidRPr="00495745" w:rsidTr="0037024B">
        <w:trPr>
          <w:trHeight w:val="357"/>
        </w:trPr>
        <w:tc>
          <w:tcPr>
            <w:tcW w:w="8876" w:type="dxa"/>
            <w:gridSpan w:val="2"/>
            <w:tcBorders>
              <w:top w:val="nil"/>
              <w:left w:val="nil"/>
              <w:bottom w:val="nil"/>
              <w:right w:val="nil"/>
            </w:tcBorders>
            <w:shd w:val="clear" w:color="auto" w:fill="auto"/>
            <w:noWrap/>
            <w:hideMark/>
          </w:tcPr>
          <w:p w:rsidR="0037024B" w:rsidRPr="00495745" w:rsidRDefault="0037024B" w:rsidP="0037024B">
            <w:pPr>
              <w:rPr>
                <w:rFonts w:ascii="Arial" w:hAnsi="Arial" w:cs="Arial"/>
                <w:b/>
                <w:bCs/>
                <w:sz w:val="20"/>
                <w:szCs w:val="20"/>
              </w:rPr>
            </w:pPr>
            <w:r w:rsidRPr="00495745">
              <w:rPr>
                <w:rFonts w:ascii="Arial" w:hAnsi="Arial" w:cs="Arial"/>
                <w:b/>
                <w:bCs/>
                <w:sz w:val="20"/>
                <w:szCs w:val="20"/>
              </w:rPr>
              <w:t>Emergency management</w:t>
            </w:r>
          </w:p>
        </w:tc>
      </w:tr>
      <w:tr w:rsidR="00495745" w:rsidRPr="00495745" w:rsidTr="0037024B">
        <w:trPr>
          <w:trHeight w:val="357"/>
        </w:trPr>
        <w:tc>
          <w:tcPr>
            <w:tcW w:w="1852" w:type="dxa"/>
            <w:tcBorders>
              <w:top w:val="nil"/>
              <w:left w:val="nil"/>
              <w:bottom w:val="nil"/>
              <w:right w:val="nil"/>
            </w:tcBorders>
            <w:shd w:val="clear" w:color="auto" w:fill="auto"/>
            <w:noWrap/>
            <w:hideMark/>
          </w:tcPr>
          <w:p w:rsidR="0037024B" w:rsidRPr="00495745" w:rsidRDefault="0037024B" w:rsidP="0037024B">
            <w:pPr>
              <w:rPr>
                <w:rFonts w:ascii="Arial" w:hAnsi="Arial" w:cs="Arial"/>
                <w:b/>
                <w:bCs/>
                <w:sz w:val="20"/>
                <w:szCs w:val="20"/>
              </w:rPr>
            </w:pPr>
            <w:r w:rsidRPr="00495745">
              <w:rPr>
                <w:rFonts w:ascii="Arial" w:hAnsi="Arial" w:cs="Arial"/>
                <w:b/>
                <w:bCs/>
                <w:sz w:val="20"/>
                <w:szCs w:val="20"/>
              </w:rPr>
              <w:t xml:space="preserve">Table </w:t>
            </w:r>
            <w:proofErr w:type="spellStart"/>
            <w:r w:rsidRPr="00495745">
              <w:rPr>
                <w:rFonts w:ascii="Arial" w:hAnsi="Arial" w:cs="Arial"/>
                <w:b/>
                <w:bCs/>
                <w:sz w:val="20"/>
                <w:szCs w:val="20"/>
              </w:rPr>
              <w:t>DA.1</w:t>
            </w:r>
            <w:proofErr w:type="spellEnd"/>
          </w:p>
        </w:tc>
        <w:tc>
          <w:tcPr>
            <w:tcW w:w="7024" w:type="dxa"/>
            <w:tcBorders>
              <w:top w:val="nil"/>
              <w:left w:val="nil"/>
              <w:bottom w:val="nil"/>
              <w:right w:val="nil"/>
            </w:tcBorders>
            <w:shd w:val="clear" w:color="auto" w:fill="auto"/>
            <w:hideMark/>
          </w:tcPr>
          <w:p w:rsidR="0037024B" w:rsidRPr="00495745" w:rsidRDefault="0037024B" w:rsidP="0037024B">
            <w:pPr>
              <w:jc w:val="both"/>
              <w:rPr>
                <w:rFonts w:ascii="Arial" w:hAnsi="Arial" w:cs="Arial"/>
                <w:sz w:val="20"/>
                <w:szCs w:val="20"/>
              </w:rPr>
            </w:pPr>
            <w:r w:rsidRPr="00495745">
              <w:rPr>
                <w:rFonts w:ascii="Arial" w:hAnsi="Arial" w:cs="Arial"/>
                <w:sz w:val="20"/>
                <w:szCs w:val="20"/>
              </w:rPr>
              <w:t xml:space="preserve">Summary of emergency management organisations by event type </w:t>
            </w:r>
          </w:p>
        </w:tc>
      </w:tr>
      <w:tr w:rsidR="00495745" w:rsidRPr="00495745" w:rsidTr="0037024B">
        <w:trPr>
          <w:trHeight w:val="357"/>
        </w:trPr>
        <w:tc>
          <w:tcPr>
            <w:tcW w:w="1852" w:type="dxa"/>
            <w:tcBorders>
              <w:top w:val="nil"/>
              <w:left w:val="nil"/>
              <w:bottom w:val="nil"/>
              <w:right w:val="nil"/>
            </w:tcBorders>
            <w:shd w:val="clear" w:color="auto" w:fill="auto"/>
            <w:noWrap/>
            <w:hideMark/>
          </w:tcPr>
          <w:p w:rsidR="0037024B" w:rsidRPr="00495745" w:rsidRDefault="0037024B" w:rsidP="0037024B">
            <w:pPr>
              <w:rPr>
                <w:rFonts w:ascii="Arial" w:hAnsi="Arial" w:cs="Arial"/>
                <w:b/>
                <w:bCs/>
                <w:sz w:val="20"/>
                <w:szCs w:val="20"/>
              </w:rPr>
            </w:pPr>
            <w:r w:rsidRPr="00495745">
              <w:rPr>
                <w:rFonts w:ascii="Arial" w:hAnsi="Arial" w:cs="Arial"/>
                <w:b/>
                <w:bCs/>
                <w:sz w:val="20"/>
                <w:szCs w:val="20"/>
              </w:rPr>
              <w:t xml:space="preserve">Table </w:t>
            </w:r>
            <w:proofErr w:type="spellStart"/>
            <w:r w:rsidRPr="00495745">
              <w:rPr>
                <w:rFonts w:ascii="Arial" w:hAnsi="Arial" w:cs="Arial"/>
                <w:b/>
                <w:bCs/>
                <w:sz w:val="20"/>
                <w:szCs w:val="20"/>
              </w:rPr>
              <w:t>DA.2</w:t>
            </w:r>
            <w:proofErr w:type="spellEnd"/>
          </w:p>
        </w:tc>
        <w:tc>
          <w:tcPr>
            <w:tcW w:w="7024" w:type="dxa"/>
            <w:tcBorders>
              <w:top w:val="nil"/>
              <w:left w:val="nil"/>
              <w:bottom w:val="nil"/>
              <w:right w:val="nil"/>
            </w:tcBorders>
            <w:shd w:val="clear" w:color="auto" w:fill="auto"/>
            <w:hideMark/>
          </w:tcPr>
          <w:p w:rsidR="0037024B" w:rsidRPr="00495745" w:rsidRDefault="0037024B" w:rsidP="0037024B">
            <w:pPr>
              <w:jc w:val="both"/>
              <w:rPr>
                <w:rFonts w:ascii="Arial" w:hAnsi="Arial" w:cs="Arial"/>
                <w:sz w:val="20"/>
                <w:szCs w:val="20"/>
              </w:rPr>
            </w:pPr>
            <w:r w:rsidRPr="00495745">
              <w:rPr>
                <w:rFonts w:ascii="Arial" w:hAnsi="Arial" w:cs="Arial"/>
                <w:sz w:val="20"/>
                <w:szCs w:val="20"/>
              </w:rPr>
              <w:t>Major sources of emergency service organisations</w:t>
            </w:r>
            <w:r w:rsidR="001525FA">
              <w:rPr>
                <w:rFonts w:ascii="Arial" w:hAnsi="Arial" w:cs="Arial"/>
                <w:sz w:val="20"/>
                <w:szCs w:val="20"/>
              </w:rPr>
              <w:t>’</w:t>
            </w:r>
            <w:r w:rsidRPr="00495745">
              <w:rPr>
                <w:rFonts w:ascii="Arial" w:hAnsi="Arial" w:cs="Arial"/>
                <w:sz w:val="20"/>
                <w:szCs w:val="20"/>
              </w:rPr>
              <w:t xml:space="preserve"> revenue, 2012</w:t>
            </w:r>
            <w:r w:rsidR="001525FA">
              <w:rPr>
                <w:rFonts w:ascii="Arial" w:hAnsi="Arial" w:cs="Arial"/>
                <w:sz w:val="20"/>
                <w:szCs w:val="20"/>
              </w:rPr>
              <w:noBreakHyphen/>
            </w:r>
            <w:r w:rsidRPr="00495745">
              <w:rPr>
                <w:rFonts w:ascii="Arial" w:hAnsi="Arial" w:cs="Arial"/>
                <w:sz w:val="20"/>
                <w:szCs w:val="20"/>
              </w:rPr>
              <w:t>13</w:t>
            </w:r>
            <w:r w:rsidR="001525FA">
              <w:rPr>
                <w:rFonts w:ascii="Arial" w:hAnsi="Arial" w:cs="Arial"/>
                <w:sz w:val="20"/>
                <w:szCs w:val="20"/>
              </w:rPr>
              <w:t xml:space="preserve"> </w:t>
            </w:r>
          </w:p>
        </w:tc>
      </w:tr>
      <w:tr w:rsidR="00495745" w:rsidRPr="00495745" w:rsidTr="0037024B">
        <w:trPr>
          <w:trHeight w:val="357"/>
        </w:trPr>
        <w:tc>
          <w:tcPr>
            <w:tcW w:w="1852" w:type="dxa"/>
            <w:tcBorders>
              <w:top w:val="nil"/>
              <w:left w:val="nil"/>
              <w:bottom w:val="nil"/>
              <w:right w:val="nil"/>
            </w:tcBorders>
            <w:shd w:val="clear" w:color="auto" w:fill="auto"/>
            <w:noWrap/>
            <w:hideMark/>
          </w:tcPr>
          <w:p w:rsidR="0037024B" w:rsidRPr="00495745" w:rsidRDefault="0037024B" w:rsidP="0037024B">
            <w:pPr>
              <w:rPr>
                <w:rFonts w:ascii="Arial" w:hAnsi="Arial" w:cs="Arial"/>
                <w:b/>
                <w:bCs/>
                <w:sz w:val="20"/>
                <w:szCs w:val="20"/>
              </w:rPr>
            </w:pPr>
            <w:r w:rsidRPr="00495745">
              <w:rPr>
                <w:rFonts w:ascii="Arial" w:hAnsi="Arial" w:cs="Arial"/>
                <w:b/>
                <w:bCs/>
                <w:sz w:val="20"/>
                <w:szCs w:val="20"/>
              </w:rPr>
              <w:t xml:space="preserve">Table </w:t>
            </w:r>
            <w:proofErr w:type="spellStart"/>
            <w:r w:rsidRPr="00495745">
              <w:rPr>
                <w:rFonts w:ascii="Arial" w:hAnsi="Arial" w:cs="Arial"/>
                <w:b/>
                <w:bCs/>
                <w:sz w:val="20"/>
                <w:szCs w:val="20"/>
              </w:rPr>
              <w:t>DA.3</w:t>
            </w:r>
            <w:proofErr w:type="spellEnd"/>
          </w:p>
        </w:tc>
        <w:tc>
          <w:tcPr>
            <w:tcW w:w="7024" w:type="dxa"/>
            <w:tcBorders>
              <w:top w:val="nil"/>
              <w:left w:val="nil"/>
              <w:bottom w:val="nil"/>
              <w:right w:val="nil"/>
            </w:tcBorders>
            <w:shd w:val="clear" w:color="auto" w:fill="auto"/>
            <w:hideMark/>
          </w:tcPr>
          <w:p w:rsidR="0037024B" w:rsidRPr="00495745" w:rsidRDefault="0037024B" w:rsidP="0037024B">
            <w:pPr>
              <w:jc w:val="both"/>
              <w:rPr>
                <w:rFonts w:ascii="Arial" w:hAnsi="Arial" w:cs="Arial"/>
                <w:sz w:val="20"/>
                <w:szCs w:val="20"/>
              </w:rPr>
            </w:pPr>
            <w:r w:rsidRPr="00495745">
              <w:rPr>
                <w:rFonts w:ascii="Arial" w:hAnsi="Arial" w:cs="Arial"/>
                <w:sz w:val="20"/>
                <w:szCs w:val="20"/>
              </w:rPr>
              <w:t>Emergency service organisations</w:t>
            </w:r>
            <w:r w:rsidR="001525FA">
              <w:rPr>
                <w:rFonts w:ascii="Arial" w:hAnsi="Arial" w:cs="Arial"/>
                <w:sz w:val="20"/>
                <w:szCs w:val="20"/>
              </w:rPr>
              <w:t>’</w:t>
            </w:r>
            <w:r w:rsidRPr="00495745">
              <w:rPr>
                <w:rFonts w:ascii="Arial" w:hAnsi="Arial" w:cs="Arial"/>
                <w:sz w:val="20"/>
                <w:szCs w:val="20"/>
              </w:rPr>
              <w:t xml:space="preserve"> costs, 2012</w:t>
            </w:r>
            <w:r w:rsidR="001525FA">
              <w:rPr>
                <w:rFonts w:ascii="Arial" w:hAnsi="Arial" w:cs="Arial"/>
                <w:sz w:val="20"/>
                <w:szCs w:val="20"/>
              </w:rPr>
              <w:noBreakHyphen/>
            </w:r>
            <w:r w:rsidRPr="00495745">
              <w:rPr>
                <w:rFonts w:ascii="Arial" w:hAnsi="Arial" w:cs="Arial"/>
                <w:sz w:val="20"/>
                <w:szCs w:val="20"/>
              </w:rPr>
              <w:t>13</w:t>
            </w:r>
            <w:r w:rsidR="001525FA">
              <w:rPr>
                <w:rFonts w:ascii="Arial" w:hAnsi="Arial" w:cs="Arial"/>
                <w:sz w:val="20"/>
                <w:szCs w:val="20"/>
              </w:rPr>
              <w:t xml:space="preserve"> </w:t>
            </w:r>
          </w:p>
        </w:tc>
      </w:tr>
      <w:tr w:rsidR="00495745" w:rsidRPr="00495745" w:rsidTr="0037024B">
        <w:trPr>
          <w:trHeight w:val="357"/>
        </w:trPr>
        <w:tc>
          <w:tcPr>
            <w:tcW w:w="1852" w:type="dxa"/>
            <w:tcBorders>
              <w:top w:val="nil"/>
              <w:left w:val="nil"/>
              <w:bottom w:val="nil"/>
              <w:right w:val="nil"/>
            </w:tcBorders>
            <w:shd w:val="clear" w:color="auto" w:fill="auto"/>
            <w:noWrap/>
            <w:hideMark/>
          </w:tcPr>
          <w:p w:rsidR="0037024B" w:rsidRPr="00495745" w:rsidRDefault="0037024B" w:rsidP="0037024B">
            <w:pPr>
              <w:rPr>
                <w:rFonts w:ascii="Arial" w:hAnsi="Arial" w:cs="Arial"/>
                <w:b/>
                <w:bCs/>
                <w:sz w:val="20"/>
                <w:szCs w:val="20"/>
              </w:rPr>
            </w:pPr>
            <w:r w:rsidRPr="00495745">
              <w:rPr>
                <w:rFonts w:ascii="Arial" w:hAnsi="Arial" w:cs="Arial"/>
                <w:b/>
                <w:bCs/>
                <w:sz w:val="20"/>
                <w:szCs w:val="20"/>
              </w:rPr>
              <w:t xml:space="preserve">Table </w:t>
            </w:r>
            <w:proofErr w:type="spellStart"/>
            <w:r w:rsidRPr="00495745">
              <w:rPr>
                <w:rFonts w:ascii="Arial" w:hAnsi="Arial" w:cs="Arial"/>
                <w:b/>
                <w:bCs/>
                <w:sz w:val="20"/>
                <w:szCs w:val="20"/>
              </w:rPr>
              <w:t>DA.4</w:t>
            </w:r>
            <w:proofErr w:type="spellEnd"/>
          </w:p>
        </w:tc>
        <w:tc>
          <w:tcPr>
            <w:tcW w:w="7024" w:type="dxa"/>
            <w:tcBorders>
              <w:top w:val="nil"/>
              <w:left w:val="nil"/>
              <w:bottom w:val="nil"/>
              <w:right w:val="nil"/>
            </w:tcBorders>
            <w:shd w:val="clear" w:color="auto" w:fill="auto"/>
            <w:hideMark/>
          </w:tcPr>
          <w:p w:rsidR="0037024B" w:rsidRPr="00495745" w:rsidRDefault="0037024B" w:rsidP="00876403">
            <w:pPr>
              <w:jc w:val="both"/>
              <w:rPr>
                <w:rFonts w:ascii="Arial" w:hAnsi="Arial" w:cs="Arial"/>
                <w:sz w:val="20"/>
                <w:szCs w:val="20"/>
              </w:rPr>
            </w:pPr>
            <w:r w:rsidRPr="00495745">
              <w:rPr>
                <w:rFonts w:ascii="Arial" w:hAnsi="Arial" w:cs="Arial"/>
                <w:sz w:val="20"/>
                <w:szCs w:val="20"/>
              </w:rPr>
              <w:t>Emergency services human resources, 201</w:t>
            </w:r>
            <w:r w:rsidR="00876403">
              <w:rPr>
                <w:rFonts w:ascii="Arial" w:hAnsi="Arial" w:cs="Arial"/>
                <w:sz w:val="20"/>
                <w:szCs w:val="20"/>
              </w:rPr>
              <w:t>2</w:t>
            </w:r>
            <w:r w:rsidR="001525FA">
              <w:rPr>
                <w:rFonts w:ascii="Arial" w:hAnsi="Arial" w:cs="Arial"/>
                <w:sz w:val="20"/>
                <w:szCs w:val="20"/>
              </w:rPr>
              <w:noBreakHyphen/>
            </w:r>
            <w:r w:rsidRPr="00495745">
              <w:rPr>
                <w:rFonts w:ascii="Arial" w:hAnsi="Arial" w:cs="Arial"/>
                <w:sz w:val="20"/>
                <w:szCs w:val="20"/>
              </w:rPr>
              <w:t>13</w:t>
            </w:r>
          </w:p>
        </w:tc>
      </w:tr>
      <w:tr w:rsidR="00495745" w:rsidRPr="00495745" w:rsidTr="0037024B">
        <w:trPr>
          <w:trHeight w:val="612"/>
        </w:trPr>
        <w:tc>
          <w:tcPr>
            <w:tcW w:w="1852" w:type="dxa"/>
            <w:tcBorders>
              <w:top w:val="nil"/>
              <w:left w:val="nil"/>
              <w:bottom w:val="nil"/>
              <w:right w:val="nil"/>
            </w:tcBorders>
            <w:shd w:val="clear" w:color="auto" w:fill="auto"/>
            <w:noWrap/>
            <w:hideMark/>
          </w:tcPr>
          <w:p w:rsidR="0037024B" w:rsidRPr="00495745" w:rsidRDefault="0037024B" w:rsidP="0037024B">
            <w:pPr>
              <w:rPr>
                <w:rFonts w:ascii="Arial" w:hAnsi="Arial" w:cs="Arial"/>
                <w:b/>
                <w:bCs/>
                <w:sz w:val="20"/>
                <w:szCs w:val="20"/>
              </w:rPr>
            </w:pPr>
            <w:r w:rsidRPr="00495745">
              <w:rPr>
                <w:rFonts w:ascii="Arial" w:hAnsi="Arial" w:cs="Arial"/>
                <w:b/>
                <w:bCs/>
                <w:sz w:val="20"/>
                <w:szCs w:val="20"/>
              </w:rPr>
              <w:t xml:space="preserve">Table </w:t>
            </w:r>
            <w:proofErr w:type="spellStart"/>
            <w:r w:rsidRPr="00495745">
              <w:rPr>
                <w:rFonts w:ascii="Arial" w:hAnsi="Arial" w:cs="Arial"/>
                <w:b/>
                <w:bCs/>
                <w:sz w:val="20"/>
                <w:szCs w:val="20"/>
              </w:rPr>
              <w:t>DA.5</w:t>
            </w:r>
            <w:proofErr w:type="spellEnd"/>
          </w:p>
        </w:tc>
        <w:tc>
          <w:tcPr>
            <w:tcW w:w="7024" w:type="dxa"/>
            <w:tcBorders>
              <w:top w:val="nil"/>
              <w:left w:val="nil"/>
              <w:bottom w:val="nil"/>
              <w:right w:val="nil"/>
            </w:tcBorders>
            <w:shd w:val="clear" w:color="auto" w:fill="auto"/>
            <w:hideMark/>
          </w:tcPr>
          <w:p w:rsidR="0037024B" w:rsidRPr="00495745" w:rsidRDefault="0037024B" w:rsidP="00C84118">
            <w:pPr>
              <w:jc w:val="both"/>
              <w:rPr>
                <w:rFonts w:ascii="Arial" w:hAnsi="Arial" w:cs="Arial"/>
                <w:sz w:val="20"/>
                <w:szCs w:val="20"/>
              </w:rPr>
            </w:pPr>
            <w:r w:rsidRPr="00495745">
              <w:rPr>
                <w:rFonts w:ascii="Arial" w:hAnsi="Arial" w:cs="Arial"/>
                <w:sz w:val="20"/>
                <w:szCs w:val="20"/>
              </w:rPr>
              <w:t>Australian Government Natural Disaster Resilience Program (2012</w:t>
            </w:r>
            <w:r w:rsidR="001525FA">
              <w:rPr>
                <w:rFonts w:ascii="Arial" w:hAnsi="Arial" w:cs="Arial"/>
                <w:sz w:val="20"/>
                <w:szCs w:val="20"/>
              </w:rPr>
              <w:noBreakHyphen/>
            </w:r>
            <w:r w:rsidRPr="00495745">
              <w:rPr>
                <w:rFonts w:ascii="Arial" w:hAnsi="Arial" w:cs="Arial"/>
                <w:sz w:val="20"/>
                <w:szCs w:val="20"/>
              </w:rPr>
              <w:t>13 dollars)</w:t>
            </w:r>
            <w:r w:rsidR="001525FA">
              <w:rPr>
                <w:rFonts w:ascii="Arial" w:hAnsi="Arial" w:cs="Arial"/>
                <w:sz w:val="20"/>
                <w:szCs w:val="20"/>
              </w:rPr>
              <w:t xml:space="preserve"> </w:t>
            </w:r>
          </w:p>
        </w:tc>
      </w:tr>
      <w:tr w:rsidR="00495745" w:rsidRPr="00495745" w:rsidTr="0037024B">
        <w:trPr>
          <w:trHeight w:val="612"/>
        </w:trPr>
        <w:tc>
          <w:tcPr>
            <w:tcW w:w="1852" w:type="dxa"/>
            <w:tcBorders>
              <w:top w:val="nil"/>
              <w:left w:val="nil"/>
              <w:bottom w:val="nil"/>
              <w:right w:val="nil"/>
            </w:tcBorders>
            <w:shd w:val="clear" w:color="auto" w:fill="auto"/>
            <w:noWrap/>
            <w:hideMark/>
          </w:tcPr>
          <w:p w:rsidR="0037024B" w:rsidRPr="00495745" w:rsidRDefault="0037024B" w:rsidP="0037024B">
            <w:pPr>
              <w:rPr>
                <w:rFonts w:ascii="Arial" w:hAnsi="Arial" w:cs="Arial"/>
                <w:b/>
                <w:bCs/>
                <w:sz w:val="20"/>
                <w:szCs w:val="20"/>
              </w:rPr>
            </w:pPr>
            <w:r w:rsidRPr="00495745">
              <w:rPr>
                <w:rFonts w:ascii="Arial" w:hAnsi="Arial" w:cs="Arial"/>
                <w:b/>
                <w:bCs/>
                <w:sz w:val="20"/>
                <w:szCs w:val="20"/>
              </w:rPr>
              <w:t xml:space="preserve">Table </w:t>
            </w:r>
            <w:proofErr w:type="spellStart"/>
            <w:r w:rsidRPr="00495745">
              <w:rPr>
                <w:rFonts w:ascii="Arial" w:hAnsi="Arial" w:cs="Arial"/>
                <w:b/>
                <w:bCs/>
                <w:sz w:val="20"/>
                <w:szCs w:val="20"/>
              </w:rPr>
              <w:t>DA.6</w:t>
            </w:r>
            <w:proofErr w:type="spellEnd"/>
          </w:p>
        </w:tc>
        <w:tc>
          <w:tcPr>
            <w:tcW w:w="7024" w:type="dxa"/>
            <w:tcBorders>
              <w:top w:val="nil"/>
              <w:left w:val="nil"/>
              <w:bottom w:val="nil"/>
              <w:right w:val="nil"/>
            </w:tcBorders>
            <w:shd w:val="clear" w:color="auto" w:fill="auto"/>
            <w:hideMark/>
          </w:tcPr>
          <w:p w:rsidR="0037024B" w:rsidRPr="00495745" w:rsidRDefault="0037024B" w:rsidP="00C84118">
            <w:pPr>
              <w:jc w:val="both"/>
              <w:rPr>
                <w:rFonts w:ascii="Arial" w:hAnsi="Arial" w:cs="Arial"/>
                <w:sz w:val="20"/>
                <w:szCs w:val="20"/>
              </w:rPr>
            </w:pPr>
            <w:r w:rsidRPr="00495745">
              <w:rPr>
                <w:rFonts w:ascii="Arial" w:hAnsi="Arial" w:cs="Arial"/>
                <w:sz w:val="20"/>
                <w:szCs w:val="20"/>
              </w:rPr>
              <w:t>Australian Government Natural Disaster Relief and Recovery Arrangements pa</w:t>
            </w:r>
            <w:r w:rsidR="00262184" w:rsidRPr="00495745">
              <w:rPr>
                <w:rFonts w:ascii="Arial" w:hAnsi="Arial" w:cs="Arial"/>
                <w:sz w:val="20"/>
                <w:szCs w:val="20"/>
              </w:rPr>
              <w:t>y</w:t>
            </w:r>
            <w:r w:rsidRPr="00495745">
              <w:rPr>
                <w:rFonts w:ascii="Arial" w:hAnsi="Arial" w:cs="Arial"/>
                <w:sz w:val="20"/>
                <w:szCs w:val="20"/>
              </w:rPr>
              <w:t>ments (2012</w:t>
            </w:r>
            <w:r w:rsidR="001525FA">
              <w:rPr>
                <w:rFonts w:ascii="Arial" w:hAnsi="Arial" w:cs="Arial"/>
                <w:sz w:val="20"/>
                <w:szCs w:val="20"/>
              </w:rPr>
              <w:noBreakHyphen/>
            </w:r>
            <w:r w:rsidRPr="00495745">
              <w:rPr>
                <w:rFonts w:ascii="Arial" w:hAnsi="Arial" w:cs="Arial"/>
                <w:sz w:val="20"/>
                <w:szCs w:val="20"/>
              </w:rPr>
              <w:t>13 dollars)</w:t>
            </w:r>
            <w:r w:rsidR="001525FA">
              <w:rPr>
                <w:rFonts w:ascii="Arial" w:hAnsi="Arial" w:cs="Arial"/>
                <w:sz w:val="20"/>
                <w:szCs w:val="20"/>
              </w:rPr>
              <w:t xml:space="preserve"> </w:t>
            </w:r>
          </w:p>
        </w:tc>
      </w:tr>
      <w:tr w:rsidR="00495745" w:rsidRPr="00495745" w:rsidTr="00C84118">
        <w:trPr>
          <w:trHeight w:val="357"/>
        </w:trPr>
        <w:tc>
          <w:tcPr>
            <w:tcW w:w="1852" w:type="dxa"/>
            <w:tcBorders>
              <w:top w:val="nil"/>
              <w:left w:val="nil"/>
              <w:bottom w:val="nil"/>
              <w:right w:val="nil"/>
            </w:tcBorders>
            <w:shd w:val="clear" w:color="auto" w:fill="auto"/>
            <w:noWrap/>
            <w:hideMark/>
          </w:tcPr>
          <w:p w:rsidR="0037024B" w:rsidRPr="00495745" w:rsidRDefault="0037024B" w:rsidP="0037024B">
            <w:pPr>
              <w:rPr>
                <w:rFonts w:ascii="Arial" w:hAnsi="Arial" w:cs="Arial"/>
                <w:b/>
                <w:bCs/>
                <w:sz w:val="20"/>
                <w:szCs w:val="20"/>
              </w:rPr>
            </w:pPr>
            <w:r w:rsidRPr="00495745">
              <w:rPr>
                <w:rFonts w:ascii="Arial" w:hAnsi="Arial" w:cs="Arial"/>
                <w:b/>
                <w:bCs/>
                <w:sz w:val="20"/>
                <w:szCs w:val="20"/>
              </w:rPr>
              <w:t xml:space="preserve">Table </w:t>
            </w:r>
            <w:proofErr w:type="spellStart"/>
            <w:r w:rsidRPr="00495745">
              <w:rPr>
                <w:rFonts w:ascii="Arial" w:hAnsi="Arial" w:cs="Arial"/>
                <w:b/>
                <w:bCs/>
                <w:sz w:val="20"/>
                <w:szCs w:val="20"/>
              </w:rPr>
              <w:t>DA.7</w:t>
            </w:r>
            <w:proofErr w:type="spellEnd"/>
          </w:p>
        </w:tc>
        <w:tc>
          <w:tcPr>
            <w:tcW w:w="7024" w:type="dxa"/>
            <w:tcBorders>
              <w:top w:val="nil"/>
              <w:left w:val="nil"/>
              <w:bottom w:val="nil"/>
              <w:right w:val="nil"/>
            </w:tcBorders>
            <w:shd w:val="clear" w:color="auto" w:fill="auto"/>
            <w:hideMark/>
          </w:tcPr>
          <w:p w:rsidR="0037024B" w:rsidRPr="00495745" w:rsidRDefault="0037024B" w:rsidP="00C84118">
            <w:pPr>
              <w:jc w:val="both"/>
              <w:rPr>
                <w:rFonts w:ascii="Arial" w:hAnsi="Arial" w:cs="Arial"/>
                <w:sz w:val="20"/>
                <w:szCs w:val="20"/>
              </w:rPr>
            </w:pPr>
            <w:r w:rsidRPr="00495745">
              <w:rPr>
                <w:rFonts w:ascii="Arial" w:hAnsi="Arial" w:cs="Arial"/>
                <w:sz w:val="20"/>
                <w:szCs w:val="20"/>
              </w:rPr>
              <w:t>Asset loss from emergency events (201</w:t>
            </w:r>
            <w:r w:rsidR="00C84118">
              <w:rPr>
                <w:rFonts w:ascii="Arial" w:hAnsi="Arial" w:cs="Arial"/>
                <w:sz w:val="20"/>
                <w:szCs w:val="20"/>
              </w:rPr>
              <w:t>2</w:t>
            </w:r>
            <w:r w:rsidR="001525FA">
              <w:rPr>
                <w:rFonts w:ascii="Arial" w:hAnsi="Arial" w:cs="Arial"/>
                <w:sz w:val="20"/>
                <w:szCs w:val="20"/>
              </w:rPr>
              <w:noBreakHyphen/>
            </w:r>
            <w:r w:rsidRPr="00495745">
              <w:rPr>
                <w:rFonts w:ascii="Arial" w:hAnsi="Arial" w:cs="Arial"/>
                <w:sz w:val="20"/>
                <w:szCs w:val="20"/>
              </w:rPr>
              <w:t>1</w:t>
            </w:r>
            <w:r w:rsidR="00C84118">
              <w:rPr>
                <w:rFonts w:ascii="Arial" w:hAnsi="Arial" w:cs="Arial"/>
                <w:sz w:val="20"/>
                <w:szCs w:val="20"/>
              </w:rPr>
              <w:t>3</w:t>
            </w:r>
            <w:r w:rsidRPr="00495745">
              <w:rPr>
                <w:rFonts w:ascii="Arial" w:hAnsi="Arial" w:cs="Arial"/>
                <w:sz w:val="20"/>
                <w:szCs w:val="20"/>
              </w:rPr>
              <w:t xml:space="preserve"> dollars)</w:t>
            </w:r>
            <w:r w:rsidR="001525FA">
              <w:rPr>
                <w:rFonts w:ascii="Arial" w:hAnsi="Arial" w:cs="Arial"/>
                <w:sz w:val="20"/>
                <w:szCs w:val="20"/>
              </w:rPr>
              <w:t xml:space="preserve"> </w:t>
            </w:r>
          </w:p>
        </w:tc>
      </w:tr>
      <w:tr w:rsidR="00495745" w:rsidRPr="00495745" w:rsidTr="0037024B">
        <w:trPr>
          <w:trHeight w:val="357"/>
        </w:trPr>
        <w:tc>
          <w:tcPr>
            <w:tcW w:w="1852" w:type="dxa"/>
            <w:tcBorders>
              <w:top w:val="nil"/>
              <w:left w:val="nil"/>
              <w:bottom w:val="nil"/>
              <w:right w:val="nil"/>
            </w:tcBorders>
            <w:shd w:val="clear" w:color="auto" w:fill="auto"/>
            <w:noWrap/>
            <w:hideMark/>
          </w:tcPr>
          <w:p w:rsidR="0037024B" w:rsidRPr="00495745" w:rsidRDefault="0037024B" w:rsidP="0037024B">
            <w:pPr>
              <w:rPr>
                <w:rFonts w:ascii="Arial" w:hAnsi="Arial" w:cs="Arial"/>
                <w:b/>
                <w:bCs/>
                <w:sz w:val="20"/>
                <w:szCs w:val="20"/>
              </w:rPr>
            </w:pPr>
            <w:r w:rsidRPr="00495745">
              <w:rPr>
                <w:rFonts w:ascii="Arial" w:hAnsi="Arial" w:cs="Arial"/>
                <w:b/>
                <w:bCs/>
                <w:sz w:val="20"/>
                <w:szCs w:val="20"/>
              </w:rPr>
              <w:t xml:space="preserve">Table </w:t>
            </w:r>
            <w:proofErr w:type="spellStart"/>
            <w:r w:rsidRPr="00495745">
              <w:rPr>
                <w:rFonts w:ascii="Arial" w:hAnsi="Arial" w:cs="Arial"/>
                <w:b/>
                <w:bCs/>
                <w:sz w:val="20"/>
                <w:szCs w:val="20"/>
              </w:rPr>
              <w:t>DA.8</w:t>
            </w:r>
            <w:proofErr w:type="spellEnd"/>
          </w:p>
        </w:tc>
        <w:tc>
          <w:tcPr>
            <w:tcW w:w="7024" w:type="dxa"/>
            <w:tcBorders>
              <w:top w:val="nil"/>
              <w:left w:val="nil"/>
              <w:bottom w:val="nil"/>
              <w:right w:val="nil"/>
            </w:tcBorders>
            <w:shd w:val="clear" w:color="auto" w:fill="auto"/>
            <w:hideMark/>
          </w:tcPr>
          <w:p w:rsidR="0037024B" w:rsidRPr="00495745" w:rsidRDefault="0037024B" w:rsidP="0037024B">
            <w:pPr>
              <w:jc w:val="both"/>
              <w:rPr>
                <w:rFonts w:ascii="Arial" w:hAnsi="Arial" w:cs="Arial"/>
                <w:sz w:val="20"/>
                <w:szCs w:val="20"/>
              </w:rPr>
            </w:pPr>
            <w:r w:rsidRPr="00495745">
              <w:rPr>
                <w:rFonts w:ascii="Arial" w:hAnsi="Arial" w:cs="Arial"/>
                <w:sz w:val="20"/>
                <w:szCs w:val="20"/>
              </w:rPr>
              <w:t>Road traffic death rate</w:t>
            </w:r>
            <w:r w:rsidR="001525FA">
              <w:rPr>
                <w:rFonts w:ascii="Arial" w:hAnsi="Arial" w:cs="Arial"/>
                <w:sz w:val="20"/>
                <w:szCs w:val="20"/>
              </w:rPr>
              <w:t xml:space="preserve"> </w:t>
            </w:r>
          </w:p>
        </w:tc>
      </w:tr>
      <w:tr w:rsidR="00495745" w:rsidRPr="00495745" w:rsidTr="0037024B">
        <w:trPr>
          <w:trHeight w:val="357"/>
        </w:trPr>
        <w:tc>
          <w:tcPr>
            <w:tcW w:w="1852" w:type="dxa"/>
            <w:tcBorders>
              <w:top w:val="nil"/>
              <w:left w:val="nil"/>
              <w:bottom w:val="nil"/>
              <w:right w:val="nil"/>
            </w:tcBorders>
            <w:shd w:val="clear" w:color="auto" w:fill="auto"/>
            <w:noWrap/>
            <w:hideMark/>
          </w:tcPr>
          <w:p w:rsidR="0037024B" w:rsidRPr="00495745" w:rsidRDefault="0037024B" w:rsidP="0037024B">
            <w:pPr>
              <w:rPr>
                <w:rFonts w:ascii="Arial" w:hAnsi="Arial" w:cs="Arial"/>
                <w:b/>
                <w:bCs/>
                <w:sz w:val="20"/>
                <w:szCs w:val="20"/>
              </w:rPr>
            </w:pPr>
            <w:r w:rsidRPr="00495745">
              <w:rPr>
                <w:rFonts w:ascii="Arial" w:hAnsi="Arial" w:cs="Arial"/>
                <w:b/>
                <w:bCs/>
                <w:sz w:val="20"/>
                <w:szCs w:val="20"/>
              </w:rPr>
              <w:t xml:space="preserve">Table </w:t>
            </w:r>
            <w:proofErr w:type="spellStart"/>
            <w:r w:rsidRPr="00495745">
              <w:rPr>
                <w:rFonts w:ascii="Arial" w:hAnsi="Arial" w:cs="Arial"/>
                <w:b/>
                <w:bCs/>
                <w:sz w:val="20"/>
                <w:szCs w:val="20"/>
              </w:rPr>
              <w:t>DA.9</w:t>
            </w:r>
            <w:proofErr w:type="spellEnd"/>
          </w:p>
        </w:tc>
        <w:tc>
          <w:tcPr>
            <w:tcW w:w="7024" w:type="dxa"/>
            <w:tcBorders>
              <w:top w:val="nil"/>
              <w:left w:val="nil"/>
              <w:bottom w:val="nil"/>
              <w:right w:val="nil"/>
            </w:tcBorders>
            <w:shd w:val="clear" w:color="auto" w:fill="auto"/>
            <w:hideMark/>
          </w:tcPr>
          <w:p w:rsidR="0037024B" w:rsidRPr="00495745" w:rsidRDefault="0037024B" w:rsidP="0037024B">
            <w:pPr>
              <w:jc w:val="both"/>
              <w:rPr>
                <w:rFonts w:ascii="Arial" w:hAnsi="Arial" w:cs="Arial"/>
                <w:sz w:val="20"/>
                <w:szCs w:val="20"/>
              </w:rPr>
            </w:pPr>
            <w:r w:rsidRPr="00495745">
              <w:rPr>
                <w:rFonts w:ascii="Arial" w:hAnsi="Arial" w:cs="Arial"/>
                <w:sz w:val="20"/>
                <w:szCs w:val="20"/>
              </w:rPr>
              <w:t>Exposure to forces of nature death rate</w:t>
            </w:r>
            <w:r w:rsidR="001525FA">
              <w:rPr>
                <w:rFonts w:ascii="Arial" w:hAnsi="Arial" w:cs="Arial"/>
                <w:sz w:val="20"/>
                <w:szCs w:val="20"/>
              </w:rPr>
              <w:t xml:space="preserve"> </w:t>
            </w:r>
          </w:p>
        </w:tc>
      </w:tr>
      <w:tr w:rsidR="00495745" w:rsidRPr="00495745" w:rsidTr="0037024B">
        <w:trPr>
          <w:trHeight w:val="357"/>
        </w:trPr>
        <w:tc>
          <w:tcPr>
            <w:tcW w:w="1852" w:type="dxa"/>
            <w:tcBorders>
              <w:top w:val="nil"/>
              <w:left w:val="nil"/>
              <w:bottom w:val="nil"/>
              <w:right w:val="nil"/>
            </w:tcBorders>
            <w:shd w:val="clear" w:color="auto" w:fill="auto"/>
            <w:noWrap/>
            <w:hideMark/>
          </w:tcPr>
          <w:p w:rsidR="0037024B" w:rsidRPr="00495745" w:rsidRDefault="0037024B" w:rsidP="0037024B">
            <w:pPr>
              <w:rPr>
                <w:rFonts w:ascii="Arial" w:hAnsi="Arial" w:cs="Arial"/>
                <w:b/>
                <w:bCs/>
                <w:sz w:val="20"/>
                <w:szCs w:val="20"/>
              </w:rPr>
            </w:pPr>
            <w:r w:rsidRPr="00495745">
              <w:rPr>
                <w:rFonts w:ascii="Arial" w:hAnsi="Arial" w:cs="Arial"/>
                <w:b/>
                <w:bCs/>
                <w:sz w:val="20"/>
                <w:szCs w:val="20"/>
              </w:rPr>
              <w:t xml:space="preserve">Table </w:t>
            </w:r>
            <w:proofErr w:type="spellStart"/>
            <w:r w:rsidRPr="00495745">
              <w:rPr>
                <w:rFonts w:ascii="Arial" w:hAnsi="Arial" w:cs="Arial"/>
                <w:b/>
                <w:bCs/>
                <w:sz w:val="20"/>
                <w:szCs w:val="20"/>
              </w:rPr>
              <w:t>DA.10</w:t>
            </w:r>
            <w:proofErr w:type="spellEnd"/>
          </w:p>
        </w:tc>
        <w:tc>
          <w:tcPr>
            <w:tcW w:w="7024" w:type="dxa"/>
            <w:tcBorders>
              <w:top w:val="nil"/>
              <w:left w:val="nil"/>
              <w:bottom w:val="nil"/>
              <w:right w:val="nil"/>
            </w:tcBorders>
            <w:shd w:val="clear" w:color="auto" w:fill="auto"/>
            <w:hideMark/>
          </w:tcPr>
          <w:p w:rsidR="0037024B" w:rsidRPr="00495745" w:rsidRDefault="0037024B" w:rsidP="0037024B">
            <w:pPr>
              <w:jc w:val="both"/>
              <w:rPr>
                <w:rFonts w:ascii="Arial" w:hAnsi="Arial" w:cs="Arial"/>
                <w:sz w:val="20"/>
                <w:szCs w:val="20"/>
              </w:rPr>
            </w:pPr>
            <w:r w:rsidRPr="00495745">
              <w:rPr>
                <w:rFonts w:ascii="Arial" w:hAnsi="Arial" w:cs="Arial"/>
                <w:sz w:val="20"/>
                <w:szCs w:val="20"/>
              </w:rPr>
              <w:t>Total emergency event death rate</w:t>
            </w:r>
            <w:r w:rsidR="001525FA">
              <w:rPr>
                <w:rFonts w:ascii="Arial" w:hAnsi="Arial" w:cs="Arial"/>
                <w:sz w:val="20"/>
                <w:szCs w:val="20"/>
              </w:rPr>
              <w:t xml:space="preserve"> </w:t>
            </w:r>
          </w:p>
        </w:tc>
      </w:tr>
      <w:tr w:rsidR="00495745" w:rsidRPr="00495745" w:rsidTr="00FE464E">
        <w:trPr>
          <w:trHeight w:val="357"/>
        </w:trPr>
        <w:tc>
          <w:tcPr>
            <w:tcW w:w="8876" w:type="dxa"/>
            <w:gridSpan w:val="2"/>
            <w:tcBorders>
              <w:top w:val="nil"/>
              <w:left w:val="nil"/>
              <w:bottom w:val="nil"/>
              <w:right w:val="nil"/>
            </w:tcBorders>
            <w:shd w:val="clear" w:color="auto" w:fill="auto"/>
            <w:noWrap/>
            <w:hideMark/>
          </w:tcPr>
          <w:p w:rsidR="00262184" w:rsidRPr="00495745" w:rsidRDefault="00262184" w:rsidP="0037024B">
            <w:pPr>
              <w:jc w:val="both"/>
              <w:rPr>
                <w:rFonts w:ascii="Arial" w:hAnsi="Arial" w:cs="Arial"/>
                <w:sz w:val="20"/>
                <w:szCs w:val="20"/>
              </w:rPr>
            </w:pPr>
            <w:r w:rsidRPr="00495745">
              <w:rPr>
                <w:rFonts w:ascii="Arial" w:hAnsi="Arial" w:cs="Arial"/>
                <w:b/>
                <w:bCs/>
                <w:sz w:val="20"/>
                <w:szCs w:val="20"/>
              </w:rPr>
              <w:t>State/Territory Emergency Services</w:t>
            </w:r>
          </w:p>
        </w:tc>
      </w:tr>
      <w:tr w:rsidR="00495745" w:rsidRPr="00495745" w:rsidTr="0037024B">
        <w:trPr>
          <w:trHeight w:val="357"/>
        </w:trPr>
        <w:tc>
          <w:tcPr>
            <w:tcW w:w="1852" w:type="dxa"/>
            <w:tcBorders>
              <w:top w:val="nil"/>
              <w:left w:val="nil"/>
              <w:bottom w:val="nil"/>
              <w:right w:val="nil"/>
            </w:tcBorders>
            <w:shd w:val="clear" w:color="auto" w:fill="auto"/>
            <w:noWrap/>
            <w:hideMark/>
          </w:tcPr>
          <w:p w:rsidR="0037024B" w:rsidRPr="00495745" w:rsidRDefault="0037024B" w:rsidP="0037024B">
            <w:pPr>
              <w:rPr>
                <w:rFonts w:ascii="Arial" w:hAnsi="Arial" w:cs="Arial"/>
                <w:b/>
                <w:bCs/>
                <w:sz w:val="20"/>
                <w:szCs w:val="20"/>
              </w:rPr>
            </w:pPr>
            <w:r w:rsidRPr="00495745">
              <w:rPr>
                <w:rFonts w:ascii="Arial" w:hAnsi="Arial" w:cs="Arial"/>
                <w:b/>
                <w:bCs/>
                <w:sz w:val="20"/>
                <w:szCs w:val="20"/>
              </w:rPr>
              <w:t xml:space="preserve">Table </w:t>
            </w:r>
            <w:proofErr w:type="spellStart"/>
            <w:r w:rsidRPr="00495745">
              <w:rPr>
                <w:rFonts w:ascii="Arial" w:hAnsi="Arial" w:cs="Arial"/>
                <w:b/>
                <w:bCs/>
                <w:sz w:val="20"/>
                <w:szCs w:val="20"/>
              </w:rPr>
              <w:t>DA.11</w:t>
            </w:r>
            <w:proofErr w:type="spellEnd"/>
          </w:p>
        </w:tc>
        <w:tc>
          <w:tcPr>
            <w:tcW w:w="7024" w:type="dxa"/>
            <w:tcBorders>
              <w:top w:val="nil"/>
              <w:left w:val="nil"/>
              <w:bottom w:val="nil"/>
              <w:right w:val="nil"/>
            </w:tcBorders>
            <w:shd w:val="clear" w:color="auto" w:fill="auto"/>
            <w:hideMark/>
          </w:tcPr>
          <w:p w:rsidR="0037024B" w:rsidRPr="00495745" w:rsidRDefault="0037024B" w:rsidP="0037024B">
            <w:pPr>
              <w:jc w:val="both"/>
              <w:rPr>
                <w:rFonts w:ascii="Arial" w:hAnsi="Arial" w:cs="Arial"/>
                <w:sz w:val="20"/>
                <w:szCs w:val="20"/>
              </w:rPr>
            </w:pPr>
            <w:r w:rsidRPr="00495745">
              <w:rPr>
                <w:rFonts w:ascii="Arial" w:hAnsi="Arial" w:cs="Arial"/>
                <w:sz w:val="20"/>
                <w:szCs w:val="20"/>
              </w:rPr>
              <w:t>All activities of State Emergency Services and Territory Emergency Services</w:t>
            </w:r>
          </w:p>
        </w:tc>
      </w:tr>
      <w:tr w:rsidR="00495745" w:rsidRPr="00495745" w:rsidTr="0037024B">
        <w:trPr>
          <w:trHeight w:val="612"/>
        </w:trPr>
        <w:tc>
          <w:tcPr>
            <w:tcW w:w="1852" w:type="dxa"/>
            <w:tcBorders>
              <w:top w:val="nil"/>
              <w:left w:val="nil"/>
              <w:bottom w:val="nil"/>
              <w:right w:val="nil"/>
            </w:tcBorders>
            <w:shd w:val="clear" w:color="auto" w:fill="auto"/>
            <w:noWrap/>
            <w:hideMark/>
          </w:tcPr>
          <w:p w:rsidR="0037024B" w:rsidRPr="00495745" w:rsidRDefault="0037024B" w:rsidP="0037024B">
            <w:pPr>
              <w:rPr>
                <w:rFonts w:ascii="Arial" w:hAnsi="Arial" w:cs="Arial"/>
                <w:b/>
                <w:bCs/>
                <w:sz w:val="20"/>
                <w:szCs w:val="20"/>
              </w:rPr>
            </w:pPr>
            <w:r w:rsidRPr="00495745">
              <w:rPr>
                <w:rFonts w:ascii="Arial" w:hAnsi="Arial" w:cs="Arial"/>
                <w:b/>
                <w:bCs/>
                <w:sz w:val="20"/>
                <w:szCs w:val="20"/>
              </w:rPr>
              <w:t xml:space="preserve">Table </w:t>
            </w:r>
            <w:proofErr w:type="spellStart"/>
            <w:r w:rsidRPr="00495745">
              <w:rPr>
                <w:rFonts w:ascii="Arial" w:hAnsi="Arial" w:cs="Arial"/>
                <w:b/>
                <w:bCs/>
                <w:sz w:val="20"/>
                <w:szCs w:val="20"/>
              </w:rPr>
              <w:t>DA.12</w:t>
            </w:r>
            <w:proofErr w:type="spellEnd"/>
          </w:p>
        </w:tc>
        <w:tc>
          <w:tcPr>
            <w:tcW w:w="7024" w:type="dxa"/>
            <w:tcBorders>
              <w:top w:val="nil"/>
              <w:left w:val="nil"/>
              <w:bottom w:val="nil"/>
              <w:right w:val="nil"/>
            </w:tcBorders>
            <w:shd w:val="clear" w:color="auto" w:fill="auto"/>
            <w:hideMark/>
          </w:tcPr>
          <w:p w:rsidR="0037024B" w:rsidRPr="00495745" w:rsidRDefault="0037024B" w:rsidP="0037024B">
            <w:pPr>
              <w:jc w:val="both"/>
              <w:rPr>
                <w:rFonts w:ascii="Arial" w:hAnsi="Arial" w:cs="Arial"/>
                <w:sz w:val="20"/>
                <w:szCs w:val="20"/>
              </w:rPr>
            </w:pPr>
            <w:r w:rsidRPr="00495745">
              <w:rPr>
                <w:rFonts w:ascii="Arial" w:hAnsi="Arial" w:cs="Arial"/>
                <w:sz w:val="20"/>
                <w:szCs w:val="20"/>
              </w:rPr>
              <w:t>Major sources of State/Territory emergency service organisations revenue (2012</w:t>
            </w:r>
            <w:r w:rsidR="001525FA">
              <w:rPr>
                <w:rFonts w:ascii="Arial" w:hAnsi="Arial" w:cs="Arial"/>
                <w:sz w:val="20"/>
                <w:szCs w:val="20"/>
              </w:rPr>
              <w:noBreakHyphen/>
            </w:r>
            <w:r w:rsidRPr="00495745">
              <w:rPr>
                <w:rFonts w:ascii="Arial" w:hAnsi="Arial" w:cs="Arial"/>
                <w:sz w:val="20"/>
                <w:szCs w:val="20"/>
              </w:rPr>
              <w:t xml:space="preserve">13 dollars) </w:t>
            </w:r>
          </w:p>
        </w:tc>
      </w:tr>
      <w:tr w:rsidR="00495745" w:rsidRPr="00495745" w:rsidTr="0037024B">
        <w:trPr>
          <w:trHeight w:val="357"/>
        </w:trPr>
        <w:tc>
          <w:tcPr>
            <w:tcW w:w="1852" w:type="dxa"/>
            <w:tcBorders>
              <w:top w:val="nil"/>
              <w:left w:val="nil"/>
              <w:bottom w:val="nil"/>
              <w:right w:val="nil"/>
            </w:tcBorders>
            <w:shd w:val="clear" w:color="auto" w:fill="auto"/>
            <w:noWrap/>
            <w:hideMark/>
          </w:tcPr>
          <w:p w:rsidR="0037024B" w:rsidRPr="00495745" w:rsidRDefault="0037024B" w:rsidP="0037024B">
            <w:pPr>
              <w:rPr>
                <w:rFonts w:ascii="Arial" w:hAnsi="Arial" w:cs="Arial"/>
                <w:b/>
                <w:bCs/>
                <w:sz w:val="20"/>
                <w:szCs w:val="20"/>
              </w:rPr>
            </w:pPr>
            <w:r w:rsidRPr="00495745">
              <w:rPr>
                <w:rFonts w:ascii="Arial" w:hAnsi="Arial" w:cs="Arial"/>
                <w:b/>
                <w:bCs/>
                <w:sz w:val="20"/>
                <w:szCs w:val="20"/>
              </w:rPr>
              <w:t xml:space="preserve">Table </w:t>
            </w:r>
            <w:proofErr w:type="spellStart"/>
            <w:r w:rsidRPr="00495745">
              <w:rPr>
                <w:rFonts w:ascii="Arial" w:hAnsi="Arial" w:cs="Arial"/>
                <w:b/>
                <w:bCs/>
                <w:sz w:val="20"/>
                <w:szCs w:val="20"/>
              </w:rPr>
              <w:t>DA.13</w:t>
            </w:r>
            <w:proofErr w:type="spellEnd"/>
          </w:p>
        </w:tc>
        <w:tc>
          <w:tcPr>
            <w:tcW w:w="7024" w:type="dxa"/>
            <w:tcBorders>
              <w:top w:val="nil"/>
              <w:left w:val="nil"/>
              <w:bottom w:val="nil"/>
              <w:right w:val="nil"/>
            </w:tcBorders>
            <w:shd w:val="clear" w:color="auto" w:fill="auto"/>
            <w:hideMark/>
          </w:tcPr>
          <w:p w:rsidR="0037024B" w:rsidRPr="00495745" w:rsidRDefault="0037024B" w:rsidP="00C84118">
            <w:pPr>
              <w:jc w:val="both"/>
              <w:rPr>
                <w:rFonts w:ascii="Arial" w:hAnsi="Arial" w:cs="Arial"/>
                <w:sz w:val="20"/>
                <w:szCs w:val="20"/>
              </w:rPr>
            </w:pPr>
            <w:r w:rsidRPr="00495745">
              <w:rPr>
                <w:rFonts w:ascii="Arial" w:hAnsi="Arial" w:cs="Arial"/>
                <w:sz w:val="20"/>
                <w:szCs w:val="20"/>
              </w:rPr>
              <w:t>State/Territory emergency service organisations</w:t>
            </w:r>
            <w:r w:rsidR="001525FA">
              <w:rPr>
                <w:rFonts w:ascii="Arial" w:hAnsi="Arial" w:cs="Arial"/>
                <w:sz w:val="20"/>
                <w:szCs w:val="20"/>
              </w:rPr>
              <w:t>’</w:t>
            </w:r>
            <w:r w:rsidRPr="00495745">
              <w:rPr>
                <w:rFonts w:ascii="Arial" w:hAnsi="Arial" w:cs="Arial"/>
                <w:sz w:val="20"/>
                <w:szCs w:val="20"/>
              </w:rPr>
              <w:t xml:space="preserve"> costs (2012</w:t>
            </w:r>
            <w:r w:rsidR="001525FA">
              <w:rPr>
                <w:rFonts w:ascii="Arial" w:hAnsi="Arial" w:cs="Arial"/>
                <w:sz w:val="20"/>
                <w:szCs w:val="20"/>
              </w:rPr>
              <w:noBreakHyphen/>
            </w:r>
            <w:r w:rsidRPr="00495745">
              <w:rPr>
                <w:rFonts w:ascii="Arial" w:hAnsi="Arial" w:cs="Arial"/>
                <w:sz w:val="20"/>
                <w:szCs w:val="20"/>
              </w:rPr>
              <w:t>13 dollars)</w:t>
            </w:r>
            <w:r w:rsidR="001525FA">
              <w:rPr>
                <w:rFonts w:ascii="Arial" w:hAnsi="Arial" w:cs="Arial"/>
                <w:sz w:val="20"/>
                <w:szCs w:val="20"/>
              </w:rPr>
              <w:t xml:space="preserve"> </w:t>
            </w:r>
          </w:p>
        </w:tc>
      </w:tr>
      <w:tr w:rsidR="00495745" w:rsidRPr="00495745" w:rsidTr="0037024B">
        <w:trPr>
          <w:trHeight w:val="357"/>
        </w:trPr>
        <w:tc>
          <w:tcPr>
            <w:tcW w:w="1852" w:type="dxa"/>
            <w:tcBorders>
              <w:top w:val="nil"/>
              <w:left w:val="nil"/>
              <w:bottom w:val="nil"/>
              <w:right w:val="nil"/>
            </w:tcBorders>
            <w:shd w:val="clear" w:color="auto" w:fill="auto"/>
            <w:noWrap/>
            <w:hideMark/>
          </w:tcPr>
          <w:p w:rsidR="0037024B" w:rsidRPr="00495745" w:rsidRDefault="0037024B" w:rsidP="0037024B">
            <w:pPr>
              <w:rPr>
                <w:rFonts w:ascii="Arial" w:hAnsi="Arial" w:cs="Arial"/>
                <w:b/>
                <w:bCs/>
                <w:sz w:val="20"/>
                <w:szCs w:val="20"/>
              </w:rPr>
            </w:pPr>
            <w:r w:rsidRPr="00495745">
              <w:rPr>
                <w:rFonts w:ascii="Arial" w:hAnsi="Arial" w:cs="Arial"/>
                <w:b/>
                <w:bCs/>
                <w:sz w:val="20"/>
                <w:szCs w:val="20"/>
              </w:rPr>
              <w:t xml:space="preserve">Table </w:t>
            </w:r>
            <w:proofErr w:type="spellStart"/>
            <w:r w:rsidRPr="00495745">
              <w:rPr>
                <w:rFonts w:ascii="Arial" w:hAnsi="Arial" w:cs="Arial"/>
                <w:b/>
                <w:bCs/>
                <w:sz w:val="20"/>
                <w:szCs w:val="20"/>
              </w:rPr>
              <w:t>DA.14</w:t>
            </w:r>
            <w:proofErr w:type="spellEnd"/>
          </w:p>
        </w:tc>
        <w:tc>
          <w:tcPr>
            <w:tcW w:w="7024" w:type="dxa"/>
            <w:tcBorders>
              <w:top w:val="nil"/>
              <w:left w:val="nil"/>
              <w:bottom w:val="nil"/>
              <w:right w:val="nil"/>
            </w:tcBorders>
            <w:shd w:val="clear" w:color="auto" w:fill="auto"/>
            <w:hideMark/>
          </w:tcPr>
          <w:p w:rsidR="0037024B" w:rsidRPr="00495745" w:rsidRDefault="0037024B" w:rsidP="0037024B">
            <w:pPr>
              <w:jc w:val="both"/>
              <w:rPr>
                <w:rFonts w:ascii="Arial" w:hAnsi="Arial" w:cs="Arial"/>
                <w:sz w:val="20"/>
                <w:szCs w:val="20"/>
              </w:rPr>
            </w:pPr>
            <w:r w:rsidRPr="00495745">
              <w:rPr>
                <w:rFonts w:ascii="Arial" w:hAnsi="Arial" w:cs="Arial"/>
                <w:sz w:val="20"/>
                <w:szCs w:val="20"/>
              </w:rPr>
              <w:t xml:space="preserve">State/Territory emergency service organisations human resources </w:t>
            </w:r>
          </w:p>
        </w:tc>
      </w:tr>
    </w:tbl>
    <w:p w:rsidR="00DE2D11" w:rsidRPr="00495745" w:rsidRDefault="001D458F" w:rsidP="00DE2D11">
      <w:pPr>
        <w:pStyle w:val="Heading2"/>
      </w:pPr>
      <w:bookmarkStart w:id="48" w:name="_Toc294252410"/>
      <w:bookmarkStart w:id="49" w:name="_Toc337997855"/>
      <w:proofErr w:type="spellStart"/>
      <w:r>
        <w:t>D.</w:t>
      </w:r>
      <w:r w:rsidR="005A1847">
        <w:rPr>
          <w:noProof/>
        </w:rPr>
        <w:t>6</w:t>
      </w:r>
      <w:proofErr w:type="spellEnd"/>
      <w:r w:rsidR="00DE2D11" w:rsidRPr="00495745">
        <w:tab/>
        <w:t>Refe</w:t>
      </w:r>
      <w:r w:rsidR="0037024B" w:rsidRPr="00495745">
        <w:t>r</w:t>
      </w:r>
      <w:r w:rsidR="00DE2D11" w:rsidRPr="00495745">
        <w:t>ences</w:t>
      </w:r>
      <w:bookmarkEnd w:id="48"/>
      <w:bookmarkEnd w:id="49"/>
    </w:p>
    <w:p w:rsidR="00900242" w:rsidRPr="00495745" w:rsidRDefault="00900242" w:rsidP="00C807D9">
      <w:pPr>
        <w:pStyle w:val="Reference"/>
      </w:pPr>
      <w:r w:rsidRPr="00495745">
        <w:rPr>
          <w:spacing w:val="-6"/>
        </w:rPr>
        <w:t>ABS (Australian Bureau of Statistics) 201</w:t>
      </w:r>
      <w:r w:rsidR="00ED4A48" w:rsidRPr="00495745">
        <w:rPr>
          <w:spacing w:val="-6"/>
        </w:rPr>
        <w:t>3</w:t>
      </w:r>
      <w:r w:rsidRPr="00495745">
        <w:rPr>
          <w:spacing w:val="-6"/>
        </w:rPr>
        <w:t xml:space="preserve">, </w:t>
      </w:r>
      <w:r w:rsidRPr="00495745">
        <w:rPr>
          <w:i/>
        </w:rPr>
        <w:t>Causes of Death Australia, 20</w:t>
      </w:r>
      <w:r w:rsidR="00147A98" w:rsidRPr="00495745">
        <w:rPr>
          <w:i/>
        </w:rPr>
        <w:t>1</w:t>
      </w:r>
      <w:r w:rsidR="00ED4A48" w:rsidRPr="00495745">
        <w:rPr>
          <w:i/>
        </w:rPr>
        <w:t>1</w:t>
      </w:r>
      <w:r w:rsidRPr="00495745">
        <w:t>, Cat.</w:t>
      </w:r>
      <w:r w:rsidR="001A29D5">
        <w:t> </w:t>
      </w:r>
      <w:r w:rsidRPr="00495745">
        <w:t>no. 3303.0, Canberra.</w:t>
      </w:r>
    </w:p>
    <w:p w:rsidR="005D2453" w:rsidRPr="00495745" w:rsidRDefault="005D2453" w:rsidP="005D2453">
      <w:pPr>
        <w:pStyle w:val="Reference"/>
        <w:rPr>
          <w:spacing w:val="-6"/>
        </w:rPr>
      </w:pPr>
      <w:proofErr w:type="spellStart"/>
      <w:r w:rsidRPr="00495745">
        <w:rPr>
          <w:spacing w:val="-6"/>
        </w:rPr>
        <w:t>AGD</w:t>
      </w:r>
      <w:proofErr w:type="spellEnd"/>
      <w:r w:rsidRPr="00495745">
        <w:rPr>
          <w:spacing w:val="-6"/>
        </w:rPr>
        <w:t xml:space="preserve"> (Attorney General’s Department</w:t>
      </w:r>
      <w:r w:rsidR="00ED4A48" w:rsidRPr="00495745">
        <w:rPr>
          <w:spacing w:val="-6"/>
        </w:rPr>
        <w:t>)</w:t>
      </w:r>
      <w:r w:rsidRPr="00495745">
        <w:rPr>
          <w:spacing w:val="-6"/>
        </w:rPr>
        <w:t xml:space="preserve"> 2012, </w:t>
      </w:r>
      <w:r w:rsidRPr="00495745">
        <w:rPr>
          <w:i/>
          <w:spacing w:val="-6"/>
        </w:rPr>
        <w:t>Australian Emergency Terms Thesaurus</w:t>
      </w:r>
      <w:r w:rsidRPr="00495745">
        <w:rPr>
          <w:spacing w:val="-6"/>
        </w:rPr>
        <w:t xml:space="preserve">, Australian Emergency Manuals Series, </w:t>
      </w:r>
      <w:proofErr w:type="spellStart"/>
      <w:r w:rsidRPr="00495745">
        <w:rPr>
          <w:spacing w:val="-6"/>
        </w:rPr>
        <w:t>www.em.gov.au</w:t>
      </w:r>
      <w:proofErr w:type="spellEnd"/>
      <w:r w:rsidRPr="00495745">
        <w:rPr>
          <w:spacing w:val="-6"/>
        </w:rPr>
        <w:t xml:space="preserve"> (accessed 1 October</w:t>
      </w:r>
      <w:r w:rsidR="00BE3E26">
        <w:rPr>
          <w:spacing w:val="-6"/>
        </w:rPr>
        <w:t xml:space="preserve"> </w:t>
      </w:r>
      <w:r w:rsidRPr="00495745">
        <w:rPr>
          <w:spacing w:val="-6"/>
        </w:rPr>
        <w:t>2012), Australian Government, Canberra.</w:t>
      </w:r>
    </w:p>
    <w:p w:rsidR="001A29D5" w:rsidRPr="00495745" w:rsidRDefault="001A29D5" w:rsidP="001A29D5">
      <w:pPr>
        <w:pStyle w:val="Reference"/>
      </w:pPr>
      <w:r>
        <w:lastRenderedPageBreak/>
        <w:t>—— </w:t>
      </w:r>
      <w:proofErr w:type="spellStart"/>
      <w:r>
        <w:t>2013a</w:t>
      </w:r>
      <w:proofErr w:type="spellEnd"/>
      <w:r w:rsidRPr="00495745">
        <w:t xml:space="preserve">, </w:t>
      </w:r>
      <w:r w:rsidRPr="00495745">
        <w:rPr>
          <w:i/>
        </w:rPr>
        <w:t>A</w:t>
      </w:r>
      <w:r>
        <w:rPr>
          <w:i/>
        </w:rPr>
        <w:t>ustralian Emergency Management Knowledge Hub</w:t>
      </w:r>
      <w:r w:rsidRPr="00495745">
        <w:t xml:space="preserve">, </w:t>
      </w:r>
      <w:proofErr w:type="spellStart"/>
      <w:r w:rsidRPr="001A29D5">
        <w:t>www.emknowle</w:t>
      </w:r>
      <w:r>
        <w:t>dge.gov.au</w:t>
      </w:r>
      <w:proofErr w:type="spellEnd"/>
      <w:r>
        <w:t xml:space="preserve">/disaster-information </w:t>
      </w:r>
      <w:r w:rsidRPr="00495745">
        <w:t>(accessed 10</w:t>
      </w:r>
      <w:r>
        <w:t> </w:t>
      </w:r>
      <w:r w:rsidRPr="00495745">
        <w:t>October</w:t>
      </w:r>
      <w:r w:rsidR="00BE3E26">
        <w:t xml:space="preserve"> </w:t>
      </w:r>
      <w:r w:rsidRPr="00495745">
        <w:t>201</w:t>
      </w:r>
      <w:r>
        <w:t>3</w:t>
      </w:r>
      <w:r w:rsidRPr="00495745">
        <w:t>).</w:t>
      </w:r>
    </w:p>
    <w:p w:rsidR="007C04A0" w:rsidRPr="00495745" w:rsidRDefault="007C04A0" w:rsidP="005D2453">
      <w:pPr>
        <w:pStyle w:val="Reference"/>
        <w:rPr>
          <w:spacing w:val="-6"/>
        </w:rPr>
      </w:pPr>
      <w:r w:rsidRPr="00495745">
        <w:rPr>
          <w:spacing w:val="-6"/>
        </w:rPr>
        <w:t xml:space="preserve">—— </w:t>
      </w:r>
      <w:proofErr w:type="spellStart"/>
      <w:r w:rsidRPr="00495745">
        <w:rPr>
          <w:spacing w:val="-6"/>
        </w:rPr>
        <w:t>2013</w:t>
      </w:r>
      <w:r w:rsidR="001A29D5">
        <w:rPr>
          <w:spacing w:val="-6"/>
        </w:rPr>
        <w:t>b</w:t>
      </w:r>
      <w:proofErr w:type="spellEnd"/>
      <w:r w:rsidRPr="00495745">
        <w:rPr>
          <w:spacing w:val="-6"/>
        </w:rPr>
        <w:t xml:space="preserve">, </w:t>
      </w:r>
      <w:r w:rsidRPr="00495745">
        <w:rPr>
          <w:i/>
          <w:spacing w:val="-6"/>
        </w:rPr>
        <w:t>Standing Council on Police and Emergency Management</w:t>
      </w:r>
      <w:r w:rsidRPr="00495745">
        <w:rPr>
          <w:spacing w:val="-6"/>
        </w:rPr>
        <w:t xml:space="preserve">, </w:t>
      </w:r>
      <w:proofErr w:type="spellStart"/>
      <w:r w:rsidRPr="00495745">
        <w:rPr>
          <w:spacing w:val="-6"/>
        </w:rPr>
        <w:t>www.em.gov.au</w:t>
      </w:r>
      <w:proofErr w:type="spellEnd"/>
      <w:r w:rsidRPr="00495745">
        <w:rPr>
          <w:spacing w:val="-6"/>
        </w:rPr>
        <w:t xml:space="preserve"> (accessed 4 October 2013), Canberra.</w:t>
      </w:r>
    </w:p>
    <w:p w:rsidR="00DE2D11" w:rsidRPr="00495745" w:rsidRDefault="00DE2D11" w:rsidP="00C807D9">
      <w:pPr>
        <w:pStyle w:val="Reference"/>
        <w:rPr>
          <w:spacing w:val="-6"/>
        </w:rPr>
      </w:pPr>
      <w:r w:rsidRPr="00495745">
        <w:rPr>
          <w:spacing w:val="-6"/>
        </w:rPr>
        <w:t xml:space="preserve">Australian Government 2010, </w:t>
      </w:r>
      <w:r w:rsidRPr="00495745">
        <w:rPr>
          <w:i/>
          <w:spacing w:val="-6"/>
        </w:rPr>
        <w:t>Australia to 2050: future challenges —</w:t>
      </w:r>
      <w:r w:rsidRPr="00495745">
        <w:rPr>
          <w:spacing w:val="-6"/>
        </w:rPr>
        <w:t xml:space="preserve"> </w:t>
      </w:r>
      <w:r w:rsidRPr="00495745">
        <w:rPr>
          <w:i/>
          <w:spacing w:val="-6"/>
        </w:rPr>
        <w:t>2010 Intergenerational Report</w:t>
      </w:r>
      <w:r w:rsidRPr="00495745">
        <w:rPr>
          <w:spacing w:val="-6"/>
        </w:rPr>
        <w:t>, Canberra.</w:t>
      </w:r>
    </w:p>
    <w:p w:rsidR="009451A0" w:rsidRPr="00495745" w:rsidRDefault="009451A0" w:rsidP="00C807D9">
      <w:pPr>
        <w:pStyle w:val="Reference"/>
      </w:pPr>
      <w:proofErr w:type="spellStart"/>
      <w:r w:rsidRPr="00495745">
        <w:rPr>
          <w:lang w:val="en"/>
        </w:rPr>
        <w:t>ATC</w:t>
      </w:r>
      <w:proofErr w:type="spellEnd"/>
      <w:r w:rsidRPr="00495745">
        <w:rPr>
          <w:lang w:val="en"/>
        </w:rPr>
        <w:t xml:space="preserve"> (Australian Transport Council) 2011, </w:t>
      </w:r>
      <w:r w:rsidRPr="00495745">
        <w:rPr>
          <w:i/>
        </w:rPr>
        <w:t xml:space="preserve">National Road Safety Strategy </w:t>
      </w:r>
      <w:r w:rsidRPr="00495745">
        <w:rPr>
          <w:i/>
        </w:rPr>
        <w:br/>
        <w:t>2011–2020</w:t>
      </w:r>
      <w:r w:rsidRPr="00495745">
        <w:t>, Australian Government, Canberra.</w:t>
      </w:r>
    </w:p>
    <w:p w:rsidR="00DE2D11" w:rsidRPr="00495745" w:rsidRDefault="00DE2D11" w:rsidP="00C807D9">
      <w:pPr>
        <w:pStyle w:val="Reference"/>
        <w:rPr>
          <w:spacing w:val="-6"/>
        </w:rPr>
      </w:pPr>
      <w:r w:rsidRPr="00495745">
        <w:rPr>
          <w:spacing w:val="-6"/>
        </w:rPr>
        <w:t>Bureau of Infrastructure, Transport and Regional Economics (</w:t>
      </w:r>
      <w:proofErr w:type="spellStart"/>
      <w:r w:rsidRPr="00495745">
        <w:rPr>
          <w:spacing w:val="-6"/>
        </w:rPr>
        <w:t>BITRE</w:t>
      </w:r>
      <w:proofErr w:type="spellEnd"/>
      <w:r w:rsidRPr="00495745">
        <w:rPr>
          <w:spacing w:val="-6"/>
        </w:rPr>
        <w:t>) 2009</w:t>
      </w:r>
      <w:r w:rsidR="00BA3329" w:rsidRPr="00495745">
        <w:rPr>
          <w:spacing w:val="-6"/>
        </w:rPr>
        <w:t>,</w:t>
      </w:r>
      <w:r w:rsidRPr="00495745">
        <w:rPr>
          <w:spacing w:val="-6"/>
        </w:rPr>
        <w:t xml:space="preserve"> </w:t>
      </w:r>
      <w:r w:rsidRPr="00495745">
        <w:rPr>
          <w:i/>
          <w:spacing w:val="-6"/>
        </w:rPr>
        <w:t>Road Crash Costs in Australia 2006</w:t>
      </w:r>
      <w:r w:rsidRPr="00495745">
        <w:rPr>
          <w:spacing w:val="-6"/>
        </w:rPr>
        <w:t>, Canberra.</w:t>
      </w:r>
    </w:p>
    <w:p w:rsidR="004230F5" w:rsidRPr="00495745" w:rsidRDefault="00DE2D11" w:rsidP="00C807D9">
      <w:pPr>
        <w:pStyle w:val="Reference"/>
      </w:pPr>
      <w:proofErr w:type="spellStart"/>
      <w:r w:rsidRPr="00495745">
        <w:t>COAG</w:t>
      </w:r>
      <w:proofErr w:type="spellEnd"/>
      <w:r w:rsidRPr="00495745">
        <w:t xml:space="preserve"> (Council of Australian Governments) </w:t>
      </w:r>
      <w:r w:rsidR="004230F5" w:rsidRPr="00495745">
        <w:rPr>
          <w:szCs w:val="24"/>
        </w:rPr>
        <w:t xml:space="preserve">2009, </w:t>
      </w:r>
      <w:r w:rsidR="004230F5" w:rsidRPr="00495745">
        <w:rPr>
          <w:i/>
          <w:szCs w:val="24"/>
        </w:rPr>
        <w:t>National Disaster Resilience Statement</w:t>
      </w:r>
      <w:r w:rsidR="004230F5" w:rsidRPr="00495745">
        <w:rPr>
          <w:szCs w:val="24"/>
        </w:rPr>
        <w:t>, Excerpt from Communiqué, Council of Australian Governments, Brisbane, 7 December.</w:t>
      </w:r>
    </w:p>
    <w:p w:rsidR="00DE2D11" w:rsidRPr="00495745" w:rsidRDefault="00DE2D11" w:rsidP="00C807D9">
      <w:pPr>
        <w:pStyle w:val="Reference"/>
      </w:pPr>
      <w:r w:rsidRPr="00495745">
        <w:t>——</w:t>
      </w:r>
      <w:r w:rsidRPr="00495745">
        <w:rPr>
          <w:szCs w:val="24"/>
        </w:rPr>
        <w:t> </w:t>
      </w:r>
      <w:r w:rsidR="004230F5" w:rsidRPr="00495745">
        <w:t xml:space="preserve">2011, </w:t>
      </w:r>
      <w:r w:rsidR="004230F5" w:rsidRPr="00495745">
        <w:rPr>
          <w:i/>
        </w:rPr>
        <w:t>National Strategy for Disaster Resilience</w:t>
      </w:r>
      <w:r w:rsidR="004230F5" w:rsidRPr="00495745">
        <w:t>, Australian Government, Council of Australian Governments, Canberra.</w:t>
      </w:r>
    </w:p>
    <w:p w:rsidR="00BF75CC" w:rsidRPr="00495745" w:rsidRDefault="00BF75CC" w:rsidP="00C807D9">
      <w:pPr>
        <w:pStyle w:val="Reference"/>
      </w:pPr>
      <w:r w:rsidRPr="00495745">
        <w:t xml:space="preserve">—— 2012, </w:t>
      </w:r>
      <w:r w:rsidRPr="00495745">
        <w:rPr>
          <w:i/>
        </w:rPr>
        <w:t>Standing Council on Police and Emergency Management: Terms of Reference</w:t>
      </w:r>
      <w:r w:rsidRPr="00495745">
        <w:t xml:space="preserve">, </w:t>
      </w:r>
      <w:proofErr w:type="spellStart"/>
      <w:r w:rsidRPr="00495745">
        <w:t>www.ag.gov.au</w:t>
      </w:r>
      <w:proofErr w:type="spellEnd"/>
      <w:r w:rsidRPr="00495745">
        <w:t>/</w:t>
      </w:r>
      <w:proofErr w:type="spellStart"/>
      <w:r w:rsidRPr="00495745">
        <w:t>Committeesandcouncils</w:t>
      </w:r>
      <w:proofErr w:type="spellEnd"/>
      <w:r w:rsidRPr="00495745">
        <w:t>/</w:t>
      </w:r>
      <w:proofErr w:type="spellStart"/>
      <w:r w:rsidRPr="00495745">
        <w:t>Ministerialcouncils</w:t>
      </w:r>
      <w:proofErr w:type="spellEnd"/>
      <w:r w:rsidRPr="00495745">
        <w:t>/Pages/</w:t>
      </w:r>
      <w:r w:rsidRPr="00495745">
        <w:br/>
      </w:r>
      <w:proofErr w:type="spellStart"/>
      <w:r w:rsidRPr="00495745">
        <w:t>StandingCouncilonPoliceandEmergencyManagement.aspx</w:t>
      </w:r>
      <w:proofErr w:type="spellEnd"/>
      <w:r w:rsidRPr="00495745">
        <w:t xml:space="preserve"> (cited 1 Nov</w:t>
      </w:r>
      <w:r w:rsidR="00BE3E26">
        <w:t xml:space="preserve"> </w:t>
      </w:r>
      <w:r w:rsidRPr="00495745">
        <w:t>2012)</w:t>
      </w:r>
    </w:p>
    <w:p w:rsidR="00787978" w:rsidRPr="00495745" w:rsidRDefault="00787978" w:rsidP="00787978">
      <w:pPr>
        <w:pStyle w:val="Reference"/>
        <w:rPr>
          <w:spacing w:val="-6"/>
        </w:rPr>
      </w:pPr>
      <w:r w:rsidRPr="00495745">
        <w:rPr>
          <w:spacing w:val="-6"/>
        </w:rPr>
        <w:t xml:space="preserve">CSIRO (Commonwealth Scientific and Industrial Research Organisation) 2012, </w:t>
      </w:r>
      <w:r w:rsidRPr="00495745">
        <w:rPr>
          <w:i/>
          <w:spacing w:val="-6"/>
        </w:rPr>
        <w:t>Extreme weather events — what can we expect</w:t>
      </w:r>
      <w:r w:rsidRPr="00495745">
        <w:rPr>
          <w:spacing w:val="-6"/>
        </w:rPr>
        <w:t xml:space="preserve">, </w:t>
      </w:r>
      <w:proofErr w:type="spellStart"/>
      <w:r w:rsidRPr="00495745">
        <w:rPr>
          <w:spacing w:val="-6"/>
        </w:rPr>
        <w:t>www.csiro.au</w:t>
      </w:r>
      <w:proofErr w:type="spellEnd"/>
      <w:r w:rsidRPr="00495745">
        <w:rPr>
          <w:spacing w:val="-6"/>
        </w:rPr>
        <w:t>/Outcomes/Climate/adapt-extreme-</w:t>
      </w:r>
      <w:proofErr w:type="spellStart"/>
      <w:r w:rsidRPr="00495745">
        <w:rPr>
          <w:spacing w:val="-6"/>
        </w:rPr>
        <w:t>weather.aspx</w:t>
      </w:r>
      <w:proofErr w:type="spellEnd"/>
      <w:r w:rsidRPr="00495745">
        <w:rPr>
          <w:spacing w:val="-6"/>
        </w:rPr>
        <w:t xml:space="preserve"> (accessed 1</w:t>
      </w:r>
      <w:r w:rsidR="00BE3E26">
        <w:rPr>
          <w:spacing w:val="-6"/>
        </w:rPr>
        <w:t> </w:t>
      </w:r>
      <w:r w:rsidRPr="00495745">
        <w:rPr>
          <w:spacing w:val="-6"/>
        </w:rPr>
        <w:t>October 2012).</w:t>
      </w:r>
    </w:p>
    <w:p w:rsidR="00DE2D11" w:rsidRPr="00495745" w:rsidRDefault="00DE2D11" w:rsidP="00C807D9">
      <w:pPr>
        <w:pStyle w:val="Reference"/>
      </w:pPr>
      <w:r w:rsidRPr="00495745">
        <w:rPr>
          <w:spacing w:val="-6"/>
        </w:rPr>
        <w:t xml:space="preserve">Dawson M. and Morris S., 2008, ‘Modelling community vulnerability to fires using </w:t>
      </w:r>
      <w:proofErr w:type="spellStart"/>
      <w:r w:rsidRPr="00495745">
        <w:rPr>
          <w:spacing w:val="-6"/>
        </w:rPr>
        <w:t>socio</w:t>
      </w:r>
      <w:r w:rsidRPr="00495745">
        <w:rPr>
          <w:spacing w:val="-6"/>
        </w:rPr>
        <w:noBreakHyphen/>
        <w:t>economic</w:t>
      </w:r>
      <w:proofErr w:type="spellEnd"/>
      <w:r w:rsidRPr="00495745">
        <w:rPr>
          <w:spacing w:val="-6"/>
        </w:rPr>
        <w:t xml:space="preserve"> indexes’, </w:t>
      </w:r>
      <w:r w:rsidRPr="00495745">
        <w:rPr>
          <w:i/>
          <w:spacing w:val="-6"/>
        </w:rPr>
        <w:t>Modelling, Monitoring and Management of Forest Fires</w:t>
      </w:r>
      <w:r w:rsidRPr="00495745">
        <w:rPr>
          <w:spacing w:val="-6"/>
        </w:rPr>
        <w:t xml:space="preserve">, ed. J. de la </w:t>
      </w:r>
      <w:proofErr w:type="spellStart"/>
      <w:r w:rsidRPr="00495745">
        <w:rPr>
          <w:spacing w:val="-6"/>
        </w:rPr>
        <w:t>Heras</w:t>
      </w:r>
      <w:proofErr w:type="spellEnd"/>
      <w:r w:rsidRPr="00495745">
        <w:rPr>
          <w:spacing w:val="-6"/>
        </w:rPr>
        <w:t xml:space="preserve">, C.A. </w:t>
      </w:r>
      <w:proofErr w:type="spellStart"/>
      <w:r w:rsidRPr="00495745">
        <w:rPr>
          <w:spacing w:val="-6"/>
        </w:rPr>
        <w:t>Brebbia</w:t>
      </w:r>
      <w:proofErr w:type="spellEnd"/>
      <w:r w:rsidRPr="00495745">
        <w:rPr>
          <w:spacing w:val="-6"/>
        </w:rPr>
        <w:t xml:space="preserve">, D. </w:t>
      </w:r>
      <w:proofErr w:type="spellStart"/>
      <w:r w:rsidRPr="00495745">
        <w:rPr>
          <w:spacing w:val="-6"/>
        </w:rPr>
        <w:t>Viegas</w:t>
      </w:r>
      <w:proofErr w:type="spellEnd"/>
      <w:r w:rsidRPr="00495745">
        <w:rPr>
          <w:spacing w:val="-6"/>
        </w:rPr>
        <w:t xml:space="preserve"> and V. Leone, WIT Press,</w:t>
      </w:r>
      <w:r w:rsidRPr="00495745">
        <w:t xml:space="preserve"> pp. 277</w:t>
      </w:r>
      <w:r w:rsidR="001525FA">
        <w:t>–</w:t>
      </w:r>
      <w:r w:rsidRPr="00495745">
        <w:t>285.</w:t>
      </w:r>
    </w:p>
    <w:p w:rsidR="00DE2D11" w:rsidRPr="00495745" w:rsidRDefault="00DE2D11" w:rsidP="00C807D9">
      <w:pPr>
        <w:pStyle w:val="Reference"/>
        <w:rPr>
          <w:spacing w:val="-6"/>
        </w:rPr>
      </w:pPr>
      <w:proofErr w:type="spellStart"/>
      <w:r w:rsidRPr="00495745">
        <w:rPr>
          <w:spacing w:val="-6"/>
        </w:rPr>
        <w:t>FESA</w:t>
      </w:r>
      <w:proofErr w:type="spellEnd"/>
      <w:r w:rsidRPr="00495745">
        <w:rPr>
          <w:spacing w:val="-6"/>
        </w:rPr>
        <w:t xml:space="preserve"> (Fire and Emergency Services Authority of Western Australia) 2010, </w:t>
      </w:r>
      <w:r w:rsidRPr="00495745">
        <w:rPr>
          <w:i/>
          <w:spacing w:val="-6"/>
        </w:rPr>
        <w:t>Fatal Fires in Western Australia 2001</w:t>
      </w:r>
      <w:r w:rsidR="00622D04" w:rsidRPr="00495745">
        <w:rPr>
          <w:i/>
          <w:spacing w:val="-6"/>
        </w:rPr>
        <w:t>–</w:t>
      </w:r>
      <w:r w:rsidRPr="00495745">
        <w:rPr>
          <w:i/>
          <w:spacing w:val="-6"/>
        </w:rPr>
        <w:t>2006</w:t>
      </w:r>
      <w:r w:rsidRPr="00495745">
        <w:rPr>
          <w:spacing w:val="-6"/>
        </w:rPr>
        <w:t>, www.fesa.wa.gov.au/publications/GeneralReports/FESA_Report-FatalFiresinWA2001</w:t>
      </w:r>
      <w:r w:rsidR="001525FA">
        <w:rPr>
          <w:spacing w:val="-6"/>
        </w:rPr>
        <w:t>–</w:t>
      </w:r>
      <w:r w:rsidRPr="00495745">
        <w:rPr>
          <w:spacing w:val="-6"/>
        </w:rPr>
        <w:t>2006.pdf (accessed 31</w:t>
      </w:r>
      <w:r w:rsidR="00BE3E26">
        <w:rPr>
          <w:spacing w:val="-6"/>
        </w:rPr>
        <w:t> </w:t>
      </w:r>
      <w:r w:rsidRPr="00495745">
        <w:rPr>
          <w:spacing w:val="-6"/>
        </w:rPr>
        <w:t>August 2011).</w:t>
      </w:r>
    </w:p>
    <w:p w:rsidR="00DE2D11" w:rsidRPr="00495745" w:rsidRDefault="00DE2D11" w:rsidP="00DE2D11">
      <w:pPr>
        <w:pStyle w:val="Reference"/>
        <w:rPr>
          <w:spacing w:val="-6"/>
        </w:rPr>
      </w:pPr>
      <w:proofErr w:type="spellStart"/>
      <w:r w:rsidRPr="00495745">
        <w:rPr>
          <w:spacing w:val="-6"/>
        </w:rPr>
        <w:t>Ganewatta</w:t>
      </w:r>
      <w:proofErr w:type="spellEnd"/>
      <w:r w:rsidRPr="00495745">
        <w:rPr>
          <w:spacing w:val="-6"/>
        </w:rPr>
        <w:t xml:space="preserve">, G. and </w:t>
      </w:r>
      <w:proofErr w:type="spellStart"/>
      <w:r w:rsidRPr="00495745">
        <w:rPr>
          <w:spacing w:val="-6"/>
        </w:rPr>
        <w:t>Handmer</w:t>
      </w:r>
      <w:proofErr w:type="spellEnd"/>
      <w:r w:rsidRPr="00495745">
        <w:rPr>
          <w:spacing w:val="-6"/>
        </w:rPr>
        <w:t xml:space="preserve">, J. 2007, </w:t>
      </w:r>
      <w:r w:rsidRPr="00495745">
        <w:rPr>
          <w:i/>
          <w:iCs/>
          <w:spacing w:val="-6"/>
        </w:rPr>
        <w:t>The Value of Volunteers in State Emergency Services</w:t>
      </w:r>
      <w:r w:rsidRPr="00495745">
        <w:rPr>
          <w:spacing w:val="-6"/>
        </w:rPr>
        <w:t xml:space="preserve">, prepared for </w:t>
      </w:r>
      <w:proofErr w:type="spellStart"/>
      <w:r w:rsidRPr="00495745">
        <w:rPr>
          <w:spacing w:val="-6"/>
        </w:rPr>
        <w:t>ACSES</w:t>
      </w:r>
      <w:proofErr w:type="spellEnd"/>
      <w:r w:rsidRPr="00495745">
        <w:rPr>
          <w:spacing w:val="-6"/>
        </w:rPr>
        <w:t xml:space="preserve"> and </w:t>
      </w:r>
      <w:proofErr w:type="spellStart"/>
      <w:r w:rsidRPr="00495745">
        <w:rPr>
          <w:spacing w:val="-6"/>
        </w:rPr>
        <w:t>AFAC</w:t>
      </w:r>
      <w:proofErr w:type="spellEnd"/>
      <w:r w:rsidRPr="00495745">
        <w:rPr>
          <w:spacing w:val="-6"/>
        </w:rPr>
        <w:t>.</w:t>
      </w:r>
    </w:p>
    <w:p w:rsidR="00DE2D11" w:rsidRPr="00495745" w:rsidRDefault="001350BD" w:rsidP="00DE2D11">
      <w:pPr>
        <w:pStyle w:val="Reference"/>
      </w:pPr>
      <w:r>
        <w:t>ICA (</w:t>
      </w:r>
      <w:r w:rsidR="00DE2D11" w:rsidRPr="00495745">
        <w:t>Insurance Council of Australia</w:t>
      </w:r>
      <w:r>
        <w:t>)</w:t>
      </w:r>
      <w:r w:rsidR="00DE2D11" w:rsidRPr="00495745">
        <w:t xml:space="preserve"> 201</w:t>
      </w:r>
      <w:r>
        <w:t>3</w:t>
      </w:r>
      <w:r w:rsidR="00DE2D11" w:rsidRPr="00495745">
        <w:t xml:space="preserve">, </w:t>
      </w:r>
      <w:r w:rsidR="00DE2D11" w:rsidRPr="00495745">
        <w:rPr>
          <w:i/>
        </w:rPr>
        <w:t>Historical &amp; current disaster statistics</w:t>
      </w:r>
      <w:r w:rsidR="00DE2D11" w:rsidRPr="00495745">
        <w:t xml:space="preserve">, </w:t>
      </w:r>
      <w:proofErr w:type="spellStart"/>
      <w:r w:rsidRPr="001350BD">
        <w:t>www.insurancecouncil.com.au</w:t>
      </w:r>
      <w:proofErr w:type="spellEnd"/>
      <w:r w:rsidRPr="001350BD">
        <w:t>/statistics</w:t>
      </w:r>
      <w:r w:rsidR="00DE2D11" w:rsidRPr="00495745">
        <w:t xml:space="preserve"> (accessed 10</w:t>
      </w:r>
      <w:r>
        <w:t> </w:t>
      </w:r>
      <w:r w:rsidR="00DE2D11" w:rsidRPr="00495745">
        <w:t>October</w:t>
      </w:r>
      <w:r w:rsidR="00BE3E26">
        <w:t xml:space="preserve"> </w:t>
      </w:r>
      <w:r w:rsidR="00DE2D11" w:rsidRPr="00495745">
        <w:t>201</w:t>
      </w:r>
      <w:r>
        <w:t>3</w:t>
      </w:r>
      <w:r w:rsidR="00DE2D11" w:rsidRPr="00495745">
        <w:t xml:space="preserve">). </w:t>
      </w:r>
    </w:p>
    <w:p w:rsidR="00DE2D11" w:rsidRPr="00495745" w:rsidRDefault="00DE2D11" w:rsidP="00C807D9">
      <w:pPr>
        <w:pStyle w:val="Reference"/>
        <w:rPr>
          <w:spacing w:val="-6"/>
        </w:rPr>
      </w:pPr>
      <w:proofErr w:type="spellStart"/>
      <w:r w:rsidRPr="00495745">
        <w:t>Keelty</w:t>
      </w:r>
      <w:proofErr w:type="spellEnd"/>
      <w:r w:rsidRPr="00495745">
        <w:t xml:space="preserve"> </w:t>
      </w:r>
      <w:proofErr w:type="spellStart"/>
      <w:r w:rsidRPr="00495745">
        <w:t>M</w:t>
      </w:r>
      <w:r w:rsidR="001E74F2">
        <w:t>.</w:t>
      </w:r>
      <w:r w:rsidRPr="00495745">
        <w:t>J</w:t>
      </w:r>
      <w:proofErr w:type="spellEnd"/>
      <w:r w:rsidR="001E74F2">
        <w:t>.</w:t>
      </w:r>
      <w:r w:rsidRPr="00495745">
        <w:t xml:space="preserve"> 2011, </w:t>
      </w:r>
      <w:r w:rsidRPr="00495745">
        <w:rPr>
          <w:i/>
        </w:rPr>
        <w:t>A Shared Responsibility: The Report of the Perth Hills Bushfire February 2011 Review</w:t>
      </w:r>
      <w:r w:rsidRPr="00495745">
        <w:t>, Government of Western Australia, Perth.</w:t>
      </w:r>
    </w:p>
    <w:p w:rsidR="00A82135" w:rsidRDefault="00A82135" w:rsidP="00C807D9">
      <w:pPr>
        <w:pStyle w:val="Reference"/>
      </w:pPr>
      <w:r w:rsidRPr="00495745">
        <w:t xml:space="preserve">Monash Injury Research Institute 2012, </w:t>
      </w:r>
      <w:r w:rsidR="00E32B82" w:rsidRPr="00495745">
        <w:rPr>
          <w:i/>
        </w:rPr>
        <w:t>Review of recent Australian disaster inquiries</w:t>
      </w:r>
      <w:r w:rsidR="00E32B82" w:rsidRPr="00495745">
        <w:t>, by Goode</w:t>
      </w:r>
      <w:r w:rsidR="0083205B" w:rsidRPr="00495745">
        <w:t> </w:t>
      </w:r>
      <w:r w:rsidR="00E32B82" w:rsidRPr="00495745">
        <w:t>N</w:t>
      </w:r>
      <w:r w:rsidR="001E74F2">
        <w:t>.</w:t>
      </w:r>
      <w:r w:rsidR="00E32B82" w:rsidRPr="00495745">
        <w:t>, Spencer</w:t>
      </w:r>
      <w:r w:rsidR="0083205B" w:rsidRPr="00495745">
        <w:t> </w:t>
      </w:r>
      <w:r w:rsidR="00E32B82" w:rsidRPr="00495745">
        <w:t>C</w:t>
      </w:r>
      <w:r w:rsidR="001E74F2">
        <w:t>.</w:t>
      </w:r>
      <w:r w:rsidR="00E32B82" w:rsidRPr="00495745">
        <w:t>, Archer</w:t>
      </w:r>
      <w:r w:rsidR="0083205B" w:rsidRPr="00495745">
        <w:t> </w:t>
      </w:r>
      <w:r w:rsidR="00E32B82" w:rsidRPr="00495745">
        <w:t>F</w:t>
      </w:r>
      <w:r w:rsidR="001E74F2">
        <w:t>.</w:t>
      </w:r>
      <w:r w:rsidR="00E32B82" w:rsidRPr="00495745">
        <w:t xml:space="preserve">, </w:t>
      </w:r>
      <w:proofErr w:type="spellStart"/>
      <w:r w:rsidR="00E32B82" w:rsidRPr="00495745">
        <w:t>McArdle</w:t>
      </w:r>
      <w:proofErr w:type="spellEnd"/>
      <w:r w:rsidR="0083205B" w:rsidRPr="00495745">
        <w:t> </w:t>
      </w:r>
      <w:r w:rsidR="00E32B82" w:rsidRPr="00495745">
        <w:t>D</w:t>
      </w:r>
      <w:r w:rsidR="001E74F2">
        <w:t>.</w:t>
      </w:r>
      <w:r w:rsidR="00E32B82" w:rsidRPr="00495745">
        <w:t>, Salmon</w:t>
      </w:r>
      <w:r w:rsidR="0083205B" w:rsidRPr="00495745">
        <w:t> </w:t>
      </w:r>
      <w:r w:rsidR="00E32B82" w:rsidRPr="00495745">
        <w:t>P</w:t>
      </w:r>
      <w:r w:rsidR="001E74F2">
        <w:t>.</w:t>
      </w:r>
      <w:r w:rsidR="0083205B" w:rsidRPr="00495745">
        <w:t xml:space="preserve"> </w:t>
      </w:r>
      <w:r w:rsidR="00E32B82" w:rsidRPr="00495745">
        <w:t xml:space="preserve">and </w:t>
      </w:r>
      <w:r w:rsidR="00E32B82" w:rsidRPr="00495745">
        <w:lastRenderedPageBreak/>
        <w:t>McClure</w:t>
      </w:r>
      <w:r w:rsidR="0083205B" w:rsidRPr="00495745">
        <w:t> </w:t>
      </w:r>
      <w:r w:rsidR="00E32B82" w:rsidRPr="00495745">
        <w:t>R</w:t>
      </w:r>
      <w:r w:rsidR="001E74F2">
        <w:t>.</w:t>
      </w:r>
      <w:r w:rsidR="00E32B82" w:rsidRPr="00495745">
        <w:t xml:space="preserve"> funded by Attorney-General’s Department, Monash University, Melbourne.</w:t>
      </w:r>
    </w:p>
    <w:p w:rsidR="00867919" w:rsidRPr="00867919" w:rsidRDefault="00867919" w:rsidP="00867919">
      <w:pPr>
        <w:pStyle w:val="Reference"/>
      </w:pPr>
      <w:proofErr w:type="spellStart"/>
      <w:r>
        <w:t>NCTC</w:t>
      </w:r>
      <w:proofErr w:type="spellEnd"/>
      <w:r>
        <w:t xml:space="preserve"> (National Counter</w:t>
      </w:r>
      <w:r w:rsidR="001525FA">
        <w:noBreakHyphen/>
      </w:r>
      <w:r>
        <w:t>Terrorism Committee</w:t>
      </w:r>
      <w:r w:rsidR="00D50496">
        <w:t>)</w:t>
      </w:r>
      <w:r>
        <w:t xml:space="preserve"> 2012, </w:t>
      </w:r>
      <w:r w:rsidRPr="00867919">
        <w:rPr>
          <w:i/>
        </w:rPr>
        <w:t>National counter</w:t>
      </w:r>
      <w:r w:rsidR="001525FA">
        <w:rPr>
          <w:i/>
        </w:rPr>
        <w:noBreakHyphen/>
      </w:r>
      <w:r w:rsidRPr="00867919">
        <w:rPr>
          <w:i/>
        </w:rPr>
        <w:t>terrorism plan</w:t>
      </w:r>
      <w:r>
        <w:t>, 3</w:t>
      </w:r>
      <w:r w:rsidR="00206FD1">
        <w:t>rd</w:t>
      </w:r>
      <w:r>
        <w:t xml:space="preserve"> edition 2012, </w:t>
      </w:r>
      <w:r w:rsidR="00206FD1">
        <w:t>Australian Government, Canberra.</w:t>
      </w:r>
    </w:p>
    <w:p w:rsidR="002D1D7E" w:rsidRPr="00495745" w:rsidRDefault="002D1D7E" w:rsidP="00C807D9">
      <w:pPr>
        <w:pStyle w:val="Reference"/>
      </w:pPr>
      <w:proofErr w:type="spellStart"/>
      <w:r w:rsidRPr="00495745">
        <w:t>Nitschke</w:t>
      </w:r>
      <w:proofErr w:type="spellEnd"/>
      <w:r w:rsidRPr="00495745">
        <w:t xml:space="preserve"> M</w:t>
      </w:r>
      <w:r w:rsidR="001E74F2">
        <w:t>.</w:t>
      </w:r>
      <w:r w:rsidRPr="00495745">
        <w:t>, Tucker G</w:t>
      </w:r>
      <w:r w:rsidR="001E74F2">
        <w:t>.</w:t>
      </w:r>
      <w:r w:rsidRPr="00495745">
        <w:t>, Hansen A</w:t>
      </w:r>
      <w:r w:rsidR="001E74F2">
        <w:t>.</w:t>
      </w:r>
      <w:r w:rsidRPr="00495745">
        <w:t>, Williams S</w:t>
      </w:r>
      <w:r w:rsidR="001E74F2">
        <w:t>.</w:t>
      </w:r>
      <w:r w:rsidRPr="00495745">
        <w:t>, Zhang Y</w:t>
      </w:r>
      <w:r w:rsidR="001E74F2">
        <w:t>.</w:t>
      </w:r>
      <w:r w:rsidRPr="00495745">
        <w:t xml:space="preserve"> and Bi P</w:t>
      </w:r>
      <w:r w:rsidR="001E74F2">
        <w:t>.</w:t>
      </w:r>
      <w:r w:rsidRPr="00495745">
        <w:t xml:space="preserve"> 2011, ‘Impact of two recent extreme heat episodes on morbidity and mortality in Adelaide, South Australia: a case</w:t>
      </w:r>
      <w:r w:rsidR="001525FA">
        <w:noBreakHyphen/>
      </w:r>
      <w:r w:rsidRPr="00495745">
        <w:t xml:space="preserve">series analysis’, </w:t>
      </w:r>
      <w:r w:rsidRPr="00495745">
        <w:rPr>
          <w:i/>
        </w:rPr>
        <w:t>Environmental Health</w:t>
      </w:r>
      <w:r w:rsidRPr="00495745">
        <w:t>,</w:t>
      </w:r>
      <w:r w:rsidR="00456005" w:rsidRPr="00495745">
        <w:t xml:space="preserve"> 10:42.</w:t>
      </w:r>
    </w:p>
    <w:p w:rsidR="00DE2D11" w:rsidRPr="00495745" w:rsidRDefault="00DE2D11" w:rsidP="00C807D9">
      <w:pPr>
        <w:pStyle w:val="Reference"/>
        <w:rPr>
          <w:spacing w:val="-6"/>
        </w:rPr>
      </w:pPr>
      <w:r w:rsidRPr="00495745">
        <w:t>Queensland Floods Commission of Inquiry</w:t>
      </w:r>
      <w:r w:rsidRPr="00495745">
        <w:rPr>
          <w:spacing w:val="-6"/>
        </w:rPr>
        <w:t> 201</w:t>
      </w:r>
      <w:r w:rsidR="00C11B29">
        <w:rPr>
          <w:spacing w:val="-6"/>
        </w:rPr>
        <w:t>2</w:t>
      </w:r>
      <w:r w:rsidRPr="00495745">
        <w:rPr>
          <w:spacing w:val="-6"/>
        </w:rPr>
        <w:t xml:space="preserve">, </w:t>
      </w:r>
      <w:r w:rsidRPr="00495745">
        <w:rPr>
          <w:i/>
        </w:rPr>
        <w:t xml:space="preserve">Queensland Floods Commission of Inquiry: </w:t>
      </w:r>
      <w:r w:rsidR="00C11B29">
        <w:rPr>
          <w:i/>
        </w:rPr>
        <w:t>Final</w:t>
      </w:r>
      <w:r w:rsidRPr="00495745">
        <w:rPr>
          <w:i/>
        </w:rPr>
        <w:t xml:space="preserve"> Report</w:t>
      </w:r>
      <w:r w:rsidRPr="00495745">
        <w:t xml:space="preserve">, </w:t>
      </w:r>
      <w:r w:rsidRPr="00495745">
        <w:rPr>
          <w:spacing w:val="-6"/>
        </w:rPr>
        <w:t xml:space="preserve">by Commissioner Holmes </w:t>
      </w:r>
      <w:proofErr w:type="spellStart"/>
      <w:r w:rsidRPr="00495745">
        <w:rPr>
          <w:spacing w:val="-6"/>
        </w:rPr>
        <w:t>C.E</w:t>
      </w:r>
      <w:proofErr w:type="spellEnd"/>
      <w:r w:rsidRPr="00495745">
        <w:rPr>
          <w:spacing w:val="-6"/>
        </w:rPr>
        <w:t xml:space="preserve">., </w:t>
      </w:r>
      <w:r w:rsidRPr="00495745">
        <w:t>Queensland Floods Commission of Inquiry, Brisbane.</w:t>
      </w:r>
      <w:r w:rsidRPr="00495745">
        <w:rPr>
          <w:spacing w:val="-6"/>
        </w:rPr>
        <w:t xml:space="preserve"> </w:t>
      </w:r>
    </w:p>
    <w:p w:rsidR="00BF7142" w:rsidRPr="00495745" w:rsidRDefault="00BF7142" w:rsidP="00C807D9">
      <w:pPr>
        <w:pStyle w:val="Reference"/>
        <w:rPr>
          <w:spacing w:val="-6"/>
        </w:rPr>
      </w:pPr>
      <w:proofErr w:type="spellStart"/>
      <w:r w:rsidRPr="00495745">
        <w:rPr>
          <w:spacing w:val="-6"/>
        </w:rPr>
        <w:t>RICAC</w:t>
      </w:r>
      <w:proofErr w:type="spellEnd"/>
      <w:r w:rsidRPr="00495745">
        <w:rPr>
          <w:spacing w:val="-6"/>
        </w:rPr>
        <w:t xml:space="preserve"> (Remote Indigenous Communities Advisory Committee) 2007, </w:t>
      </w:r>
      <w:r w:rsidRPr="00495745">
        <w:rPr>
          <w:i/>
          <w:spacing w:val="-6"/>
        </w:rPr>
        <w:t>Keeping our mob safe: National emergency management strategy for remote Indigenous communities</w:t>
      </w:r>
      <w:r w:rsidRPr="00495745">
        <w:rPr>
          <w:spacing w:val="-6"/>
        </w:rPr>
        <w:t>, Commonwealth of Australia, Canberra.</w:t>
      </w:r>
    </w:p>
    <w:p w:rsidR="0061277D" w:rsidRPr="00495745" w:rsidRDefault="0061277D" w:rsidP="00C807D9">
      <w:pPr>
        <w:pStyle w:val="Reference"/>
        <w:rPr>
          <w:spacing w:val="-6"/>
        </w:rPr>
      </w:pPr>
      <w:r w:rsidRPr="00495745">
        <w:rPr>
          <w:spacing w:val="-6"/>
        </w:rPr>
        <w:t xml:space="preserve">Tasmanian Bushfires Inquiry 2013, </w:t>
      </w:r>
      <w:r w:rsidRPr="00495745">
        <w:rPr>
          <w:i/>
          <w:spacing w:val="-6"/>
        </w:rPr>
        <w:t>2013 Tasmanian Bushfire Inquiry Report</w:t>
      </w:r>
      <w:r w:rsidRPr="00495745">
        <w:rPr>
          <w:spacing w:val="-6"/>
        </w:rPr>
        <w:t>, by Malcolm Hyde, Tasmanian Government, Hobart.</w:t>
      </w:r>
    </w:p>
    <w:p w:rsidR="00C33EFA" w:rsidRPr="00495745" w:rsidRDefault="00DE2D11" w:rsidP="005D2453">
      <w:pPr>
        <w:pStyle w:val="Reference"/>
        <w:rPr>
          <w:spacing w:val="-6"/>
        </w:rPr>
      </w:pPr>
      <w:r w:rsidRPr="00495745">
        <w:rPr>
          <w:spacing w:val="-6"/>
        </w:rPr>
        <w:t xml:space="preserve">Victorian Bushfires </w:t>
      </w:r>
      <w:r w:rsidR="00113BCA" w:rsidRPr="00495745">
        <w:rPr>
          <w:spacing w:val="-6"/>
        </w:rPr>
        <w:t xml:space="preserve">Royal </w:t>
      </w:r>
      <w:r w:rsidRPr="00495745">
        <w:rPr>
          <w:spacing w:val="-6"/>
        </w:rPr>
        <w:t xml:space="preserve">Commission 2010, </w:t>
      </w:r>
      <w:r w:rsidRPr="00495745">
        <w:rPr>
          <w:i/>
          <w:spacing w:val="-6"/>
        </w:rPr>
        <w:t xml:space="preserve">2009 Victorian Bushfires </w:t>
      </w:r>
      <w:r w:rsidR="00113BCA" w:rsidRPr="00495745">
        <w:rPr>
          <w:i/>
          <w:spacing w:val="-6"/>
        </w:rPr>
        <w:t xml:space="preserve">Royal </w:t>
      </w:r>
      <w:r w:rsidRPr="00495745">
        <w:rPr>
          <w:i/>
          <w:spacing w:val="-6"/>
        </w:rPr>
        <w:t>Commission: Final Report</w:t>
      </w:r>
      <w:r w:rsidRPr="00495745">
        <w:rPr>
          <w:spacing w:val="-6"/>
        </w:rPr>
        <w:t>, by Commissioner Teague B., McLeod R., and Pascoe S., Parliament of Victoria, Melbourne.</w:t>
      </w:r>
    </w:p>
    <w:sectPr w:rsidR="00C33EFA" w:rsidRPr="00495745" w:rsidSect="00DE2D11">
      <w:headerReference w:type="even" r:id="rId18"/>
      <w:headerReference w:type="default" r:id="rId19"/>
      <w:footerReference w:type="even" r:id="rId20"/>
      <w:footerReference w:type="default" r:id="rId21"/>
      <w:pgSz w:w="11907" w:h="16840" w:code="9"/>
      <w:pgMar w:top="1985" w:right="1304" w:bottom="1418" w:left="1814" w:header="1701" w:footer="56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C71" w:rsidRDefault="002E6C71">
      <w:r>
        <w:separator/>
      </w:r>
    </w:p>
  </w:endnote>
  <w:endnote w:type="continuationSeparator" w:id="0">
    <w:p w:rsidR="002E6C71" w:rsidRDefault="002E6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2E6C71" w:rsidTr="0019293B">
      <w:trPr>
        <w:trHeight w:hRule="exact" w:val="740"/>
      </w:trPr>
      <w:tc>
        <w:tcPr>
          <w:tcW w:w="510" w:type="dxa"/>
          <w:tcBorders>
            <w:top w:val="single" w:sz="6" w:space="0" w:color="auto"/>
          </w:tcBorders>
        </w:tcPr>
        <w:p w:rsidR="002E6C71" w:rsidRDefault="002E6C71" w:rsidP="0019293B">
          <w:pPr>
            <w:pStyle w:val="Footer"/>
            <w:tabs>
              <w:tab w:val="left" w:pos="0"/>
            </w:tabs>
            <w:ind w:right="0"/>
            <w:rPr>
              <w:rStyle w:val="PageNumber"/>
            </w:rPr>
          </w:pPr>
          <w:proofErr w:type="spellStart"/>
          <w:r>
            <w:rPr>
              <w:rStyle w:val="PageNumber"/>
            </w:rPr>
            <w:t>D.</w:t>
          </w:r>
          <w:r>
            <w:rPr>
              <w:rStyle w:val="PageNumber"/>
            </w:rPr>
            <w:fldChar w:fldCharType="begin"/>
          </w:r>
          <w:r>
            <w:rPr>
              <w:rStyle w:val="PageNumber"/>
            </w:rPr>
            <w:instrText xml:space="preserve">PAGE  </w:instrText>
          </w:r>
          <w:r>
            <w:rPr>
              <w:rStyle w:val="PageNumber"/>
            </w:rPr>
            <w:fldChar w:fldCharType="separate"/>
          </w:r>
          <w:r w:rsidR="0016756B">
            <w:rPr>
              <w:rStyle w:val="PageNumber"/>
              <w:noProof/>
            </w:rPr>
            <w:t>2</w:t>
          </w:r>
          <w:proofErr w:type="spellEnd"/>
          <w:r>
            <w:rPr>
              <w:rStyle w:val="PageNumber"/>
            </w:rPr>
            <w:fldChar w:fldCharType="end"/>
          </w:r>
        </w:p>
      </w:tc>
      <w:tc>
        <w:tcPr>
          <w:tcW w:w="1644" w:type="dxa"/>
          <w:tcBorders>
            <w:top w:val="single" w:sz="6" w:space="0" w:color="auto"/>
          </w:tcBorders>
        </w:tcPr>
        <w:p w:rsidR="002E6C71" w:rsidRDefault="0016756B" w:rsidP="0019293B">
          <w:pPr>
            <w:pStyle w:val="Footer"/>
          </w:pPr>
          <w:r>
            <w:fldChar w:fldCharType="begin"/>
          </w:r>
          <w:r>
            <w:instrText xml:space="preserve"> SUBJECT  \* MERGEFORMAT </w:instrText>
          </w:r>
          <w:r>
            <w:fldChar w:fldCharType="separate"/>
          </w:r>
          <w:r w:rsidR="005A1847">
            <w:t>REPORT ON GOVERNMENT SERVICES 2014</w:t>
          </w:r>
          <w:r>
            <w:fldChar w:fldCharType="end"/>
          </w:r>
        </w:p>
      </w:tc>
      <w:tc>
        <w:tcPr>
          <w:tcW w:w="6634" w:type="dxa"/>
        </w:tcPr>
        <w:p w:rsidR="002E6C71" w:rsidRDefault="002E6C71" w:rsidP="0019293B">
          <w:pPr>
            <w:pStyle w:val="Footer"/>
          </w:pPr>
        </w:p>
      </w:tc>
    </w:tr>
  </w:tbl>
  <w:p w:rsidR="002E6C71" w:rsidRDefault="002E6C71"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2E6C71">
      <w:trPr>
        <w:trHeight w:hRule="exact" w:val="740"/>
      </w:trPr>
      <w:tc>
        <w:tcPr>
          <w:tcW w:w="6634" w:type="dxa"/>
        </w:tcPr>
        <w:p w:rsidR="002E6C71" w:rsidRDefault="002E6C71">
          <w:pPr>
            <w:pStyle w:val="Footer"/>
            <w:ind w:right="360" w:firstLine="360"/>
          </w:pPr>
          <w:bookmarkStart w:id="50" w:name="_AppendixByChapter"/>
          <w:bookmarkEnd w:id="50"/>
        </w:p>
      </w:tc>
      <w:tc>
        <w:tcPr>
          <w:tcW w:w="1644" w:type="dxa"/>
          <w:tcBorders>
            <w:top w:val="single" w:sz="6" w:space="0" w:color="auto"/>
          </w:tcBorders>
        </w:tcPr>
        <w:p w:rsidR="002E6C71" w:rsidRDefault="0016756B">
          <w:pPr>
            <w:pStyle w:val="Footer"/>
          </w:pPr>
          <w:r>
            <w:fldChar w:fldCharType="begin"/>
          </w:r>
          <w:r>
            <w:instrText xml:space="preserve"> TITLE  \* MERGEFORMAT </w:instrText>
          </w:r>
          <w:r>
            <w:fldChar w:fldCharType="separate"/>
          </w:r>
          <w:r w:rsidR="005A1847">
            <w:t>Emergency management sector overview</w:t>
          </w:r>
          <w:r>
            <w:fldChar w:fldCharType="end"/>
          </w:r>
        </w:p>
      </w:tc>
      <w:tc>
        <w:tcPr>
          <w:tcW w:w="510" w:type="dxa"/>
          <w:tcBorders>
            <w:top w:val="single" w:sz="6" w:space="0" w:color="auto"/>
          </w:tcBorders>
        </w:tcPr>
        <w:p w:rsidR="002E6C71" w:rsidRDefault="002E6C71">
          <w:pPr>
            <w:pStyle w:val="Footer"/>
            <w:jc w:val="right"/>
          </w:pPr>
          <w:proofErr w:type="spellStart"/>
          <w:r>
            <w:rPr>
              <w:rStyle w:val="PageNumber"/>
            </w:rPr>
            <w:t>D.</w:t>
          </w:r>
          <w:proofErr w:type="spellEnd"/>
          <w:r>
            <w:rPr>
              <w:rStyle w:val="PageNumber"/>
            </w:rPr>
            <w:fldChar w:fldCharType="begin"/>
          </w:r>
          <w:r>
            <w:rPr>
              <w:rStyle w:val="PageNumber"/>
            </w:rPr>
            <w:instrText xml:space="preserve">PAGE  </w:instrText>
          </w:r>
          <w:r>
            <w:rPr>
              <w:rStyle w:val="PageNumber"/>
            </w:rPr>
            <w:fldChar w:fldCharType="separate"/>
          </w:r>
          <w:r w:rsidR="0016756B">
            <w:rPr>
              <w:rStyle w:val="PageNumber"/>
              <w:noProof/>
            </w:rPr>
            <w:t>1</w:t>
          </w:r>
          <w:r>
            <w:rPr>
              <w:rStyle w:val="PageNumber"/>
            </w:rPr>
            <w:fldChar w:fldCharType="end"/>
          </w:r>
        </w:p>
      </w:tc>
    </w:tr>
  </w:tbl>
  <w:p w:rsidR="002E6C71" w:rsidRDefault="002E6C71">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C71" w:rsidRDefault="002E6C71">
      <w:r>
        <w:separator/>
      </w:r>
    </w:p>
  </w:footnote>
  <w:footnote w:type="continuationSeparator" w:id="0">
    <w:p w:rsidR="002E6C71" w:rsidRDefault="002E6C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E6C71" w:rsidTr="0019293B">
      <w:tc>
        <w:tcPr>
          <w:tcW w:w="2155" w:type="dxa"/>
          <w:tcBorders>
            <w:top w:val="single" w:sz="24" w:space="0" w:color="auto"/>
          </w:tcBorders>
        </w:tcPr>
        <w:p w:rsidR="002E6C71" w:rsidRDefault="002E6C71" w:rsidP="0019293B">
          <w:pPr>
            <w:pStyle w:val="HeaderEven"/>
          </w:pPr>
        </w:p>
      </w:tc>
      <w:tc>
        <w:tcPr>
          <w:tcW w:w="6634" w:type="dxa"/>
          <w:tcBorders>
            <w:top w:val="single" w:sz="6" w:space="0" w:color="auto"/>
          </w:tcBorders>
        </w:tcPr>
        <w:p w:rsidR="002E6C71" w:rsidRPr="008941A5" w:rsidRDefault="002E6C71" w:rsidP="00DD5668">
          <w:pPr>
            <w:pStyle w:val="HeaderEven"/>
            <w:jc w:val="right"/>
          </w:pPr>
        </w:p>
      </w:tc>
    </w:tr>
  </w:tbl>
  <w:p w:rsidR="002E6C71" w:rsidRDefault="002E6C71"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E6C71" w:rsidTr="00E669E2">
      <w:tc>
        <w:tcPr>
          <w:tcW w:w="6634" w:type="dxa"/>
          <w:tcBorders>
            <w:top w:val="single" w:sz="6" w:space="0" w:color="auto"/>
          </w:tcBorders>
        </w:tcPr>
        <w:p w:rsidR="002E6C71" w:rsidRPr="008941A5" w:rsidRDefault="002E6C71" w:rsidP="00DD5668">
          <w:pPr>
            <w:pStyle w:val="HeaderOdd"/>
          </w:pPr>
        </w:p>
      </w:tc>
      <w:tc>
        <w:tcPr>
          <w:tcW w:w="2155" w:type="dxa"/>
          <w:tcBorders>
            <w:top w:val="single" w:sz="24" w:space="0" w:color="auto"/>
          </w:tcBorders>
        </w:tcPr>
        <w:p w:rsidR="002E6C71" w:rsidRDefault="002E6C71" w:rsidP="00E669E2">
          <w:pPr>
            <w:pStyle w:val="HeaderOdd"/>
          </w:pPr>
        </w:p>
      </w:tc>
    </w:tr>
  </w:tbl>
  <w:p w:rsidR="002E6C71" w:rsidRDefault="002E6C71"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25"/>
  </w:num>
  <w:num w:numId="6">
    <w:abstractNumId w:val="9"/>
  </w:num>
  <w:num w:numId="7">
    <w:abstractNumId w:val="37"/>
  </w:num>
  <w:num w:numId="8">
    <w:abstractNumId w:val="28"/>
  </w:num>
  <w:num w:numId="9">
    <w:abstractNumId w:val="43"/>
  </w:num>
  <w:num w:numId="10">
    <w:abstractNumId w:val="17"/>
  </w:num>
  <w:num w:numId="11">
    <w:abstractNumId w:val="16"/>
  </w:num>
  <w:num w:numId="12">
    <w:abstractNumId w:val="26"/>
  </w:num>
  <w:num w:numId="13">
    <w:abstractNumId w:val="15"/>
  </w:num>
  <w:num w:numId="14">
    <w:abstractNumId w:val="14"/>
  </w:num>
  <w:num w:numId="15">
    <w:abstractNumId w:val="19"/>
  </w:num>
  <w:num w:numId="16">
    <w:abstractNumId w:val="22"/>
  </w:num>
  <w:num w:numId="17">
    <w:abstractNumId w:val="30"/>
  </w:num>
  <w:num w:numId="18">
    <w:abstractNumId w:val="25"/>
  </w:num>
  <w:num w:numId="19">
    <w:abstractNumId w:val="9"/>
  </w:num>
  <w:num w:numId="20">
    <w:abstractNumId w:val="20"/>
  </w:num>
  <w:num w:numId="21">
    <w:abstractNumId w:val="5"/>
  </w:num>
  <w:num w:numId="22">
    <w:abstractNumId w:val="3"/>
  </w:num>
  <w:num w:numId="23">
    <w:abstractNumId w:val="2"/>
  </w:num>
  <w:num w:numId="24">
    <w:abstractNumId w:val="4"/>
  </w:num>
  <w:num w:numId="25">
    <w:abstractNumId w:val="1"/>
  </w:num>
  <w:num w:numId="26">
    <w:abstractNumId w:val="0"/>
  </w:num>
  <w:num w:numId="27">
    <w:abstractNumId w:val="12"/>
  </w:num>
  <w:num w:numId="28">
    <w:abstractNumId w:val="34"/>
  </w:num>
  <w:num w:numId="29">
    <w:abstractNumId w:val="36"/>
  </w:num>
  <w:num w:numId="30">
    <w:abstractNumId w:val="24"/>
  </w:num>
  <w:num w:numId="31">
    <w:abstractNumId w:val="27"/>
  </w:num>
  <w:num w:numId="32">
    <w:abstractNumId w:val="29"/>
  </w:num>
  <w:num w:numId="33">
    <w:abstractNumId w:val="41"/>
  </w:num>
  <w:num w:numId="34">
    <w:abstractNumId w:val="33"/>
  </w:num>
  <w:num w:numId="35">
    <w:abstractNumId w:val="38"/>
  </w:num>
  <w:num w:numId="36">
    <w:abstractNumId w:val="39"/>
  </w:num>
  <w:num w:numId="37">
    <w:abstractNumId w:val="31"/>
  </w:num>
  <w:num w:numId="38">
    <w:abstractNumId w:val="21"/>
  </w:num>
  <w:num w:numId="39">
    <w:abstractNumId w:val="44"/>
  </w:num>
  <w:num w:numId="40">
    <w:abstractNumId w:val="8"/>
  </w:num>
  <w:num w:numId="41">
    <w:abstractNumId w:val="18"/>
  </w:num>
  <w:num w:numId="42">
    <w:abstractNumId w:val="40"/>
  </w:num>
  <w:num w:numId="43">
    <w:abstractNumId w:val="32"/>
  </w:num>
  <w:num w:numId="44">
    <w:abstractNumId w:val="13"/>
  </w:num>
  <w:num w:numId="45">
    <w:abstractNumId w:val="35"/>
  </w:num>
  <w:num w:numId="46">
    <w:abstractNumId w:val="23"/>
  </w:num>
  <w:num w:numId="4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8">
    <w:abstractNumId w:val="11"/>
  </w:num>
  <w:num w:numId="49">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64" w:dllVersion="131078" w:nlCheck="1" w:checkStyle="1"/>
  <w:activeWritingStyle w:appName="MSWord" w:lang="en-US" w:vendorID="64" w:dllVersion="131078" w:nlCheck="1" w:checkStyle="1"/>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18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D"/>
    <w:docVar w:name="FindingOptions" w:val="1"/>
    <w:docVar w:name="RecOptions" w:val="111"/>
    <w:docVar w:name="ShortChapterTitle" w:val="Emergency management sector summary"/>
    <w:docVar w:name="ShortReportTitle" w:val="REPORT ON GOVERNMENT SERVICES 2012"/>
  </w:docVars>
  <w:rsids>
    <w:rsidRoot w:val="00DE2D11"/>
    <w:rsid w:val="0000492E"/>
    <w:rsid w:val="000117C0"/>
    <w:rsid w:val="000209EE"/>
    <w:rsid w:val="0002502F"/>
    <w:rsid w:val="000264BF"/>
    <w:rsid w:val="00026908"/>
    <w:rsid w:val="0003254A"/>
    <w:rsid w:val="000327E0"/>
    <w:rsid w:val="00032B2F"/>
    <w:rsid w:val="000338C7"/>
    <w:rsid w:val="0003664B"/>
    <w:rsid w:val="00037841"/>
    <w:rsid w:val="0004111F"/>
    <w:rsid w:val="00043A63"/>
    <w:rsid w:val="00051512"/>
    <w:rsid w:val="000613B4"/>
    <w:rsid w:val="00062AD0"/>
    <w:rsid w:val="00066295"/>
    <w:rsid w:val="00070CBF"/>
    <w:rsid w:val="00071178"/>
    <w:rsid w:val="000711C7"/>
    <w:rsid w:val="0007150B"/>
    <w:rsid w:val="0007511A"/>
    <w:rsid w:val="00080845"/>
    <w:rsid w:val="00081B42"/>
    <w:rsid w:val="000827F1"/>
    <w:rsid w:val="000836B9"/>
    <w:rsid w:val="00083988"/>
    <w:rsid w:val="00084894"/>
    <w:rsid w:val="00086F06"/>
    <w:rsid w:val="00087A90"/>
    <w:rsid w:val="000902BD"/>
    <w:rsid w:val="000938F5"/>
    <w:rsid w:val="000956DC"/>
    <w:rsid w:val="00096B2C"/>
    <w:rsid w:val="000A05E5"/>
    <w:rsid w:val="000A0EA9"/>
    <w:rsid w:val="000A3C2D"/>
    <w:rsid w:val="000A40C4"/>
    <w:rsid w:val="000A4448"/>
    <w:rsid w:val="000A44E8"/>
    <w:rsid w:val="000A7660"/>
    <w:rsid w:val="000B27AB"/>
    <w:rsid w:val="000B2B53"/>
    <w:rsid w:val="000B2B8E"/>
    <w:rsid w:val="000B601B"/>
    <w:rsid w:val="000B7FDE"/>
    <w:rsid w:val="000C17BA"/>
    <w:rsid w:val="000C207E"/>
    <w:rsid w:val="000C2B1C"/>
    <w:rsid w:val="000C3EBC"/>
    <w:rsid w:val="000C4CCF"/>
    <w:rsid w:val="000D104C"/>
    <w:rsid w:val="000D21E4"/>
    <w:rsid w:val="000D3918"/>
    <w:rsid w:val="000E44F9"/>
    <w:rsid w:val="000E527B"/>
    <w:rsid w:val="000E6D44"/>
    <w:rsid w:val="000E7C1E"/>
    <w:rsid w:val="000F0AFA"/>
    <w:rsid w:val="000F0DE0"/>
    <w:rsid w:val="000F4C90"/>
    <w:rsid w:val="0010283E"/>
    <w:rsid w:val="00103C23"/>
    <w:rsid w:val="00110116"/>
    <w:rsid w:val="00110CB6"/>
    <w:rsid w:val="0011192E"/>
    <w:rsid w:val="001128EC"/>
    <w:rsid w:val="00113BCA"/>
    <w:rsid w:val="001146FB"/>
    <w:rsid w:val="00114794"/>
    <w:rsid w:val="001150D7"/>
    <w:rsid w:val="00116CBA"/>
    <w:rsid w:val="001218F3"/>
    <w:rsid w:val="00122234"/>
    <w:rsid w:val="001249FB"/>
    <w:rsid w:val="0012637F"/>
    <w:rsid w:val="00126EB8"/>
    <w:rsid w:val="00131055"/>
    <w:rsid w:val="00132706"/>
    <w:rsid w:val="001350BD"/>
    <w:rsid w:val="001352BB"/>
    <w:rsid w:val="0013559F"/>
    <w:rsid w:val="00135882"/>
    <w:rsid w:val="001360FC"/>
    <w:rsid w:val="00136294"/>
    <w:rsid w:val="001363AA"/>
    <w:rsid w:val="00141C1C"/>
    <w:rsid w:val="0014245D"/>
    <w:rsid w:val="00143636"/>
    <w:rsid w:val="0014739E"/>
    <w:rsid w:val="00147A98"/>
    <w:rsid w:val="001525FA"/>
    <w:rsid w:val="001548A5"/>
    <w:rsid w:val="001552A0"/>
    <w:rsid w:val="001600C4"/>
    <w:rsid w:val="0016162B"/>
    <w:rsid w:val="00161848"/>
    <w:rsid w:val="0016235B"/>
    <w:rsid w:val="00162A14"/>
    <w:rsid w:val="0016717A"/>
    <w:rsid w:val="0016756B"/>
    <w:rsid w:val="001706E0"/>
    <w:rsid w:val="00171C11"/>
    <w:rsid w:val="00176AB6"/>
    <w:rsid w:val="00187F3E"/>
    <w:rsid w:val="00191385"/>
    <w:rsid w:val="0019293B"/>
    <w:rsid w:val="00192DBC"/>
    <w:rsid w:val="001934F4"/>
    <w:rsid w:val="001971BE"/>
    <w:rsid w:val="00197685"/>
    <w:rsid w:val="001A0912"/>
    <w:rsid w:val="001A29D5"/>
    <w:rsid w:val="001A3DC1"/>
    <w:rsid w:val="001A511F"/>
    <w:rsid w:val="001A5B30"/>
    <w:rsid w:val="001B270F"/>
    <w:rsid w:val="001B3887"/>
    <w:rsid w:val="001C0865"/>
    <w:rsid w:val="001C289E"/>
    <w:rsid w:val="001C3ABA"/>
    <w:rsid w:val="001C4003"/>
    <w:rsid w:val="001C4CC4"/>
    <w:rsid w:val="001C7832"/>
    <w:rsid w:val="001D1E1C"/>
    <w:rsid w:val="001D210A"/>
    <w:rsid w:val="001D2BC1"/>
    <w:rsid w:val="001D35B6"/>
    <w:rsid w:val="001D435B"/>
    <w:rsid w:val="001D458F"/>
    <w:rsid w:val="001E072C"/>
    <w:rsid w:val="001E49F8"/>
    <w:rsid w:val="001E6000"/>
    <w:rsid w:val="001E669E"/>
    <w:rsid w:val="001E74F2"/>
    <w:rsid w:val="001E7BE8"/>
    <w:rsid w:val="001F0248"/>
    <w:rsid w:val="001F116C"/>
    <w:rsid w:val="001F516B"/>
    <w:rsid w:val="00202C2C"/>
    <w:rsid w:val="00203F91"/>
    <w:rsid w:val="00205B51"/>
    <w:rsid w:val="00206333"/>
    <w:rsid w:val="00206751"/>
    <w:rsid w:val="00206FD1"/>
    <w:rsid w:val="0021099A"/>
    <w:rsid w:val="00210CB7"/>
    <w:rsid w:val="00210F77"/>
    <w:rsid w:val="002114E2"/>
    <w:rsid w:val="00211F08"/>
    <w:rsid w:val="00213CA9"/>
    <w:rsid w:val="00220CE0"/>
    <w:rsid w:val="00222D4A"/>
    <w:rsid w:val="00230522"/>
    <w:rsid w:val="00231FE4"/>
    <w:rsid w:val="002322A2"/>
    <w:rsid w:val="00233F2C"/>
    <w:rsid w:val="00234248"/>
    <w:rsid w:val="0023469A"/>
    <w:rsid w:val="0023528A"/>
    <w:rsid w:val="00235EBB"/>
    <w:rsid w:val="00241765"/>
    <w:rsid w:val="00242279"/>
    <w:rsid w:val="0024297A"/>
    <w:rsid w:val="00246A5A"/>
    <w:rsid w:val="00246AF7"/>
    <w:rsid w:val="00247176"/>
    <w:rsid w:val="002472A0"/>
    <w:rsid w:val="0025191F"/>
    <w:rsid w:val="00257160"/>
    <w:rsid w:val="002607CE"/>
    <w:rsid w:val="0026151B"/>
    <w:rsid w:val="0026157E"/>
    <w:rsid w:val="00262184"/>
    <w:rsid w:val="00263225"/>
    <w:rsid w:val="00263A1D"/>
    <w:rsid w:val="00263C67"/>
    <w:rsid w:val="00264596"/>
    <w:rsid w:val="00264F81"/>
    <w:rsid w:val="002668E7"/>
    <w:rsid w:val="00267F33"/>
    <w:rsid w:val="0027035B"/>
    <w:rsid w:val="0027195A"/>
    <w:rsid w:val="002857C0"/>
    <w:rsid w:val="00291B40"/>
    <w:rsid w:val="00294892"/>
    <w:rsid w:val="0029613B"/>
    <w:rsid w:val="00296783"/>
    <w:rsid w:val="002A370B"/>
    <w:rsid w:val="002A3ECC"/>
    <w:rsid w:val="002A5F31"/>
    <w:rsid w:val="002B11D2"/>
    <w:rsid w:val="002B289C"/>
    <w:rsid w:val="002B4008"/>
    <w:rsid w:val="002B6485"/>
    <w:rsid w:val="002B7991"/>
    <w:rsid w:val="002D0E8E"/>
    <w:rsid w:val="002D1D7E"/>
    <w:rsid w:val="002D5083"/>
    <w:rsid w:val="002D5431"/>
    <w:rsid w:val="002E2A59"/>
    <w:rsid w:val="002E6C71"/>
    <w:rsid w:val="002F2CA3"/>
    <w:rsid w:val="002F4D90"/>
    <w:rsid w:val="002F4E7A"/>
    <w:rsid w:val="00300420"/>
    <w:rsid w:val="00301189"/>
    <w:rsid w:val="00305A8E"/>
    <w:rsid w:val="00305D72"/>
    <w:rsid w:val="00307FB8"/>
    <w:rsid w:val="003104C7"/>
    <w:rsid w:val="003108C3"/>
    <w:rsid w:val="003113C5"/>
    <w:rsid w:val="003132D7"/>
    <w:rsid w:val="003203FF"/>
    <w:rsid w:val="00322A9C"/>
    <w:rsid w:val="00322E1F"/>
    <w:rsid w:val="00323E09"/>
    <w:rsid w:val="00325402"/>
    <w:rsid w:val="00326105"/>
    <w:rsid w:val="0033042F"/>
    <w:rsid w:val="00333932"/>
    <w:rsid w:val="00333E2C"/>
    <w:rsid w:val="00343C0F"/>
    <w:rsid w:val="00346F3C"/>
    <w:rsid w:val="00346F5E"/>
    <w:rsid w:val="003474C2"/>
    <w:rsid w:val="003511D1"/>
    <w:rsid w:val="003518AA"/>
    <w:rsid w:val="00353182"/>
    <w:rsid w:val="00353B4B"/>
    <w:rsid w:val="00357608"/>
    <w:rsid w:val="003602E1"/>
    <w:rsid w:val="00361FB7"/>
    <w:rsid w:val="00363A3A"/>
    <w:rsid w:val="00366E42"/>
    <w:rsid w:val="0037024B"/>
    <w:rsid w:val="00371240"/>
    <w:rsid w:val="00373326"/>
    <w:rsid w:val="00374731"/>
    <w:rsid w:val="003773D9"/>
    <w:rsid w:val="00377E8A"/>
    <w:rsid w:val="00380CA4"/>
    <w:rsid w:val="0038327F"/>
    <w:rsid w:val="00384065"/>
    <w:rsid w:val="00385B38"/>
    <w:rsid w:val="00385E5E"/>
    <w:rsid w:val="003903AF"/>
    <w:rsid w:val="00390A59"/>
    <w:rsid w:val="00391DDC"/>
    <w:rsid w:val="003976A4"/>
    <w:rsid w:val="003A52CA"/>
    <w:rsid w:val="003A6D92"/>
    <w:rsid w:val="003A7810"/>
    <w:rsid w:val="003A798E"/>
    <w:rsid w:val="003B79AD"/>
    <w:rsid w:val="003C069B"/>
    <w:rsid w:val="003C0700"/>
    <w:rsid w:val="003C38B5"/>
    <w:rsid w:val="003C5D99"/>
    <w:rsid w:val="003C65C8"/>
    <w:rsid w:val="003D5493"/>
    <w:rsid w:val="003D6641"/>
    <w:rsid w:val="003E0ED2"/>
    <w:rsid w:val="003E119C"/>
    <w:rsid w:val="003E12E5"/>
    <w:rsid w:val="003F01B9"/>
    <w:rsid w:val="003F0789"/>
    <w:rsid w:val="003F2093"/>
    <w:rsid w:val="00401882"/>
    <w:rsid w:val="0040438A"/>
    <w:rsid w:val="0040642A"/>
    <w:rsid w:val="004078D1"/>
    <w:rsid w:val="004100C8"/>
    <w:rsid w:val="00412ACE"/>
    <w:rsid w:val="004137C5"/>
    <w:rsid w:val="0041449A"/>
    <w:rsid w:val="0042072C"/>
    <w:rsid w:val="0042163F"/>
    <w:rsid w:val="004230F5"/>
    <w:rsid w:val="00425B97"/>
    <w:rsid w:val="00431249"/>
    <w:rsid w:val="00434C19"/>
    <w:rsid w:val="004415F2"/>
    <w:rsid w:val="00442260"/>
    <w:rsid w:val="00443375"/>
    <w:rsid w:val="00444FEC"/>
    <w:rsid w:val="00450810"/>
    <w:rsid w:val="00455B1C"/>
    <w:rsid w:val="00456005"/>
    <w:rsid w:val="00460983"/>
    <w:rsid w:val="004618A5"/>
    <w:rsid w:val="00463C6A"/>
    <w:rsid w:val="00466772"/>
    <w:rsid w:val="004712FE"/>
    <w:rsid w:val="00474B07"/>
    <w:rsid w:val="00477144"/>
    <w:rsid w:val="00483714"/>
    <w:rsid w:val="00483E80"/>
    <w:rsid w:val="00484C06"/>
    <w:rsid w:val="00492BAD"/>
    <w:rsid w:val="0049459F"/>
    <w:rsid w:val="004955C5"/>
    <w:rsid w:val="00495745"/>
    <w:rsid w:val="004977FF"/>
    <w:rsid w:val="00497F92"/>
    <w:rsid w:val="004A264D"/>
    <w:rsid w:val="004A4D12"/>
    <w:rsid w:val="004A58FB"/>
    <w:rsid w:val="004A5FB9"/>
    <w:rsid w:val="004B17BB"/>
    <w:rsid w:val="004B31B8"/>
    <w:rsid w:val="004B43AE"/>
    <w:rsid w:val="004B661B"/>
    <w:rsid w:val="004C2A34"/>
    <w:rsid w:val="004C30ED"/>
    <w:rsid w:val="004C3B3C"/>
    <w:rsid w:val="004C3DB3"/>
    <w:rsid w:val="004D4B60"/>
    <w:rsid w:val="004D6E7C"/>
    <w:rsid w:val="004E1B4B"/>
    <w:rsid w:val="004F44BF"/>
    <w:rsid w:val="004F5962"/>
    <w:rsid w:val="00502261"/>
    <w:rsid w:val="00502C84"/>
    <w:rsid w:val="00516916"/>
    <w:rsid w:val="00517F56"/>
    <w:rsid w:val="00520014"/>
    <w:rsid w:val="005202CD"/>
    <w:rsid w:val="005230A0"/>
    <w:rsid w:val="00523125"/>
    <w:rsid w:val="00524CF3"/>
    <w:rsid w:val="00536D21"/>
    <w:rsid w:val="005379E8"/>
    <w:rsid w:val="00541A74"/>
    <w:rsid w:val="00542E99"/>
    <w:rsid w:val="005454F7"/>
    <w:rsid w:val="0054554B"/>
    <w:rsid w:val="00547C76"/>
    <w:rsid w:val="0055190A"/>
    <w:rsid w:val="00551BD1"/>
    <w:rsid w:val="005527CA"/>
    <w:rsid w:val="0056433D"/>
    <w:rsid w:val="00564AA0"/>
    <w:rsid w:val="005657CA"/>
    <w:rsid w:val="00567504"/>
    <w:rsid w:val="00567DD2"/>
    <w:rsid w:val="00581977"/>
    <w:rsid w:val="00583C39"/>
    <w:rsid w:val="00584276"/>
    <w:rsid w:val="00585E6B"/>
    <w:rsid w:val="005871B8"/>
    <w:rsid w:val="005877F7"/>
    <w:rsid w:val="005909CF"/>
    <w:rsid w:val="00591E71"/>
    <w:rsid w:val="00593978"/>
    <w:rsid w:val="00593BDD"/>
    <w:rsid w:val="005A1847"/>
    <w:rsid w:val="005A4694"/>
    <w:rsid w:val="005A5067"/>
    <w:rsid w:val="005A64EC"/>
    <w:rsid w:val="005A787B"/>
    <w:rsid w:val="005B3E0F"/>
    <w:rsid w:val="005B57AD"/>
    <w:rsid w:val="005C1A32"/>
    <w:rsid w:val="005C2309"/>
    <w:rsid w:val="005C5797"/>
    <w:rsid w:val="005D0A82"/>
    <w:rsid w:val="005D2453"/>
    <w:rsid w:val="005D4279"/>
    <w:rsid w:val="005E0EE9"/>
    <w:rsid w:val="005E3442"/>
    <w:rsid w:val="005E56D6"/>
    <w:rsid w:val="005E71F1"/>
    <w:rsid w:val="005F40B5"/>
    <w:rsid w:val="005F50D5"/>
    <w:rsid w:val="00601A7A"/>
    <w:rsid w:val="00602B44"/>
    <w:rsid w:val="0060392C"/>
    <w:rsid w:val="00605E0E"/>
    <w:rsid w:val="0060641B"/>
    <w:rsid w:val="00606810"/>
    <w:rsid w:val="00607BF1"/>
    <w:rsid w:val="00610C48"/>
    <w:rsid w:val="0061277D"/>
    <w:rsid w:val="00613970"/>
    <w:rsid w:val="00613EC6"/>
    <w:rsid w:val="00614606"/>
    <w:rsid w:val="006146DB"/>
    <w:rsid w:val="00615D50"/>
    <w:rsid w:val="006167AE"/>
    <w:rsid w:val="006179CF"/>
    <w:rsid w:val="00622D04"/>
    <w:rsid w:val="00630D4D"/>
    <w:rsid w:val="006310F4"/>
    <w:rsid w:val="00632A74"/>
    <w:rsid w:val="006331FB"/>
    <w:rsid w:val="006339A2"/>
    <w:rsid w:val="00636611"/>
    <w:rsid w:val="0064102A"/>
    <w:rsid w:val="00643751"/>
    <w:rsid w:val="00644922"/>
    <w:rsid w:val="00645611"/>
    <w:rsid w:val="00646C61"/>
    <w:rsid w:val="0065015F"/>
    <w:rsid w:val="0065050E"/>
    <w:rsid w:val="0065228D"/>
    <w:rsid w:val="006570E8"/>
    <w:rsid w:val="0066210E"/>
    <w:rsid w:val="00664139"/>
    <w:rsid w:val="00664329"/>
    <w:rsid w:val="00666F6E"/>
    <w:rsid w:val="00670C6F"/>
    <w:rsid w:val="00676955"/>
    <w:rsid w:val="006779C8"/>
    <w:rsid w:val="00686696"/>
    <w:rsid w:val="00687CFC"/>
    <w:rsid w:val="00693EC9"/>
    <w:rsid w:val="00694D9D"/>
    <w:rsid w:val="00694FEC"/>
    <w:rsid w:val="006964B3"/>
    <w:rsid w:val="00697D67"/>
    <w:rsid w:val="006A3A92"/>
    <w:rsid w:val="006A416D"/>
    <w:rsid w:val="006A4655"/>
    <w:rsid w:val="006A495B"/>
    <w:rsid w:val="006B464E"/>
    <w:rsid w:val="006B5F7A"/>
    <w:rsid w:val="006B67DC"/>
    <w:rsid w:val="006C2ECC"/>
    <w:rsid w:val="006C4FFF"/>
    <w:rsid w:val="006C577C"/>
    <w:rsid w:val="006C7038"/>
    <w:rsid w:val="006C717A"/>
    <w:rsid w:val="006D577D"/>
    <w:rsid w:val="006D72B6"/>
    <w:rsid w:val="006D7B39"/>
    <w:rsid w:val="006D7F82"/>
    <w:rsid w:val="006E1C3F"/>
    <w:rsid w:val="006E3601"/>
    <w:rsid w:val="006E73EF"/>
    <w:rsid w:val="006E7654"/>
    <w:rsid w:val="006F0A22"/>
    <w:rsid w:val="006F1D4F"/>
    <w:rsid w:val="006F3338"/>
    <w:rsid w:val="006F3AB3"/>
    <w:rsid w:val="006F69BE"/>
    <w:rsid w:val="006F6A78"/>
    <w:rsid w:val="006F77D2"/>
    <w:rsid w:val="00703807"/>
    <w:rsid w:val="0070392B"/>
    <w:rsid w:val="007177A7"/>
    <w:rsid w:val="00724955"/>
    <w:rsid w:val="007302D4"/>
    <w:rsid w:val="007321F1"/>
    <w:rsid w:val="007335A1"/>
    <w:rsid w:val="00734998"/>
    <w:rsid w:val="007364B8"/>
    <w:rsid w:val="007457FC"/>
    <w:rsid w:val="00745896"/>
    <w:rsid w:val="00750021"/>
    <w:rsid w:val="00752089"/>
    <w:rsid w:val="007604BB"/>
    <w:rsid w:val="00762144"/>
    <w:rsid w:val="00764370"/>
    <w:rsid w:val="007649DB"/>
    <w:rsid w:val="00764B48"/>
    <w:rsid w:val="007660DD"/>
    <w:rsid w:val="0076715E"/>
    <w:rsid w:val="007678AB"/>
    <w:rsid w:val="007710FF"/>
    <w:rsid w:val="00774525"/>
    <w:rsid w:val="007749B4"/>
    <w:rsid w:val="00775B25"/>
    <w:rsid w:val="00777CCB"/>
    <w:rsid w:val="007812DC"/>
    <w:rsid w:val="00787978"/>
    <w:rsid w:val="00792720"/>
    <w:rsid w:val="007A21EB"/>
    <w:rsid w:val="007A4474"/>
    <w:rsid w:val="007A6A7E"/>
    <w:rsid w:val="007A6F7E"/>
    <w:rsid w:val="007B099D"/>
    <w:rsid w:val="007B1A38"/>
    <w:rsid w:val="007B1E10"/>
    <w:rsid w:val="007B2AAD"/>
    <w:rsid w:val="007B3906"/>
    <w:rsid w:val="007B5BB7"/>
    <w:rsid w:val="007C04A0"/>
    <w:rsid w:val="007C36C9"/>
    <w:rsid w:val="007C6D31"/>
    <w:rsid w:val="007C7AFE"/>
    <w:rsid w:val="007E01E4"/>
    <w:rsid w:val="007E1D13"/>
    <w:rsid w:val="007E51C6"/>
    <w:rsid w:val="007F025B"/>
    <w:rsid w:val="007F0629"/>
    <w:rsid w:val="007F0F42"/>
    <w:rsid w:val="007F1100"/>
    <w:rsid w:val="007F63CE"/>
    <w:rsid w:val="007F7107"/>
    <w:rsid w:val="008002B6"/>
    <w:rsid w:val="00800311"/>
    <w:rsid w:val="0080142B"/>
    <w:rsid w:val="00801FB2"/>
    <w:rsid w:val="00802223"/>
    <w:rsid w:val="00804084"/>
    <w:rsid w:val="00806582"/>
    <w:rsid w:val="0081030F"/>
    <w:rsid w:val="00812542"/>
    <w:rsid w:val="00816583"/>
    <w:rsid w:val="00820590"/>
    <w:rsid w:val="0082087D"/>
    <w:rsid w:val="0082310F"/>
    <w:rsid w:val="00823A2D"/>
    <w:rsid w:val="00826699"/>
    <w:rsid w:val="008309D6"/>
    <w:rsid w:val="0083162D"/>
    <w:rsid w:val="0083205B"/>
    <w:rsid w:val="0083257E"/>
    <w:rsid w:val="00833CF7"/>
    <w:rsid w:val="00840939"/>
    <w:rsid w:val="00840B90"/>
    <w:rsid w:val="00840D2D"/>
    <w:rsid w:val="00841F9D"/>
    <w:rsid w:val="008465F7"/>
    <w:rsid w:val="00847D41"/>
    <w:rsid w:val="008520F8"/>
    <w:rsid w:val="00854445"/>
    <w:rsid w:val="00856595"/>
    <w:rsid w:val="0086082C"/>
    <w:rsid w:val="008641D2"/>
    <w:rsid w:val="00864ADC"/>
    <w:rsid w:val="008655B3"/>
    <w:rsid w:val="00866F12"/>
    <w:rsid w:val="00867919"/>
    <w:rsid w:val="00870FA8"/>
    <w:rsid w:val="00871527"/>
    <w:rsid w:val="0087392E"/>
    <w:rsid w:val="00876403"/>
    <w:rsid w:val="008764D9"/>
    <w:rsid w:val="00880153"/>
    <w:rsid w:val="00880520"/>
    <w:rsid w:val="008808D6"/>
    <w:rsid w:val="00880F97"/>
    <w:rsid w:val="0088133A"/>
    <w:rsid w:val="008820DB"/>
    <w:rsid w:val="00883302"/>
    <w:rsid w:val="008836EF"/>
    <w:rsid w:val="008839DE"/>
    <w:rsid w:val="008876E2"/>
    <w:rsid w:val="00890A95"/>
    <w:rsid w:val="00891D63"/>
    <w:rsid w:val="0089285E"/>
    <w:rsid w:val="008941A5"/>
    <w:rsid w:val="0089436C"/>
    <w:rsid w:val="008977F8"/>
    <w:rsid w:val="008A1C56"/>
    <w:rsid w:val="008A3A67"/>
    <w:rsid w:val="008A40EB"/>
    <w:rsid w:val="008B0183"/>
    <w:rsid w:val="008B0E4F"/>
    <w:rsid w:val="008B563E"/>
    <w:rsid w:val="008B62CC"/>
    <w:rsid w:val="008B6A5C"/>
    <w:rsid w:val="008C20D1"/>
    <w:rsid w:val="008C2720"/>
    <w:rsid w:val="008C5283"/>
    <w:rsid w:val="008C56CE"/>
    <w:rsid w:val="008C7138"/>
    <w:rsid w:val="008C7B2E"/>
    <w:rsid w:val="008D0A35"/>
    <w:rsid w:val="008D66BB"/>
    <w:rsid w:val="008D71F5"/>
    <w:rsid w:val="008E092E"/>
    <w:rsid w:val="008E28C7"/>
    <w:rsid w:val="008E49FB"/>
    <w:rsid w:val="008F18E1"/>
    <w:rsid w:val="008F2E19"/>
    <w:rsid w:val="008F3DBC"/>
    <w:rsid w:val="008F6049"/>
    <w:rsid w:val="00900242"/>
    <w:rsid w:val="009009F7"/>
    <w:rsid w:val="009030BF"/>
    <w:rsid w:val="00904FC4"/>
    <w:rsid w:val="00907DAB"/>
    <w:rsid w:val="0091056E"/>
    <w:rsid w:val="00912749"/>
    <w:rsid w:val="00912EF9"/>
    <w:rsid w:val="00914368"/>
    <w:rsid w:val="0091763D"/>
    <w:rsid w:val="00920935"/>
    <w:rsid w:val="00924194"/>
    <w:rsid w:val="00931076"/>
    <w:rsid w:val="00931AB9"/>
    <w:rsid w:val="009345D9"/>
    <w:rsid w:val="00934B15"/>
    <w:rsid w:val="00935B54"/>
    <w:rsid w:val="00941130"/>
    <w:rsid w:val="00941BC0"/>
    <w:rsid w:val="00941C00"/>
    <w:rsid w:val="00942A44"/>
    <w:rsid w:val="00942B62"/>
    <w:rsid w:val="009451A0"/>
    <w:rsid w:val="009530E9"/>
    <w:rsid w:val="00956A0C"/>
    <w:rsid w:val="00956BD9"/>
    <w:rsid w:val="00962489"/>
    <w:rsid w:val="0097158B"/>
    <w:rsid w:val="009758D7"/>
    <w:rsid w:val="00977E6C"/>
    <w:rsid w:val="00983719"/>
    <w:rsid w:val="00984110"/>
    <w:rsid w:val="009865FC"/>
    <w:rsid w:val="00986F3B"/>
    <w:rsid w:val="009942FB"/>
    <w:rsid w:val="00995C4E"/>
    <w:rsid w:val="00997F02"/>
    <w:rsid w:val="009A0DA0"/>
    <w:rsid w:val="009A22FD"/>
    <w:rsid w:val="009A4538"/>
    <w:rsid w:val="009A63C8"/>
    <w:rsid w:val="009D3E5E"/>
    <w:rsid w:val="009D78D7"/>
    <w:rsid w:val="009D7E76"/>
    <w:rsid w:val="009E23F8"/>
    <w:rsid w:val="009E3400"/>
    <w:rsid w:val="009E5BCA"/>
    <w:rsid w:val="009F2CED"/>
    <w:rsid w:val="009F374C"/>
    <w:rsid w:val="009F4FBB"/>
    <w:rsid w:val="009F696D"/>
    <w:rsid w:val="009F6BC6"/>
    <w:rsid w:val="00A04713"/>
    <w:rsid w:val="00A04CFC"/>
    <w:rsid w:val="00A0769E"/>
    <w:rsid w:val="00A10DC9"/>
    <w:rsid w:val="00A15163"/>
    <w:rsid w:val="00A155EE"/>
    <w:rsid w:val="00A17328"/>
    <w:rsid w:val="00A241B2"/>
    <w:rsid w:val="00A24C46"/>
    <w:rsid w:val="00A24D54"/>
    <w:rsid w:val="00A2703A"/>
    <w:rsid w:val="00A32CB5"/>
    <w:rsid w:val="00A33DFF"/>
    <w:rsid w:val="00A344EC"/>
    <w:rsid w:val="00A34C72"/>
    <w:rsid w:val="00A35115"/>
    <w:rsid w:val="00A35C9D"/>
    <w:rsid w:val="00A368FB"/>
    <w:rsid w:val="00A4086B"/>
    <w:rsid w:val="00A413BB"/>
    <w:rsid w:val="00A52779"/>
    <w:rsid w:val="00A5336B"/>
    <w:rsid w:val="00A554AB"/>
    <w:rsid w:val="00A572EC"/>
    <w:rsid w:val="00A640D4"/>
    <w:rsid w:val="00A654A9"/>
    <w:rsid w:val="00A655A0"/>
    <w:rsid w:val="00A702D7"/>
    <w:rsid w:val="00A70673"/>
    <w:rsid w:val="00A70B05"/>
    <w:rsid w:val="00A74071"/>
    <w:rsid w:val="00A7583A"/>
    <w:rsid w:val="00A77486"/>
    <w:rsid w:val="00A82135"/>
    <w:rsid w:val="00A8295C"/>
    <w:rsid w:val="00A83975"/>
    <w:rsid w:val="00A839FC"/>
    <w:rsid w:val="00A83FE2"/>
    <w:rsid w:val="00A84208"/>
    <w:rsid w:val="00A84A87"/>
    <w:rsid w:val="00A86DBA"/>
    <w:rsid w:val="00A87137"/>
    <w:rsid w:val="00A9032D"/>
    <w:rsid w:val="00A93E4B"/>
    <w:rsid w:val="00A94FA6"/>
    <w:rsid w:val="00A971F9"/>
    <w:rsid w:val="00AA052A"/>
    <w:rsid w:val="00AA3F9A"/>
    <w:rsid w:val="00AA6710"/>
    <w:rsid w:val="00AA6D1A"/>
    <w:rsid w:val="00AB0681"/>
    <w:rsid w:val="00AB323A"/>
    <w:rsid w:val="00AB4206"/>
    <w:rsid w:val="00AB61F2"/>
    <w:rsid w:val="00AB62E8"/>
    <w:rsid w:val="00AB67AE"/>
    <w:rsid w:val="00AB69B3"/>
    <w:rsid w:val="00AC2073"/>
    <w:rsid w:val="00AC5CDB"/>
    <w:rsid w:val="00AE0BA2"/>
    <w:rsid w:val="00AE3061"/>
    <w:rsid w:val="00AF4161"/>
    <w:rsid w:val="00AF7098"/>
    <w:rsid w:val="00B04400"/>
    <w:rsid w:val="00B05231"/>
    <w:rsid w:val="00B11CB4"/>
    <w:rsid w:val="00B155CE"/>
    <w:rsid w:val="00B15A24"/>
    <w:rsid w:val="00B17D29"/>
    <w:rsid w:val="00B20CDA"/>
    <w:rsid w:val="00B22FF7"/>
    <w:rsid w:val="00B30F60"/>
    <w:rsid w:val="00B32549"/>
    <w:rsid w:val="00B34B8F"/>
    <w:rsid w:val="00B35463"/>
    <w:rsid w:val="00B35E0E"/>
    <w:rsid w:val="00B360AD"/>
    <w:rsid w:val="00B41AF9"/>
    <w:rsid w:val="00B448D5"/>
    <w:rsid w:val="00B45A83"/>
    <w:rsid w:val="00B5016A"/>
    <w:rsid w:val="00B533AA"/>
    <w:rsid w:val="00B53E7E"/>
    <w:rsid w:val="00B558A6"/>
    <w:rsid w:val="00B55DEE"/>
    <w:rsid w:val="00B57E2C"/>
    <w:rsid w:val="00B607AC"/>
    <w:rsid w:val="00B6312B"/>
    <w:rsid w:val="00B631F9"/>
    <w:rsid w:val="00B6342E"/>
    <w:rsid w:val="00B660FE"/>
    <w:rsid w:val="00B66BE9"/>
    <w:rsid w:val="00B673BA"/>
    <w:rsid w:val="00B67C22"/>
    <w:rsid w:val="00B7113F"/>
    <w:rsid w:val="00B71AD7"/>
    <w:rsid w:val="00B73A74"/>
    <w:rsid w:val="00B743DB"/>
    <w:rsid w:val="00B748DE"/>
    <w:rsid w:val="00B7506E"/>
    <w:rsid w:val="00B75FBE"/>
    <w:rsid w:val="00B76675"/>
    <w:rsid w:val="00B76CC4"/>
    <w:rsid w:val="00B845C2"/>
    <w:rsid w:val="00B84613"/>
    <w:rsid w:val="00B847E9"/>
    <w:rsid w:val="00B925C6"/>
    <w:rsid w:val="00B97C51"/>
    <w:rsid w:val="00BA0E24"/>
    <w:rsid w:val="00BA3329"/>
    <w:rsid w:val="00BA738A"/>
    <w:rsid w:val="00BA73B6"/>
    <w:rsid w:val="00BA78AC"/>
    <w:rsid w:val="00BB1C49"/>
    <w:rsid w:val="00BB22C8"/>
    <w:rsid w:val="00BB3B69"/>
    <w:rsid w:val="00BB4FCD"/>
    <w:rsid w:val="00BB52CD"/>
    <w:rsid w:val="00BB5802"/>
    <w:rsid w:val="00BB597C"/>
    <w:rsid w:val="00BB65F8"/>
    <w:rsid w:val="00BB7544"/>
    <w:rsid w:val="00BB7B7D"/>
    <w:rsid w:val="00BC0E05"/>
    <w:rsid w:val="00BC3280"/>
    <w:rsid w:val="00BC4210"/>
    <w:rsid w:val="00BC5656"/>
    <w:rsid w:val="00BC6AB6"/>
    <w:rsid w:val="00BC74C7"/>
    <w:rsid w:val="00BD0ED5"/>
    <w:rsid w:val="00BD13EA"/>
    <w:rsid w:val="00BD61FF"/>
    <w:rsid w:val="00BD69CE"/>
    <w:rsid w:val="00BE30E8"/>
    <w:rsid w:val="00BE3808"/>
    <w:rsid w:val="00BE3E26"/>
    <w:rsid w:val="00BE7665"/>
    <w:rsid w:val="00BE7D12"/>
    <w:rsid w:val="00BF2958"/>
    <w:rsid w:val="00BF4901"/>
    <w:rsid w:val="00BF4C5A"/>
    <w:rsid w:val="00BF7142"/>
    <w:rsid w:val="00BF75CC"/>
    <w:rsid w:val="00C01E47"/>
    <w:rsid w:val="00C04746"/>
    <w:rsid w:val="00C062E9"/>
    <w:rsid w:val="00C108D4"/>
    <w:rsid w:val="00C11B29"/>
    <w:rsid w:val="00C13721"/>
    <w:rsid w:val="00C13BF8"/>
    <w:rsid w:val="00C13DF6"/>
    <w:rsid w:val="00C15203"/>
    <w:rsid w:val="00C21D5B"/>
    <w:rsid w:val="00C23D04"/>
    <w:rsid w:val="00C2532A"/>
    <w:rsid w:val="00C26DA7"/>
    <w:rsid w:val="00C33EFA"/>
    <w:rsid w:val="00C35F6C"/>
    <w:rsid w:val="00C40D90"/>
    <w:rsid w:val="00C42BEC"/>
    <w:rsid w:val="00C447E3"/>
    <w:rsid w:val="00C46DE1"/>
    <w:rsid w:val="00C47431"/>
    <w:rsid w:val="00C53C23"/>
    <w:rsid w:val="00C543F4"/>
    <w:rsid w:val="00C56C0E"/>
    <w:rsid w:val="00C5795D"/>
    <w:rsid w:val="00C6291C"/>
    <w:rsid w:val="00C633CB"/>
    <w:rsid w:val="00C70442"/>
    <w:rsid w:val="00C7148B"/>
    <w:rsid w:val="00C71CBD"/>
    <w:rsid w:val="00C75DC3"/>
    <w:rsid w:val="00C77A33"/>
    <w:rsid w:val="00C804DD"/>
    <w:rsid w:val="00C807D9"/>
    <w:rsid w:val="00C84118"/>
    <w:rsid w:val="00C8762C"/>
    <w:rsid w:val="00C87BA6"/>
    <w:rsid w:val="00C90DF6"/>
    <w:rsid w:val="00C94CE7"/>
    <w:rsid w:val="00C94D4F"/>
    <w:rsid w:val="00C9612E"/>
    <w:rsid w:val="00C968FB"/>
    <w:rsid w:val="00CA00F9"/>
    <w:rsid w:val="00CA09FA"/>
    <w:rsid w:val="00CA2961"/>
    <w:rsid w:val="00CA3289"/>
    <w:rsid w:val="00CA390E"/>
    <w:rsid w:val="00CA43C9"/>
    <w:rsid w:val="00CA51CF"/>
    <w:rsid w:val="00CB256A"/>
    <w:rsid w:val="00CB50D7"/>
    <w:rsid w:val="00CB7177"/>
    <w:rsid w:val="00CB7300"/>
    <w:rsid w:val="00CB7F19"/>
    <w:rsid w:val="00CC1998"/>
    <w:rsid w:val="00CC4946"/>
    <w:rsid w:val="00CC503F"/>
    <w:rsid w:val="00CD04AA"/>
    <w:rsid w:val="00CD217A"/>
    <w:rsid w:val="00CD3BFD"/>
    <w:rsid w:val="00CD6ED7"/>
    <w:rsid w:val="00CE7072"/>
    <w:rsid w:val="00CF43F2"/>
    <w:rsid w:val="00CF5432"/>
    <w:rsid w:val="00D062B1"/>
    <w:rsid w:val="00D1457D"/>
    <w:rsid w:val="00D16D2B"/>
    <w:rsid w:val="00D22AE4"/>
    <w:rsid w:val="00D266F1"/>
    <w:rsid w:val="00D26800"/>
    <w:rsid w:val="00D270A4"/>
    <w:rsid w:val="00D32A70"/>
    <w:rsid w:val="00D34E1B"/>
    <w:rsid w:val="00D36981"/>
    <w:rsid w:val="00D46EDD"/>
    <w:rsid w:val="00D47327"/>
    <w:rsid w:val="00D50496"/>
    <w:rsid w:val="00D518FE"/>
    <w:rsid w:val="00D61284"/>
    <w:rsid w:val="00D62E27"/>
    <w:rsid w:val="00D63D73"/>
    <w:rsid w:val="00D64770"/>
    <w:rsid w:val="00D66E1E"/>
    <w:rsid w:val="00D75722"/>
    <w:rsid w:val="00D761A7"/>
    <w:rsid w:val="00D80966"/>
    <w:rsid w:val="00D81D3F"/>
    <w:rsid w:val="00D83535"/>
    <w:rsid w:val="00D84E98"/>
    <w:rsid w:val="00D86B1C"/>
    <w:rsid w:val="00D86FC1"/>
    <w:rsid w:val="00D90FDA"/>
    <w:rsid w:val="00D9267F"/>
    <w:rsid w:val="00DB0EE3"/>
    <w:rsid w:val="00DB43A2"/>
    <w:rsid w:val="00DB4C48"/>
    <w:rsid w:val="00DB5302"/>
    <w:rsid w:val="00DB53EB"/>
    <w:rsid w:val="00DB5749"/>
    <w:rsid w:val="00DB5975"/>
    <w:rsid w:val="00DB67C9"/>
    <w:rsid w:val="00DC0156"/>
    <w:rsid w:val="00DC0C95"/>
    <w:rsid w:val="00DC3E68"/>
    <w:rsid w:val="00DC5013"/>
    <w:rsid w:val="00DC5200"/>
    <w:rsid w:val="00DC66FC"/>
    <w:rsid w:val="00DD2FE6"/>
    <w:rsid w:val="00DD5668"/>
    <w:rsid w:val="00DD6580"/>
    <w:rsid w:val="00DE2D11"/>
    <w:rsid w:val="00DE2D98"/>
    <w:rsid w:val="00DE31BD"/>
    <w:rsid w:val="00DE41EC"/>
    <w:rsid w:val="00DE680C"/>
    <w:rsid w:val="00DF2EE1"/>
    <w:rsid w:val="00DF33AE"/>
    <w:rsid w:val="00DF5140"/>
    <w:rsid w:val="00E0267D"/>
    <w:rsid w:val="00E0436A"/>
    <w:rsid w:val="00E11579"/>
    <w:rsid w:val="00E11FB6"/>
    <w:rsid w:val="00E1253F"/>
    <w:rsid w:val="00E147FB"/>
    <w:rsid w:val="00E14F3E"/>
    <w:rsid w:val="00E15705"/>
    <w:rsid w:val="00E17653"/>
    <w:rsid w:val="00E17C72"/>
    <w:rsid w:val="00E17FA5"/>
    <w:rsid w:val="00E224CA"/>
    <w:rsid w:val="00E25825"/>
    <w:rsid w:val="00E26B87"/>
    <w:rsid w:val="00E2713D"/>
    <w:rsid w:val="00E27305"/>
    <w:rsid w:val="00E32B82"/>
    <w:rsid w:val="00E353DC"/>
    <w:rsid w:val="00E41C4F"/>
    <w:rsid w:val="00E42F28"/>
    <w:rsid w:val="00E46AB5"/>
    <w:rsid w:val="00E51C44"/>
    <w:rsid w:val="00E652F3"/>
    <w:rsid w:val="00E669E2"/>
    <w:rsid w:val="00E66C37"/>
    <w:rsid w:val="00E72620"/>
    <w:rsid w:val="00E738EC"/>
    <w:rsid w:val="00E7479A"/>
    <w:rsid w:val="00E75D56"/>
    <w:rsid w:val="00E76135"/>
    <w:rsid w:val="00E7722F"/>
    <w:rsid w:val="00E8283D"/>
    <w:rsid w:val="00E83549"/>
    <w:rsid w:val="00E837B0"/>
    <w:rsid w:val="00E90EA5"/>
    <w:rsid w:val="00E96333"/>
    <w:rsid w:val="00E964FC"/>
    <w:rsid w:val="00E96EFA"/>
    <w:rsid w:val="00EA4EF0"/>
    <w:rsid w:val="00EA630C"/>
    <w:rsid w:val="00EA6613"/>
    <w:rsid w:val="00EA6869"/>
    <w:rsid w:val="00EB0156"/>
    <w:rsid w:val="00EC296A"/>
    <w:rsid w:val="00EC3DB0"/>
    <w:rsid w:val="00ED4A48"/>
    <w:rsid w:val="00EF0558"/>
    <w:rsid w:val="00EF6BF5"/>
    <w:rsid w:val="00EF7A43"/>
    <w:rsid w:val="00F001BD"/>
    <w:rsid w:val="00F01DBE"/>
    <w:rsid w:val="00F0416C"/>
    <w:rsid w:val="00F0488B"/>
    <w:rsid w:val="00F056FC"/>
    <w:rsid w:val="00F128BF"/>
    <w:rsid w:val="00F1298C"/>
    <w:rsid w:val="00F135D8"/>
    <w:rsid w:val="00F21B52"/>
    <w:rsid w:val="00F22EC8"/>
    <w:rsid w:val="00F24255"/>
    <w:rsid w:val="00F24356"/>
    <w:rsid w:val="00F30B72"/>
    <w:rsid w:val="00F31299"/>
    <w:rsid w:val="00F3534A"/>
    <w:rsid w:val="00F372D6"/>
    <w:rsid w:val="00F55D63"/>
    <w:rsid w:val="00F57A12"/>
    <w:rsid w:val="00F609DB"/>
    <w:rsid w:val="00F60CC3"/>
    <w:rsid w:val="00F635DD"/>
    <w:rsid w:val="00F74C16"/>
    <w:rsid w:val="00F76880"/>
    <w:rsid w:val="00F810BB"/>
    <w:rsid w:val="00F82326"/>
    <w:rsid w:val="00F85325"/>
    <w:rsid w:val="00F8719B"/>
    <w:rsid w:val="00F92544"/>
    <w:rsid w:val="00FA3097"/>
    <w:rsid w:val="00FA4696"/>
    <w:rsid w:val="00FA5076"/>
    <w:rsid w:val="00FA680D"/>
    <w:rsid w:val="00FB1155"/>
    <w:rsid w:val="00FB1575"/>
    <w:rsid w:val="00FB7327"/>
    <w:rsid w:val="00FC1197"/>
    <w:rsid w:val="00FC5306"/>
    <w:rsid w:val="00FD0FD1"/>
    <w:rsid w:val="00FD1115"/>
    <w:rsid w:val="00FD1419"/>
    <w:rsid w:val="00FD22B1"/>
    <w:rsid w:val="00FD23A3"/>
    <w:rsid w:val="00FD5CC3"/>
    <w:rsid w:val="00FD6EC6"/>
    <w:rsid w:val="00FE0C07"/>
    <w:rsid w:val="00FE464E"/>
    <w:rsid w:val="00FE727D"/>
    <w:rsid w:val="00FF0D84"/>
    <w:rsid w:val="00FF15C5"/>
    <w:rsid w:val="00FF27EE"/>
    <w:rsid w:val="00FF38FB"/>
    <w:rsid w:val="00FF4E25"/>
    <w:rsid w:val="00FF5468"/>
    <w:rsid w:val="00FF7F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81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qFormat="1"/>
    <w:lsdException w:name="Default Paragraph Font" w:uiPriority="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6756B"/>
    <w:rPr>
      <w:sz w:val="26"/>
      <w:szCs w:val="24"/>
    </w:rPr>
  </w:style>
  <w:style w:type="paragraph" w:styleId="Heading1">
    <w:name w:val="heading 1"/>
    <w:basedOn w:val="BodyText"/>
    <w:next w:val="BodyText"/>
    <w:rsid w:val="0016756B"/>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16756B"/>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16756B"/>
    <w:pPr>
      <w:spacing w:before="560" w:line="320" w:lineRule="exact"/>
      <w:ind w:left="0" w:firstLine="0"/>
      <w:outlineLvl w:val="2"/>
    </w:pPr>
    <w:rPr>
      <w:sz w:val="26"/>
    </w:rPr>
  </w:style>
  <w:style w:type="paragraph" w:styleId="Heading4">
    <w:name w:val="heading 4"/>
    <w:basedOn w:val="Heading3"/>
    <w:next w:val="BodyText"/>
    <w:link w:val="Heading4Char"/>
    <w:qFormat/>
    <w:rsid w:val="0016756B"/>
    <w:pPr>
      <w:spacing w:before="480"/>
      <w:outlineLvl w:val="3"/>
    </w:pPr>
    <w:rPr>
      <w:b w:val="0"/>
      <w:i/>
      <w:sz w:val="24"/>
    </w:rPr>
  </w:style>
  <w:style w:type="paragraph" w:styleId="Heading5">
    <w:name w:val="heading 5"/>
    <w:basedOn w:val="Heading4"/>
    <w:next w:val="BodyText"/>
    <w:qFormat/>
    <w:rsid w:val="0016756B"/>
    <w:pPr>
      <w:outlineLvl w:val="4"/>
    </w:pPr>
    <w:rPr>
      <w:rFonts w:ascii="Times New Roman" w:hAnsi="Times New Roman"/>
      <w:sz w:val="26"/>
    </w:rPr>
  </w:style>
  <w:style w:type="paragraph" w:styleId="Heading6">
    <w:name w:val="heading 6"/>
    <w:basedOn w:val="BodyText"/>
    <w:next w:val="BodyText"/>
    <w:rsid w:val="0016756B"/>
    <w:pPr>
      <w:spacing w:after="60"/>
      <w:jc w:val="left"/>
      <w:outlineLvl w:val="5"/>
    </w:pPr>
    <w:rPr>
      <w:i/>
      <w:sz w:val="22"/>
    </w:rPr>
  </w:style>
  <w:style w:type="paragraph" w:styleId="Heading7">
    <w:name w:val="heading 7"/>
    <w:basedOn w:val="BodyText"/>
    <w:next w:val="BodyText"/>
    <w:rsid w:val="0016756B"/>
    <w:pPr>
      <w:spacing w:after="60" w:line="240" w:lineRule="auto"/>
      <w:jc w:val="left"/>
      <w:outlineLvl w:val="6"/>
    </w:pPr>
    <w:rPr>
      <w:rFonts w:ascii="Arial" w:hAnsi="Arial"/>
      <w:sz w:val="20"/>
    </w:rPr>
  </w:style>
  <w:style w:type="paragraph" w:styleId="Heading8">
    <w:name w:val="heading 8"/>
    <w:basedOn w:val="BodyText"/>
    <w:next w:val="BodyText"/>
    <w:rsid w:val="0016756B"/>
    <w:pPr>
      <w:spacing w:after="60" w:line="240" w:lineRule="auto"/>
      <w:jc w:val="left"/>
      <w:outlineLvl w:val="7"/>
    </w:pPr>
    <w:rPr>
      <w:rFonts w:ascii="Arial" w:hAnsi="Arial"/>
      <w:i/>
      <w:sz w:val="20"/>
    </w:rPr>
  </w:style>
  <w:style w:type="paragraph" w:styleId="Heading9">
    <w:name w:val="heading 9"/>
    <w:basedOn w:val="BodyText"/>
    <w:next w:val="BodyText"/>
    <w:rsid w:val="0016756B"/>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675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756B"/>
  </w:style>
  <w:style w:type="paragraph" w:styleId="BodyText">
    <w:name w:val="Body Text"/>
    <w:link w:val="BodyTextChar"/>
    <w:qFormat/>
    <w:rsid w:val="0016756B"/>
    <w:pPr>
      <w:spacing w:before="240" w:line="320" w:lineRule="atLeast"/>
      <w:jc w:val="both"/>
    </w:pPr>
    <w:rPr>
      <w:sz w:val="26"/>
    </w:rPr>
  </w:style>
  <w:style w:type="paragraph" w:styleId="Footer">
    <w:name w:val="footer"/>
    <w:basedOn w:val="BodyText"/>
    <w:semiHidden/>
    <w:rsid w:val="0016756B"/>
    <w:pPr>
      <w:spacing w:before="80" w:line="200" w:lineRule="exact"/>
      <w:ind w:right="6"/>
      <w:jc w:val="left"/>
    </w:pPr>
    <w:rPr>
      <w:caps/>
      <w:spacing w:val="-4"/>
      <w:sz w:val="16"/>
    </w:rPr>
  </w:style>
  <w:style w:type="paragraph" w:customStyle="1" w:styleId="FooterEnd">
    <w:name w:val="Footer End"/>
    <w:basedOn w:val="Footer"/>
    <w:rsid w:val="0016756B"/>
    <w:pPr>
      <w:spacing w:before="0" w:line="20" w:lineRule="exact"/>
    </w:pPr>
  </w:style>
  <w:style w:type="paragraph" w:styleId="Header">
    <w:name w:val="header"/>
    <w:basedOn w:val="BodyText"/>
    <w:rsid w:val="0016756B"/>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6756B"/>
    <w:pPr>
      <w:spacing w:line="20" w:lineRule="exact"/>
    </w:pPr>
    <w:rPr>
      <w:sz w:val="16"/>
    </w:rPr>
  </w:style>
  <w:style w:type="paragraph" w:customStyle="1" w:styleId="HeaderEven">
    <w:name w:val="Header Even"/>
    <w:basedOn w:val="Header"/>
    <w:semiHidden/>
    <w:rsid w:val="0016756B"/>
  </w:style>
  <w:style w:type="paragraph" w:customStyle="1" w:styleId="HeaderOdd">
    <w:name w:val="Header Odd"/>
    <w:basedOn w:val="Header"/>
    <w:semiHidden/>
    <w:rsid w:val="0016756B"/>
  </w:style>
  <w:style w:type="character" w:styleId="PageNumber">
    <w:name w:val="page number"/>
    <w:basedOn w:val="DefaultParagraphFont"/>
    <w:rsid w:val="0016756B"/>
    <w:rPr>
      <w:rFonts w:ascii="Arial" w:hAnsi="Arial"/>
      <w:b/>
      <w:sz w:val="16"/>
    </w:rPr>
  </w:style>
  <w:style w:type="paragraph" w:customStyle="1" w:styleId="Abbreviation">
    <w:name w:val="Abbreviation"/>
    <w:basedOn w:val="BodyText"/>
    <w:rsid w:val="0016756B"/>
    <w:pPr>
      <w:spacing w:before="120"/>
      <w:ind w:left="2381" w:hanging="2381"/>
      <w:jc w:val="left"/>
    </w:pPr>
  </w:style>
  <w:style w:type="paragraph" w:customStyle="1" w:styleId="Box">
    <w:name w:val="Box"/>
    <w:basedOn w:val="BodyText"/>
    <w:qFormat/>
    <w:rsid w:val="0016756B"/>
    <w:pPr>
      <w:keepNext/>
      <w:spacing w:before="120" w:line="280" w:lineRule="atLeast"/>
    </w:pPr>
    <w:rPr>
      <w:rFonts w:ascii="Arial" w:hAnsi="Arial"/>
      <w:sz w:val="22"/>
    </w:rPr>
  </w:style>
  <w:style w:type="paragraph" w:customStyle="1" w:styleId="BoxContinued">
    <w:name w:val="Box Continued"/>
    <w:basedOn w:val="BodyText"/>
    <w:next w:val="BodyText"/>
    <w:semiHidden/>
    <w:rsid w:val="0016756B"/>
    <w:pPr>
      <w:spacing w:before="180" w:line="220" w:lineRule="exact"/>
      <w:jc w:val="right"/>
    </w:pPr>
    <w:rPr>
      <w:rFonts w:ascii="Arial" w:hAnsi="Arial"/>
      <w:sz w:val="18"/>
    </w:rPr>
  </w:style>
  <w:style w:type="paragraph" w:customStyle="1" w:styleId="BoxHeading1">
    <w:name w:val="Box Heading 1"/>
    <w:basedOn w:val="BodyText"/>
    <w:next w:val="Box"/>
    <w:rsid w:val="0016756B"/>
    <w:pPr>
      <w:keepNext/>
      <w:spacing w:before="200" w:line="280" w:lineRule="atLeast"/>
    </w:pPr>
    <w:rPr>
      <w:rFonts w:ascii="Arial" w:hAnsi="Arial"/>
      <w:b/>
      <w:sz w:val="22"/>
    </w:rPr>
  </w:style>
  <w:style w:type="paragraph" w:customStyle="1" w:styleId="BoxHeading2">
    <w:name w:val="Box Heading 2"/>
    <w:basedOn w:val="BoxHeading1"/>
    <w:next w:val="Normal"/>
    <w:rsid w:val="0016756B"/>
    <w:rPr>
      <w:b w:val="0"/>
      <w:i/>
    </w:rPr>
  </w:style>
  <w:style w:type="paragraph" w:customStyle="1" w:styleId="BoxListBullet">
    <w:name w:val="Box List Bullet"/>
    <w:basedOn w:val="BodyText"/>
    <w:link w:val="BoxListBulletChar"/>
    <w:rsid w:val="0016756B"/>
    <w:pPr>
      <w:keepNext/>
      <w:numPr>
        <w:numId w:val="1"/>
      </w:numPr>
      <w:spacing w:before="60" w:line="280" w:lineRule="atLeast"/>
    </w:pPr>
    <w:rPr>
      <w:rFonts w:ascii="Arial" w:hAnsi="Arial"/>
      <w:sz w:val="22"/>
    </w:rPr>
  </w:style>
  <w:style w:type="paragraph" w:customStyle="1" w:styleId="BoxListBullet2">
    <w:name w:val="Box List Bullet 2"/>
    <w:basedOn w:val="BodyText"/>
    <w:rsid w:val="0016756B"/>
    <w:pPr>
      <w:keepNext/>
      <w:numPr>
        <w:numId w:val="2"/>
      </w:numPr>
      <w:spacing w:before="60" w:line="280" w:lineRule="atLeast"/>
    </w:pPr>
    <w:rPr>
      <w:rFonts w:ascii="Arial" w:hAnsi="Arial"/>
      <w:sz w:val="22"/>
    </w:rPr>
  </w:style>
  <w:style w:type="paragraph" w:customStyle="1" w:styleId="BoxListNumber">
    <w:name w:val="Box List Number"/>
    <w:basedOn w:val="BodyText"/>
    <w:rsid w:val="0016756B"/>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16756B"/>
    <w:pPr>
      <w:numPr>
        <w:ilvl w:val="1"/>
      </w:numPr>
    </w:pPr>
  </w:style>
  <w:style w:type="paragraph" w:customStyle="1" w:styleId="BoxQuote">
    <w:name w:val="Box Quote"/>
    <w:basedOn w:val="BodyText"/>
    <w:next w:val="Box"/>
    <w:rsid w:val="0016756B"/>
    <w:pPr>
      <w:keepNext/>
      <w:spacing w:before="60" w:line="260" w:lineRule="exact"/>
      <w:ind w:left="284"/>
    </w:pPr>
    <w:rPr>
      <w:rFonts w:ascii="Arial" w:hAnsi="Arial"/>
      <w:sz w:val="20"/>
    </w:rPr>
  </w:style>
  <w:style w:type="paragraph" w:customStyle="1" w:styleId="Note">
    <w:name w:val="Note"/>
    <w:basedOn w:val="BodyText"/>
    <w:next w:val="BodyText"/>
    <w:rsid w:val="0016756B"/>
    <w:pPr>
      <w:keepLines/>
      <w:spacing w:before="80" w:line="220" w:lineRule="exact"/>
    </w:pPr>
    <w:rPr>
      <w:rFonts w:ascii="Arial" w:hAnsi="Arial"/>
      <w:sz w:val="18"/>
    </w:rPr>
  </w:style>
  <w:style w:type="paragraph" w:customStyle="1" w:styleId="Source">
    <w:name w:val="Source"/>
    <w:basedOn w:val="Note"/>
    <w:next w:val="BodyText"/>
    <w:rsid w:val="0016756B"/>
    <w:pPr>
      <w:spacing w:after="120"/>
    </w:pPr>
  </w:style>
  <w:style w:type="paragraph" w:customStyle="1" w:styleId="BoxSource">
    <w:name w:val="Box Source"/>
    <w:basedOn w:val="Source"/>
    <w:next w:val="BodyText"/>
    <w:rsid w:val="0016756B"/>
    <w:pPr>
      <w:spacing w:before="180" w:after="0"/>
    </w:pPr>
  </w:style>
  <w:style w:type="paragraph" w:customStyle="1" w:styleId="BoxSpace">
    <w:name w:val="Box Space"/>
    <w:basedOn w:val="BodyText"/>
    <w:rsid w:val="00614606"/>
    <w:pPr>
      <w:keepNext/>
      <w:spacing w:before="360" w:line="80" w:lineRule="exact"/>
      <w:jc w:val="left"/>
    </w:pPr>
  </w:style>
  <w:style w:type="paragraph" w:styleId="Caption">
    <w:name w:val="caption"/>
    <w:basedOn w:val="Normal"/>
    <w:next w:val="BodyText"/>
    <w:rsid w:val="0016756B"/>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16756B"/>
    <w:pPr>
      <w:spacing w:before="120" w:after="0"/>
      <w:ind w:left="1304" w:hanging="1304"/>
    </w:pPr>
    <w:rPr>
      <w:sz w:val="24"/>
    </w:rPr>
  </w:style>
  <w:style w:type="paragraph" w:customStyle="1" w:styleId="BoxSubtitle">
    <w:name w:val="Box Subtitle"/>
    <w:basedOn w:val="BoxTitle"/>
    <w:next w:val="Normal"/>
    <w:rsid w:val="0016756B"/>
    <w:pPr>
      <w:spacing w:after="80" w:line="200" w:lineRule="exact"/>
      <w:ind w:firstLine="0"/>
    </w:pPr>
    <w:rPr>
      <w:b w:val="0"/>
      <w:sz w:val="20"/>
    </w:rPr>
  </w:style>
  <w:style w:type="paragraph" w:customStyle="1" w:styleId="Chapter">
    <w:name w:val="Chapter"/>
    <w:basedOn w:val="Heading1"/>
    <w:next w:val="BodyText"/>
    <w:semiHidden/>
    <w:rsid w:val="0016756B"/>
    <w:pPr>
      <w:ind w:left="0" w:firstLine="0"/>
      <w:outlineLvl w:val="9"/>
    </w:pPr>
  </w:style>
  <w:style w:type="paragraph" w:customStyle="1" w:styleId="ChapterSummary">
    <w:name w:val="Chapter Summary"/>
    <w:basedOn w:val="BodyText"/>
    <w:rsid w:val="0016756B"/>
    <w:pPr>
      <w:ind w:left="907"/>
    </w:pPr>
    <w:rPr>
      <w:rFonts w:ascii="Arial" w:hAnsi="Arial"/>
      <w:b/>
      <w:sz w:val="22"/>
    </w:rPr>
  </w:style>
  <w:style w:type="character" w:styleId="CommentReference">
    <w:name w:val="annotation reference"/>
    <w:basedOn w:val="DefaultParagraphFont"/>
    <w:semiHidden/>
    <w:rsid w:val="0016756B"/>
    <w:rPr>
      <w:b/>
      <w:vanish/>
      <w:color w:val="FF00FF"/>
      <w:sz w:val="20"/>
    </w:rPr>
  </w:style>
  <w:style w:type="paragraph" w:styleId="CommentText">
    <w:name w:val="annotation text"/>
    <w:basedOn w:val="Normal"/>
    <w:semiHidden/>
    <w:rsid w:val="0016756B"/>
    <w:pPr>
      <w:spacing w:before="120" w:line="240" w:lineRule="atLeast"/>
      <w:ind w:left="567" w:hanging="567"/>
    </w:pPr>
    <w:rPr>
      <w:sz w:val="20"/>
    </w:rPr>
  </w:style>
  <w:style w:type="paragraph" w:customStyle="1" w:styleId="Continued">
    <w:name w:val="Continued"/>
    <w:basedOn w:val="BoxContinued"/>
    <w:next w:val="BodyText"/>
    <w:rsid w:val="0016756B"/>
  </w:style>
  <w:style w:type="character" w:customStyle="1" w:styleId="DocumentInfo">
    <w:name w:val="Document Info"/>
    <w:basedOn w:val="DefaultParagraphFont"/>
    <w:semiHidden/>
    <w:rsid w:val="0016756B"/>
    <w:rPr>
      <w:rFonts w:ascii="Arial" w:hAnsi="Arial"/>
      <w:sz w:val="14"/>
    </w:rPr>
  </w:style>
  <w:style w:type="character" w:customStyle="1" w:styleId="DraftingNote">
    <w:name w:val="Drafting Note"/>
    <w:basedOn w:val="DefaultParagraphFont"/>
    <w:rsid w:val="0016756B"/>
    <w:rPr>
      <w:b/>
      <w:color w:val="FF0000"/>
      <w:sz w:val="24"/>
      <w:u w:val="dotted"/>
    </w:rPr>
  </w:style>
  <w:style w:type="paragraph" w:customStyle="1" w:styleId="Figure">
    <w:name w:val="Figure"/>
    <w:basedOn w:val="BodyText"/>
    <w:rsid w:val="0016756B"/>
    <w:pPr>
      <w:keepNext/>
      <w:spacing w:before="120" w:after="120" w:line="240" w:lineRule="atLeast"/>
      <w:jc w:val="center"/>
    </w:pPr>
  </w:style>
  <w:style w:type="paragraph" w:customStyle="1" w:styleId="FigureTitle">
    <w:name w:val="Figure Title"/>
    <w:basedOn w:val="Caption"/>
    <w:next w:val="Subtitle"/>
    <w:rsid w:val="0016756B"/>
    <w:rPr>
      <w:sz w:val="24"/>
    </w:rPr>
  </w:style>
  <w:style w:type="paragraph" w:styleId="Subtitle">
    <w:name w:val="Subtitle"/>
    <w:basedOn w:val="Caption"/>
    <w:link w:val="SubtitleChar"/>
    <w:rsid w:val="0016756B"/>
    <w:pPr>
      <w:spacing w:before="0" w:line="200" w:lineRule="exact"/>
      <w:ind w:firstLine="0"/>
    </w:pPr>
    <w:rPr>
      <w:b w:val="0"/>
      <w:sz w:val="20"/>
    </w:rPr>
  </w:style>
  <w:style w:type="paragraph" w:customStyle="1" w:styleId="Finding">
    <w:name w:val="Finding"/>
    <w:basedOn w:val="BodyText"/>
    <w:rsid w:val="0016756B"/>
    <w:pPr>
      <w:keepLines/>
      <w:spacing w:before="180"/>
    </w:pPr>
    <w:rPr>
      <w:i/>
    </w:rPr>
  </w:style>
  <w:style w:type="paragraph" w:customStyle="1" w:styleId="FindingBullet">
    <w:name w:val="Finding Bullet"/>
    <w:basedOn w:val="Finding"/>
    <w:rsid w:val="0016756B"/>
    <w:pPr>
      <w:numPr>
        <w:numId w:val="3"/>
      </w:numPr>
      <w:spacing w:before="80"/>
    </w:pPr>
  </w:style>
  <w:style w:type="paragraph" w:customStyle="1" w:styleId="FindingNoTitle">
    <w:name w:val="Finding NoTitle"/>
    <w:basedOn w:val="Finding"/>
    <w:rsid w:val="0016756B"/>
    <w:pPr>
      <w:spacing w:before="240"/>
    </w:pPr>
  </w:style>
  <w:style w:type="paragraph" w:customStyle="1" w:styleId="RecTitle">
    <w:name w:val="Rec Title"/>
    <w:basedOn w:val="BodyText"/>
    <w:next w:val="Normal"/>
    <w:rsid w:val="0016756B"/>
    <w:pPr>
      <w:keepNext/>
      <w:keepLines/>
    </w:pPr>
    <w:rPr>
      <w:caps/>
      <w:sz w:val="20"/>
    </w:rPr>
  </w:style>
  <w:style w:type="paragraph" w:customStyle="1" w:styleId="FindingTitle">
    <w:name w:val="Finding Title"/>
    <w:basedOn w:val="RecTitle"/>
    <w:next w:val="Finding"/>
    <w:rsid w:val="0016756B"/>
    <w:pPr>
      <w:framePr w:wrap="notBeside" w:hAnchor="text"/>
    </w:pPr>
  </w:style>
  <w:style w:type="character" w:styleId="FootnoteReference">
    <w:name w:val="footnote reference"/>
    <w:basedOn w:val="DefaultParagraphFont"/>
    <w:semiHidden/>
    <w:rsid w:val="0016756B"/>
    <w:rPr>
      <w:rFonts w:ascii="Times New Roman" w:hAnsi="Times New Roman"/>
      <w:position w:val="6"/>
      <w:sz w:val="22"/>
      <w:vertAlign w:val="baseline"/>
    </w:rPr>
  </w:style>
  <w:style w:type="paragraph" w:styleId="FootnoteText">
    <w:name w:val="footnote text"/>
    <w:basedOn w:val="BodyText"/>
    <w:rsid w:val="0016756B"/>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16756B"/>
    <w:pPr>
      <w:spacing w:before="360" w:after="120"/>
    </w:pPr>
    <w:rPr>
      <w:rFonts w:ascii="Arial" w:hAnsi="Arial"/>
      <w:sz w:val="24"/>
    </w:rPr>
  </w:style>
  <w:style w:type="paragraph" w:customStyle="1" w:styleId="Jurisdictioncommentsbodytext">
    <w:name w:val="Jurisdiction comments body text"/>
    <w:rsid w:val="0016756B"/>
    <w:pPr>
      <w:spacing w:after="140"/>
      <w:jc w:val="both"/>
    </w:pPr>
    <w:rPr>
      <w:rFonts w:ascii="Arial" w:hAnsi="Arial"/>
      <w:sz w:val="24"/>
      <w:lang w:eastAsia="en-US"/>
    </w:rPr>
  </w:style>
  <w:style w:type="paragraph" w:customStyle="1" w:styleId="Jurisdictioncommentsheading">
    <w:name w:val="Jurisdiction comments heading"/>
    <w:rsid w:val="0016756B"/>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6756B"/>
    <w:pPr>
      <w:numPr>
        <w:numId w:val="4"/>
      </w:numPr>
      <w:spacing w:after="140"/>
      <w:jc w:val="both"/>
    </w:pPr>
    <w:rPr>
      <w:rFonts w:ascii="Arial" w:hAnsi="Arial"/>
      <w:sz w:val="24"/>
      <w:lang w:eastAsia="en-US"/>
    </w:rPr>
  </w:style>
  <w:style w:type="paragraph" w:styleId="ListBullet">
    <w:name w:val="List Bullet"/>
    <w:basedOn w:val="BodyText"/>
    <w:rsid w:val="0016756B"/>
    <w:pPr>
      <w:numPr>
        <w:numId w:val="5"/>
      </w:numPr>
      <w:spacing w:before="120"/>
    </w:pPr>
  </w:style>
  <w:style w:type="paragraph" w:styleId="ListBullet2">
    <w:name w:val="List Bullet 2"/>
    <w:basedOn w:val="BodyText"/>
    <w:rsid w:val="0016756B"/>
    <w:pPr>
      <w:numPr>
        <w:numId w:val="6"/>
      </w:numPr>
      <w:spacing w:before="120"/>
    </w:pPr>
  </w:style>
  <w:style w:type="paragraph" w:styleId="ListBullet3">
    <w:name w:val="List Bullet 3"/>
    <w:basedOn w:val="BodyText"/>
    <w:rsid w:val="0016756B"/>
    <w:pPr>
      <w:numPr>
        <w:numId w:val="7"/>
      </w:numPr>
      <w:spacing w:before="120"/>
    </w:pPr>
  </w:style>
  <w:style w:type="paragraph" w:styleId="ListNumber">
    <w:name w:val="List Number"/>
    <w:basedOn w:val="BodyText"/>
    <w:rsid w:val="0016756B"/>
    <w:pPr>
      <w:numPr>
        <w:numId w:val="13"/>
      </w:numPr>
      <w:spacing w:before="120"/>
    </w:pPr>
  </w:style>
  <w:style w:type="paragraph" w:styleId="ListNumber2">
    <w:name w:val="List Number 2"/>
    <w:basedOn w:val="ListNumber"/>
    <w:rsid w:val="0016756B"/>
    <w:pPr>
      <w:numPr>
        <w:ilvl w:val="1"/>
      </w:numPr>
    </w:pPr>
  </w:style>
  <w:style w:type="paragraph" w:styleId="ListNumber3">
    <w:name w:val="List Number 3"/>
    <w:basedOn w:val="ListNumber2"/>
    <w:rsid w:val="0016756B"/>
    <w:pPr>
      <w:numPr>
        <w:ilvl w:val="2"/>
      </w:numPr>
    </w:pPr>
  </w:style>
  <w:style w:type="character" w:customStyle="1" w:styleId="NoteLabel">
    <w:name w:val="Note Label"/>
    <w:basedOn w:val="DefaultParagraphFont"/>
    <w:rsid w:val="0016756B"/>
    <w:rPr>
      <w:rFonts w:ascii="Arial" w:hAnsi="Arial"/>
      <w:b/>
      <w:position w:val="6"/>
      <w:sz w:val="18"/>
    </w:rPr>
  </w:style>
  <w:style w:type="paragraph" w:customStyle="1" w:styleId="PartDivider">
    <w:name w:val="Part Divider"/>
    <w:basedOn w:val="BodyText"/>
    <w:next w:val="BodyText"/>
    <w:semiHidden/>
    <w:rsid w:val="0016756B"/>
    <w:pPr>
      <w:spacing w:before="0" w:line="40" w:lineRule="exact"/>
      <w:jc w:val="right"/>
    </w:pPr>
    <w:rPr>
      <w:smallCaps/>
      <w:sz w:val="16"/>
    </w:rPr>
  </w:style>
  <w:style w:type="paragraph" w:customStyle="1" w:styleId="PartNumber">
    <w:name w:val="Part Number"/>
    <w:basedOn w:val="BodyText"/>
    <w:next w:val="BodyText"/>
    <w:semiHidden/>
    <w:rsid w:val="0016756B"/>
    <w:pPr>
      <w:spacing w:before="4000" w:line="320" w:lineRule="exact"/>
      <w:ind w:left="6634"/>
      <w:jc w:val="right"/>
    </w:pPr>
    <w:rPr>
      <w:smallCaps/>
      <w:spacing w:val="60"/>
      <w:sz w:val="32"/>
    </w:rPr>
  </w:style>
  <w:style w:type="paragraph" w:customStyle="1" w:styleId="PartTitle">
    <w:name w:val="Part Title"/>
    <w:basedOn w:val="BodyText"/>
    <w:semiHidden/>
    <w:rsid w:val="0016756B"/>
    <w:pPr>
      <w:spacing w:before="160" w:after="1360" w:line="520" w:lineRule="exact"/>
      <w:ind w:right="2381"/>
      <w:jc w:val="right"/>
    </w:pPr>
    <w:rPr>
      <w:smallCaps/>
      <w:sz w:val="52"/>
    </w:rPr>
  </w:style>
  <w:style w:type="paragraph" w:styleId="Quote">
    <w:name w:val="Quote"/>
    <w:basedOn w:val="BodyText"/>
    <w:next w:val="BodyText"/>
    <w:qFormat/>
    <w:rsid w:val="0016756B"/>
    <w:pPr>
      <w:spacing w:before="120" w:line="280" w:lineRule="exact"/>
      <w:ind w:left="340"/>
    </w:pPr>
    <w:rPr>
      <w:sz w:val="24"/>
    </w:rPr>
  </w:style>
  <w:style w:type="paragraph" w:customStyle="1" w:styleId="QuoteBullet">
    <w:name w:val="Quote Bullet"/>
    <w:basedOn w:val="Quote"/>
    <w:rsid w:val="0016756B"/>
    <w:pPr>
      <w:numPr>
        <w:numId w:val="8"/>
      </w:numPr>
    </w:pPr>
  </w:style>
  <w:style w:type="paragraph" w:customStyle="1" w:styleId="Rec">
    <w:name w:val="Rec"/>
    <w:basedOn w:val="BodyText"/>
    <w:rsid w:val="0016756B"/>
    <w:pPr>
      <w:keepLines/>
      <w:spacing w:before="180"/>
    </w:pPr>
    <w:rPr>
      <w:b/>
      <w:i/>
    </w:rPr>
  </w:style>
  <w:style w:type="paragraph" w:customStyle="1" w:styleId="RecBullet">
    <w:name w:val="Rec Bullet"/>
    <w:basedOn w:val="Rec"/>
    <w:rsid w:val="0016756B"/>
    <w:pPr>
      <w:numPr>
        <w:numId w:val="9"/>
      </w:numPr>
      <w:spacing w:before="80"/>
    </w:pPr>
  </w:style>
  <w:style w:type="paragraph" w:customStyle="1" w:styleId="RecB">
    <w:name w:val="RecB"/>
    <w:basedOn w:val="Normal"/>
    <w:rsid w:val="0016756B"/>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6756B"/>
    <w:pPr>
      <w:numPr>
        <w:numId w:val="10"/>
      </w:numPr>
      <w:spacing w:before="80"/>
    </w:pPr>
  </w:style>
  <w:style w:type="paragraph" w:customStyle="1" w:styleId="RecBNoTitle">
    <w:name w:val="RecB NoTitle"/>
    <w:basedOn w:val="RecB"/>
    <w:rsid w:val="0016756B"/>
    <w:pPr>
      <w:spacing w:before="240"/>
    </w:pPr>
  </w:style>
  <w:style w:type="paragraph" w:customStyle="1" w:styleId="Reference">
    <w:name w:val="Reference"/>
    <w:basedOn w:val="BodyText"/>
    <w:rsid w:val="0016756B"/>
    <w:pPr>
      <w:spacing w:before="120"/>
      <w:ind w:left="340" w:hanging="340"/>
    </w:pPr>
  </w:style>
  <w:style w:type="paragraph" w:customStyle="1" w:styleId="SequenceInfo">
    <w:name w:val="Sequence Info"/>
    <w:basedOn w:val="BodyText"/>
    <w:semiHidden/>
    <w:rsid w:val="0016756B"/>
    <w:rPr>
      <w:vanish/>
      <w:sz w:val="16"/>
    </w:rPr>
  </w:style>
  <w:style w:type="paragraph" w:customStyle="1" w:styleId="SideNote">
    <w:name w:val="Side Note"/>
    <w:basedOn w:val="BodyText"/>
    <w:next w:val="BodyText"/>
    <w:semiHidden/>
    <w:rsid w:val="0016756B"/>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16756B"/>
    <w:pPr>
      <w:framePr w:wrap="around"/>
      <w:numPr>
        <w:numId w:val="11"/>
      </w:numPr>
      <w:tabs>
        <w:tab w:val="left" w:pos="227"/>
      </w:tabs>
    </w:pPr>
  </w:style>
  <w:style w:type="paragraph" w:customStyle="1" w:styleId="SideNoteGraphic">
    <w:name w:val="Side Note Graphic"/>
    <w:basedOn w:val="SideNote"/>
    <w:next w:val="BodyText"/>
    <w:semiHidden/>
    <w:rsid w:val="0016756B"/>
    <w:pPr>
      <w:framePr w:wrap="around"/>
    </w:pPr>
  </w:style>
  <w:style w:type="paragraph" w:customStyle="1" w:styleId="TableBodyText">
    <w:name w:val="Table Body Text"/>
    <w:basedOn w:val="BodyText"/>
    <w:rsid w:val="0016756B"/>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16756B"/>
    <w:pPr>
      <w:numPr>
        <w:numId w:val="12"/>
      </w:numPr>
      <w:jc w:val="left"/>
    </w:pPr>
  </w:style>
  <w:style w:type="paragraph" w:customStyle="1" w:styleId="TableColumnHeading">
    <w:name w:val="Table Column Heading"/>
    <w:basedOn w:val="TableBodyText"/>
    <w:rsid w:val="0016756B"/>
    <w:pPr>
      <w:spacing w:before="80" w:after="80"/>
    </w:pPr>
    <w:rPr>
      <w:i/>
    </w:rPr>
  </w:style>
  <w:style w:type="paragraph" w:styleId="TOC2">
    <w:name w:val="toc 2"/>
    <w:basedOn w:val="BodyText"/>
    <w:rsid w:val="0016756B"/>
    <w:pPr>
      <w:tabs>
        <w:tab w:val="right" w:pos="8789"/>
      </w:tabs>
      <w:ind w:left="510" w:right="851" w:hanging="510"/>
      <w:jc w:val="left"/>
    </w:pPr>
    <w:rPr>
      <w:b/>
    </w:rPr>
  </w:style>
  <w:style w:type="paragraph" w:styleId="TOC3">
    <w:name w:val="toc 3"/>
    <w:basedOn w:val="TOC2"/>
    <w:semiHidden/>
    <w:rsid w:val="0016756B"/>
    <w:pPr>
      <w:spacing w:before="60"/>
      <w:ind w:left="1190" w:hanging="680"/>
    </w:pPr>
    <w:rPr>
      <w:b w:val="0"/>
    </w:rPr>
  </w:style>
  <w:style w:type="paragraph" w:styleId="TableofFigures">
    <w:name w:val="table of figures"/>
    <w:basedOn w:val="TOC3"/>
    <w:next w:val="BodyText"/>
    <w:rsid w:val="0016756B"/>
    <w:pPr>
      <w:ind w:left="737" w:hanging="737"/>
    </w:pPr>
  </w:style>
  <w:style w:type="paragraph" w:customStyle="1" w:styleId="TableTitle">
    <w:name w:val="Table Title"/>
    <w:basedOn w:val="Caption"/>
    <w:next w:val="Subtitle"/>
    <w:rsid w:val="0016756B"/>
    <w:rPr>
      <w:sz w:val="24"/>
    </w:rPr>
  </w:style>
  <w:style w:type="paragraph" w:customStyle="1" w:styleId="TableUnitsRow">
    <w:name w:val="Table Units Row"/>
    <w:basedOn w:val="TableBodyText"/>
    <w:rsid w:val="0016756B"/>
    <w:pPr>
      <w:spacing w:before="80" w:after="80"/>
    </w:pPr>
  </w:style>
  <w:style w:type="paragraph" w:styleId="TOC1">
    <w:name w:val="toc 1"/>
    <w:basedOn w:val="Normal"/>
    <w:next w:val="TOC2"/>
    <w:semiHidden/>
    <w:rsid w:val="0016756B"/>
    <w:pPr>
      <w:tabs>
        <w:tab w:val="right" w:pos="8789"/>
      </w:tabs>
      <w:spacing w:before="480" w:after="60" w:line="320" w:lineRule="exact"/>
      <w:ind w:left="1191" w:right="851" w:hanging="1191"/>
    </w:pPr>
    <w:rPr>
      <w:b/>
      <w:caps/>
    </w:rPr>
  </w:style>
  <w:style w:type="paragraph" w:styleId="TOC4">
    <w:name w:val="toc 4"/>
    <w:basedOn w:val="TOC3"/>
    <w:semiHidden/>
    <w:rsid w:val="0016756B"/>
    <w:pPr>
      <w:ind w:left="1191" w:firstLine="0"/>
    </w:pPr>
  </w:style>
  <w:style w:type="character" w:styleId="Hyperlink">
    <w:name w:val="Hyperlink"/>
    <w:basedOn w:val="DefaultParagraphFont"/>
    <w:uiPriority w:val="99"/>
    <w:rsid w:val="00DE2D11"/>
    <w:rPr>
      <w:color w:val="0000FF"/>
      <w:u w:val="single"/>
    </w:rPr>
  </w:style>
  <w:style w:type="paragraph" w:styleId="BalloonText">
    <w:name w:val="Balloon Text"/>
    <w:basedOn w:val="Normal"/>
    <w:link w:val="BalloonTextChar"/>
    <w:rsid w:val="0016756B"/>
    <w:rPr>
      <w:rFonts w:ascii="Tahoma" w:hAnsi="Tahoma" w:cs="Tahoma"/>
      <w:sz w:val="16"/>
      <w:szCs w:val="16"/>
    </w:rPr>
  </w:style>
  <w:style w:type="table" w:styleId="TableGrid">
    <w:name w:val="Table Grid"/>
    <w:basedOn w:val="TableNormal"/>
    <w:rsid w:val="00DE2D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DE2D11"/>
    <w:rPr>
      <w:color w:val="800080"/>
      <w:u w:val="single"/>
    </w:rPr>
  </w:style>
  <w:style w:type="paragraph" w:styleId="CommentSubject">
    <w:name w:val="annotation subject"/>
    <w:basedOn w:val="CommentText"/>
    <w:next w:val="CommentText"/>
    <w:semiHidden/>
    <w:rsid w:val="00DE2D11"/>
    <w:pPr>
      <w:spacing w:before="0" w:line="240" w:lineRule="auto"/>
      <w:ind w:left="0" w:firstLine="0"/>
    </w:pPr>
    <w:rPr>
      <w:b/>
      <w:bCs/>
      <w:szCs w:val="20"/>
    </w:rPr>
  </w:style>
  <w:style w:type="character" w:customStyle="1" w:styleId="style1">
    <w:name w:val="style1"/>
    <w:basedOn w:val="DefaultParagraphFont"/>
    <w:rsid w:val="00DE2D11"/>
  </w:style>
  <w:style w:type="character" w:customStyle="1" w:styleId="meta-prepmeta-prep-author">
    <w:name w:val="meta-prep meta-prep-author"/>
    <w:basedOn w:val="DefaultParagraphFont"/>
    <w:rsid w:val="00DE2D11"/>
  </w:style>
  <w:style w:type="character" w:customStyle="1" w:styleId="entry-date">
    <w:name w:val="entry-date"/>
    <w:basedOn w:val="DefaultParagraphFont"/>
    <w:rsid w:val="00DE2D11"/>
  </w:style>
  <w:style w:type="paragraph" w:customStyle="1" w:styleId="RecBBullet2">
    <w:name w:val="RecB Bullet 2"/>
    <w:basedOn w:val="ListBullet2"/>
    <w:semiHidden/>
    <w:rsid w:val="0016756B"/>
    <w:pPr>
      <w:pBdr>
        <w:left w:val="single" w:sz="24" w:space="29" w:color="C0C0C0"/>
      </w:pBdr>
    </w:pPr>
    <w:rPr>
      <w:b/>
      <w:i/>
    </w:rPr>
  </w:style>
  <w:style w:type="character" w:customStyle="1" w:styleId="BalloonTextChar">
    <w:name w:val="Balloon Text Char"/>
    <w:basedOn w:val="DefaultParagraphFont"/>
    <w:link w:val="BalloonText"/>
    <w:rsid w:val="0016756B"/>
    <w:rPr>
      <w:rFonts w:ascii="Tahoma" w:hAnsi="Tahoma" w:cs="Tahoma"/>
      <w:sz w:val="16"/>
      <w:szCs w:val="16"/>
    </w:rPr>
  </w:style>
  <w:style w:type="character" w:customStyle="1" w:styleId="SubtitleChar">
    <w:name w:val="Subtitle Char"/>
    <w:basedOn w:val="DefaultParagraphFont"/>
    <w:link w:val="Subtitle"/>
    <w:rsid w:val="0016756B"/>
    <w:rPr>
      <w:rFonts w:ascii="Arial" w:hAnsi="Arial"/>
      <w:szCs w:val="24"/>
    </w:rPr>
  </w:style>
  <w:style w:type="paragraph" w:customStyle="1" w:styleId="BoxListBullet3">
    <w:name w:val="Box List Bullet 3"/>
    <w:basedOn w:val="ListBullet3"/>
    <w:rsid w:val="0016756B"/>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16756B"/>
    <w:rPr>
      <w:i/>
      <w:iCs/>
    </w:rPr>
  </w:style>
  <w:style w:type="paragraph" w:customStyle="1" w:styleId="BoxQuoteBullet">
    <w:name w:val="Box Quote Bullet"/>
    <w:basedOn w:val="BoxQuote"/>
    <w:next w:val="Box"/>
    <w:rsid w:val="0016756B"/>
    <w:pPr>
      <w:numPr>
        <w:numId w:val="15"/>
      </w:numPr>
      <w:ind w:left="568" w:hanging="284"/>
    </w:pPr>
  </w:style>
  <w:style w:type="paragraph" w:customStyle="1" w:styleId="InformationRequestBullet">
    <w:name w:val="Information Request Bullet"/>
    <w:basedOn w:val="ListBullet"/>
    <w:next w:val="BodyText"/>
    <w:rsid w:val="0016756B"/>
    <w:pPr>
      <w:numPr>
        <w:numId w:val="16"/>
      </w:numPr>
      <w:ind w:left="340" w:hanging="340"/>
    </w:pPr>
    <w:rPr>
      <w:rFonts w:ascii="Arial" w:hAnsi="Arial"/>
      <w:i/>
      <w:sz w:val="24"/>
    </w:rPr>
  </w:style>
  <w:style w:type="character" w:customStyle="1" w:styleId="BodyTextChar">
    <w:name w:val="Body Text Char"/>
    <w:basedOn w:val="DefaultParagraphFont"/>
    <w:link w:val="BodyText"/>
    <w:rsid w:val="0013559F"/>
    <w:rPr>
      <w:sz w:val="26"/>
    </w:rPr>
  </w:style>
  <w:style w:type="character" w:customStyle="1" w:styleId="Heading3Char">
    <w:name w:val="Heading 3 Char"/>
    <w:basedOn w:val="DefaultParagraphFont"/>
    <w:link w:val="Heading3"/>
    <w:rsid w:val="00A9032D"/>
    <w:rPr>
      <w:rFonts w:ascii="Arial" w:hAnsi="Arial"/>
      <w:b/>
      <w:sz w:val="26"/>
    </w:rPr>
  </w:style>
  <w:style w:type="character" w:customStyle="1" w:styleId="Heading4Char">
    <w:name w:val="Heading 4 Char"/>
    <w:basedOn w:val="DefaultParagraphFont"/>
    <w:link w:val="Heading4"/>
    <w:rsid w:val="00A9032D"/>
    <w:rPr>
      <w:rFonts w:ascii="Arial" w:hAnsi="Arial"/>
      <w:i/>
      <w:sz w:val="24"/>
    </w:rPr>
  </w:style>
  <w:style w:type="paragraph" w:customStyle="1" w:styleId="BoxSpaceAbove">
    <w:name w:val="Box Space Above"/>
    <w:basedOn w:val="BodyText"/>
    <w:rsid w:val="0016756B"/>
    <w:pPr>
      <w:keepNext/>
      <w:spacing w:before="360" w:line="80" w:lineRule="exact"/>
      <w:jc w:val="left"/>
    </w:pPr>
  </w:style>
  <w:style w:type="paragraph" w:customStyle="1" w:styleId="BoxSpaceBelow">
    <w:name w:val="Box Space Below"/>
    <w:basedOn w:val="Box"/>
    <w:rsid w:val="0016756B"/>
    <w:pPr>
      <w:keepNext w:val="0"/>
      <w:spacing w:before="60" w:after="60" w:line="80" w:lineRule="exact"/>
    </w:pPr>
    <w:rPr>
      <w:sz w:val="14"/>
    </w:rPr>
  </w:style>
  <w:style w:type="character" w:customStyle="1" w:styleId="BoxListBulletChar">
    <w:name w:val="Box List Bullet Char"/>
    <w:basedOn w:val="DefaultParagraphFont"/>
    <w:link w:val="BoxListBullet"/>
    <w:rsid w:val="00666F6E"/>
    <w:rPr>
      <w:rFonts w:ascii="Arial"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qFormat="1"/>
    <w:lsdException w:name="Default Paragraph Font" w:uiPriority="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6756B"/>
    <w:rPr>
      <w:sz w:val="26"/>
      <w:szCs w:val="24"/>
    </w:rPr>
  </w:style>
  <w:style w:type="paragraph" w:styleId="Heading1">
    <w:name w:val="heading 1"/>
    <w:basedOn w:val="BodyText"/>
    <w:next w:val="BodyText"/>
    <w:rsid w:val="0016756B"/>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16756B"/>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16756B"/>
    <w:pPr>
      <w:spacing w:before="560" w:line="320" w:lineRule="exact"/>
      <w:ind w:left="0" w:firstLine="0"/>
      <w:outlineLvl w:val="2"/>
    </w:pPr>
    <w:rPr>
      <w:sz w:val="26"/>
    </w:rPr>
  </w:style>
  <w:style w:type="paragraph" w:styleId="Heading4">
    <w:name w:val="heading 4"/>
    <w:basedOn w:val="Heading3"/>
    <w:next w:val="BodyText"/>
    <w:link w:val="Heading4Char"/>
    <w:qFormat/>
    <w:rsid w:val="0016756B"/>
    <w:pPr>
      <w:spacing w:before="480"/>
      <w:outlineLvl w:val="3"/>
    </w:pPr>
    <w:rPr>
      <w:b w:val="0"/>
      <w:i/>
      <w:sz w:val="24"/>
    </w:rPr>
  </w:style>
  <w:style w:type="paragraph" w:styleId="Heading5">
    <w:name w:val="heading 5"/>
    <w:basedOn w:val="Heading4"/>
    <w:next w:val="BodyText"/>
    <w:qFormat/>
    <w:rsid w:val="0016756B"/>
    <w:pPr>
      <w:outlineLvl w:val="4"/>
    </w:pPr>
    <w:rPr>
      <w:rFonts w:ascii="Times New Roman" w:hAnsi="Times New Roman"/>
      <w:sz w:val="26"/>
    </w:rPr>
  </w:style>
  <w:style w:type="paragraph" w:styleId="Heading6">
    <w:name w:val="heading 6"/>
    <w:basedOn w:val="BodyText"/>
    <w:next w:val="BodyText"/>
    <w:rsid w:val="0016756B"/>
    <w:pPr>
      <w:spacing w:after="60"/>
      <w:jc w:val="left"/>
      <w:outlineLvl w:val="5"/>
    </w:pPr>
    <w:rPr>
      <w:i/>
      <w:sz w:val="22"/>
    </w:rPr>
  </w:style>
  <w:style w:type="paragraph" w:styleId="Heading7">
    <w:name w:val="heading 7"/>
    <w:basedOn w:val="BodyText"/>
    <w:next w:val="BodyText"/>
    <w:rsid w:val="0016756B"/>
    <w:pPr>
      <w:spacing w:after="60" w:line="240" w:lineRule="auto"/>
      <w:jc w:val="left"/>
      <w:outlineLvl w:val="6"/>
    </w:pPr>
    <w:rPr>
      <w:rFonts w:ascii="Arial" w:hAnsi="Arial"/>
      <w:sz w:val="20"/>
    </w:rPr>
  </w:style>
  <w:style w:type="paragraph" w:styleId="Heading8">
    <w:name w:val="heading 8"/>
    <w:basedOn w:val="BodyText"/>
    <w:next w:val="BodyText"/>
    <w:rsid w:val="0016756B"/>
    <w:pPr>
      <w:spacing w:after="60" w:line="240" w:lineRule="auto"/>
      <w:jc w:val="left"/>
      <w:outlineLvl w:val="7"/>
    </w:pPr>
    <w:rPr>
      <w:rFonts w:ascii="Arial" w:hAnsi="Arial"/>
      <w:i/>
      <w:sz w:val="20"/>
    </w:rPr>
  </w:style>
  <w:style w:type="paragraph" w:styleId="Heading9">
    <w:name w:val="heading 9"/>
    <w:basedOn w:val="BodyText"/>
    <w:next w:val="BodyText"/>
    <w:rsid w:val="0016756B"/>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675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756B"/>
  </w:style>
  <w:style w:type="paragraph" w:styleId="BodyText">
    <w:name w:val="Body Text"/>
    <w:link w:val="BodyTextChar"/>
    <w:qFormat/>
    <w:rsid w:val="0016756B"/>
    <w:pPr>
      <w:spacing w:before="240" w:line="320" w:lineRule="atLeast"/>
      <w:jc w:val="both"/>
    </w:pPr>
    <w:rPr>
      <w:sz w:val="26"/>
    </w:rPr>
  </w:style>
  <w:style w:type="paragraph" w:styleId="Footer">
    <w:name w:val="footer"/>
    <w:basedOn w:val="BodyText"/>
    <w:semiHidden/>
    <w:rsid w:val="0016756B"/>
    <w:pPr>
      <w:spacing w:before="80" w:line="200" w:lineRule="exact"/>
      <w:ind w:right="6"/>
      <w:jc w:val="left"/>
    </w:pPr>
    <w:rPr>
      <w:caps/>
      <w:spacing w:val="-4"/>
      <w:sz w:val="16"/>
    </w:rPr>
  </w:style>
  <w:style w:type="paragraph" w:customStyle="1" w:styleId="FooterEnd">
    <w:name w:val="Footer End"/>
    <w:basedOn w:val="Footer"/>
    <w:rsid w:val="0016756B"/>
    <w:pPr>
      <w:spacing w:before="0" w:line="20" w:lineRule="exact"/>
    </w:pPr>
  </w:style>
  <w:style w:type="paragraph" w:styleId="Header">
    <w:name w:val="header"/>
    <w:basedOn w:val="BodyText"/>
    <w:rsid w:val="0016756B"/>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6756B"/>
    <w:pPr>
      <w:spacing w:line="20" w:lineRule="exact"/>
    </w:pPr>
    <w:rPr>
      <w:sz w:val="16"/>
    </w:rPr>
  </w:style>
  <w:style w:type="paragraph" w:customStyle="1" w:styleId="HeaderEven">
    <w:name w:val="Header Even"/>
    <w:basedOn w:val="Header"/>
    <w:semiHidden/>
    <w:rsid w:val="0016756B"/>
  </w:style>
  <w:style w:type="paragraph" w:customStyle="1" w:styleId="HeaderOdd">
    <w:name w:val="Header Odd"/>
    <w:basedOn w:val="Header"/>
    <w:semiHidden/>
    <w:rsid w:val="0016756B"/>
  </w:style>
  <w:style w:type="character" w:styleId="PageNumber">
    <w:name w:val="page number"/>
    <w:basedOn w:val="DefaultParagraphFont"/>
    <w:rsid w:val="0016756B"/>
    <w:rPr>
      <w:rFonts w:ascii="Arial" w:hAnsi="Arial"/>
      <w:b/>
      <w:sz w:val="16"/>
    </w:rPr>
  </w:style>
  <w:style w:type="paragraph" w:customStyle="1" w:styleId="Abbreviation">
    <w:name w:val="Abbreviation"/>
    <w:basedOn w:val="BodyText"/>
    <w:rsid w:val="0016756B"/>
    <w:pPr>
      <w:spacing w:before="120"/>
      <w:ind w:left="2381" w:hanging="2381"/>
      <w:jc w:val="left"/>
    </w:pPr>
  </w:style>
  <w:style w:type="paragraph" w:customStyle="1" w:styleId="Box">
    <w:name w:val="Box"/>
    <w:basedOn w:val="BodyText"/>
    <w:qFormat/>
    <w:rsid w:val="0016756B"/>
    <w:pPr>
      <w:keepNext/>
      <w:spacing w:before="120" w:line="280" w:lineRule="atLeast"/>
    </w:pPr>
    <w:rPr>
      <w:rFonts w:ascii="Arial" w:hAnsi="Arial"/>
      <w:sz w:val="22"/>
    </w:rPr>
  </w:style>
  <w:style w:type="paragraph" w:customStyle="1" w:styleId="BoxContinued">
    <w:name w:val="Box Continued"/>
    <w:basedOn w:val="BodyText"/>
    <w:next w:val="BodyText"/>
    <w:semiHidden/>
    <w:rsid w:val="0016756B"/>
    <w:pPr>
      <w:spacing w:before="180" w:line="220" w:lineRule="exact"/>
      <w:jc w:val="right"/>
    </w:pPr>
    <w:rPr>
      <w:rFonts w:ascii="Arial" w:hAnsi="Arial"/>
      <w:sz w:val="18"/>
    </w:rPr>
  </w:style>
  <w:style w:type="paragraph" w:customStyle="1" w:styleId="BoxHeading1">
    <w:name w:val="Box Heading 1"/>
    <w:basedOn w:val="BodyText"/>
    <w:next w:val="Box"/>
    <w:rsid w:val="0016756B"/>
    <w:pPr>
      <w:keepNext/>
      <w:spacing w:before="200" w:line="280" w:lineRule="atLeast"/>
    </w:pPr>
    <w:rPr>
      <w:rFonts w:ascii="Arial" w:hAnsi="Arial"/>
      <w:b/>
      <w:sz w:val="22"/>
    </w:rPr>
  </w:style>
  <w:style w:type="paragraph" w:customStyle="1" w:styleId="BoxHeading2">
    <w:name w:val="Box Heading 2"/>
    <w:basedOn w:val="BoxHeading1"/>
    <w:next w:val="Normal"/>
    <w:rsid w:val="0016756B"/>
    <w:rPr>
      <w:b w:val="0"/>
      <w:i/>
    </w:rPr>
  </w:style>
  <w:style w:type="paragraph" w:customStyle="1" w:styleId="BoxListBullet">
    <w:name w:val="Box List Bullet"/>
    <w:basedOn w:val="BodyText"/>
    <w:link w:val="BoxListBulletChar"/>
    <w:rsid w:val="0016756B"/>
    <w:pPr>
      <w:keepNext/>
      <w:numPr>
        <w:numId w:val="1"/>
      </w:numPr>
      <w:spacing w:before="60" w:line="280" w:lineRule="atLeast"/>
    </w:pPr>
    <w:rPr>
      <w:rFonts w:ascii="Arial" w:hAnsi="Arial"/>
      <w:sz w:val="22"/>
    </w:rPr>
  </w:style>
  <w:style w:type="paragraph" w:customStyle="1" w:styleId="BoxListBullet2">
    <w:name w:val="Box List Bullet 2"/>
    <w:basedOn w:val="BodyText"/>
    <w:rsid w:val="0016756B"/>
    <w:pPr>
      <w:keepNext/>
      <w:numPr>
        <w:numId w:val="2"/>
      </w:numPr>
      <w:spacing w:before="60" w:line="280" w:lineRule="atLeast"/>
    </w:pPr>
    <w:rPr>
      <w:rFonts w:ascii="Arial" w:hAnsi="Arial"/>
      <w:sz w:val="22"/>
    </w:rPr>
  </w:style>
  <w:style w:type="paragraph" w:customStyle="1" w:styleId="BoxListNumber">
    <w:name w:val="Box List Number"/>
    <w:basedOn w:val="BodyText"/>
    <w:rsid w:val="0016756B"/>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16756B"/>
    <w:pPr>
      <w:numPr>
        <w:ilvl w:val="1"/>
      </w:numPr>
    </w:pPr>
  </w:style>
  <w:style w:type="paragraph" w:customStyle="1" w:styleId="BoxQuote">
    <w:name w:val="Box Quote"/>
    <w:basedOn w:val="BodyText"/>
    <w:next w:val="Box"/>
    <w:rsid w:val="0016756B"/>
    <w:pPr>
      <w:keepNext/>
      <w:spacing w:before="60" w:line="260" w:lineRule="exact"/>
      <w:ind w:left="284"/>
    </w:pPr>
    <w:rPr>
      <w:rFonts w:ascii="Arial" w:hAnsi="Arial"/>
      <w:sz w:val="20"/>
    </w:rPr>
  </w:style>
  <w:style w:type="paragraph" w:customStyle="1" w:styleId="Note">
    <w:name w:val="Note"/>
    <w:basedOn w:val="BodyText"/>
    <w:next w:val="BodyText"/>
    <w:rsid w:val="0016756B"/>
    <w:pPr>
      <w:keepLines/>
      <w:spacing w:before="80" w:line="220" w:lineRule="exact"/>
    </w:pPr>
    <w:rPr>
      <w:rFonts w:ascii="Arial" w:hAnsi="Arial"/>
      <w:sz w:val="18"/>
    </w:rPr>
  </w:style>
  <w:style w:type="paragraph" w:customStyle="1" w:styleId="Source">
    <w:name w:val="Source"/>
    <w:basedOn w:val="Note"/>
    <w:next w:val="BodyText"/>
    <w:rsid w:val="0016756B"/>
    <w:pPr>
      <w:spacing w:after="120"/>
    </w:pPr>
  </w:style>
  <w:style w:type="paragraph" w:customStyle="1" w:styleId="BoxSource">
    <w:name w:val="Box Source"/>
    <w:basedOn w:val="Source"/>
    <w:next w:val="BodyText"/>
    <w:rsid w:val="0016756B"/>
    <w:pPr>
      <w:spacing w:before="180" w:after="0"/>
    </w:pPr>
  </w:style>
  <w:style w:type="paragraph" w:customStyle="1" w:styleId="BoxSpace">
    <w:name w:val="Box Space"/>
    <w:basedOn w:val="BodyText"/>
    <w:rsid w:val="00614606"/>
    <w:pPr>
      <w:keepNext/>
      <w:spacing w:before="360" w:line="80" w:lineRule="exact"/>
      <w:jc w:val="left"/>
    </w:pPr>
  </w:style>
  <w:style w:type="paragraph" w:styleId="Caption">
    <w:name w:val="caption"/>
    <w:basedOn w:val="Normal"/>
    <w:next w:val="BodyText"/>
    <w:rsid w:val="0016756B"/>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16756B"/>
    <w:pPr>
      <w:spacing w:before="120" w:after="0"/>
      <w:ind w:left="1304" w:hanging="1304"/>
    </w:pPr>
    <w:rPr>
      <w:sz w:val="24"/>
    </w:rPr>
  </w:style>
  <w:style w:type="paragraph" w:customStyle="1" w:styleId="BoxSubtitle">
    <w:name w:val="Box Subtitle"/>
    <w:basedOn w:val="BoxTitle"/>
    <w:next w:val="Normal"/>
    <w:rsid w:val="0016756B"/>
    <w:pPr>
      <w:spacing w:after="80" w:line="200" w:lineRule="exact"/>
      <w:ind w:firstLine="0"/>
    </w:pPr>
    <w:rPr>
      <w:b w:val="0"/>
      <w:sz w:val="20"/>
    </w:rPr>
  </w:style>
  <w:style w:type="paragraph" w:customStyle="1" w:styleId="Chapter">
    <w:name w:val="Chapter"/>
    <w:basedOn w:val="Heading1"/>
    <w:next w:val="BodyText"/>
    <w:semiHidden/>
    <w:rsid w:val="0016756B"/>
    <w:pPr>
      <w:ind w:left="0" w:firstLine="0"/>
      <w:outlineLvl w:val="9"/>
    </w:pPr>
  </w:style>
  <w:style w:type="paragraph" w:customStyle="1" w:styleId="ChapterSummary">
    <w:name w:val="Chapter Summary"/>
    <w:basedOn w:val="BodyText"/>
    <w:rsid w:val="0016756B"/>
    <w:pPr>
      <w:ind w:left="907"/>
    </w:pPr>
    <w:rPr>
      <w:rFonts w:ascii="Arial" w:hAnsi="Arial"/>
      <w:b/>
      <w:sz w:val="22"/>
    </w:rPr>
  </w:style>
  <w:style w:type="character" w:styleId="CommentReference">
    <w:name w:val="annotation reference"/>
    <w:basedOn w:val="DefaultParagraphFont"/>
    <w:semiHidden/>
    <w:rsid w:val="0016756B"/>
    <w:rPr>
      <w:b/>
      <w:vanish/>
      <w:color w:val="FF00FF"/>
      <w:sz w:val="20"/>
    </w:rPr>
  </w:style>
  <w:style w:type="paragraph" w:styleId="CommentText">
    <w:name w:val="annotation text"/>
    <w:basedOn w:val="Normal"/>
    <w:semiHidden/>
    <w:rsid w:val="0016756B"/>
    <w:pPr>
      <w:spacing w:before="120" w:line="240" w:lineRule="atLeast"/>
      <w:ind w:left="567" w:hanging="567"/>
    </w:pPr>
    <w:rPr>
      <w:sz w:val="20"/>
    </w:rPr>
  </w:style>
  <w:style w:type="paragraph" w:customStyle="1" w:styleId="Continued">
    <w:name w:val="Continued"/>
    <w:basedOn w:val="BoxContinued"/>
    <w:next w:val="BodyText"/>
    <w:rsid w:val="0016756B"/>
  </w:style>
  <w:style w:type="character" w:customStyle="1" w:styleId="DocumentInfo">
    <w:name w:val="Document Info"/>
    <w:basedOn w:val="DefaultParagraphFont"/>
    <w:semiHidden/>
    <w:rsid w:val="0016756B"/>
    <w:rPr>
      <w:rFonts w:ascii="Arial" w:hAnsi="Arial"/>
      <w:sz w:val="14"/>
    </w:rPr>
  </w:style>
  <w:style w:type="character" w:customStyle="1" w:styleId="DraftingNote">
    <w:name w:val="Drafting Note"/>
    <w:basedOn w:val="DefaultParagraphFont"/>
    <w:rsid w:val="0016756B"/>
    <w:rPr>
      <w:b/>
      <w:color w:val="FF0000"/>
      <w:sz w:val="24"/>
      <w:u w:val="dotted"/>
    </w:rPr>
  </w:style>
  <w:style w:type="paragraph" w:customStyle="1" w:styleId="Figure">
    <w:name w:val="Figure"/>
    <w:basedOn w:val="BodyText"/>
    <w:rsid w:val="0016756B"/>
    <w:pPr>
      <w:keepNext/>
      <w:spacing w:before="120" w:after="120" w:line="240" w:lineRule="atLeast"/>
      <w:jc w:val="center"/>
    </w:pPr>
  </w:style>
  <w:style w:type="paragraph" w:customStyle="1" w:styleId="FigureTitle">
    <w:name w:val="Figure Title"/>
    <w:basedOn w:val="Caption"/>
    <w:next w:val="Subtitle"/>
    <w:rsid w:val="0016756B"/>
    <w:rPr>
      <w:sz w:val="24"/>
    </w:rPr>
  </w:style>
  <w:style w:type="paragraph" w:styleId="Subtitle">
    <w:name w:val="Subtitle"/>
    <w:basedOn w:val="Caption"/>
    <w:link w:val="SubtitleChar"/>
    <w:rsid w:val="0016756B"/>
    <w:pPr>
      <w:spacing w:before="0" w:line="200" w:lineRule="exact"/>
      <w:ind w:firstLine="0"/>
    </w:pPr>
    <w:rPr>
      <w:b w:val="0"/>
      <w:sz w:val="20"/>
    </w:rPr>
  </w:style>
  <w:style w:type="paragraph" w:customStyle="1" w:styleId="Finding">
    <w:name w:val="Finding"/>
    <w:basedOn w:val="BodyText"/>
    <w:rsid w:val="0016756B"/>
    <w:pPr>
      <w:keepLines/>
      <w:spacing w:before="180"/>
    </w:pPr>
    <w:rPr>
      <w:i/>
    </w:rPr>
  </w:style>
  <w:style w:type="paragraph" w:customStyle="1" w:styleId="FindingBullet">
    <w:name w:val="Finding Bullet"/>
    <w:basedOn w:val="Finding"/>
    <w:rsid w:val="0016756B"/>
    <w:pPr>
      <w:numPr>
        <w:numId w:val="3"/>
      </w:numPr>
      <w:spacing w:before="80"/>
    </w:pPr>
  </w:style>
  <w:style w:type="paragraph" w:customStyle="1" w:styleId="FindingNoTitle">
    <w:name w:val="Finding NoTitle"/>
    <w:basedOn w:val="Finding"/>
    <w:rsid w:val="0016756B"/>
    <w:pPr>
      <w:spacing w:before="240"/>
    </w:pPr>
  </w:style>
  <w:style w:type="paragraph" w:customStyle="1" w:styleId="RecTitle">
    <w:name w:val="Rec Title"/>
    <w:basedOn w:val="BodyText"/>
    <w:next w:val="Normal"/>
    <w:rsid w:val="0016756B"/>
    <w:pPr>
      <w:keepNext/>
      <w:keepLines/>
    </w:pPr>
    <w:rPr>
      <w:caps/>
      <w:sz w:val="20"/>
    </w:rPr>
  </w:style>
  <w:style w:type="paragraph" w:customStyle="1" w:styleId="FindingTitle">
    <w:name w:val="Finding Title"/>
    <w:basedOn w:val="RecTitle"/>
    <w:next w:val="Finding"/>
    <w:rsid w:val="0016756B"/>
    <w:pPr>
      <w:framePr w:wrap="notBeside" w:hAnchor="text"/>
    </w:pPr>
  </w:style>
  <w:style w:type="character" w:styleId="FootnoteReference">
    <w:name w:val="footnote reference"/>
    <w:basedOn w:val="DefaultParagraphFont"/>
    <w:semiHidden/>
    <w:rsid w:val="0016756B"/>
    <w:rPr>
      <w:rFonts w:ascii="Times New Roman" w:hAnsi="Times New Roman"/>
      <w:position w:val="6"/>
      <w:sz w:val="22"/>
      <w:vertAlign w:val="baseline"/>
    </w:rPr>
  </w:style>
  <w:style w:type="paragraph" w:styleId="FootnoteText">
    <w:name w:val="footnote text"/>
    <w:basedOn w:val="BodyText"/>
    <w:rsid w:val="0016756B"/>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16756B"/>
    <w:pPr>
      <w:spacing w:before="360" w:after="120"/>
    </w:pPr>
    <w:rPr>
      <w:rFonts w:ascii="Arial" w:hAnsi="Arial"/>
      <w:sz w:val="24"/>
    </w:rPr>
  </w:style>
  <w:style w:type="paragraph" w:customStyle="1" w:styleId="Jurisdictioncommentsbodytext">
    <w:name w:val="Jurisdiction comments body text"/>
    <w:rsid w:val="0016756B"/>
    <w:pPr>
      <w:spacing w:after="140"/>
      <w:jc w:val="both"/>
    </w:pPr>
    <w:rPr>
      <w:rFonts w:ascii="Arial" w:hAnsi="Arial"/>
      <w:sz w:val="24"/>
      <w:lang w:eastAsia="en-US"/>
    </w:rPr>
  </w:style>
  <w:style w:type="paragraph" w:customStyle="1" w:styleId="Jurisdictioncommentsheading">
    <w:name w:val="Jurisdiction comments heading"/>
    <w:rsid w:val="0016756B"/>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6756B"/>
    <w:pPr>
      <w:numPr>
        <w:numId w:val="4"/>
      </w:numPr>
      <w:spacing w:after="140"/>
      <w:jc w:val="both"/>
    </w:pPr>
    <w:rPr>
      <w:rFonts w:ascii="Arial" w:hAnsi="Arial"/>
      <w:sz w:val="24"/>
      <w:lang w:eastAsia="en-US"/>
    </w:rPr>
  </w:style>
  <w:style w:type="paragraph" w:styleId="ListBullet">
    <w:name w:val="List Bullet"/>
    <w:basedOn w:val="BodyText"/>
    <w:rsid w:val="0016756B"/>
    <w:pPr>
      <w:numPr>
        <w:numId w:val="5"/>
      </w:numPr>
      <w:spacing w:before="120"/>
    </w:pPr>
  </w:style>
  <w:style w:type="paragraph" w:styleId="ListBullet2">
    <w:name w:val="List Bullet 2"/>
    <w:basedOn w:val="BodyText"/>
    <w:rsid w:val="0016756B"/>
    <w:pPr>
      <w:numPr>
        <w:numId w:val="6"/>
      </w:numPr>
      <w:spacing w:before="120"/>
    </w:pPr>
  </w:style>
  <w:style w:type="paragraph" w:styleId="ListBullet3">
    <w:name w:val="List Bullet 3"/>
    <w:basedOn w:val="BodyText"/>
    <w:rsid w:val="0016756B"/>
    <w:pPr>
      <w:numPr>
        <w:numId w:val="7"/>
      </w:numPr>
      <w:spacing w:before="120"/>
    </w:pPr>
  </w:style>
  <w:style w:type="paragraph" w:styleId="ListNumber">
    <w:name w:val="List Number"/>
    <w:basedOn w:val="BodyText"/>
    <w:rsid w:val="0016756B"/>
    <w:pPr>
      <w:numPr>
        <w:numId w:val="13"/>
      </w:numPr>
      <w:spacing w:before="120"/>
    </w:pPr>
  </w:style>
  <w:style w:type="paragraph" w:styleId="ListNumber2">
    <w:name w:val="List Number 2"/>
    <w:basedOn w:val="ListNumber"/>
    <w:rsid w:val="0016756B"/>
    <w:pPr>
      <w:numPr>
        <w:ilvl w:val="1"/>
      </w:numPr>
    </w:pPr>
  </w:style>
  <w:style w:type="paragraph" w:styleId="ListNumber3">
    <w:name w:val="List Number 3"/>
    <w:basedOn w:val="ListNumber2"/>
    <w:rsid w:val="0016756B"/>
    <w:pPr>
      <w:numPr>
        <w:ilvl w:val="2"/>
      </w:numPr>
    </w:pPr>
  </w:style>
  <w:style w:type="character" w:customStyle="1" w:styleId="NoteLabel">
    <w:name w:val="Note Label"/>
    <w:basedOn w:val="DefaultParagraphFont"/>
    <w:rsid w:val="0016756B"/>
    <w:rPr>
      <w:rFonts w:ascii="Arial" w:hAnsi="Arial"/>
      <w:b/>
      <w:position w:val="6"/>
      <w:sz w:val="18"/>
    </w:rPr>
  </w:style>
  <w:style w:type="paragraph" w:customStyle="1" w:styleId="PartDivider">
    <w:name w:val="Part Divider"/>
    <w:basedOn w:val="BodyText"/>
    <w:next w:val="BodyText"/>
    <w:semiHidden/>
    <w:rsid w:val="0016756B"/>
    <w:pPr>
      <w:spacing w:before="0" w:line="40" w:lineRule="exact"/>
      <w:jc w:val="right"/>
    </w:pPr>
    <w:rPr>
      <w:smallCaps/>
      <w:sz w:val="16"/>
    </w:rPr>
  </w:style>
  <w:style w:type="paragraph" w:customStyle="1" w:styleId="PartNumber">
    <w:name w:val="Part Number"/>
    <w:basedOn w:val="BodyText"/>
    <w:next w:val="BodyText"/>
    <w:semiHidden/>
    <w:rsid w:val="0016756B"/>
    <w:pPr>
      <w:spacing w:before="4000" w:line="320" w:lineRule="exact"/>
      <w:ind w:left="6634"/>
      <w:jc w:val="right"/>
    </w:pPr>
    <w:rPr>
      <w:smallCaps/>
      <w:spacing w:val="60"/>
      <w:sz w:val="32"/>
    </w:rPr>
  </w:style>
  <w:style w:type="paragraph" w:customStyle="1" w:styleId="PartTitle">
    <w:name w:val="Part Title"/>
    <w:basedOn w:val="BodyText"/>
    <w:semiHidden/>
    <w:rsid w:val="0016756B"/>
    <w:pPr>
      <w:spacing w:before="160" w:after="1360" w:line="520" w:lineRule="exact"/>
      <w:ind w:right="2381"/>
      <w:jc w:val="right"/>
    </w:pPr>
    <w:rPr>
      <w:smallCaps/>
      <w:sz w:val="52"/>
    </w:rPr>
  </w:style>
  <w:style w:type="paragraph" w:styleId="Quote">
    <w:name w:val="Quote"/>
    <w:basedOn w:val="BodyText"/>
    <w:next w:val="BodyText"/>
    <w:qFormat/>
    <w:rsid w:val="0016756B"/>
    <w:pPr>
      <w:spacing w:before="120" w:line="280" w:lineRule="exact"/>
      <w:ind w:left="340"/>
    </w:pPr>
    <w:rPr>
      <w:sz w:val="24"/>
    </w:rPr>
  </w:style>
  <w:style w:type="paragraph" w:customStyle="1" w:styleId="QuoteBullet">
    <w:name w:val="Quote Bullet"/>
    <w:basedOn w:val="Quote"/>
    <w:rsid w:val="0016756B"/>
    <w:pPr>
      <w:numPr>
        <w:numId w:val="8"/>
      </w:numPr>
    </w:pPr>
  </w:style>
  <w:style w:type="paragraph" w:customStyle="1" w:styleId="Rec">
    <w:name w:val="Rec"/>
    <w:basedOn w:val="BodyText"/>
    <w:rsid w:val="0016756B"/>
    <w:pPr>
      <w:keepLines/>
      <w:spacing w:before="180"/>
    </w:pPr>
    <w:rPr>
      <w:b/>
      <w:i/>
    </w:rPr>
  </w:style>
  <w:style w:type="paragraph" w:customStyle="1" w:styleId="RecBullet">
    <w:name w:val="Rec Bullet"/>
    <w:basedOn w:val="Rec"/>
    <w:rsid w:val="0016756B"/>
    <w:pPr>
      <w:numPr>
        <w:numId w:val="9"/>
      </w:numPr>
      <w:spacing w:before="80"/>
    </w:pPr>
  </w:style>
  <w:style w:type="paragraph" w:customStyle="1" w:styleId="RecB">
    <w:name w:val="RecB"/>
    <w:basedOn w:val="Normal"/>
    <w:rsid w:val="0016756B"/>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6756B"/>
    <w:pPr>
      <w:numPr>
        <w:numId w:val="10"/>
      </w:numPr>
      <w:spacing w:before="80"/>
    </w:pPr>
  </w:style>
  <w:style w:type="paragraph" w:customStyle="1" w:styleId="RecBNoTitle">
    <w:name w:val="RecB NoTitle"/>
    <w:basedOn w:val="RecB"/>
    <w:rsid w:val="0016756B"/>
    <w:pPr>
      <w:spacing w:before="240"/>
    </w:pPr>
  </w:style>
  <w:style w:type="paragraph" w:customStyle="1" w:styleId="Reference">
    <w:name w:val="Reference"/>
    <w:basedOn w:val="BodyText"/>
    <w:rsid w:val="0016756B"/>
    <w:pPr>
      <w:spacing w:before="120"/>
      <w:ind w:left="340" w:hanging="340"/>
    </w:pPr>
  </w:style>
  <w:style w:type="paragraph" w:customStyle="1" w:styleId="SequenceInfo">
    <w:name w:val="Sequence Info"/>
    <w:basedOn w:val="BodyText"/>
    <w:semiHidden/>
    <w:rsid w:val="0016756B"/>
    <w:rPr>
      <w:vanish/>
      <w:sz w:val="16"/>
    </w:rPr>
  </w:style>
  <w:style w:type="paragraph" w:customStyle="1" w:styleId="SideNote">
    <w:name w:val="Side Note"/>
    <w:basedOn w:val="BodyText"/>
    <w:next w:val="BodyText"/>
    <w:semiHidden/>
    <w:rsid w:val="0016756B"/>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16756B"/>
    <w:pPr>
      <w:framePr w:wrap="around"/>
      <w:numPr>
        <w:numId w:val="11"/>
      </w:numPr>
      <w:tabs>
        <w:tab w:val="left" w:pos="227"/>
      </w:tabs>
    </w:pPr>
  </w:style>
  <w:style w:type="paragraph" w:customStyle="1" w:styleId="SideNoteGraphic">
    <w:name w:val="Side Note Graphic"/>
    <w:basedOn w:val="SideNote"/>
    <w:next w:val="BodyText"/>
    <w:semiHidden/>
    <w:rsid w:val="0016756B"/>
    <w:pPr>
      <w:framePr w:wrap="around"/>
    </w:pPr>
  </w:style>
  <w:style w:type="paragraph" w:customStyle="1" w:styleId="TableBodyText">
    <w:name w:val="Table Body Text"/>
    <w:basedOn w:val="BodyText"/>
    <w:rsid w:val="0016756B"/>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16756B"/>
    <w:pPr>
      <w:numPr>
        <w:numId w:val="12"/>
      </w:numPr>
      <w:jc w:val="left"/>
    </w:pPr>
  </w:style>
  <w:style w:type="paragraph" w:customStyle="1" w:styleId="TableColumnHeading">
    <w:name w:val="Table Column Heading"/>
    <w:basedOn w:val="TableBodyText"/>
    <w:rsid w:val="0016756B"/>
    <w:pPr>
      <w:spacing w:before="80" w:after="80"/>
    </w:pPr>
    <w:rPr>
      <w:i/>
    </w:rPr>
  </w:style>
  <w:style w:type="paragraph" w:styleId="TOC2">
    <w:name w:val="toc 2"/>
    <w:basedOn w:val="BodyText"/>
    <w:rsid w:val="0016756B"/>
    <w:pPr>
      <w:tabs>
        <w:tab w:val="right" w:pos="8789"/>
      </w:tabs>
      <w:ind w:left="510" w:right="851" w:hanging="510"/>
      <w:jc w:val="left"/>
    </w:pPr>
    <w:rPr>
      <w:b/>
    </w:rPr>
  </w:style>
  <w:style w:type="paragraph" w:styleId="TOC3">
    <w:name w:val="toc 3"/>
    <w:basedOn w:val="TOC2"/>
    <w:semiHidden/>
    <w:rsid w:val="0016756B"/>
    <w:pPr>
      <w:spacing w:before="60"/>
      <w:ind w:left="1190" w:hanging="680"/>
    </w:pPr>
    <w:rPr>
      <w:b w:val="0"/>
    </w:rPr>
  </w:style>
  <w:style w:type="paragraph" w:styleId="TableofFigures">
    <w:name w:val="table of figures"/>
    <w:basedOn w:val="TOC3"/>
    <w:next w:val="BodyText"/>
    <w:rsid w:val="0016756B"/>
    <w:pPr>
      <w:ind w:left="737" w:hanging="737"/>
    </w:pPr>
  </w:style>
  <w:style w:type="paragraph" w:customStyle="1" w:styleId="TableTitle">
    <w:name w:val="Table Title"/>
    <w:basedOn w:val="Caption"/>
    <w:next w:val="Subtitle"/>
    <w:rsid w:val="0016756B"/>
    <w:rPr>
      <w:sz w:val="24"/>
    </w:rPr>
  </w:style>
  <w:style w:type="paragraph" w:customStyle="1" w:styleId="TableUnitsRow">
    <w:name w:val="Table Units Row"/>
    <w:basedOn w:val="TableBodyText"/>
    <w:rsid w:val="0016756B"/>
    <w:pPr>
      <w:spacing w:before="80" w:after="80"/>
    </w:pPr>
  </w:style>
  <w:style w:type="paragraph" w:styleId="TOC1">
    <w:name w:val="toc 1"/>
    <w:basedOn w:val="Normal"/>
    <w:next w:val="TOC2"/>
    <w:semiHidden/>
    <w:rsid w:val="0016756B"/>
    <w:pPr>
      <w:tabs>
        <w:tab w:val="right" w:pos="8789"/>
      </w:tabs>
      <w:spacing w:before="480" w:after="60" w:line="320" w:lineRule="exact"/>
      <w:ind w:left="1191" w:right="851" w:hanging="1191"/>
    </w:pPr>
    <w:rPr>
      <w:b/>
      <w:caps/>
    </w:rPr>
  </w:style>
  <w:style w:type="paragraph" w:styleId="TOC4">
    <w:name w:val="toc 4"/>
    <w:basedOn w:val="TOC3"/>
    <w:semiHidden/>
    <w:rsid w:val="0016756B"/>
    <w:pPr>
      <w:ind w:left="1191" w:firstLine="0"/>
    </w:pPr>
  </w:style>
  <w:style w:type="character" w:styleId="Hyperlink">
    <w:name w:val="Hyperlink"/>
    <w:basedOn w:val="DefaultParagraphFont"/>
    <w:uiPriority w:val="99"/>
    <w:rsid w:val="00DE2D11"/>
    <w:rPr>
      <w:color w:val="0000FF"/>
      <w:u w:val="single"/>
    </w:rPr>
  </w:style>
  <w:style w:type="paragraph" w:styleId="BalloonText">
    <w:name w:val="Balloon Text"/>
    <w:basedOn w:val="Normal"/>
    <w:link w:val="BalloonTextChar"/>
    <w:rsid w:val="0016756B"/>
    <w:rPr>
      <w:rFonts w:ascii="Tahoma" w:hAnsi="Tahoma" w:cs="Tahoma"/>
      <w:sz w:val="16"/>
      <w:szCs w:val="16"/>
    </w:rPr>
  </w:style>
  <w:style w:type="table" w:styleId="TableGrid">
    <w:name w:val="Table Grid"/>
    <w:basedOn w:val="TableNormal"/>
    <w:rsid w:val="00DE2D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DE2D11"/>
    <w:rPr>
      <w:color w:val="800080"/>
      <w:u w:val="single"/>
    </w:rPr>
  </w:style>
  <w:style w:type="paragraph" w:styleId="CommentSubject">
    <w:name w:val="annotation subject"/>
    <w:basedOn w:val="CommentText"/>
    <w:next w:val="CommentText"/>
    <w:semiHidden/>
    <w:rsid w:val="00DE2D11"/>
    <w:pPr>
      <w:spacing w:before="0" w:line="240" w:lineRule="auto"/>
      <w:ind w:left="0" w:firstLine="0"/>
    </w:pPr>
    <w:rPr>
      <w:b/>
      <w:bCs/>
      <w:szCs w:val="20"/>
    </w:rPr>
  </w:style>
  <w:style w:type="character" w:customStyle="1" w:styleId="style1">
    <w:name w:val="style1"/>
    <w:basedOn w:val="DefaultParagraphFont"/>
    <w:rsid w:val="00DE2D11"/>
  </w:style>
  <w:style w:type="character" w:customStyle="1" w:styleId="meta-prepmeta-prep-author">
    <w:name w:val="meta-prep meta-prep-author"/>
    <w:basedOn w:val="DefaultParagraphFont"/>
    <w:rsid w:val="00DE2D11"/>
  </w:style>
  <w:style w:type="character" w:customStyle="1" w:styleId="entry-date">
    <w:name w:val="entry-date"/>
    <w:basedOn w:val="DefaultParagraphFont"/>
    <w:rsid w:val="00DE2D11"/>
  </w:style>
  <w:style w:type="paragraph" w:customStyle="1" w:styleId="RecBBullet2">
    <w:name w:val="RecB Bullet 2"/>
    <w:basedOn w:val="ListBullet2"/>
    <w:semiHidden/>
    <w:rsid w:val="0016756B"/>
    <w:pPr>
      <w:pBdr>
        <w:left w:val="single" w:sz="24" w:space="29" w:color="C0C0C0"/>
      </w:pBdr>
    </w:pPr>
    <w:rPr>
      <w:b/>
      <w:i/>
    </w:rPr>
  </w:style>
  <w:style w:type="character" w:customStyle="1" w:styleId="BalloonTextChar">
    <w:name w:val="Balloon Text Char"/>
    <w:basedOn w:val="DefaultParagraphFont"/>
    <w:link w:val="BalloonText"/>
    <w:rsid w:val="0016756B"/>
    <w:rPr>
      <w:rFonts w:ascii="Tahoma" w:hAnsi="Tahoma" w:cs="Tahoma"/>
      <w:sz w:val="16"/>
      <w:szCs w:val="16"/>
    </w:rPr>
  </w:style>
  <w:style w:type="character" w:customStyle="1" w:styleId="SubtitleChar">
    <w:name w:val="Subtitle Char"/>
    <w:basedOn w:val="DefaultParagraphFont"/>
    <w:link w:val="Subtitle"/>
    <w:rsid w:val="0016756B"/>
    <w:rPr>
      <w:rFonts w:ascii="Arial" w:hAnsi="Arial"/>
      <w:szCs w:val="24"/>
    </w:rPr>
  </w:style>
  <w:style w:type="paragraph" w:customStyle="1" w:styleId="BoxListBullet3">
    <w:name w:val="Box List Bullet 3"/>
    <w:basedOn w:val="ListBullet3"/>
    <w:rsid w:val="0016756B"/>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16756B"/>
    <w:rPr>
      <w:i/>
      <w:iCs/>
    </w:rPr>
  </w:style>
  <w:style w:type="paragraph" w:customStyle="1" w:styleId="BoxQuoteBullet">
    <w:name w:val="Box Quote Bullet"/>
    <w:basedOn w:val="BoxQuote"/>
    <w:next w:val="Box"/>
    <w:rsid w:val="0016756B"/>
    <w:pPr>
      <w:numPr>
        <w:numId w:val="15"/>
      </w:numPr>
      <w:ind w:left="568" w:hanging="284"/>
    </w:pPr>
  </w:style>
  <w:style w:type="paragraph" w:customStyle="1" w:styleId="InformationRequestBullet">
    <w:name w:val="Information Request Bullet"/>
    <w:basedOn w:val="ListBullet"/>
    <w:next w:val="BodyText"/>
    <w:rsid w:val="0016756B"/>
    <w:pPr>
      <w:numPr>
        <w:numId w:val="16"/>
      </w:numPr>
      <w:ind w:left="340" w:hanging="340"/>
    </w:pPr>
    <w:rPr>
      <w:rFonts w:ascii="Arial" w:hAnsi="Arial"/>
      <w:i/>
      <w:sz w:val="24"/>
    </w:rPr>
  </w:style>
  <w:style w:type="character" w:customStyle="1" w:styleId="BodyTextChar">
    <w:name w:val="Body Text Char"/>
    <w:basedOn w:val="DefaultParagraphFont"/>
    <w:link w:val="BodyText"/>
    <w:rsid w:val="0013559F"/>
    <w:rPr>
      <w:sz w:val="26"/>
    </w:rPr>
  </w:style>
  <w:style w:type="character" w:customStyle="1" w:styleId="Heading3Char">
    <w:name w:val="Heading 3 Char"/>
    <w:basedOn w:val="DefaultParagraphFont"/>
    <w:link w:val="Heading3"/>
    <w:rsid w:val="00A9032D"/>
    <w:rPr>
      <w:rFonts w:ascii="Arial" w:hAnsi="Arial"/>
      <w:b/>
      <w:sz w:val="26"/>
    </w:rPr>
  </w:style>
  <w:style w:type="character" w:customStyle="1" w:styleId="Heading4Char">
    <w:name w:val="Heading 4 Char"/>
    <w:basedOn w:val="DefaultParagraphFont"/>
    <w:link w:val="Heading4"/>
    <w:rsid w:val="00A9032D"/>
    <w:rPr>
      <w:rFonts w:ascii="Arial" w:hAnsi="Arial"/>
      <w:i/>
      <w:sz w:val="24"/>
    </w:rPr>
  </w:style>
  <w:style w:type="paragraph" w:customStyle="1" w:styleId="BoxSpaceAbove">
    <w:name w:val="Box Space Above"/>
    <w:basedOn w:val="BodyText"/>
    <w:rsid w:val="0016756B"/>
    <w:pPr>
      <w:keepNext/>
      <w:spacing w:before="360" w:line="80" w:lineRule="exact"/>
      <w:jc w:val="left"/>
    </w:pPr>
  </w:style>
  <w:style w:type="paragraph" w:customStyle="1" w:styleId="BoxSpaceBelow">
    <w:name w:val="Box Space Below"/>
    <w:basedOn w:val="Box"/>
    <w:rsid w:val="0016756B"/>
    <w:pPr>
      <w:keepNext w:val="0"/>
      <w:spacing w:before="60" w:after="60" w:line="80" w:lineRule="exact"/>
    </w:pPr>
    <w:rPr>
      <w:sz w:val="14"/>
    </w:rPr>
  </w:style>
  <w:style w:type="character" w:customStyle="1" w:styleId="BoxListBulletChar">
    <w:name w:val="Box List Bullet Char"/>
    <w:basedOn w:val="DefaultParagraphFont"/>
    <w:link w:val="BoxListBullet"/>
    <w:rsid w:val="00666F6E"/>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94318">
      <w:bodyDiv w:val="1"/>
      <w:marLeft w:val="0"/>
      <w:marRight w:val="0"/>
      <w:marTop w:val="0"/>
      <w:marBottom w:val="0"/>
      <w:divBdr>
        <w:top w:val="none" w:sz="0" w:space="0" w:color="auto"/>
        <w:left w:val="none" w:sz="0" w:space="0" w:color="auto"/>
        <w:bottom w:val="none" w:sz="0" w:space="0" w:color="auto"/>
        <w:right w:val="none" w:sz="0" w:space="0" w:color="auto"/>
      </w:divBdr>
    </w:div>
    <w:div w:id="42486759">
      <w:bodyDiv w:val="1"/>
      <w:marLeft w:val="0"/>
      <w:marRight w:val="0"/>
      <w:marTop w:val="0"/>
      <w:marBottom w:val="0"/>
      <w:divBdr>
        <w:top w:val="none" w:sz="0" w:space="0" w:color="auto"/>
        <w:left w:val="none" w:sz="0" w:space="0" w:color="auto"/>
        <w:bottom w:val="none" w:sz="0" w:space="0" w:color="auto"/>
        <w:right w:val="none" w:sz="0" w:space="0" w:color="auto"/>
      </w:divBdr>
    </w:div>
    <w:div w:id="49773872">
      <w:bodyDiv w:val="1"/>
      <w:marLeft w:val="0"/>
      <w:marRight w:val="0"/>
      <w:marTop w:val="0"/>
      <w:marBottom w:val="0"/>
      <w:divBdr>
        <w:top w:val="none" w:sz="0" w:space="0" w:color="auto"/>
        <w:left w:val="none" w:sz="0" w:space="0" w:color="auto"/>
        <w:bottom w:val="none" w:sz="0" w:space="0" w:color="auto"/>
        <w:right w:val="none" w:sz="0" w:space="0" w:color="auto"/>
      </w:divBdr>
    </w:div>
    <w:div w:id="61878562">
      <w:bodyDiv w:val="1"/>
      <w:marLeft w:val="0"/>
      <w:marRight w:val="0"/>
      <w:marTop w:val="0"/>
      <w:marBottom w:val="0"/>
      <w:divBdr>
        <w:top w:val="none" w:sz="0" w:space="0" w:color="auto"/>
        <w:left w:val="none" w:sz="0" w:space="0" w:color="auto"/>
        <w:bottom w:val="none" w:sz="0" w:space="0" w:color="auto"/>
        <w:right w:val="none" w:sz="0" w:space="0" w:color="auto"/>
      </w:divBdr>
    </w:div>
    <w:div w:id="75790684">
      <w:bodyDiv w:val="1"/>
      <w:marLeft w:val="0"/>
      <w:marRight w:val="0"/>
      <w:marTop w:val="0"/>
      <w:marBottom w:val="0"/>
      <w:divBdr>
        <w:top w:val="none" w:sz="0" w:space="0" w:color="auto"/>
        <w:left w:val="none" w:sz="0" w:space="0" w:color="auto"/>
        <w:bottom w:val="none" w:sz="0" w:space="0" w:color="auto"/>
        <w:right w:val="none" w:sz="0" w:space="0" w:color="auto"/>
      </w:divBdr>
    </w:div>
    <w:div w:id="105663634">
      <w:bodyDiv w:val="1"/>
      <w:marLeft w:val="0"/>
      <w:marRight w:val="0"/>
      <w:marTop w:val="0"/>
      <w:marBottom w:val="0"/>
      <w:divBdr>
        <w:top w:val="none" w:sz="0" w:space="0" w:color="auto"/>
        <w:left w:val="none" w:sz="0" w:space="0" w:color="auto"/>
        <w:bottom w:val="none" w:sz="0" w:space="0" w:color="auto"/>
        <w:right w:val="none" w:sz="0" w:space="0" w:color="auto"/>
      </w:divBdr>
    </w:div>
    <w:div w:id="107554830">
      <w:bodyDiv w:val="1"/>
      <w:marLeft w:val="0"/>
      <w:marRight w:val="0"/>
      <w:marTop w:val="0"/>
      <w:marBottom w:val="0"/>
      <w:divBdr>
        <w:top w:val="none" w:sz="0" w:space="0" w:color="auto"/>
        <w:left w:val="none" w:sz="0" w:space="0" w:color="auto"/>
        <w:bottom w:val="none" w:sz="0" w:space="0" w:color="auto"/>
        <w:right w:val="none" w:sz="0" w:space="0" w:color="auto"/>
      </w:divBdr>
    </w:div>
    <w:div w:id="118846157">
      <w:bodyDiv w:val="1"/>
      <w:marLeft w:val="0"/>
      <w:marRight w:val="0"/>
      <w:marTop w:val="0"/>
      <w:marBottom w:val="0"/>
      <w:divBdr>
        <w:top w:val="none" w:sz="0" w:space="0" w:color="auto"/>
        <w:left w:val="none" w:sz="0" w:space="0" w:color="auto"/>
        <w:bottom w:val="none" w:sz="0" w:space="0" w:color="auto"/>
        <w:right w:val="none" w:sz="0" w:space="0" w:color="auto"/>
      </w:divBdr>
    </w:div>
    <w:div w:id="142478109">
      <w:bodyDiv w:val="1"/>
      <w:marLeft w:val="0"/>
      <w:marRight w:val="0"/>
      <w:marTop w:val="0"/>
      <w:marBottom w:val="0"/>
      <w:divBdr>
        <w:top w:val="none" w:sz="0" w:space="0" w:color="auto"/>
        <w:left w:val="none" w:sz="0" w:space="0" w:color="auto"/>
        <w:bottom w:val="none" w:sz="0" w:space="0" w:color="auto"/>
        <w:right w:val="none" w:sz="0" w:space="0" w:color="auto"/>
      </w:divBdr>
      <w:divsChild>
        <w:div w:id="789788125">
          <w:marLeft w:val="0"/>
          <w:marRight w:val="0"/>
          <w:marTop w:val="0"/>
          <w:marBottom w:val="0"/>
          <w:divBdr>
            <w:top w:val="none" w:sz="0" w:space="0" w:color="auto"/>
            <w:left w:val="none" w:sz="0" w:space="0" w:color="auto"/>
            <w:bottom w:val="none" w:sz="0" w:space="0" w:color="auto"/>
            <w:right w:val="none" w:sz="0" w:space="0" w:color="auto"/>
          </w:divBdr>
          <w:divsChild>
            <w:div w:id="2093156268">
              <w:marLeft w:val="0"/>
              <w:marRight w:val="0"/>
              <w:marTop w:val="0"/>
              <w:marBottom w:val="0"/>
              <w:divBdr>
                <w:top w:val="none" w:sz="0" w:space="0" w:color="auto"/>
                <w:left w:val="none" w:sz="0" w:space="0" w:color="auto"/>
                <w:bottom w:val="none" w:sz="0" w:space="0" w:color="auto"/>
                <w:right w:val="none" w:sz="0" w:space="0" w:color="auto"/>
              </w:divBdr>
              <w:divsChild>
                <w:div w:id="1115632353">
                  <w:marLeft w:val="0"/>
                  <w:marRight w:val="0"/>
                  <w:marTop w:val="0"/>
                  <w:marBottom w:val="0"/>
                  <w:divBdr>
                    <w:top w:val="none" w:sz="0" w:space="0" w:color="auto"/>
                    <w:left w:val="none" w:sz="0" w:space="0" w:color="auto"/>
                    <w:bottom w:val="single" w:sz="6" w:space="0" w:color="EFEFEF"/>
                    <w:right w:val="none" w:sz="0" w:space="0" w:color="auto"/>
                  </w:divBdr>
                </w:div>
              </w:divsChild>
            </w:div>
          </w:divsChild>
        </w:div>
      </w:divsChild>
    </w:div>
    <w:div w:id="167066853">
      <w:bodyDiv w:val="1"/>
      <w:marLeft w:val="0"/>
      <w:marRight w:val="0"/>
      <w:marTop w:val="0"/>
      <w:marBottom w:val="0"/>
      <w:divBdr>
        <w:top w:val="none" w:sz="0" w:space="0" w:color="auto"/>
        <w:left w:val="none" w:sz="0" w:space="0" w:color="auto"/>
        <w:bottom w:val="none" w:sz="0" w:space="0" w:color="auto"/>
        <w:right w:val="none" w:sz="0" w:space="0" w:color="auto"/>
      </w:divBdr>
    </w:div>
    <w:div w:id="169561243">
      <w:bodyDiv w:val="1"/>
      <w:marLeft w:val="0"/>
      <w:marRight w:val="0"/>
      <w:marTop w:val="0"/>
      <w:marBottom w:val="0"/>
      <w:divBdr>
        <w:top w:val="none" w:sz="0" w:space="0" w:color="auto"/>
        <w:left w:val="none" w:sz="0" w:space="0" w:color="auto"/>
        <w:bottom w:val="none" w:sz="0" w:space="0" w:color="auto"/>
        <w:right w:val="none" w:sz="0" w:space="0" w:color="auto"/>
      </w:divBdr>
    </w:div>
    <w:div w:id="172843673">
      <w:bodyDiv w:val="1"/>
      <w:marLeft w:val="0"/>
      <w:marRight w:val="0"/>
      <w:marTop w:val="0"/>
      <w:marBottom w:val="0"/>
      <w:divBdr>
        <w:top w:val="none" w:sz="0" w:space="0" w:color="auto"/>
        <w:left w:val="none" w:sz="0" w:space="0" w:color="auto"/>
        <w:bottom w:val="none" w:sz="0" w:space="0" w:color="auto"/>
        <w:right w:val="none" w:sz="0" w:space="0" w:color="auto"/>
      </w:divBdr>
    </w:div>
    <w:div w:id="180440658">
      <w:bodyDiv w:val="1"/>
      <w:marLeft w:val="0"/>
      <w:marRight w:val="0"/>
      <w:marTop w:val="0"/>
      <w:marBottom w:val="0"/>
      <w:divBdr>
        <w:top w:val="none" w:sz="0" w:space="0" w:color="auto"/>
        <w:left w:val="none" w:sz="0" w:space="0" w:color="auto"/>
        <w:bottom w:val="none" w:sz="0" w:space="0" w:color="auto"/>
        <w:right w:val="none" w:sz="0" w:space="0" w:color="auto"/>
      </w:divBdr>
    </w:div>
    <w:div w:id="191503040">
      <w:bodyDiv w:val="1"/>
      <w:marLeft w:val="0"/>
      <w:marRight w:val="0"/>
      <w:marTop w:val="0"/>
      <w:marBottom w:val="0"/>
      <w:divBdr>
        <w:top w:val="none" w:sz="0" w:space="0" w:color="auto"/>
        <w:left w:val="none" w:sz="0" w:space="0" w:color="auto"/>
        <w:bottom w:val="none" w:sz="0" w:space="0" w:color="auto"/>
        <w:right w:val="none" w:sz="0" w:space="0" w:color="auto"/>
      </w:divBdr>
    </w:div>
    <w:div w:id="247731391">
      <w:bodyDiv w:val="1"/>
      <w:marLeft w:val="0"/>
      <w:marRight w:val="0"/>
      <w:marTop w:val="0"/>
      <w:marBottom w:val="0"/>
      <w:divBdr>
        <w:top w:val="none" w:sz="0" w:space="0" w:color="auto"/>
        <w:left w:val="none" w:sz="0" w:space="0" w:color="auto"/>
        <w:bottom w:val="none" w:sz="0" w:space="0" w:color="auto"/>
        <w:right w:val="none" w:sz="0" w:space="0" w:color="auto"/>
      </w:divBdr>
    </w:div>
    <w:div w:id="253704628">
      <w:bodyDiv w:val="1"/>
      <w:marLeft w:val="0"/>
      <w:marRight w:val="0"/>
      <w:marTop w:val="0"/>
      <w:marBottom w:val="0"/>
      <w:divBdr>
        <w:top w:val="none" w:sz="0" w:space="0" w:color="auto"/>
        <w:left w:val="none" w:sz="0" w:space="0" w:color="auto"/>
        <w:bottom w:val="none" w:sz="0" w:space="0" w:color="auto"/>
        <w:right w:val="none" w:sz="0" w:space="0" w:color="auto"/>
      </w:divBdr>
    </w:div>
    <w:div w:id="254678879">
      <w:bodyDiv w:val="1"/>
      <w:marLeft w:val="0"/>
      <w:marRight w:val="0"/>
      <w:marTop w:val="0"/>
      <w:marBottom w:val="0"/>
      <w:divBdr>
        <w:top w:val="none" w:sz="0" w:space="0" w:color="auto"/>
        <w:left w:val="none" w:sz="0" w:space="0" w:color="auto"/>
        <w:bottom w:val="none" w:sz="0" w:space="0" w:color="auto"/>
        <w:right w:val="none" w:sz="0" w:space="0" w:color="auto"/>
      </w:divBdr>
    </w:div>
    <w:div w:id="255788368">
      <w:bodyDiv w:val="1"/>
      <w:marLeft w:val="0"/>
      <w:marRight w:val="0"/>
      <w:marTop w:val="0"/>
      <w:marBottom w:val="0"/>
      <w:divBdr>
        <w:top w:val="none" w:sz="0" w:space="0" w:color="auto"/>
        <w:left w:val="none" w:sz="0" w:space="0" w:color="auto"/>
        <w:bottom w:val="none" w:sz="0" w:space="0" w:color="auto"/>
        <w:right w:val="none" w:sz="0" w:space="0" w:color="auto"/>
      </w:divBdr>
    </w:div>
    <w:div w:id="294144607">
      <w:bodyDiv w:val="1"/>
      <w:marLeft w:val="0"/>
      <w:marRight w:val="0"/>
      <w:marTop w:val="0"/>
      <w:marBottom w:val="0"/>
      <w:divBdr>
        <w:top w:val="none" w:sz="0" w:space="0" w:color="auto"/>
        <w:left w:val="none" w:sz="0" w:space="0" w:color="auto"/>
        <w:bottom w:val="none" w:sz="0" w:space="0" w:color="auto"/>
        <w:right w:val="none" w:sz="0" w:space="0" w:color="auto"/>
      </w:divBdr>
    </w:div>
    <w:div w:id="331153505">
      <w:bodyDiv w:val="1"/>
      <w:marLeft w:val="0"/>
      <w:marRight w:val="0"/>
      <w:marTop w:val="0"/>
      <w:marBottom w:val="0"/>
      <w:divBdr>
        <w:top w:val="none" w:sz="0" w:space="0" w:color="auto"/>
        <w:left w:val="none" w:sz="0" w:space="0" w:color="auto"/>
        <w:bottom w:val="none" w:sz="0" w:space="0" w:color="auto"/>
        <w:right w:val="none" w:sz="0" w:space="0" w:color="auto"/>
      </w:divBdr>
    </w:div>
    <w:div w:id="341401088">
      <w:bodyDiv w:val="1"/>
      <w:marLeft w:val="0"/>
      <w:marRight w:val="0"/>
      <w:marTop w:val="0"/>
      <w:marBottom w:val="0"/>
      <w:divBdr>
        <w:top w:val="none" w:sz="0" w:space="0" w:color="auto"/>
        <w:left w:val="none" w:sz="0" w:space="0" w:color="auto"/>
        <w:bottom w:val="none" w:sz="0" w:space="0" w:color="auto"/>
        <w:right w:val="none" w:sz="0" w:space="0" w:color="auto"/>
      </w:divBdr>
    </w:div>
    <w:div w:id="344944927">
      <w:bodyDiv w:val="1"/>
      <w:marLeft w:val="0"/>
      <w:marRight w:val="0"/>
      <w:marTop w:val="0"/>
      <w:marBottom w:val="0"/>
      <w:divBdr>
        <w:top w:val="none" w:sz="0" w:space="0" w:color="auto"/>
        <w:left w:val="none" w:sz="0" w:space="0" w:color="auto"/>
        <w:bottom w:val="none" w:sz="0" w:space="0" w:color="auto"/>
        <w:right w:val="none" w:sz="0" w:space="0" w:color="auto"/>
      </w:divBdr>
    </w:div>
    <w:div w:id="354234018">
      <w:bodyDiv w:val="1"/>
      <w:marLeft w:val="0"/>
      <w:marRight w:val="0"/>
      <w:marTop w:val="0"/>
      <w:marBottom w:val="0"/>
      <w:divBdr>
        <w:top w:val="none" w:sz="0" w:space="0" w:color="auto"/>
        <w:left w:val="none" w:sz="0" w:space="0" w:color="auto"/>
        <w:bottom w:val="none" w:sz="0" w:space="0" w:color="auto"/>
        <w:right w:val="none" w:sz="0" w:space="0" w:color="auto"/>
      </w:divBdr>
    </w:div>
    <w:div w:id="382682424">
      <w:bodyDiv w:val="1"/>
      <w:marLeft w:val="0"/>
      <w:marRight w:val="0"/>
      <w:marTop w:val="0"/>
      <w:marBottom w:val="0"/>
      <w:divBdr>
        <w:top w:val="none" w:sz="0" w:space="0" w:color="auto"/>
        <w:left w:val="none" w:sz="0" w:space="0" w:color="auto"/>
        <w:bottom w:val="none" w:sz="0" w:space="0" w:color="auto"/>
        <w:right w:val="none" w:sz="0" w:space="0" w:color="auto"/>
      </w:divBdr>
    </w:div>
    <w:div w:id="382869723">
      <w:bodyDiv w:val="1"/>
      <w:marLeft w:val="0"/>
      <w:marRight w:val="0"/>
      <w:marTop w:val="0"/>
      <w:marBottom w:val="0"/>
      <w:divBdr>
        <w:top w:val="none" w:sz="0" w:space="0" w:color="auto"/>
        <w:left w:val="none" w:sz="0" w:space="0" w:color="auto"/>
        <w:bottom w:val="none" w:sz="0" w:space="0" w:color="auto"/>
        <w:right w:val="none" w:sz="0" w:space="0" w:color="auto"/>
      </w:divBdr>
    </w:div>
    <w:div w:id="402876259">
      <w:bodyDiv w:val="1"/>
      <w:marLeft w:val="0"/>
      <w:marRight w:val="0"/>
      <w:marTop w:val="0"/>
      <w:marBottom w:val="0"/>
      <w:divBdr>
        <w:top w:val="none" w:sz="0" w:space="0" w:color="auto"/>
        <w:left w:val="none" w:sz="0" w:space="0" w:color="auto"/>
        <w:bottom w:val="none" w:sz="0" w:space="0" w:color="auto"/>
        <w:right w:val="none" w:sz="0" w:space="0" w:color="auto"/>
      </w:divBdr>
    </w:div>
    <w:div w:id="409540716">
      <w:bodyDiv w:val="1"/>
      <w:marLeft w:val="0"/>
      <w:marRight w:val="0"/>
      <w:marTop w:val="0"/>
      <w:marBottom w:val="0"/>
      <w:divBdr>
        <w:top w:val="none" w:sz="0" w:space="0" w:color="auto"/>
        <w:left w:val="none" w:sz="0" w:space="0" w:color="auto"/>
        <w:bottom w:val="none" w:sz="0" w:space="0" w:color="auto"/>
        <w:right w:val="none" w:sz="0" w:space="0" w:color="auto"/>
      </w:divBdr>
    </w:div>
    <w:div w:id="413089799">
      <w:bodyDiv w:val="1"/>
      <w:marLeft w:val="0"/>
      <w:marRight w:val="0"/>
      <w:marTop w:val="0"/>
      <w:marBottom w:val="0"/>
      <w:divBdr>
        <w:top w:val="none" w:sz="0" w:space="0" w:color="auto"/>
        <w:left w:val="none" w:sz="0" w:space="0" w:color="auto"/>
        <w:bottom w:val="none" w:sz="0" w:space="0" w:color="auto"/>
        <w:right w:val="none" w:sz="0" w:space="0" w:color="auto"/>
      </w:divBdr>
    </w:div>
    <w:div w:id="421805698">
      <w:bodyDiv w:val="1"/>
      <w:marLeft w:val="0"/>
      <w:marRight w:val="0"/>
      <w:marTop w:val="0"/>
      <w:marBottom w:val="0"/>
      <w:divBdr>
        <w:top w:val="none" w:sz="0" w:space="0" w:color="auto"/>
        <w:left w:val="none" w:sz="0" w:space="0" w:color="auto"/>
        <w:bottom w:val="none" w:sz="0" w:space="0" w:color="auto"/>
        <w:right w:val="none" w:sz="0" w:space="0" w:color="auto"/>
      </w:divBdr>
    </w:div>
    <w:div w:id="436104047">
      <w:bodyDiv w:val="1"/>
      <w:marLeft w:val="0"/>
      <w:marRight w:val="0"/>
      <w:marTop w:val="0"/>
      <w:marBottom w:val="0"/>
      <w:divBdr>
        <w:top w:val="none" w:sz="0" w:space="0" w:color="auto"/>
        <w:left w:val="none" w:sz="0" w:space="0" w:color="auto"/>
        <w:bottom w:val="none" w:sz="0" w:space="0" w:color="auto"/>
        <w:right w:val="none" w:sz="0" w:space="0" w:color="auto"/>
      </w:divBdr>
    </w:div>
    <w:div w:id="442112948">
      <w:bodyDiv w:val="1"/>
      <w:marLeft w:val="0"/>
      <w:marRight w:val="0"/>
      <w:marTop w:val="0"/>
      <w:marBottom w:val="0"/>
      <w:divBdr>
        <w:top w:val="none" w:sz="0" w:space="0" w:color="auto"/>
        <w:left w:val="none" w:sz="0" w:space="0" w:color="auto"/>
        <w:bottom w:val="none" w:sz="0" w:space="0" w:color="auto"/>
        <w:right w:val="none" w:sz="0" w:space="0" w:color="auto"/>
      </w:divBdr>
    </w:div>
    <w:div w:id="445201335">
      <w:bodyDiv w:val="1"/>
      <w:marLeft w:val="0"/>
      <w:marRight w:val="0"/>
      <w:marTop w:val="0"/>
      <w:marBottom w:val="0"/>
      <w:divBdr>
        <w:top w:val="none" w:sz="0" w:space="0" w:color="auto"/>
        <w:left w:val="none" w:sz="0" w:space="0" w:color="auto"/>
        <w:bottom w:val="none" w:sz="0" w:space="0" w:color="auto"/>
        <w:right w:val="none" w:sz="0" w:space="0" w:color="auto"/>
      </w:divBdr>
      <w:divsChild>
        <w:div w:id="1361129379">
          <w:marLeft w:val="0"/>
          <w:marRight w:val="0"/>
          <w:marTop w:val="0"/>
          <w:marBottom w:val="0"/>
          <w:divBdr>
            <w:top w:val="none" w:sz="0" w:space="0" w:color="auto"/>
            <w:left w:val="none" w:sz="0" w:space="0" w:color="auto"/>
            <w:bottom w:val="none" w:sz="0" w:space="0" w:color="auto"/>
            <w:right w:val="none" w:sz="0" w:space="0" w:color="auto"/>
          </w:divBdr>
          <w:divsChild>
            <w:div w:id="1500533758">
              <w:marLeft w:val="0"/>
              <w:marRight w:val="0"/>
              <w:marTop w:val="0"/>
              <w:marBottom w:val="0"/>
              <w:divBdr>
                <w:top w:val="none" w:sz="0" w:space="0" w:color="auto"/>
                <w:left w:val="none" w:sz="0" w:space="0" w:color="auto"/>
                <w:bottom w:val="none" w:sz="0" w:space="0" w:color="auto"/>
                <w:right w:val="none" w:sz="0" w:space="0" w:color="auto"/>
              </w:divBdr>
              <w:divsChild>
                <w:div w:id="836072729">
                  <w:marLeft w:val="360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451554804">
      <w:bodyDiv w:val="1"/>
      <w:marLeft w:val="0"/>
      <w:marRight w:val="0"/>
      <w:marTop w:val="0"/>
      <w:marBottom w:val="0"/>
      <w:divBdr>
        <w:top w:val="none" w:sz="0" w:space="0" w:color="auto"/>
        <w:left w:val="none" w:sz="0" w:space="0" w:color="auto"/>
        <w:bottom w:val="none" w:sz="0" w:space="0" w:color="auto"/>
        <w:right w:val="none" w:sz="0" w:space="0" w:color="auto"/>
      </w:divBdr>
    </w:div>
    <w:div w:id="457139345">
      <w:bodyDiv w:val="1"/>
      <w:marLeft w:val="0"/>
      <w:marRight w:val="0"/>
      <w:marTop w:val="0"/>
      <w:marBottom w:val="0"/>
      <w:divBdr>
        <w:top w:val="none" w:sz="0" w:space="0" w:color="auto"/>
        <w:left w:val="none" w:sz="0" w:space="0" w:color="auto"/>
        <w:bottom w:val="none" w:sz="0" w:space="0" w:color="auto"/>
        <w:right w:val="none" w:sz="0" w:space="0" w:color="auto"/>
      </w:divBdr>
    </w:div>
    <w:div w:id="462429059">
      <w:bodyDiv w:val="1"/>
      <w:marLeft w:val="0"/>
      <w:marRight w:val="0"/>
      <w:marTop w:val="0"/>
      <w:marBottom w:val="0"/>
      <w:divBdr>
        <w:top w:val="none" w:sz="0" w:space="0" w:color="auto"/>
        <w:left w:val="none" w:sz="0" w:space="0" w:color="auto"/>
        <w:bottom w:val="none" w:sz="0" w:space="0" w:color="auto"/>
        <w:right w:val="none" w:sz="0" w:space="0" w:color="auto"/>
      </w:divBdr>
    </w:div>
    <w:div w:id="465516515">
      <w:bodyDiv w:val="1"/>
      <w:marLeft w:val="0"/>
      <w:marRight w:val="0"/>
      <w:marTop w:val="0"/>
      <w:marBottom w:val="0"/>
      <w:divBdr>
        <w:top w:val="none" w:sz="0" w:space="0" w:color="auto"/>
        <w:left w:val="none" w:sz="0" w:space="0" w:color="auto"/>
        <w:bottom w:val="none" w:sz="0" w:space="0" w:color="auto"/>
        <w:right w:val="none" w:sz="0" w:space="0" w:color="auto"/>
      </w:divBdr>
    </w:div>
    <w:div w:id="479342974">
      <w:bodyDiv w:val="1"/>
      <w:marLeft w:val="0"/>
      <w:marRight w:val="0"/>
      <w:marTop w:val="0"/>
      <w:marBottom w:val="0"/>
      <w:divBdr>
        <w:top w:val="none" w:sz="0" w:space="0" w:color="auto"/>
        <w:left w:val="none" w:sz="0" w:space="0" w:color="auto"/>
        <w:bottom w:val="none" w:sz="0" w:space="0" w:color="auto"/>
        <w:right w:val="none" w:sz="0" w:space="0" w:color="auto"/>
      </w:divBdr>
    </w:div>
    <w:div w:id="492455612">
      <w:bodyDiv w:val="1"/>
      <w:marLeft w:val="0"/>
      <w:marRight w:val="0"/>
      <w:marTop w:val="0"/>
      <w:marBottom w:val="0"/>
      <w:divBdr>
        <w:top w:val="none" w:sz="0" w:space="0" w:color="auto"/>
        <w:left w:val="none" w:sz="0" w:space="0" w:color="auto"/>
        <w:bottom w:val="none" w:sz="0" w:space="0" w:color="auto"/>
        <w:right w:val="none" w:sz="0" w:space="0" w:color="auto"/>
      </w:divBdr>
    </w:div>
    <w:div w:id="516382201">
      <w:bodyDiv w:val="1"/>
      <w:marLeft w:val="0"/>
      <w:marRight w:val="0"/>
      <w:marTop w:val="0"/>
      <w:marBottom w:val="0"/>
      <w:divBdr>
        <w:top w:val="none" w:sz="0" w:space="0" w:color="auto"/>
        <w:left w:val="none" w:sz="0" w:space="0" w:color="auto"/>
        <w:bottom w:val="none" w:sz="0" w:space="0" w:color="auto"/>
        <w:right w:val="none" w:sz="0" w:space="0" w:color="auto"/>
      </w:divBdr>
    </w:div>
    <w:div w:id="523516380">
      <w:bodyDiv w:val="1"/>
      <w:marLeft w:val="0"/>
      <w:marRight w:val="0"/>
      <w:marTop w:val="0"/>
      <w:marBottom w:val="0"/>
      <w:divBdr>
        <w:top w:val="none" w:sz="0" w:space="0" w:color="auto"/>
        <w:left w:val="none" w:sz="0" w:space="0" w:color="auto"/>
        <w:bottom w:val="none" w:sz="0" w:space="0" w:color="auto"/>
        <w:right w:val="none" w:sz="0" w:space="0" w:color="auto"/>
      </w:divBdr>
    </w:div>
    <w:div w:id="523829262">
      <w:bodyDiv w:val="1"/>
      <w:marLeft w:val="0"/>
      <w:marRight w:val="0"/>
      <w:marTop w:val="0"/>
      <w:marBottom w:val="0"/>
      <w:divBdr>
        <w:top w:val="none" w:sz="0" w:space="0" w:color="auto"/>
        <w:left w:val="none" w:sz="0" w:space="0" w:color="auto"/>
        <w:bottom w:val="none" w:sz="0" w:space="0" w:color="auto"/>
        <w:right w:val="none" w:sz="0" w:space="0" w:color="auto"/>
      </w:divBdr>
      <w:divsChild>
        <w:div w:id="616446193">
          <w:marLeft w:val="0"/>
          <w:marRight w:val="0"/>
          <w:marTop w:val="0"/>
          <w:marBottom w:val="0"/>
          <w:divBdr>
            <w:top w:val="none" w:sz="0" w:space="0" w:color="auto"/>
            <w:left w:val="none" w:sz="0" w:space="0" w:color="auto"/>
            <w:bottom w:val="none" w:sz="0" w:space="0" w:color="auto"/>
            <w:right w:val="none" w:sz="0" w:space="0" w:color="auto"/>
          </w:divBdr>
          <w:divsChild>
            <w:div w:id="1144159952">
              <w:marLeft w:val="0"/>
              <w:marRight w:val="0"/>
              <w:marTop w:val="0"/>
              <w:marBottom w:val="0"/>
              <w:divBdr>
                <w:top w:val="none" w:sz="0" w:space="0" w:color="auto"/>
                <w:left w:val="none" w:sz="0" w:space="0" w:color="auto"/>
                <w:bottom w:val="none" w:sz="0" w:space="0" w:color="auto"/>
                <w:right w:val="none" w:sz="0" w:space="0" w:color="auto"/>
              </w:divBdr>
              <w:divsChild>
                <w:div w:id="2090346344">
                  <w:marLeft w:val="360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47573777">
      <w:bodyDiv w:val="1"/>
      <w:marLeft w:val="0"/>
      <w:marRight w:val="0"/>
      <w:marTop w:val="0"/>
      <w:marBottom w:val="0"/>
      <w:divBdr>
        <w:top w:val="none" w:sz="0" w:space="0" w:color="auto"/>
        <w:left w:val="none" w:sz="0" w:space="0" w:color="auto"/>
        <w:bottom w:val="none" w:sz="0" w:space="0" w:color="auto"/>
        <w:right w:val="none" w:sz="0" w:space="0" w:color="auto"/>
      </w:divBdr>
    </w:div>
    <w:div w:id="547762404">
      <w:bodyDiv w:val="1"/>
      <w:marLeft w:val="0"/>
      <w:marRight w:val="0"/>
      <w:marTop w:val="0"/>
      <w:marBottom w:val="0"/>
      <w:divBdr>
        <w:top w:val="none" w:sz="0" w:space="0" w:color="auto"/>
        <w:left w:val="none" w:sz="0" w:space="0" w:color="auto"/>
        <w:bottom w:val="none" w:sz="0" w:space="0" w:color="auto"/>
        <w:right w:val="none" w:sz="0" w:space="0" w:color="auto"/>
      </w:divBdr>
    </w:div>
    <w:div w:id="565457907">
      <w:bodyDiv w:val="1"/>
      <w:marLeft w:val="0"/>
      <w:marRight w:val="0"/>
      <w:marTop w:val="0"/>
      <w:marBottom w:val="0"/>
      <w:divBdr>
        <w:top w:val="none" w:sz="0" w:space="0" w:color="auto"/>
        <w:left w:val="none" w:sz="0" w:space="0" w:color="auto"/>
        <w:bottom w:val="none" w:sz="0" w:space="0" w:color="auto"/>
        <w:right w:val="none" w:sz="0" w:space="0" w:color="auto"/>
      </w:divBdr>
    </w:div>
    <w:div w:id="603341306">
      <w:bodyDiv w:val="1"/>
      <w:marLeft w:val="0"/>
      <w:marRight w:val="0"/>
      <w:marTop w:val="0"/>
      <w:marBottom w:val="0"/>
      <w:divBdr>
        <w:top w:val="none" w:sz="0" w:space="0" w:color="auto"/>
        <w:left w:val="none" w:sz="0" w:space="0" w:color="auto"/>
        <w:bottom w:val="none" w:sz="0" w:space="0" w:color="auto"/>
        <w:right w:val="none" w:sz="0" w:space="0" w:color="auto"/>
      </w:divBdr>
    </w:div>
    <w:div w:id="611785864">
      <w:bodyDiv w:val="1"/>
      <w:marLeft w:val="0"/>
      <w:marRight w:val="0"/>
      <w:marTop w:val="0"/>
      <w:marBottom w:val="0"/>
      <w:divBdr>
        <w:top w:val="none" w:sz="0" w:space="0" w:color="auto"/>
        <w:left w:val="none" w:sz="0" w:space="0" w:color="auto"/>
        <w:bottom w:val="none" w:sz="0" w:space="0" w:color="auto"/>
        <w:right w:val="none" w:sz="0" w:space="0" w:color="auto"/>
      </w:divBdr>
    </w:div>
    <w:div w:id="613947537">
      <w:bodyDiv w:val="1"/>
      <w:marLeft w:val="0"/>
      <w:marRight w:val="0"/>
      <w:marTop w:val="0"/>
      <w:marBottom w:val="0"/>
      <w:divBdr>
        <w:top w:val="none" w:sz="0" w:space="0" w:color="auto"/>
        <w:left w:val="none" w:sz="0" w:space="0" w:color="auto"/>
        <w:bottom w:val="none" w:sz="0" w:space="0" w:color="auto"/>
        <w:right w:val="none" w:sz="0" w:space="0" w:color="auto"/>
      </w:divBdr>
    </w:div>
    <w:div w:id="649947643">
      <w:bodyDiv w:val="1"/>
      <w:marLeft w:val="0"/>
      <w:marRight w:val="0"/>
      <w:marTop w:val="0"/>
      <w:marBottom w:val="0"/>
      <w:divBdr>
        <w:top w:val="none" w:sz="0" w:space="0" w:color="auto"/>
        <w:left w:val="none" w:sz="0" w:space="0" w:color="auto"/>
        <w:bottom w:val="none" w:sz="0" w:space="0" w:color="auto"/>
        <w:right w:val="none" w:sz="0" w:space="0" w:color="auto"/>
      </w:divBdr>
    </w:div>
    <w:div w:id="656231956">
      <w:bodyDiv w:val="1"/>
      <w:marLeft w:val="0"/>
      <w:marRight w:val="0"/>
      <w:marTop w:val="0"/>
      <w:marBottom w:val="0"/>
      <w:divBdr>
        <w:top w:val="none" w:sz="0" w:space="0" w:color="auto"/>
        <w:left w:val="none" w:sz="0" w:space="0" w:color="auto"/>
        <w:bottom w:val="none" w:sz="0" w:space="0" w:color="auto"/>
        <w:right w:val="none" w:sz="0" w:space="0" w:color="auto"/>
      </w:divBdr>
    </w:div>
    <w:div w:id="659193816">
      <w:bodyDiv w:val="1"/>
      <w:marLeft w:val="0"/>
      <w:marRight w:val="0"/>
      <w:marTop w:val="0"/>
      <w:marBottom w:val="0"/>
      <w:divBdr>
        <w:top w:val="none" w:sz="0" w:space="0" w:color="auto"/>
        <w:left w:val="none" w:sz="0" w:space="0" w:color="auto"/>
        <w:bottom w:val="none" w:sz="0" w:space="0" w:color="auto"/>
        <w:right w:val="none" w:sz="0" w:space="0" w:color="auto"/>
      </w:divBdr>
    </w:div>
    <w:div w:id="664630545">
      <w:bodyDiv w:val="1"/>
      <w:marLeft w:val="0"/>
      <w:marRight w:val="0"/>
      <w:marTop w:val="0"/>
      <w:marBottom w:val="0"/>
      <w:divBdr>
        <w:top w:val="none" w:sz="0" w:space="0" w:color="auto"/>
        <w:left w:val="none" w:sz="0" w:space="0" w:color="auto"/>
        <w:bottom w:val="none" w:sz="0" w:space="0" w:color="auto"/>
        <w:right w:val="none" w:sz="0" w:space="0" w:color="auto"/>
      </w:divBdr>
    </w:div>
    <w:div w:id="669677676">
      <w:bodyDiv w:val="1"/>
      <w:marLeft w:val="0"/>
      <w:marRight w:val="0"/>
      <w:marTop w:val="0"/>
      <w:marBottom w:val="0"/>
      <w:divBdr>
        <w:top w:val="none" w:sz="0" w:space="0" w:color="auto"/>
        <w:left w:val="none" w:sz="0" w:space="0" w:color="auto"/>
        <w:bottom w:val="none" w:sz="0" w:space="0" w:color="auto"/>
        <w:right w:val="none" w:sz="0" w:space="0" w:color="auto"/>
      </w:divBdr>
    </w:div>
    <w:div w:id="754595657">
      <w:bodyDiv w:val="1"/>
      <w:marLeft w:val="0"/>
      <w:marRight w:val="0"/>
      <w:marTop w:val="0"/>
      <w:marBottom w:val="0"/>
      <w:divBdr>
        <w:top w:val="none" w:sz="0" w:space="0" w:color="auto"/>
        <w:left w:val="none" w:sz="0" w:space="0" w:color="auto"/>
        <w:bottom w:val="none" w:sz="0" w:space="0" w:color="auto"/>
        <w:right w:val="none" w:sz="0" w:space="0" w:color="auto"/>
      </w:divBdr>
    </w:div>
    <w:div w:id="779568424">
      <w:bodyDiv w:val="1"/>
      <w:marLeft w:val="0"/>
      <w:marRight w:val="0"/>
      <w:marTop w:val="0"/>
      <w:marBottom w:val="0"/>
      <w:divBdr>
        <w:top w:val="none" w:sz="0" w:space="0" w:color="auto"/>
        <w:left w:val="none" w:sz="0" w:space="0" w:color="auto"/>
        <w:bottom w:val="none" w:sz="0" w:space="0" w:color="auto"/>
        <w:right w:val="none" w:sz="0" w:space="0" w:color="auto"/>
      </w:divBdr>
    </w:div>
    <w:div w:id="783037421">
      <w:bodyDiv w:val="1"/>
      <w:marLeft w:val="0"/>
      <w:marRight w:val="0"/>
      <w:marTop w:val="0"/>
      <w:marBottom w:val="0"/>
      <w:divBdr>
        <w:top w:val="none" w:sz="0" w:space="0" w:color="auto"/>
        <w:left w:val="none" w:sz="0" w:space="0" w:color="auto"/>
        <w:bottom w:val="none" w:sz="0" w:space="0" w:color="auto"/>
        <w:right w:val="none" w:sz="0" w:space="0" w:color="auto"/>
      </w:divBdr>
    </w:div>
    <w:div w:id="793644503">
      <w:bodyDiv w:val="1"/>
      <w:marLeft w:val="0"/>
      <w:marRight w:val="0"/>
      <w:marTop w:val="0"/>
      <w:marBottom w:val="0"/>
      <w:divBdr>
        <w:top w:val="none" w:sz="0" w:space="0" w:color="auto"/>
        <w:left w:val="none" w:sz="0" w:space="0" w:color="auto"/>
        <w:bottom w:val="none" w:sz="0" w:space="0" w:color="auto"/>
        <w:right w:val="none" w:sz="0" w:space="0" w:color="auto"/>
      </w:divBdr>
    </w:div>
    <w:div w:id="802043026">
      <w:bodyDiv w:val="1"/>
      <w:marLeft w:val="0"/>
      <w:marRight w:val="0"/>
      <w:marTop w:val="0"/>
      <w:marBottom w:val="0"/>
      <w:divBdr>
        <w:top w:val="none" w:sz="0" w:space="0" w:color="auto"/>
        <w:left w:val="none" w:sz="0" w:space="0" w:color="auto"/>
        <w:bottom w:val="none" w:sz="0" w:space="0" w:color="auto"/>
        <w:right w:val="none" w:sz="0" w:space="0" w:color="auto"/>
      </w:divBdr>
      <w:divsChild>
        <w:div w:id="1039430622">
          <w:marLeft w:val="0"/>
          <w:marRight w:val="0"/>
          <w:marTop w:val="0"/>
          <w:marBottom w:val="0"/>
          <w:divBdr>
            <w:top w:val="none" w:sz="0" w:space="0" w:color="auto"/>
            <w:left w:val="none" w:sz="0" w:space="0" w:color="auto"/>
            <w:bottom w:val="none" w:sz="0" w:space="0" w:color="auto"/>
            <w:right w:val="none" w:sz="0" w:space="0" w:color="auto"/>
          </w:divBdr>
          <w:divsChild>
            <w:div w:id="572738150">
              <w:marLeft w:val="0"/>
              <w:marRight w:val="0"/>
              <w:marTop w:val="0"/>
              <w:marBottom w:val="0"/>
              <w:divBdr>
                <w:top w:val="none" w:sz="0" w:space="0" w:color="auto"/>
                <w:left w:val="none" w:sz="0" w:space="0" w:color="auto"/>
                <w:bottom w:val="none" w:sz="0" w:space="0" w:color="auto"/>
                <w:right w:val="none" w:sz="0" w:space="0" w:color="auto"/>
              </w:divBdr>
              <w:divsChild>
                <w:div w:id="112940582">
                  <w:marLeft w:val="360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05314742">
      <w:bodyDiv w:val="1"/>
      <w:marLeft w:val="0"/>
      <w:marRight w:val="0"/>
      <w:marTop w:val="0"/>
      <w:marBottom w:val="0"/>
      <w:divBdr>
        <w:top w:val="none" w:sz="0" w:space="0" w:color="auto"/>
        <w:left w:val="none" w:sz="0" w:space="0" w:color="auto"/>
        <w:bottom w:val="none" w:sz="0" w:space="0" w:color="auto"/>
        <w:right w:val="none" w:sz="0" w:space="0" w:color="auto"/>
      </w:divBdr>
    </w:div>
    <w:div w:id="818040742">
      <w:bodyDiv w:val="1"/>
      <w:marLeft w:val="0"/>
      <w:marRight w:val="0"/>
      <w:marTop w:val="0"/>
      <w:marBottom w:val="0"/>
      <w:divBdr>
        <w:top w:val="none" w:sz="0" w:space="0" w:color="auto"/>
        <w:left w:val="none" w:sz="0" w:space="0" w:color="auto"/>
        <w:bottom w:val="none" w:sz="0" w:space="0" w:color="auto"/>
        <w:right w:val="none" w:sz="0" w:space="0" w:color="auto"/>
      </w:divBdr>
    </w:div>
    <w:div w:id="824206146">
      <w:bodyDiv w:val="1"/>
      <w:marLeft w:val="0"/>
      <w:marRight w:val="0"/>
      <w:marTop w:val="0"/>
      <w:marBottom w:val="0"/>
      <w:divBdr>
        <w:top w:val="none" w:sz="0" w:space="0" w:color="auto"/>
        <w:left w:val="none" w:sz="0" w:space="0" w:color="auto"/>
        <w:bottom w:val="none" w:sz="0" w:space="0" w:color="auto"/>
        <w:right w:val="none" w:sz="0" w:space="0" w:color="auto"/>
      </w:divBdr>
    </w:div>
    <w:div w:id="829442798">
      <w:bodyDiv w:val="1"/>
      <w:marLeft w:val="0"/>
      <w:marRight w:val="0"/>
      <w:marTop w:val="0"/>
      <w:marBottom w:val="0"/>
      <w:divBdr>
        <w:top w:val="none" w:sz="0" w:space="0" w:color="auto"/>
        <w:left w:val="none" w:sz="0" w:space="0" w:color="auto"/>
        <w:bottom w:val="none" w:sz="0" w:space="0" w:color="auto"/>
        <w:right w:val="none" w:sz="0" w:space="0" w:color="auto"/>
      </w:divBdr>
    </w:div>
    <w:div w:id="854534031">
      <w:bodyDiv w:val="1"/>
      <w:marLeft w:val="0"/>
      <w:marRight w:val="0"/>
      <w:marTop w:val="0"/>
      <w:marBottom w:val="0"/>
      <w:divBdr>
        <w:top w:val="none" w:sz="0" w:space="0" w:color="auto"/>
        <w:left w:val="none" w:sz="0" w:space="0" w:color="auto"/>
        <w:bottom w:val="none" w:sz="0" w:space="0" w:color="auto"/>
        <w:right w:val="none" w:sz="0" w:space="0" w:color="auto"/>
      </w:divBdr>
    </w:div>
    <w:div w:id="857701560">
      <w:bodyDiv w:val="1"/>
      <w:marLeft w:val="0"/>
      <w:marRight w:val="0"/>
      <w:marTop w:val="0"/>
      <w:marBottom w:val="0"/>
      <w:divBdr>
        <w:top w:val="none" w:sz="0" w:space="0" w:color="auto"/>
        <w:left w:val="none" w:sz="0" w:space="0" w:color="auto"/>
        <w:bottom w:val="none" w:sz="0" w:space="0" w:color="auto"/>
        <w:right w:val="none" w:sz="0" w:space="0" w:color="auto"/>
      </w:divBdr>
    </w:div>
    <w:div w:id="858392789">
      <w:bodyDiv w:val="1"/>
      <w:marLeft w:val="0"/>
      <w:marRight w:val="0"/>
      <w:marTop w:val="0"/>
      <w:marBottom w:val="0"/>
      <w:divBdr>
        <w:top w:val="none" w:sz="0" w:space="0" w:color="auto"/>
        <w:left w:val="none" w:sz="0" w:space="0" w:color="auto"/>
        <w:bottom w:val="none" w:sz="0" w:space="0" w:color="auto"/>
        <w:right w:val="none" w:sz="0" w:space="0" w:color="auto"/>
      </w:divBdr>
    </w:div>
    <w:div w:id="861748162">
      <w:bodyDiv w:val="1"/>
      <w:marLeft w:val="0"/>
      <w:marRight w:val="0"/>
      <w:marTop w:val="0"/>
      <w:marBottom w:val="0"/>
      <w:divBdr>
        <w:top w:val="none" w:sz="0" w:space="0" w:color="auto"/>
        <w:left w:val="none" w:sz="0" w:space="0" w:color="auto"/>
        <w:bottom w:val="none" w:sz="0" w:space="0" w:color="auto"/>
        <w:right w:val="none" w:sz="0" w:space="0" w:color="auto"/>
      </w:divBdr>
    </w:div>
    <w:div w:id="866916589">
      <w:bodyDiv w:val="1"/>
      <w:marLeft w:val="0"/>
      <w:marRight w:val="0"/>
      <w:marTop w:val="0"/>
      <w:marBottom w:val="0"/>
      <w:divBdr>
        <w:top w:val="none" w:sz="0" w:space="0" w:color="auto"/>
        <w:left w:val="none" w:sz="0" w:space="0" w:color="auto"/>
        <w:bottom w:val="none" w:sz="0" w:space="0" w:color="auto"/>
        <w:right w:val="none" w:sz="0" w:space="0" w:color="auto"/>
      </w:divBdr>
    </w:div>
    <w:div w:id="896282674">
      <w:bodyDiv w:val="1"/>
      <w:marLeft w:val="0"/>
      <w:marRight w:val="0"/>
      <w:marTop w:val="0"/>
      <w:marBottom w:val="0"/>
      <w:divBdr>
        <w:top w:val="none" w:sz="0" w:space="0" w:color="auto"/>
        <w:left w:val="none" w:sz="0" w:space="0" w:color="auto"/>
        <w:bottom w:val="none" w:sz="0" w:space="0" w:color="auto"/>
        <w:right w:val="none" w:sz="0" w:space="0" w:color="auto"/>
      </w:divBdr>
    </w:div>
    <w:div w:id="934677441">
      <w:bodyDiv w:val="1"/>
      <w:marLeft w:val="0"/>
      <w:marRight w:val="0"/>
      <w:marTop w:val="0"/>
      <w:marBottom w:val="0"/>
      <w:divBdr>
        <w:top w:val="none" w:sz="0" w:space="0" w:color="auto"/>
        <w:left w:val="none" w:sz="0" w:space="0" w:color="auto"/>
        <w:bottom w:val="none" w:sz="0" w:space="0" w:color="auto"/>
        <w:right w:val="none" w:sz="0" w:space="0" w:color="auto"/>
      </w:divBdr>
    </w:div>
    <w:div w:id="953832508">
      <w:bodyDiv w:val="1"/>
      <w:marLeft w:val="0"/>
      <w:marRight w:val="0"/>
      <w:marTop w:val="0"/>
      <w:marBottom w:val="0"/>
      <w:divBdr>
        <w:top w:val="none" w:sz="0" w:space="0" w:color="auto"/>
        <w:left w:val="none" w:sz="0" w:space="0" w:color="auto"/>
        <w:bottom w:val="none" w:sz="0" w:space="0" w:color="auto"/>
        <w:right w:val="none" w:sz="0" w:space="0" w:color="auto"/>
      </w:divBdr>
    </w:div>
    <w:div w:id="969750567">
      <w:bodyDiv w:val="1"/>
      <w:marLeft w:val="0"/>
      <w:marRight w:val="0"/>
      <w:marTop w:val="0"/>
      <w:marBottom w:val="0"/>
      <w:divBdr>
        <w:top w:val="none" w:sz="0" w:space="0" w:color="auto"/>
        <w:left w:val="none" w:sz="0" w:space="0" w:color="auto"/>
        <w:bottom w:val="none" w:sz="0" w:space="0" w:color="auto"/>
        <w:right w:val="none" w:sz="0" w:space="0" w:color="auto"/>
      </w:divBdr>
    </w:div>
    <w:div w:id="1008992930">
      <w:bodyDiv w:val="1"/>
      <w:marLeft w:val="0"/>
      <w:marRight w:val="0"/>
      <w:marTop w:val="0"/>
      <w:marBottom w:val="0"/>
      <w:divBdr>
        <w:top w:val="none" w:sz="0" w:space="0" w:color="auto"/>
        <w:left w:val="none" w:sz="0" w:space="0" w:color="auto"/>
        <w:bottom w:val="none" w:sz="0" w:space="0" w:color="auto"/>
        <w:right w:val="none" w:sz="0" w:space="0" w:color="auto"/>
      </w:divBdr>
    </w:div>
    <w:div w:id="1057581684">
      <w:bodyDiv w:val="1"/>
      <w:marLeft w:val="0"/>
      <w:marRight w:val="0"/>
      <w:marTop w:val="0"/>
      <w:marBottom w:val="0"/>
      <w:divBdr>
        <w:top w:val="none" w:sz="0" w:space="0" w:color="auto"/>
        <w:left w:val="none" w:sz="0" w:space="0" w:color="auto"/>
        <w:bottom w:val="none" w:sz="0" w:space="0" w:color="auto"/>
        <w:right w:val="none" w:sz="0" w:space="0" w:color="auto"/>
      </w:divBdr>
    </w:div>
    <w:div w:id="1097021964">
      <w:bodyDiv w:val="1"/>
      <w:marLeft w:val="0"/>
      <w:marRight w:val="0"/>
      <w:marTop w:val="0"/>
      <w:marBottom w:val="0"/>
      <w:divBdr>
        <w:top w:val="none" w:sz="0" w:space="0" w:color="auto"/>
        <w:left w:val="none" w:sz="0" w:space="0" w:color="auto"/>
        <w:bottom w:val="none" w:sz="0" w:space="0" w:color="auto"/>
        <w:right w:val="none" w:sz="0" w:space="0" w:color="auto"/>
      </w:divBdr>
    </w:div>
    <w:div w:id="1133979593">
      <w:bodyDiv w:val="1"/>
      <w:marLeft w:val="0"/>
      <w:marRight w:val="0"/>
      <w:marTop w:val="0"/>
      <w:marBottom w:val="0"/>
      <w:divBdr>
        <w:top w:val="none" w:sz="0" w:space="0" w:color="auto"/>
        <w:left w:val="none" w:sz="0" w:space="0" w:color="auto"/>
        <w:bottom w:val="none" w:sz="0" w:space="0" w:color="auto"/>
        <w:right w:val="none" w:sz="0" w:space="0" w:color="auto"/>
      </w:divBdr>
    </w:div>
    <w:div w:id="1206677909">
      <w:bodyDiv w:val="1"/>
      <w:marLeft w:val="0"/>
      <w:marRight w:val="0"/>
      <w:marTop w:val="0"/>
      <w:marBottom w:val="0"/>
      <w:divBdr>
        <w:top w:val="none" w:sz="0" w:space="0" w:color="auto"/>
        <w:left w:val="none" w:sz="0" w:space="0" w:color="auto"/>
        <w:bottom w:val="none" w:sz="0" w:space="0" w:color="auto"/>
        <w:right w:val="none" w:sz="0" w:space="0" w:color="auto"/>
      </w:divBdr>
    </w:div>
    <w:div w:id="1221331299">
      <w:bodyDiv w:val="1"/>
      <w:marLeft w:val="0"/>
      <w:marRight w:val="0"/>
      <w:marTop w:val="0"/>
      <w:marBottom w:val="0"/>
      <w:divBdr>
        <w:top w:val="none" w:sz="0" w:space="0" w:color="auto"/>
        <w:left w:val="none" w:sz="0" w:space="0" w:color="auto"/>
        <w:bottom w:val="none" w:sz="0" w:space="0" w:color="auto"/>
        <w:right w:val="none" w:sz="0" w:space="0" w:color="auto"/>
      </w:divBdr>
      <w:divsChild>
        <w:div w:id="1663042482">
          <w:marLeft w:val="0"/>
          <w:marRight w:val="0"/>
          <w:marTop w:val="0"/>
          <w:marBottom w:val="0"/>
          <w:divBdr>
            <w:top w:val="none" w:sz="0" w:space="0" w:color="auto"/>
            <w:left w:val="none" w:sz="0" w:space="0" w:color="auto"/>
            <w:bottom w:val="none" w:sz="0" w:space="0" w:color="auto"/>
            <w:right w:val="none" w:sz="0" w:space="0" w:color="auto"/>
          </w:divBdr>
          <w:divsChild>
            <w:div w:id="130757324">
              <w:marLeft w:val="0"/>
              <w:marRight w:val="0"/>
              <w:marTop w:val="0"/>
              <w:marBottom w:val="0"/>
              <w:divBdr>
                <w:top w:val="none" w:sz="0" w:space="0" w:color="auto"/>
                <w:left w:val="none" w:sz="0" w:space="0" w:color="auto"/>
                <w:bottom w:val="none" w:sz="0" w:space="0" w:color="auto"/>
                <w:right w:val="none" w:sz="0" w:space="0" w:color="auto"/>
              </w:divBdr>
              <w:divsChild>
                <w:div w:id="41445140">
                  <w:marLeft w:val="360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227036815">
      <w:bodyDiv w:val="1"/>
      <w:marLeft w:val="0"/>
      <w:marRight w:val="0"/>
      <w:marTop w:val="0"/>
      <w:marBottom w:val="0"/>
      <w:divBdr>
        <w:top w:val="none" w:sz="0" w:space="0" w:color="auto"/>
        <w:left w:val="none" w:sz="0" w:space="0" w:color="auto"/>
        <w:bottom w:val="none" w:sz="0" w:space="0" w:color="auto"/>
        <w:right w:val="none" w:sz="0" w:space="0" w:color="auto"/>
      </w:divBdr>
    </w:div>
    <w:div w:id="1227257474">
      <w:bodyDiv w:val="1"/>
      <w:marLeft w:val="0"/>
      <w:marRight w:val="0"/>
      <w:marTop w:val="0"/>
      <w:marBottom w:val="0"/>
      <w:divBdr>
        <w:top w:val="none" w:sz="0" w:space="0" w:color="auto"/>
        <w:left w:val="none" w:sz="0" w:space="0" w:color="auto"/>
        <w:bottom w:val="none" w:sz="0" w:space="0" w:color="auto"/>
        <w:right w:val="none" w:sz="0" w:space="0" w:color="auto"/>
      </w:divBdr>
    </w:div>
    <w:div w:id="1230966098">
      <w:bodyDiv w:val="1"/>
      <w:marLeft w:val="0"/>
      <w:marRight w:val="0"/>
      <w:marTop w:val="0"/>
      <w:marBottom w:val="0"/>
      <w:divBdr>
        <w:top w:val="none" w:sz="0" w:space="0" w:color="auto"/>
        <w:left w:val="none" w:sz="0" w:space="0" w:color="auto"/>
        <w:bottom w:val="none" w:sz="0" w:space="0" w:color="auto"/>
        <w:right w:val="none" w:sz="0" w:space="0" w:color="auto"/>
      </w:divBdr>
    </w:div>
    <w:div w:id="1251355337">
      <w:bodyDiv w:val="1"/>
      <w:marLeft w:val="0"/>
      <w:marRight w:val="0"/>
      <w:marTop w:val="0"/>
      <w:marBottom w:val="0"/>
      <w:divBdr>
        <w:top w:val="none" w:sz="0" w:space="0" w:color="auto"/>
        <w:left w:val="none" w:sz="0" w:space="0" w:color="auto"/>
        <w:bottom w:val="none" w:sz="0" w:space="0" w:color="auto"/>
        <w:right w:val="none" w:sz="0" w:space="0" w:color="auto"/>
      </w:divBdr>
    </w:div>
    <w:div w:id="1264345168">
      <w:bodyDiv w:val="1"/>
      <w:marLeft w:val="0"/>
      <w:marRight w:val="0"/>
      <w:marTop w:val="0"/>
      <w:marBottom w:val="0"/>
      <w:divBdr>
        <w:top w:val="none" w:sz="0" w:space="0" w:color="auto"/>
        <w:left w:val="none" w:sz="0" w:space="0" w:color="auto"/>
        <w:bottom w:val="none" w:sz="0" w:space="0" w:color="auto"/>
        <w:right w:val="none" w:sz="0" w:space="0" w:color="auto"/>
      </w:divBdr>
    </w:div>
    <w:div w:id="1267424963">
      <w:bodyDiv w:val="1"/>
      <w:marLeft w:val="0"/>
      <w:marRight w:val="0"/>
      <w:marTop w:val="0"/>
      <w:marBottom w:val="0"/>
      <w:divBdr>
        <w:top w:val="none" w:sz="0" w:space="0" w:color="auto"/>
        <w:left w:val="none" w:sz="0" w:space="0" w:color="auto"/>
        <w:bottom w:val="none" w:sz="0" w:space="0" w:color="auto"/>
        <w:right w:val="none" w:sz="0" w:space="0" w:color="auto"/>
      </w:divBdr>
    </w:div>
    <w:div w:id="1306083609">
      <w:bodyDiv w:val="1"/>
      <w:marLeft w:val="0"/>
      <w:marRight w:val="0"/>
      <w:marTop w:val="0"/>
      <w:marBottom w:val="0"/>
      <w:divBdr>
        <w:top w:val="none" w:sz="0" w:space="0" w:color="auto"/>
        <w:left w:val="none" w:sz="0" w:space="0" w:color="auto"/>
        <w:bottom w:val="none" w:sz="0" w:space="0" w:color="auto"/>
        <w:right w:val="none" w:sz="0" w:space="0" w:color="auto"/>
      </w:divBdr>
    </w:div>
    <w:div w:id="1319458965">
      <w:bodyDiv w:val="1"/>
      <w:marLeft w:val="0"/>
      <w:marRight w:val="0"/>
      <w:marTop w:val="0"/>
      <w:marBottom w:val="0"/>
      <w:divBdr>
        <w:top w:val="none" w:sz="0" w:space="0" w:color="auto"/>
        <w:left w:val="none" w:sz="0" w:space="0" w:color="auto"/>
        <w:bottom w:val="none" w:sz="0" w:space="0" w:color="auto"/>
        <w:right w:val="none" w:sz="0" w:space="0" w:color="auto"/>
      </w:divBdr>
    </w:div>
    <w:div w:id="1378699721">
      <w:bodyDiv w:val="1"/>
      <w:marLeft w:val="0"/>
      <w:marRight w:val="0"/>
      <w:marTop w:val="0"/>
      <w:marBottom w:val="0"/>
      <w:divBdr>
        <w:top w:val="none" w:sz="0" w:space="0" w:color="auto"/>
        <w:left w:val="none" w:sz="0" w:space="0" w:color="auto"/>
        <w:bottom w:val="none" w:sz="0" w:space="0" w:color="auto"/>
        <w:right w:val="none" w:sz="0" w:space="0" w:color="auto"/>
      </w:divBdr>
    </w:div>
    <w:div w:id="1401631273">
      <w:bodyDiv w:val="1"/>
      <w:marLeft w:val="0"/>
      <w:marRight w:val="0"/>
      <w:marTop w:val="0"/>
      <w:marBottom w:val="0"/>
      <w:divBdr>
        <w:top w:val="none" w:sz="0" w:space="0" w:color="auto"/>
        <w:left w:val="none" w:sz="0" w:space="0" w:color="auto"/>
        <w:bottom w:val="none" w:sz="0" w:space="0" w:color="auto"/>
        <w:right w:val="none" w:sz="0" w:space="0" w:color="auto"/>
      </w:divBdr>
    </w:div>
    <w:div w:id="1419985087">
      <w:bodyDiv w:val="1"/>
      <w:marLeft w:val="0"/>
      <w:marRight w:val="0"/>
      <w:marTop w:val="0"/>
      <w:marBottom w:val="0"/>
      <w:divBdr>
        <w:top w:val="none" w:sz="0" w:space="0" w:color="auto"/>
        <w:left w:val="none" w:sz="0" w:space="0" w:color="auto"/>
        <w:bottom w:val="none" w:sz="0" w:space="0" w:color="auto"/>
        <w:right w:val="none" w:sz="0" w:space="0" w:color="auto"/>
      </w:divBdr>
    </w:div>
    <w:div w:id="1424953421">
      <w:bodyDiv w:val="1"/>
      <w:marLeft w:val="0"/>
      <w:marRight w:val="0"/>
      <w:marTop w:val="0"/>
      <w:marBottom w:val="0"/>
      <w:divBdr>
        <w:top w:val="none" w:sz="0" w:space="0" w:color="auto"/>
        <w:left w:val="none" w:sz="0" w:space="0" w:color="auto"/>
        <w:bottom w:val="none" w:sz="0" w:space="0" w:color="auto"/>
        <w:right w:val="none" w:sz="0" w:space="0" w:color="auto"/>
      </w:divBdr>
    </w:div>
    <w:div w:id="1425419914">
      <w:bodyDiv w:val="1"/>
      <w:marLeft w:val="0"/>
      <w:marRight w:val="0"/>
      <w:marTop w:val="0"/>
      <w:marBottom w:val="0"/>
      <w:divBdr>
        <w:top w:val="none" w:sz="0" w:space="0" w:color="auto"/>
        <w:left w:val="none" w:sz="0" w:space="0" w:color="auto"/>
        <w:bottom w:val="none" w:sz="0" w:space="0" w:color="auto"/>
        <w:right w:val="none" w:sz="0" w:space="0" w:color="auto"/>
      </w:divBdr>
    </w:div>
    <w:div w:id="1449549192">
      <w:bodyDiv w:val="1"/>
      <w:marLeft w:val="0"/>
      <w:marRight w:val="0"/>
      <w:marTop w:val="0"/>
      <w:marBottom w:val="0"/>
      <w:divBdr>
        <w:top w:val="none" w:sz="0" w:space="0" w:color="auto"/>
        <w:left w:val="none" w:sz="0" w:space="0" w:color="auto"/>
        <w:bottom w:val="none" w:sz="0" w:space="0" w:color="auto"/>
        <w:right w:val="none" w:sz="0" w:space="0" w:color="auto"/>
      </w:divBdr>
      <w:divsChild>
        <w:div w:id="1271545629">
          <w:marLeft w:val="0"/>
          <w:marRight w:val="0"/>
          <w:marTop w:val="0"/>
          <w:marBottom w:val="0"/>
          <w:divBdr>
            <w:top w:val="none" w:sz="0" w:space="0" w:color="auto"/>
            <w:left w:val="none" w:sz="0" w:space="0" w:color="auto"/>
            <w:bottom w:val="none" w:sz="0" w:space="0" w:color="auto"/>
            <w:right w:val="none" w:sz="0" w:space="0" w:color="auto"/>
          </w:divBdr>
          <w:divsChild>
            <w:div w:id="618220661">
              <w:marLeft w:val="0"/>
              <w:marRight w:val="0"/>
              <w:marTop w:val="0"/>
              <w:marBottom w:val="0"/>
              <w:divBdr>
                <w:top w:val="none" w:sz="0" w:space="0" w:color="auto"/>
                <w:left w:val="none" w:sz="0" w:space="0" w:color="auto"/>
                <w:bottom w:val="none" w:sz="0" w:space="0" w:color="auto"/>
                <w:right w:val="none" w:sz="0" w:space="0" w:color="auto"/>
              </w:divBdr>
              <w:divsChild>
                <w:div w:id="906459085">
                  <w:marLeft w:val="360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466466231">
      <w:bodyDiv w:val="1"/>
      <w:marLeft w:val="0"/>
      <w:marRight w:val="0"/>
      <w:marTop w:val="0"/>
      <w:marBottom w:val="0"/>
      <w:divBdr>
        <w:top w:val="none" w:sz="0" w:space="0" w:color="auto"/>
        <w:left w:val="none" w:sz="0" w:space="0" w:color="auto"/>
        <w:bottom w:val="none" w:sz="0" w:space="0" w:color="auto"/>
        <w:right w:val="none" w:sz="0" w:space="0" w:color="auto"/>
      </w:divBdr>
    </w:div>
    <w:div w:id="1468543446">
      <w:bodyDiv w:val="1"/>
      <w:marLeft w:val="0"/>
      <w:marRight w:val="0"/>
      <w:marTop w:val="0"/>
      <w:marBottom w:val="0"/>
      <w:divBdr>
        <w:top w:val="none" w:sz="0" w:space="0" w:color="auto"/>
        <w:left w:val="none" w:sz="0" w:space="0" w:color="auto"/>
        <w:bottom w:val="none" w:sz="0" w:space="0" w:color="auto"/>
        <w:right w:val="none" w:sz="0" w:space="0" w:color="auto"/>
      </w:divBdr>
    </w:div>
    <w:div w:id="1471169032">
      <w:bodyDiv w:val="1"/>
      <w:marLeft w:val="0"/>
      <w:marRight w:val="0"/>
      <w:marTop w:val="0"/>
      <w:marBottom w:val="0"/>
      <w:divBdr>
        <w:top w:val="none" w:sz="0" w:space="0" w:color="auto"/>
        <w:left w:val="none" w:sz="0" w:space="0" w:color="auto"/>
        <w:bottom w:val="none" w:sz="0" w:space="0" w:color="auto"/>
        <w:right w:val="none" w:sz="0" w:space="0" w:color="auto"/>
      </w:divBdr>
    </w:div>
    <w:div w:id="1497115492">
      <w:bodyDiv w:val="1"/>
      <w:marLeft w:val="0"/>
      <w:marRight w:val="0"/>
      <w:marTop w:val="0"/>
      <w:marBottom w:val="0"/>
      <w:divBdr>
        <w:top w:val="none" w:sz="0" w:space="0" w:color="auto"/>
        <w:left w:val="none" w:sz="0" w:space="0" w:color="auto"/>
        <w:bottom w:val="none" w:sz="0" w:space="0" w:color="auto"/>
        <w:right w:val="none" w:sz="0" w:space="0" w:color="auto"/>
      </w:divBdr>
    </w:div>
    <w:div w:id="1497769863">
      <w:bodyDiv w:val="1"/>
      <w:marLeft w:val="0"/>
      <w:marRight w:val="0"/>
      <w:marTop w:val="0"/>
      <w:marBottom w:val="0"/>
      <w:divBdr>
        <w:top w:val="none" w:sz="0" w:space="0" w:color="auto"/>
        <w:left w:val="none" w:sz="0" w:space="0" w:color="auto"/>
        <w:bottom w:val="none" w:sz="0" w:space="0" w:color="auto"/>
        <w:right w:val="none" w:sz="0" w:space="0" w:color="auto"/>
      </w:divBdr>
      <w:divsChild>
        <w:div w:id="1528913258">
          <w:marLeft w:val="0"/>
          <w:marRight w:val="0"/>
          <w:marTop w:val="0"/>
          <w:marBottom w:val="0"/>
          <w:divBdr>
            <w:top w:val="none" w:sz="0" w:space="0" w:color="auto"/>
            <w:left w:val="none" w:sz="0" w:space="0" w:color="auto"/>
            <w:bottom w:val="none" w:sz="0" w:space="0" w:color="auto"/>
            <w:right w:val="none" w:sz="0" w:space="0" w:color="auto"/>
          </w:divBdr>
          <w:divsChild>
            <w:div w:id="1498962839">
              <w:marLeft w:val="300"/>
              <w:marRight w:val="150"/>
              <w:marTop w:val="300"/>
              <w:marBottom w:val="375"/>
              <w:divBdr>
                <w:top w:val="none" w:sz="0" w:space="0" w:color="auto"/>
                <w:left w:val="none" w:sz="0" w:space="0" w:color="auto"/>
                <w:bottom w:val="none" w:sz="0" w:space="0" w:color="auto"/>
                <w:right w:val="none" w:sz="0" w:space="0" w:color="auto"/>
              </w:divBdr>
              <w:divsChild>
                <w:div w:id="446042519">
                  <w:marLeft w:val="0"/>
                  <w:marRight w:val="0"/>
                  <w:marTop w:val="0"/>
                  <w:marBottom w:val="0"/>
                  <w:divBdr>
                    <w:top w:val="none" w:sz="0" w:space="0" w:color="auto"/>
                    <w:left w:val="none" w:sz="0" w:space="0" w:color="auto"/>
                    <w:bottom w:val="none" w:sz="0" w:space="0" w:color="auto"/>
                    <w:right w:val="none" w:sz="0" w:space="0" w:color="auto"/>
                  </w:divBdr>
                  <w:divsChild>
                    <w:div w:id="537470189">
                      <w:marLeft w:val="0"/>
                      <w:marRight w:val="0"/>
                      <w:marTop w:val="60"/>
                      <w:marBottom w:val="0"/>
                      <w:divBdr>
                        <w:top w:val="none" w:sz="0" w:space="0" w:color="auto"/>
                        <w:left w:val="none" w:sz="0" w:space="0" w:color="auto"/>
                        <w:bottom w:val="none" w:sz="0" w:space="0" w:color="auto"/>
                        <w:right w:val="none" w:sz="0" w:space="0" w:color="auto"/>
                      </w:divBdr>
                      <w:divsChild>
                        <w:div w:id="254635707">
                          <w:marLeft w:val="0"/>
                          <w:marRight w:val="0"/>
                          <w:marTop w:val="0"/>
                          <w:marBottom w:val="0"/>
                          <w:divBdr>
                            <w:top w:val="none" w:sz="0" w:space="0" w:color="auto"/>
                            <w:left w:val="none" w:sz="0" w:space="0" w:color="auto"/>
                            <w:bottom w:val="none" w:sz="0" w:space="0" w:color="auto"/>
                            <w:right w:val="none" w:sz="0" w:space="0" w:color="auto"/>
                          </w:divBdr>
                          <w:divsChild>
                            <w:div w:id="33268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3685562">
      <w:bodyDiv w:val="1"/>
      <w:marLeft w:val="0"/>
      <w:marRight w:val="0"/>
      <w:marTop w:val="0"/>
      <w:marBottom w:val="0"/>
      <w:divBdr>
        <w:top w:val="none" w:sz="0" w:space="0" w:color="auto"/>
        <w:left w:val="none" w:sz="0" w:space="0" w:color="auto"/>
        <w:bottom w:val="none" w:sz="0" w:space="0" w:color="auto"/>
        <w:right w:val="none" w:sz="0" w:space="0" w:color="auto"/>
      </w:divBdr>
    </w:div>
    <w:div w:id="1535802038">
      <w:bodyDiv w:val="1"/>
      <w:marLeft w:val="0"/>
      <w:marRight w:val="0"/>
      <w:marTop w:val="0"/>
      <w:marBottom w:val="0"/>
      <w:divBdr>
        <w:top w:val="none" w:sz="0" w:space="0" w:color="auto"/>
        <w:left w:val="none" w:sz="0" w:space="0" w:color="auto"/>
        <w:bottom w:val="none" w:sz="0" w:space="0" w:color="auto"/>
        <w:right w:val="none" w:sz="0" w:space="0" w:color="auto"/>
      </w:divBdr>
    </w:div>
    <w:div w:id="1546327340">
      <w:bodyDiv w:val="1"/>
      <w:marLeft w:val="0"/>
      <w:marRight w:val="0"/>
      <w:marTop w:val="0"/>
      <w:marBottom w:val="0"/>
      <w:divBdr>
        <w:top w:val="none" w:sz="0" w:space="0" w:color="auto"/>
        <w:left w:val="none" w:sz="0" w:space="0" w:color="auto"/>
        <w:bottom w:val="none" w:sz="0" w:space="0" w:color="auto"/>
        <w:right w:val="none" w:sz="0" w:space="0" w:color="auto"/>
      </w:divBdr>
    </w:div>
    <w:div w:id="1548180876">
      <w:bodyDiv w:val="1"/>
      <w:marLeft w:val="0"/>
      <w:marRight w:val="0"/>
      <w:marTop w:val="0"/>
      <w:marBottom w:val="0"/>
      <w:divBdr>
        <w:top w:val="none" w:sz="0" w:space="0" w:color="auto"/>
        <w:left w:val="none" w:sz="0" w:space="0" w:color="auto"/>
        <w:bottom w:val="none" w:sz="0" w:space="0" w:color="auto"/>
        <w:right w:val="none" w:sz="0" w:space="0" w:color="auto"/>
      </w:divBdr>
    </w:div>
    <w:div w:id="1559366054">
      <w:bodyDiv w:val="1"/>
      <w:marLeft w:val="0"/>
      <w:marRight w:val="0"/>
      <w:marTop w:val="0"/>
      <w:marBottom w:val="0"/>
      <w:divBdr>
        <w:top w:val="none" w:sz="0" w:space="0" w:color="auto"/>
        <w:left w:val="none" w:sz="0" w:space="0" w:color="auto"/>
        <w:bottom w:val="none" w:sz="0" w:space="0" w:color="auto"/>
        <w:right w:val="none" w:sz="0" w:space="0" w:color="auto"/>
      </w:divBdr>
    </w:div>
    <w:div w:id="1564608305">
      <w:bodyDiv w:val="1"/>
      <w:marLeft w:val="0"/>
      <w:marRight w:val="0"/>
      <w:marTop w:val="0"/>
      <w:marBottom w:val="0"/>
      <w:divBdr>
        <w:top w:val="none" w:sz="0" w:space="0" w:color="auto"/>
        <w:left w:val="none" w:sz="0" w:space="0" w:color="auto"/>
        <w:bottom w:val="none" w:sz="0" w:space="0" w:color="auto"/>
        <w:right w:val="none" w:sz="0" w:space="0" w:color="auto"/>
      </w:divBdr>
    </w:div>
    <w:div w:id="1579440957">
      <w:bodyDiv w:val="1"/>
      <w:marLeft w:val="0"/>
      <w:marRight w:val="0"/>
      <w:marTop w:val="0"/>
      <w:marBottom w:val="0"/>
      <w:divBdr>
        <w:top w:val="none" w:sz="0" w:space="0" w:color="auto"/>
        <w:left w:val="none" w:sz="0" w:space="0" w:color="auto"/>
        <w:bottom w:val="none" w:sz="0" w:space="0" w:color="auto"/>
        <w:right w:val="none" w:sz="0" w:space="0" w:color="auto"/>
      </w:divBdr>
    </w:div>
    <w:div w:id="1583874373">
      <w:bodyDiv w:val="1"/>
      <w:marLeft w:val="0"/>
      <w:marRight w:val="0"/>
      <w:marTop w:val="0"/>
      <w:marBottom w:val="0"/>
      <w:divBdr>
        <w:top w:val="none" w:sz="0" w:space="0" w:color="auto"/>
        <w:left w:val="none" w:sz="0" w:space="0" w:color="auto"/>
        <w:bottom w:val="none" w:sz="0" w:space="0" w:color="auto"/>
        <w:right w:val="none" w:sz="0" w:space="0" w:color="auto"/>
      </w:divBdr>
    </w:div>
    <w:div w:id="1585841310">
      <w:bodyDiv w:val="1"/>
      <w:marLeft w:val="0"/>
      <w:marRight w:val="0"/>
      <w:marTop w:val="0"/>
      <w:marBottom w:val="0"/>
      <w:divBdr>
        <w:top w:val="none" w:sz="0" w:space="0" w:color="auto"/>
        <w:left w:val="none" w:sz="0" w:space="0" w:color="auto"/>
        <w:bottom w:val="none" w:sz="0" w:space="0" w:color="auto"/>
        <w:right w:val="none" w:sz="0" w:space="0" w:color="auto"/>
      </w:divBdr>
    </w:div>
    <w:div w:id="1610744783">
      <w:bodyDiv w:val="1"/>
      <w:marLeft w:val="0"/>
      <w:marRight w:val="0"/>
      <w:marTop w:val="0"/>
      <w:marBottom w:val="0"/>
      <w:divBdr>
        <w:top w:val="none" w:sz="0" w:space="0" w:color="auto"/>
        <w:left w:val="none" w:sz="0" w:space="0" w:color="auto"/>
        <w:bottom w:val="none" w:sz="0" w:space="0" w:color="auto"/>
        <w:right w:val="none" w:sz="0" w:space="0" w:color="auto"/>
      </w:divBdr>
    </w:div>
    <w:div w:id="1616206315">
      <w:bodyDiv w:val="1"/>
      <w:marLeft w:val="0"/>
      <w:marRight w:val="0"/>
      <w:marTop w:val="0"/>
      <w:marBottom w:val="0"/>
      <w:divBdr>
        <w:top w:val="none" w:sz="0" w:space="0" w:color="auto"/>
        <w:left w:val="none" w:sz="0" w:space="0" w:color="auto"/>
        <w:bottom w:val="none" w:sz="0" w:space="0" w:color="auto"/>
        <w:right w:val="none" w:sz="0" w:space="0" w:color="auto"/>
      </w:divBdr>
    </w:div>
    <w:div w:id="1634363334">
      <w:bodyDiv w:val="1"/>
      <w:marLeft w:val="0"/>
      <w:marRight w:val="0"/>
      <w:marTop w:val="0"/>
      <w:marBottom w:val="0"/>
      <w:divBdr>
        <w:top w:val="none" w:sz="0" w:space="0" w:color="auto"/>
        <w:left w:val="none" w:sz="0" w:space="0" w:color="auto"/>
        <w:bottom w:val="none" w:sz="0" w:space="0" w:color="auto"/>
        <w:right w:val="none" w:sz="0" w:space="0" w:color="auto"/>
      </w:divBdr>
    </w:div>
    <w:div w:id="1646856947">
      <w:bodyDiv w:val="1"/>
      <w:marLeft w:val="0"/>
      <w:marRight w:val="0"/>
      <w:marTop w:val="0"/>
      <w:marBottom w:val="0"/>
      <w:divBdr>
        <w:top w:val="none" w:sz="0" w:space="0" w:color="auto"/>
        <w:left w:val="none" w:sz="0" w:space="0" w:color="auto"/>
        <w:bottom w:val="none" w:sz="0" w:space="0" w:color="auto"/>
        <w:right w:val="none" w:sz="0" w:space="0" w:color="auto"/>
      </w:divBdr>
      <w:divsChild>
        <w:div w:id="1843006954">
          <w:marLeft w:val="0"/>
          <w:marRight w:val="0"/>
          <w:marTop w:val="0"/>
          <w:marBottom w:val="0"/>
          <w:divBdr>
            <w:top w:val="none" w:sz="0" w:space="0" w:color="auto"/>
            <w:left w:val="none" w:sz="0" w:space="0" w:color="auto"/>
            <w:bottom w:val="none" w:sz="0" w:space="0" w:color="auto"/>
            <w:right w:val="none" w:sz="0" w:space="0" w:color="auto"/>
          </w:divBdr>
          <w:divsChild>
            <w:div w:id="831066876">
              <w:marLeft w:val="300"/>
              <w:marRight w:val="150"/>
              <w:marTop w:val="300"/>
              <w:marBottom w:val="375"/>
              <w:divBdr>
                <w:top w:val="none" w:sz="0" w:space="0" w:color="auto"/>
                <w:left w:val="none" w:sz="0" w:space="0" w:color="auto"/>
                <w:bottom w:val="none" w:sz="0" w:space="0" w:color="auto"/>
                <w:right w:val="none" w:sz="0" w:space="0" w:color="auto"/>
              </w:divBdr>
              <w:divsChild>
                <w:div w:id="1647276271">
                  <w:marLeft w:val="0"/>
                  <w:marRight w:val="0"/>
                  <w:marTop w:val="0"/>
                  <w:marBottom w:val="0"/>
                  <w:divBdr>
                    <w:top w:val="none" w:sz="0" w:space="0" w:color="auto"/>
                    <w:left w:val="none" w:sz="0" w:space="0" w:color="auto"/>
                    <w:bottom w:val="none" w:sz="0" w:space="0" w:color="auto"/>
                    <w:right w:val="none" w:sz="0" w:space="0" w:color="auto"/>
                  </w:divBdr>
                  <w:divsChild>
                    <w:div w:id="1509294830">
                      <w:marLeft w:val="0"/>
                      <w:marRight w:val="0"/>
                      <w:marTop w:val="60"/>
                      <w:marBottom w:val="0"/>
                      <w:divBdr>
                        <w:top w:val="none" w:sz="0" w:space="0" w:color="auto"/>
                        <w:left w:val="none" w:sz="0" w:space="0" w:color="auto"/>
                        <w:bottom w:val="none" w:sz="0" w:space="0" w:color="auto"/>
                        <w:right w:val="none" w:sz="0" w:space="0" w:color="auto"/>
                      </w:divBdr>
                      <w:divsChild>
                        <w:div w:id="1437482261">
                          <w:marLeft w:val="0"/>
                          <w:marRight w:val="0"/>
                          <w:marTop w:val="0"/>
                          <w:marBottom w:val="0"/>
                          <w:divBdr>
                            <w:top w:val="none" w:sz="0" w:space="0" w:color="auto"/>
                            <w:left w:val="none" w:sz="0" w:space="0" w:color="auto"/>
                            <w:bottom w:val="none" w:sz="0" w:space="0" w:color="auto"/>
                            <w:right w:val="none" w:sz="0" w:space="0" w:color="auto"/>
                          </w:divBdr>
                          <w:divsChild>
                            <w:div w:id="63513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817677">
      <w:bodyDiv w:val="1"/>
      <w:marLeft w:val="0"/>
      <w:marRight w:val="0"/>
      <w:marTop w:val="0"/>
      <w:marBottom w:val="0"/>
      <w:divBdr>
        <w:top w:val="none" w:sz="0" w:space="0" w:color="auto"/>
        <w:left w:val="none" w:sz="0" w:space="0" w:color="auto"/>
        <w:bottom w:val="none" w:sz="0" w:space="0" w:color="auto"/>
        <w:right w:val="none" w:sz="0" w:space="0" w:color="auto"/>
      </w:divBdr>
    </w:div>
    <w:div w:id="1668824729">
      <w:bodyDiv w:val="1"/>
      <w:marLeft w:val="0"/>
      <w:marRight w:val="0"/>
      <w:marTop w:val="0"/>
      <w:marBottom w:val="0"/>
      <w:divBdr>
        <w:top w:val="none" w:sz="0" w:space="0" w:color="auto"/>
        <w:left w:val="none" w:sz="0" w:space="0" w:color="auto"/>
        <w:bottom w:val="none" w:sz="0" w:space="0" w:color="auto"/>
        <w:right w:val="none" w:sz="0" w:space="0" w:color="auto"/>
      </w:divBdr>
    </w:div>
    <w:div w:id="1674451187">
      <w:bodyDiv w:val="1"/>
      <w:marLeft w:val="0"/>
      <w:marRight w:val="0"/>
      <w:marTop w:val="0"/>
      <w:marBottom w:val="0"/>
      <w:divBdr>
        <w:top w:val="none" w:sz="0" w:space="0" w:color="auto"/>
        <w:left w:val="none" w:sz="0" w:space="0" w:color="auto"/>
        <w:bottom w:val="none" w:sz="0" w:space="0" w:color="auto"/>
        <w:right w:val="none" w:sz="0" w:space="0" w:color="auto"/>
      </w:divBdr>
    </w:div>
    <w:div w:id="1735661093">
      <w:bodyDiv w:val="1"/>
      <w:marLeft w:val="0"/>
      <w:marRight w:val="0"/>
      <w:marTop w:val="0"/>
      <w:marBottom w:val="0"/>
      <w:divBdr>
        <w:top w:val="none" w:sz="0" w:space="0" w:color="auto"/>
        <w:left w:val="none" w:sz="0" w:space="0" w:color="auto"/>
        <w:bottom w:val="none" w:sz="0" w:space="0" w:color="auto"/>
        <w:right w:val="none" w:sz="0" w:space="0" w:color="auto"/>
      </w:divBdr>
    </w:div>
    <w:div w:id="1742799044">
      <w:bodyDiv w:val="1"/>
      <w:marLeft w:val="0"/>
      <w:marRight w:val="0"/>
      <w:marTop w:val="0"/>
      <w:marBottom w:val="0"/>
      <w:divBdr>
        <w:top w:val="none" w:sz="0" w:space="0" w:color="auto"/>
        <w:left w:val="none" w:sz="0" w:space="0" w:color="auto"/>
        <w:bottom w:val="none" w:sz="0" w:space="0" w:color="auto"/>
        <w:right w:val="none" w:sz="0" w:space="0" w:color="auto"/>
      </w:divBdr>
    </w:div>
    <w:div w:id="1747996343">
      <w:bodyDiv w:val="1"/>
      <w:marLeft w:val="0"/>
      <w:marRight w:val="0"/>
      <w:marTop w:val="0"/>
      <w:marBottom w:val="0"/>
      <w:divBdr>
        <w:top w:val="none" w:sz="0" w:space="0" w:color="auto"/>
        <w:left w:val="none" w:sz="0" w:space="0" w:color="auto"/>
        <w:bottom w:val="none" w:sz="0" w:space="0" w:color="auto"/>
        <w:right w:val="none" w:sz="0" w:space="0" w:color="auto"/>
      </w:divBdr>
    </w:div>
    <w:div w:id="1750039675">
      <w:bodyDiv w:val="1"/>
      <w:marLeft w:val="0"/>
      <w:marRight w:val="0"/>
      <w:marTop w:val="0"/>
      <w:marBottom w:val="0"/>
      <w:divBdr>
        <w:top w:val="none" w:sz="0" w:space="0" w:color="auto"/>
        <w:left w:val="none" w:sz="0" w:space="0" w:color="auto"/>
        <w:bottom w:val="none" w:sz="0" w:space="0" w:color="auto"/>
        <w:right w:val="none" w:sz="0" w:space="0" w:color="auto"/>
      </w:divBdr>
    </w:div>
    <w:div w:id="1776948602">
      <w:bodyDiv w:val="1"/>
      <w:marLeft w:val="0"/>
      <w:marRight w:val="0"/>
      <w:marTop w:val="0"/>
      <w:marBottom w:val="0"/>
      <w:divBdr>
        <w:top w:val="none" w:sz="0" w:space="0" w:color="auto"/>
        <w:left w:val="none" w:sz="0" w:space="0" w:color="auto"/>
        <w:bottom w:val="none" w:sz="0" w:space="0" w:color="auto"/>
        <w:right w:val="none" w:sz="0" w:space="0" w:color="auto"/>
      </w:divBdr>
    </w:div>
    <w:div w:id="1780491290">
      <w:bodyDiv w:val="1"/>
      <w:marLeft w:val="0"/>
      <w:marRight w:val="0"/>
      <w:marTop w:val="0"/>
      <w:marBottom w:val="0"/>
      <w:divBdr>
        <w:top w:val="none" w:sz="0" w:space="0" w:color="auto"/>
        <w:left w:val="none" w:sz="0" w:space="0" w:color="auto"/>
        <w:bottom w:val="none" w:sz="0" w:space="0" w:color="auto"/>
        <w:right w:val="none" w:sz="0" w:space="0" w:color="auto"/>
      </w:divBdr>
    </w:div>
    <w:div w:id="1798446125">
      <w:bodyDiv w:val="1"/>
      <w:marLeft w:val="0"/>
      <w:marRight w:val="0"/>
      <w:marTop w:val="0"/>
      <w:marBottom w:val="0"/>
      <w:divBdr>
        <w:top w:val="none" w:sz="0" w:space="0" w:color="auto"/>
        <w:left w:val="none" w:sz="0" w:space="0" w:color="auto"/>
        <w:bottom w:val="none" w:sz="0" w:space="0" w:color="auto"/>
        <w:right w:val="none" w:sz="0" w:space="0" w:color="auto"/>
      </w:divBdr>
    </w:div>
    <w:div w:id="1839035228">
      <w:bodyDiv w:val="1"/>
      <w:marLeft w:val="0"/>
      <w:marRight w:val="0"/>
      <w:marTop w:val="0"/>
      <w:marBottom w:val="0"/>
      <w:divBdr>
        <w:top w:val="none" w:sz="0" w:space="0" w:color="auto"/>
        <w:left w:val="none" w:sz="0" w:space="0" w:color="auto"/>
        <w:bottom w:val="none" w:sz="0" w:space="0" w:color="auto"/>
        <w:right w:val="none" w:sz="0" w:space="0" w:color="auto"/>
      </w:divBdr>
      <w:divsChild>
        <w:div w:id="1030494519">
          <w:marLeft w:val="0"/>
          <w:marRight w:val="0"/>
          <w:marTop w:val="0"/>
          <w:marBottom w:val="0"/>
          <w:divBdr>
            <w:top w:val="none" w:sz="0" w:space="0" w:color="auto"/>
            <w:left w:val="none" w:sz="0" w:space="0" w:color="auto"/>
            <w:bottom w:val="none" w:sz="0" w:space="0" w:color="auto"/>
            <w:right w:val="none" w:sz="0" w:space="0" w:color="auto"/>
          </w:divBdr>
          <w:divsChild>
            <w:div w:id="1869105066">
              <w:marLeft w:val="0"/>
              <w:marRight w:val="0"/>
              <w:marTop w:val="0"/>
              <w:marBottom w:val="0"/>
              <w:divBdr>
                <w:top w:val="none" w:sz="0" w:space="0" w:color="auto"/>
                <w:left w:val="none" w:sz="0" w:space="0" w:color="auto"/>
                <w:bottom w:val="none" w:sz="0" w:space="0" w:color="auto"/>
                <w:right w:val="none" w:sz="0" w:space="0" w:color="auto"/>
              </w:divBdr>
              <w:divsChild>
                <w:div w:id="1154833721">
                  <w:marLeft w:val="0"/>
                  <w:marRight w:val="0"/>
                  <w:marTop w:val="0"/>
                  <w:marBottom w:val="0"/>
                  <w:divBdr>
                    <w:top w:val="none" w:sz="0" w:space="0" w:color="auto"/>
                    <w:left w:val="none" w:sz="0" w:space="0" w:color="auto"/>
                    <w:bottom w:val="single" w:sz="6" w:space="0" w:color="EFEFEF"/>
                    <w:right w:val="none" w:sz="0" w:space="0" w:color="auto"/>
                  </w:divBdr>
                </w:div>
              </w:divsChild>
            </w:div>
          </w:divsChild>
        </w:div>
      </w:divsChild>
    </w:div>
    <w:div w:id="1840466411">
      <w:bodyDiv w:val="1"/>
      <w:marLeft w:val="0"/>
      <w:marRight w:val="0"/>
      <w:marTop w:val="0"/>
      <w:marBottom w:val="0"/>
      <w:divBdr>
        <w:top w:val="none" w:sz="0" w:space="0" w:color="auto"/>
        <w:left w:val="none" w:sz="0" w:space="0" w:color="auto"/>
        <w:bottom w:val="none" w:sz="0" w:space="0" w:color="auto"/>
        <w:right w:val="none" w:sz="0" w:space="0" w:color="auto"/>
      </w:divBdr>
    </w:div>
    <w:div w:id="1841115166">
      <w:bodyDiv w:val="1"/>
      <w:marLeft w:val="0"/>
      <w:marRight w:val="0"/>
      <w:marTop w:val="0"/>
      <w:marBottom w:val="0"/>
      <w:divBdr>
        <w:top w:val="none" w:sz="0" w:space="0" w:color="auto"/>
        <w:left w:val="none" w:sz="0" w:space="0" w:color="auto"/>
        <w:bottom w:val="none" w:sz="0" w:space="0" w:color="auto"/>
        <w:right w:val="none" w:sz="0" w:space="0" w:color="auto"/>
      </w:divBdr>
    </w:div>
    <w:div w:id="1855996992">
      <w:bodyDiv w:val="1"/>
      <w:marLeft w:val="0"/>
      <w:marRight w:val="0"/>
      <w:marTop w:val="0"/>
      <w:marBottom w:val="0"/>
      <w:divBdr>
        <w:top w:val="none" w:sz="0" w:space="0" w:color="auto"/>
        <w:left w:val="none" w:sz="0" w:space="0" w:color="auto"/>
        <w:bottom w:val="none" w:sz="0" w:space="0" w:color="auto"/>
        <w:right w:val="none" w:sz="0" w:space="0" w:color="auto"/>
      </w:divBdr>
    </w:div>
    <w:div w:id="1868518026">
      <w:bodyDiv w:val="1"/>
      <w:marLeft w:val="0"/>
      <w:marRight w:val="0"/>
      <w:marTop w:val="0"/>
      <w:marBottom w:val="0"/>
      <w:divBdr>
        <w:top w:val="none" w:sz="0" w:space="0" w:color="auto"/>
        <w:left w:val="none" w:sz="0" w:space="0" w:color="auto"/>
        <w:bottom w:val="none" w:sz="0" w:space="0" w:color="auto"/>
        <w:right w:val="none" w:sz="0" w:space="0" w:color="auto"/>
      </w:divBdr>
    </w:div>
    <w:div w:id="1873688313">
      <w:bodyDiv w:val="1"/>
      <w:marLeft w:val="0"/>
      <w:marRight w:val="0"/>
      <w:marTop w:val="0"/>
      <w:marBottom w:val="0"/>
      <w:divBdr>
        <w:top w:val="none" w:sz="0" w:space="0" w:color="auto"/>
        <w:left w:val="none" w:sz="0" w:space="0" w:color="auto"/>
        <w:bottom w:val="none" w:sz="0" w:space="0" w:color="auto"/>
        <w:right w:val="none" w:sz="0" w:space="0" w:color="auto"/>
      </w:divBdr>
    </w:div>
    <w:div w:id="1894920812">
      <w:bodyDiv w:val="1"/>
      <w:marLeft w:val="0"/>
      <w:marRight w:val="0"/>
      <w:marTop w:val="0"/>
      <w:marBottom w:val="0"/>
      <w:divBdr>
        <w:top w:val="none" w:sz="0" w:space="0" w:color="auto"/>
        <w:left w:val="none" w:sz="0" w:space="0" w:color="auto"/>
        <w:bottom w:val="none" w:sz="0" w:space="0" w:color="auto"/>
        <w:right w:val="none" w:sz="0" w:space="0" w:color="auto"/>
      </w:divBdr>
    </w:div>
    <w:div w:id="1902709361">
      <w:bodyDiv w:val="1"/>
      <w:marLeft w:val="0"/>
      <w:marRight w:val="0"/>
      <w:marTop w:val="0"/>
      <w:marBottom w:val="0"/>
      <w:divBdr>
        <w:top w:val="none" w:sz="0" w:space="0" w:color="auto"/>
        <w:left w:val="none" w:sz="0" w:space="0" w:color="auto"/>
        <w:bottom w:val="none" w:sz="0" w:space="0" w:color="auto"/>
        <w:right w:val="none" w:sz="0" w:space="0" w:color="auto"/>
      </w:divBdr>
    </w:div>
    <w:div w:id="1947344267">
      <w:bodyDiv w:val="1"/>
      <w:marLeft w:val="0"/>
      <w:marRight w:val="0"/>
      <w:marTop w:val="0"/>
      <w:marBottom w:val="0"/>
      <w:divBdr>
        <w:top w:val="none" w:sz="0" w:space="0" w:color="auto"/>
        <w:left w:val="none" w:sz="0" w:space="0" w:color="auto"/>
        <w:bottom w:val="none" w:sz="0" w:space="0" w:color="auto"/>
        <w:right w:val="none" w:sz="0" w:space="0" w:color="auto"/>
      </w:divBdr>
    </w:div>
    <w:div w:id="1957298528">
      <w:bodyDiv w:val="1"/>
      <w:marLeft w:val="0"/>
      <w:marRight w:val="0"/>
      <w:marTop w:val="0"/>
      <w:marBottom w:val="0"/>
      <w:divBdr>
        <w:top w:val="none" w:sz="0" w:space="0" w:color="auto"/>
        <w:left w:val="none" w:sz="0" w:space="0" w:color="auto"/>
        <w:bottom w:val="none" w:sz="0" w:space="0" w:color="auto"/>
        <w:right w:val="none" w:sz="0" w:space="0" w:color="auto"/>
      </w:divBdr>
    </w:div>
    <w:div w:id="1981495390">
      <w:bodyDiv w:val="1"/>
      <w:marLeft w:val="0"/>
      <w:marRight w:val="0"/>
      <w:marTop w:val="0"/>
      <w:marBottom w:val="0"/>
      <w:divBdr>
        <w:top w:val="none" w:sz="0" w:space="0" w:color="auto"/>
        <w:left w:val="none" w:sz="0" w:space="0" w:color="auto"/>
        <w:bottom w:val="none" w:sz="0" w:space="0" w:color="auto"/>
        <w:right w:val="none" w:sz="0" w:space="0" w:color="auto"/>
      </w:divBdr>
    </w:div>
    <w:div w:id="1994988118">
      <w:bodyDiv w:val="1"/>
      <w:marLeft w:val="0"/>
      <w:marRight w:val="0"/>
      <w:marTop w:val="0"/>
      <w:marBottom w:val="0"/>
      <w:divBdr>
        <w:top w:val="none" w:sz="0" w:space="0" w:color="auto"/>
        <w:left w:val="none" w:sz="0" w:space="0" w:color="auto"/>
        <w:bottom w:val="none" w:sz="0" w:space="0" w:color="auto"/>
        <w:right w:val="none" w:sz="0" w:space="0" w:color="auto"/>
      </w:divBdr>
    </w:div>
    <w:div w:id="1995639030">
      <w:bodyDiv w:val="1"/>
      <w:marLeft w:val="0"/>
      <w:marRight w:val="0"/>
      <w:marTop w:val="0"/>
      <w:marBottom w:val="0"/>
      <w:divBdr>
        <w:top w:val="none" w:sz="0" w:space="0" w:color="auto"/>
        <w:left w:val="none" w:sz="0" w:space="0" w:color="auto"/>
        <w:bottom w:val="none" w:sz="0" w:space="0" w:color="auto"/>
        <w:right w:val="none" w:sz="0" w:space="0" w:color="auto"/>
      </w:divBdr>
    </w:div>
    <w:div w:id="2002460580">
      <w:bodyDiv w:val="1"/>
      <w:marLeft w:val="0"/>
      <w:marRight w:val="0"/>
      <w:marTop w:val="0"/>
      <w:marBottom w:val="0"/>
      <w:divBdr>
        <w:top w:val="none" w:sz="0" w:space="0" w:color="auto"/>
        <w:left w:val="none" w:sz="0" w:space="0" w:color="auto"/>
        <w:bottom w:val="none" w:sz="0" w:space="0" w:color="auto"/>
        <w:right w:val="none" w:sz="0" w:space="0" w:color="auto"/>
      </w:divBdr>
    </w:div>
    <w:div w:id="2006393013">
      <w:bodyDiv w:val="1"/>
      <w:marLeft w:val="0"/>
      <w:marRight w:val="0"/>
      <w:marTop w:val="0"/>
      <w:marBottom w:val="0"/>
      <w:divBdr>
        <w:top w:val="none" w:sz="0" w:space="0" w:color="auto"/>
        <w:left w:val="none" w:sz="0" w:space="0" w:color="auto"/>
        <w:bottom w:val="none" w:sz="0" w:space="0" w:color="auto"/>
        <w:right w:val="none" w:sz="0" w:space="0" w:color="auto"/>
      </w:divBdr>
    </w:div>
    <w:div w:id="2025471203">
      <w:bodyDiv w:val="1"/>
      <w:marLeft w:val="0"/>
      <w:marRight w:val="0"/>
      <w:marTop w:val="0"/>
      <w:marBottom w:val="0"/>
      <w:divBdr>
        <w:top w:val="none" w:sz="0" w:space="0" w:color="auto"/>
        <w:left w:val="none" w:sz="0" w:space="0" w:color="auto"/>
        <w:bottom w:val="none" w:sz="0" w:space="0" w:color="auto"/>
        <w:right w:val="none" w:sz="0" w:space="0" w:color="auto"/>
      </w:divBdr>
    </w:div>
    <w:div w:id="2030328605">
      <w:bodyDiv w:val="1"/>
      <w:marLeft w:val="0"/>
      <w:marRight w:val="0"/>
      <w:marTop w:val="0"/>
      <w:marBottom w:val="0"/>
      <w:divBdr>
        <w:top w:val="none" w:sz="0" w:space="0" w:color="auto"/>
        <w:left w:val="none" w:sz="0" w:space="0" w:color="auto"/>
        <w:bottom w:val="none" w:sz="0" w:space="0" w:color="auto"/>
        <w:right w:val="none" w:sz="0" w:space="0" w:color="auto"/>
      </w:divBdr>
      <w:divsChild>
        <w:div w:id="272833711">
          <w:marLeft w:val="0"/>
          <w:marRight w:val="0"/>
          <w:marTop w:val="0"/>
          <w:marBottom w:val="0"/>
          <w:divBdr>
            <w:top w:val="none" w:sz="0" w:space="0" w:color="auto"/>
            <w:left w:val="none" w:sz="0" w:space="0" w:color="auto"/>
            <w:bottom w:val="none" w:sz="0" w:space="0" w:color="auto"/>
            <w:right w:val="none" w:sz="0" w:space="0" w:color="auto"/>
          </w:divBdr>
          <w:divsChild>
            <w:div w:id="1358194108">
              <w:marLeft w:val="0"/>
              <w:marRight w:val="0"/>
              <w:marTop w:val="0"/>
              <w:marBottom w:val="0"/>
              <w:divBdr>
                <w:top w:val="none" w:sz="0" w:space="0" w:color="auto"/>
                <w:left w:val="none" w:sz="0" w:space="0" w:color="auto"/>
                <w:bottom w:val="none" w:sz="0" w:space="0" w:color="auto"/>
                <w:right w:val="none" w:sz="0" w:space="0" w:color="auto"/>
              </w:divBdr>
              <w:divsChild>
                <w:div w:id="1705792113">
                  <w:marLeft w:val="360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052604413">
      <w:bodyDiv w:val="1"/>
      <w:marLeft w:val="0"/>
      <w:marRight w:val="0"/>
      <w:marTop w:val="0"/>
      <w:marBottom w:val="0"/>
      <w:divBdr>
        <w:top w:val="none" w:sz="0" w:space="0" w:color="auto"/>
        <w:left w:val="none" w:sz="0" w:space="0" w:color="auto"/>
        <w:bottom w:val="none" w:sz="0" w:space="0" w:color="auto"/>
        <w:right w:val="none" w:sz="0" w:space="0" w:color="auto"/>
      </w:divBdr>
    </w:div>
    <w:div w:id="2066757899">
      <w:bodyDiv w:val="1"/>
      <w:marLeft w:val="0"/>
      <w:marRight w:val="0"/>
      <w:marTop w:val="0"/>
      <w:marBottom w:val="0"/>
      <w:divBdr>
        <w:top w:val="none" w:sz="0" w:space="0" w:color="auto"/>
        <w:left w:val="none" w:sz="0" w:space="0" w:color="auto"/>
        <w:bottom w:val="none" w:sz="0" w:space="0" w:color="auto"/>
        <w:right w:val="none" w:sz="0" w:space="0" w:color="auto"/>
      </w:divBdr>
    </w:div>
    <w:div w:id="2092659435">
      <w:bodyDiv w:val="1"/>
      <w:marLeft w:val="0"/>
      <w:marRight w:val="0"/>
      <w:marTop w:val="0"/>
      <w:marBottom w:val="0"/>
      <w:divBdr>
        <w:top w:val="none" w:sz="0" w:space="0" w:color="auto"/>
        <w:left w:val="none" w:sz="0" w:space="0" w:color="auto"/>
        <w:bottom w:val="none" w:sz="0" w:space="0" w:color="auto"/>
        <w:right w:val="none" w:sz="0" w:space="0" w:color="auto"/>
      </w:divBdr>
    </w:div>
    <w:div w:id="213243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74829-7CDC-40E1-B89C-0F5AAACED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TotalTime>
  <Pages>31</Pages>
  <Words>8549</Words>
  <Characters>51373</Characters>
  <Application>Microsoft Office Word</Application>
  <DocSecurity>0</DocSecurity>
  <Lines>428</Lines>
  <Paragraphs>119</Paragraphs>
  <ScaleCrop>false</ScaleCrop>
  <HeadingPairs>
    <vt:vector size="2" baseType="variant">
      <vt:variant>
        <vt:lpstr>Title</vt:lpstr>
      </vt:variant>
      <vt:variant>
        <vt:i4>1</vt:i4>
      </vt:variant>
    </vt:vector>
  </HeadingPairs>
  <TitlesOfParts>
    <vt:vector size="1" baseType="lpstr">
      <vt:lpstr>Emergency Management Sector Overview</vt:lpstr>
    </vt:vector>
  </TitlesOfParts>
  <Company>Productivity Commission</Company>
  <LinksUpToDate>false</LinksUpToDate>
  <CharactersWithSpaces>59803</CharactersWithSpaces>
  <SharedDoc>false</SharedDoc>
  <HLinks>
    <vt:vector size="36" baseType="variant">
      <vt:variant>
        <vt:i4>1441852</vt:i4>
      </vt:variant>
      <vt:variant>
        <vt:i4>32</vt:i4>
      </vt:variant>
      <vt:variant>
        <vt:i4>0</vt:i4>
      </vt:variant>
      <vt:variant>
        <vt:i4>5</vt:i4>
      </vt:variant>
      <vt:variant>
        <vt:lpwstr/>
      </vt:variant>
      <vt:variant>
        <vt:lpwstr>_Toc312252805</vt:lpwstr>
      </vt:variant>
      <vt:variant>
        <vt:i4>1441852</vt:i4>
      </vt:variant>
      <vt:variant>
        <vt:i4>26</vt:i4>
      </vt:variant>
      <vt:variant>
        <vt:i4>0</vt:i4>
      </vt:variant>
      <vt:variant>
        <vt:i4>5</vt:i4>
      </vt:variant>
      <vt:variant>
        <vt:lpwstr/>
      </vt:variant>
      <vt:variant>
        <vt:lpwstr>_Toc312252804</vt:lpwstr>
      </vt:variant>
      <vt:variant>
        <vt:i4>1441852</vt:i4>
      </vt:variant>
      <vt:variant>
        <vt:i4>20</vt:i4>
      </vt:variant>
      <vt:variant>
        <vt:i4>0</vt:i4>
      </vt:variant>
      <vt:variant>
        <vt:i4>5</vt:i4>
      </vt:variant>
      <vt:variant>
        <vt:lpwstr/>
      </vt:variant>
      <vt:variant>
        <vt:lpwstr>_Toc312252803</vt:lpwstr>
      </vt:variant>
      <vt:variant>
        <vt:i4>1441852</vt:i4>
      </vt:variant>
      <vt:variant>
        <vt:i4>14</vt:i4>
      </vt:variant>
      <vt:variant>
        <vt:i4>0</vt:i4>
      </vt:variant>
      <vt:variant>
        <vt:i4>5</vt:i4>
      </vt:variant>
      <vt:variant>
        <vt:lpwstr/>
      </vt:variant>
      <vt:variant>
        <vt:lpwstr>_Toc312252802</vt:lpwstr>
      </vt:variant>
      <vt:variant>
        <vt:i4>1441852</vt:i4>
      </vt:variant>
      <vt:variant>
        <vt:i4>8</vt:i4>
      </vt:variant>
      <vt:variant>
        <vt:i4>0</vt:i4>
      </vt:variant>
      <vt:variant>
        <vt:i4>5</vt:i4>
      </vt:variant>
      <vt:variant>
        <vt:lpwstr/>
      </vt:variant>
      <vt:variant>
        <vt:lpwstr>_Toc312252801</vt:lpwstr>
      </vt:variant>
      <vt:variant>
        <vt:i4>1441852</vt:i4>
      </vt:variant>
      <vt:variant>
        <vt:i4>2</vt:i4>
      </vt:variant>
      <vt:variant>
        <vt:i4>0</vt:i4>
      </vt:variant>
      <vt:variant>
        <vt:i4>5</vt:i4>
      </vt:variant>
      <vt:variant>
        <vt:lpwstr/>
      </vt:variant>
      <vt:variant>
        <vt:lpwstr>_Toc312252800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Emergency Management Sector Overview</dc:title>
  <dc:subject>Report on Government Services 2014</dc:subject>
  <dc:creator>Steering Committee for the Review of Government Service Provision</dc:creator>
  <cp:lastModifiedBy>Frech, Tanya</cp:lastModifiedBy>
  <cp:revision>4</cp:revision>
  <cp:lastPrinted>2013-12-11T01:10:00Z</cp:lastPrinted>
  <dcterms:created xsi:type="dcterms:W3CDTF">2014-01-12T23:55:00Z</dcterms:created>
  <dcterms:modified xsi:type="dcterms:W3CDTF">2014-01-21T03:02:00Z</dcterms:modified>
</cp:coreProperties>
</file>