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D0" w:rsidRDefault="00BD19D0" w:rsidP="00BD19D0">
      <w:pPr>
        <w:pStyle w:val="Heading2"/>
      </w:pPr>
      <w:bookmarkStart w:id="0" w:name="_Toc280015402"/>
      <w:bookmarkStart w:id="1" w:name="_Toc280015491"/>
      <w:bookmarkStart w:id="2" w:name="_Toc280016081"/>
      <w:bookmarkStart w:id="3" w:name="_Toc280016442"/>
      <w:bookmarkStart w:id="4" w:name="_Toc280709305"/>
      <w:bookmarkStart w:id="5" w:name="_Toc280712990"/>
      <w:bookmarkStart w:id="6" w:name="_Toc280713021"/>
      <w:bookmarkStart w:id="7" w:name="_Toc280713060"/>
      <w:bookmarkStart w:id="8" w:name="_Toc280713097"/>
      <w:bookmarkStart w:id="9" w:name="_Toc282010970"/>
      <w:bookmarkStart w:id="10" w:name="_Toc304368707"/>
      <w:bookmarkStart w:id="11" w:name="_Toc306799254"/>
      <w:bookmarkStart w:id="12" w:name="_Toc306799663"/>
      <w:bookmarkStart w:id="13" w:name="_Toc309749204"/>
      <w:bookmarkStart w:id="14" w:name="_Toc370727699"/>
      <w:bookmarkStart w:id="15" w:name="_Toc278287349"/>
      <w:bookmarkStart w:id="16" w:name="_GoBack"/>
      <w:bookmarkEnd w:id="16"/>
      <w:r>
        <w:t>Data q</w:t>
      </w:r>
      <w:r w:rsidRPr="00A05229">
        <w:t xml:space="preserve">uality </w:t>
      </w:r>
      <w:r>
        <w:t>i</w:t>
      </w:r>
      <w:r w:rsidRPr="00A05229">
        <w:t xml:space="preserve">nformation — </w:t>
      </w:r>
      <w:r w:rsidR="000D25F2">
        <w:t>Emergency management</w:t>
      </w:r>
      <w:r w:rsidR="00F9203C">
        <w:t xml:space="preserve"> sector overview (sector overview</w:t>
      </w:r>
      <w:bookmarkEnd w:id="0"/>
      <w:bookmarkEnd w:id="1"/>
      <w:bookmarkEnd w:id="2"/>
      <w:bookmarkEnd w:id="3"/>
      <w:bookmarkEnd w:id="4"/>
      <w:bookmarkEnd w:id="5"/>
      <w:bookmarkEnd w:id="6"/>
      <w:bookmarkEnd w:id="7"/>
      <w:bookmarkEnd w:id="8"/>
      <w:bookmarkEnd w:id="9"/>
      <w:bookmarkEnd w:id="10"/>
      <w:bookmarkEnd w:id="11"/>
      <w:bookmarkEnd w:id="12"/>
      <w:bookmarkEnd w:id="13"/>
      <w:r w:rsidR="00804D71">
        <w:t> </w:t>
      </w:r>
      <w:r w:rsidR="000D25F2">
        <w:t>D</w:t>
      </w:r>
      <w:r w:rsidR="00F9203C">
        <w:t>)</w:t>
      </w:r>
      <w:bookmarkEnd w:id="14"/>
    </w:p>
    <w:p w:rsidR="00BD19D0" w:rsidRPr="005B3753" w:rsidRDefault="00BD19D0" w:rsidP="005B3753">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19D0" w:rsidTr="00BD19D0">
        <w:tc>
          <w:tcPr>
            <w:tcW w:w="8771" w:type="dxa"/>
            <w:tcBorders>
              <w:top w:val="single" w:sz="6" w:space="0" w:color="auto"/>
              <w:bottom w:val="nil"/>
            </w:tcBorders>
          </w:tcPr>
          <w:p w:rsidR="00BD19D0" w:rsidRDefault="00BD19D0" w:rsidP="00BD19D0">
            <w:pPr>
              <w:pStyle w:val="BoxTitle"/>
            </w:pPr>
            <w:r>
              <w:t>Data Quality Information</w:t>
            </w:r>
          </w:p>
        </w:tc>
      </w:tr>
      <w:tr w:rsidR="00BD19D0" w:rsidTr="00BD19D0">
        <w:trPr>
          <w:cantSplit/>
        </w:trPr>
        <w:tc>
          <w:tcPr>
            <w:tcW w:w="8771" w:type="dxa"/>
            <w:tcBorders>
              <w:top w:val="nil"/>
              <w:left w:val="single" w:sz="6" w:space="0" w:color="auto"/>
              <w:bottom w:val="nil"/>
              <w:right w:val="single" w:sz="6" w:space="0" w:color="auto"/>
            </w:tcBorders>
          </w:tcPr>
          <w:p w:rsidR="00A05A81" w:rsidRDefault="00A05A81" w:rsidP="00A05A81">
            <w:pPr>
              <w:pStyle w:val="Box"/>
              <w:keepNext w:val="0"/>
              <w:widowControl w:val="0"/>
            </w:pPr>
            <w:r>
              <w:t xml:space="preserve">Data quality information (DQI) was prepared for the first time for the 2011 Report on Government Services. DQI provides information for a selection of performance indicators in the </w:t>
            </w:r>
            <w:r w:rsidR="00470927">
              <w:t>Emergency management sector summary</w:t>
            </w:r>
            <w:r>
              <w:t>. DQI for additional indicators will be progressively introduced in future reports.</w:t>
            </w:r>
          </w:p>
          <w:p w:rsidR="00A05A81" w:rsidRDefault="00A05A81" w:rsidP="00A05A81">
            <w:pPr>
              <w:pStyle w:val="Box"/>
              <w:keepNext w:val="0"/>
              <w:widowControl w:val="0"/>
            </w:pPr>
            <w:r>
              <w:t xml:space="preserve">Where RoGS indicators align with National Agreement indicators, DQI has been sourced from the Steering Committee’s reports on National Agreements to the COAG Reform Council. </w:t>
            </w:r>
          </w:p>
          <w:p w:rsidR="00BD19D0" w:rsidRDefault="00A05A81" w:rsidP="00A05A81">
            <w:pPr>
              <w:pStyle w:val="Box"/>
            </w:pPr>
            <w:r>
              <w:t>Technical DQI has been supplied or agreed by relevant data providers. Additional Steering Committee commentary does not necessarily reflect the views of data providers.</w:t>
            </w:r>
            <w:r w:rsidR="00BD19D0">
              <w:t xml:space="preserve"> </w:t>
            </w:r>
          </w:p>
        </w:tc>
      </w:tr>
      <w:tr w:rsidR="00BD19D0" w:rsidTr="00BD19D0">
        <w:trPr>
          <w:cantSplit/>
        </w:trPr>
        <w:tc>
          <w:tcPr>
            <w:tcW w:w="8771" w:type="dxa"/>
            <w:tcBorders>
              <w:top w:val="nil"/>
              <w:left w:val="single" w:sz="6" w:space="0" w:color="auto"/>
              <w:bottom w:val="single" w:sz="6" w:space="0" w:color="auto"/>
              <w:right w:val="single" w:sz="6" w:space="0" w:color="auto"/>
            </w:tcBorders>
          </w:tcPr>
          <w:p w:rsidR="00BD19D0" w:rsidRDefault="00BD19D0" w:rsidP="00BD19D0">
            <w:pPr>
              <w:pStyle w:val="Box"/>
              <w:spacing w:before="0" w:line="120" w:lineRule="exact"/>
            </w:pPr>
          </w:p>
        </w:tc>
      </w:tr>
      <w:tr w:rsidR="00BD19D0" w:rsidTr="00BD19D0">
        <w:tc>
          <w:tcPr>
            <w:tcW w:w="8771" w:type="dxa"/>
            <w:tcBorders>
              <w:top w:val="nil"/>
              <w:left w:val="nil"/>
              <w:bottom w:val="nil"/>
              <w:right w:val="nil"/>
            </w:tcBorders>
          </w:tcPr>
          <w:p w:rsidR="00BD19D0" w:rsidRDefault="00BD19D0" w:rsidP="00BD19D0">
            <w:pPr>
              <w:pStyle w:val="Box"/>
              <w:keepNext w:val="0"/>
              <w:spacing w:before="60" w:after="60" w:line="80" w:lineRule="exact"/>
              <w:rPr>
                <w:b/>
                <w:color w:val="FF00FF"/>
                <w:sz w:val="14"/>
              </w:rPr>
            </w:pPr>
          </w:p>
        </w:tc>
      </w:tr>
    </w:tbl>
    <w:p w:rsidR="00BD19D0" w:rsidRDefault="00CD45C2" w:rsidP="00CD45C2">
      <w:pPr>
        <w:pStyle w:val="BodyText"/>
        <w:rPr>
          <w:b/>
        </w:rPr>
      </w:pPr>
      <w:bookmarkStart w:id="17" w:name="begin"/>
      <w:bookmarkStart w:id="18" w:name="_Toc280709306"/>
      <w:bookmarkStart w:id="19" w:name="_Toc280712991"/>
      <w:bookmarkStart w:id="20" w:name="_Toc280713022"/>
      <w:bookmarkStart w:id="21" w:name="_Toc280713061"/>
      <w:bookmarkStart w:id="22" w:name="_Toc280713098"/>
      <w:bookmarkEnd w:id="15"/>
      <w:bookmarkEnd w:id="17"/>
      <w:r w:rsidRPr="00CD45C2">
        <w:rPr>
          <w:b/>
        </w:rPr>
        <w:t xml:space="preserve">DQI are available for the following performance </w:t>
      </w:r>
      <w:r>
        <w:rPr>
          <w:b/>
        </w:rPr>
        <w:t>measures</w:t>
      </w:r>
      <w:r w:rsidRPr="00CD45C2">
        <w:rPr>
          <w:b/>
        </w:rPr>
        <w:t xml:space="preserve">: </w:t>
      </w:r>
    </w:p>
    <w:bookmarkEnd w:id="18"/>
    <w:bookmarkEnd w:id="19"/>
    <w:bookmarkEnd w:id="20"/>
    <w:bookmarkEnd w:id="21"/>
    <w:bookmarkEnd w:id="22"/>
    <w:p w:rsidR="00F9203C" w:rsidRDefault="00F9203C">
      <w:pPr>
        <w:pStyle w:val="TOC2"/>
        <w:rPr>
          <w:rFonts w:asciiTheme="minorHAnsi" w:eastAsiaTheme="minorEastAsia" w:hAnsiTheme="minorHAnsi" w:cstheme="minorBidi"/>
          <w:b w:val="0"/>
          <w:noProof/>
          <w:sz w:val="22"/>
          <w:szCs w:val="22"/>
        </w:rPr>
      </w:pPr>
      <w:r w:rsidRPr="00FA62AF">
        <w:rPr>
          <w:noProof/>
        </w:rPr>
        <w:t>Data quality information — Emergency management sector overview (sector overview D)</w:t>
      </w:r>
      <w:r>
        <w:rPr>
          <w:noProof/>
          <w:webHidden/>
        </w:rPr>
        <w:tab/>
      </w:r>
      <w:r w:rsidR="00D77765">
        <w:rPr>
          <w:noProof/>
          <w:webHidden/>
        </w:rPr>
        <w:t>1</w:t>
      </w:r>
    </w:p>
    <w:p w:rsidR="00F9203C" w:rsidRDefault="00F9203C">
      <w:pPr>
        <w:pStyle w:val="TOC3"/>
        <w:rPr>
          <w:rFonts w:asciiTheme="minorHAnsi" w:eastAsiaTheme="minorEastAsia" w:hAnsiTheme="minorHAnsi" w:cstheme="minorBidi"/>
          <w:noProof/>
          <w:sz w:val="22"/>
          <w:szCs w:val="22"/>
        </w:rPr>
      </w:pPr>
      <w:r w:rsidRPr="00FA62AF">
        <w:rPr>
          <w:noProof/>
        </w:rPr>
        <w:t>Total asset from emergency events</w:t>
      </w:r>
      <w:r>
        <w:rPr>
          <w:noProof/>
          <w:webHidden/>
        </w:rPr>
        <w:tab/>
      </w:r>
      <w:r w:rsidR="00D77765">
        <w:rPr>
          <w:noProof/>
          <w:webHidden/>
        </w:rPr>
        <w:t>2</w:t>
      </w:r>
    </w:p>
    <w:p w:rsidR="00F9203C" w:rsidRDefault="00F9203C">
      <w:pPr>
        <w:pStyle w:val="TOC3"/>
        <w:rPr>
          <w:rFonts w:asciiTheme="minorHAnsi" w:eastAsiaTheme="minorEastAsia" w:hAnsiTheme="minorHAnsi" w:cstheme="minorBidi"/>
          <w:noProof/>
          <w:sz w:val="22"/>
          <w:szCs w:val="22"/>
        </w:rPr>
      </w:pPr>
      <w:r w:rsidRPr="00FA62AF">
        <w:rPr>
          <w:noProof/>
        </w:rPr>
        <w:t>Deaths from emergency events</w:t>
      </w:r>
      <w:r>
        <w:rPr>
          <w:noProof/>
          <w:webHidden/>
        </w:rPr>
        <w:tab/>
      </w:r>
      <w:r w:rsidR="00D77765">
        <w:rPr>
          <w:noProof/>
          <w:webHidden/>
        </w:rPr>
        <w:t>5</w:t>
      </w:r>
    </w:p>
    <w:p w:rsidR="00BD19D0" w:rsidRDefault="00BD19D0" w:rsidP="00CD45C2">
      <w:pPr>
        <w:pStyle w:val="TOC3"/>
      </w:pPr>
    </w:p>
    <w:p w:rsidR="00BD19D0" w:rsidRPr="00CF1100" w:rsidRDefault="00BD19D0" w:rsidP="000D25F2">
      <w:pPr>
        <w:pStyle w:val="Heading3"/>
        <w:spacing w:before="0"/>
      </w:pPr>
      <w:r>
        <w:br w:type="page"/>
      </w:r>
    </w:p>
    <w:p w:rsidR="00B1303B" w:rsidRDefault="002A25F5" w:rsidP="00B1303B">
      <w:pPr>
        <w:pStyle w:val="Heading3"/>
      </w:pPr>
      <w:bookmarkStart w:id="23" w:name="_Toc370727700"/>
      <w:r>
        <w:lastRenderedPageBreak/>
        <w:t>Total asset from emergency events</w:t>
      </w:r>
      <w:bookmarkEnd w:id="23"/>
      <w:r>
        <w:t xml:space="preserve"> </w:t>
      </w:r>
    </w:p>
    <w:p w:rsidR="00B1303B" w:rsidRPr="00A05229" w:rsidRDefault="00B1303B" w:rsidP="00B1303B">
      <w:pPr>
        <w:pStyle w:val="Box"/>
      </w:pPr>
      <w:r w:rsidRPr="0001794F">
        <w:t xml:space="preserve">Data quality information for this indicator has been drafted by the Secretariat in consultation with the </w:t>
      </w:r>
      <w:r>
        <w:t>Australian Government</w:t>
      </w:r>
      <w:r w:rsidRPr="0001794F">
        <w:t>, with additional Steering Committee comments.</w:t>
      </w:r>
    </w:p>
    <w:tbl>
      <w:tblPr>
        <w:tblW w:w="8820" w:type="dxa"/>
        <w:jc w:val="center"/>
        <w:tblLook w:val="01E0" w:firstRow="1" w:lastRow="1" w:firstColumn="1" w:lastColumn="1" w:noHBand="0" w:noVBand="0"/>
      </w:tblPr>
      <w:tblGrid>
        <w:gridCol w:w="1980"/>
        <w:gridCol w:w="3420"/>
        <w:gridCol w:w="3420"/>
      </w:tblGrid>
      <w:tr w:rsidR="00B1303B" w:rsidRPr="001F3F80" w:rsidTr="00B1303B">
        <w:trPr>
          <w:jc w:val="center"/>
        </w:trPr>
        <w:tc>
          <w:tcPr>
            <w:tcW w:w="8820" w:type="dxa"/>
            <w:gridSpan w:val="3"/>
            <w:tcBorders>
              <w:top w:val="single" w:sz="4" w:space="0" w:color="auto"/>
              <w:bottom w:val="single" w:sz="4" w:space="0" w:color="auto"/>
            </w:tcBorders>
          </w:tcPr>
          <w:p w:rsidR="00B1303B" w:rsidRPr="005B3753" w:rsidRDefault="00B1303B" w:rsidP="00B1303B">
            <w:pPr>
              <w:pStyle w:val="TableBodyText"/>
              <w:keepNext w:val="0"/>
              <w:jc w:val="left"/>
              <w:rPr>
                <w:b/>
                <w:sz w:val="16"/>
                <w:szCs w:val="16"/>
                <w:u w:val="single"/>
              </w:rPr>
            </w:pPr>
          </w:p>
          <w:p w:rsidR="00B1303B" w:rsidRPr="003211C6" w:rsidRDefault="00B1303B" w:rsidP="00B1303B">
            <w:pPr>
              <w:pStyle w:val="TableBodyText"/>
              <w:keepNext w:val="0"/>
              <w:jc w:val="left"/>
              <w:rPr>
                <w:rFonts w:cs="Arial"/>
                <w:b/>
                <w:sz w:val="22"/>
                <w:szCs w:val="22"/>
                <w:u w:val="single"/>
              </w:rPr>
            </w:pPr>
            <w:r w:rsidRPr="003211C6">
              <w:rPr>
                <w:b/>
                <w:u w:val="single"/>
              </w:rPr>
              <w:t>Indicator definition and description</w:t>
            </w:r>
          </w:p>
        </w:tc>
      </w:tr>
      <w:tr w:rsidR="00B1303B" w:rsidRPr="001F3F80" w:rsidTr="00B1303B">
        <w:trPr>
          <w:jc w:val="center"/>
        </w:trPr>
        <w:tc>
          <w:tcPr>
            <w:tcW w:w="1980" w:type="dxa"/>
            <w:tcBorders>
              <w:top w:val="single" w:sz="4" w:space="0" w:color="auto"/>
            </w:tcBorders>
          </w:tcPr>
          <w:p w:rsidR="00B1303B" w:rsidRPr="00A05229" w:rsidRDefault="00B1303B" w:rsidP="00B1303B">
            <w:pPr>
              <w:pStyle w:val="TableBodyText"/>
              <w:keepNext w:val="0"/>
              <w:jc w:val="left"/>
              <w:rPr>
                <w:b/>
              </w:rPr>
            </w:pPr>
            <w:r w:rsidRPr="00A05229">
              <w:rPr>
                <w:b/>
              </w:rPr>
              <w:t>Element</w:t>
            </w:r>
          </w:p>
        </w:tc>
        <w:tc>
          <w:tcPr>
            <w:tcW w:w="6840" w:type="dxa"/>
            <w:gridSpan w:val="2"/>
            <w:tcBorders>
              <w:top w:val="single" w:sz="4" w:space="0" w:color="auto"/>
            </w:tcBorders>
          </w:tcPr>
          <w:p w:rsidR="00B1303B" w:rsidRPr="00A05229" w:rsidRDefault="00B1303B" w:rsidP="00B1303B">
            <w:pPr>
              <w:pStyle w:val="TableBodyText"/>
              <w:keepNext w:val="0"/>
              <w:jc w:val="both"/>
            </w:pPr>
            <w:r w:rsidRPr="00804D71">
              <w:t>Emergency management sector performance indicator framework</w:t>
            </w:r>
            <w:r>
              <w:t xml:space="preserve"> – Sector wide indicators</w:t>
            </w:r>
          </w:p>
        </w:tc>
      </w:tr>
      <w:tr w:rsidR="00B1303B" w:rsidRPr="001F3F80" w:rsidTr="00B1303B">
        <w:trPr>
          <w:jc w:val="center"/>
        </w:trPr>
        <w:tc>
          <w:tcPr>
            <w:tcW w:w="1980" w:type="dxa"/>
          </w:tcPr>
          <w:p w:rsidR="00B1303B" w:rsidRPr="00A05229" w:rsidRDefault="00B1303B" w:rsidP="00B1303B">
            <w:pPr>
              <w:pStyle w:val="TableBodyText"/>
              <w:keepNext w:val="0"/>
              <w:jc w:val="left"/>
              <w:rPr>
                <w:b/>
              </w:rPr>
            </w:pPr>
            <w:r w:rsidRPr="00A05229">
              <w:rPr>
                <w:b/>
              </w:rPr>
              <w:t>Indicator</w:t>
            </w:r>
          </w:p>
        </w:tc>
        <w:tc>
          <w:tcPr>
            <w:tcW w:w="6840" w:type="dxa"/>
            <w:gridSpan w:val="2"/>
          </w:tcPr>
          <w:p w:rsidR="00B1303B" w:rsidRPr="00A05229" w:rsidRDefault="002A25F5" w:rsidP="002A25F5">
            <w:pPr>
              <w:pStyle w:val="TableBodyText"/>
              <w:keepNext w:val="0"/>
              <w:jc w:val="both"/>
            </w:pPr>
            <w:r>
              <w:t>Total asset loss from emergency events</w:t>
            </w:r>
            <w:r w:rsidRPr="00804D71">
              <w:t xml:space="preserve"> </w:t>
            </w:r>
          </w:p>
        </w:tc>
      </w:tr>
      <w:tr w:rsidR="00746A99" w:rsidRPr="001F3F80" w:rsidTr="00B1303B">
        <w:trPr>
          <w:jc w:val="center"/>
        </w:trPr>
        <w:tc>
          <w:tcPr>
            <w:tcW w:w="1980" w:type="dxa"/>
            <w:vMerge w:val="restart"/>
          </w:tcPr>
          <w:p w:rsidR="00746A99" w:rsidRPr="00933757" w:rsidRDefault="00746A99" w:rsidP="00B1303B">
            <w:pPr>
              <w:pStyle w:val="TableBodyText"/>
              <w:keepNext w:val="0"/>
              <w:jc w:val="left"/>
            </w:pPr>
            <w:r w:rsidRPr="00933757">
              <w:t>Measure (computation)</w:t>
            </w:r>
          </w:p>
        </w:tc>
        <w:tc>
          <w:tcPr>
            <w:tcW w:w="6840" w:type="dxa"/>
            <w:gridSpan w:val="2"/>
          </w:tcPr>
          <w:p w:rsidR="00746A99" w:rsidRPr="00933757" w:rsidRDefault="005648C7" w:rsidP="00B1303B">
            <w:pPr>
              <w:pStyle w:val="TableBodyText"/>
              <w:jc w:val="both"/>
            </w:pPr>
            <w:r>
              <w:t>Insured losses from disaster events</w:t>
            </w:r>
            <w:r w:rsidR="00746A99" w:rsidRPr="00933757">
              <w:t>.</w:t>
            </w:r>
          </w:p>
          <w:p w:rsidR="00746A99" w:rsidRDefault="00746A99" w:rsidP="002A25F5">
            <w:pPr>
              <w:pStyle w:val="TableBodyText"/>
              <w:jc w:val="both"/>
            </w:pPr>
            <w:r w:rsidRPr="00933757">
              <w:t>‘</w:t>
            </w:r>
            <w:r w:rsidR="005648C7">
              <w:t>Insured losses from disaster events</w:t>
            </w:r>
            <w:r w:rsidRPr="00933757">
              <w:t xml:space="preserve">’ data </w:t>
            </w:r>
            <w:r>
              <w:t xml:space="preserve">are defined as the </w:t>
            </w:r>
            <w:r w:rsidR="002523D2">
              <w:t xml:space="preserve">insured </w:t>
            </w:r>
            <w:r>
              <w:t>asset losses incurred by the community following disaster event.</w:t>
            </w:r>
          </w:p>
          <w:p w:rsidR="00746A99" w:rsidRDefault="00746A99" w:rsidP="002A25F5">
            <w:pPr>
              <w:pStyle w:val="TableBodyText"/>
              <w:jc w:val="both"/>
            </w:pPr>
            <w:r>
              <w:t>Estimates of asset</w:t>
            </w:r>
            <w:r w:rsidR="005648C7">
              <w:t xml:space="preserve"> losses</w:t>
            </w:r>
            <w:r>
              <w:t xml:space="preserve"> </w:t>
            </w:r>
            <w:r w:rsidRPr="00933757">
              <w:t xml:space="preserve">are derived from the submissions of general insurance companies following large events incurring cost to the community and insurers. </w:t>
            </w:r>
          </w:p>
          <w:p w:rsidR="00746A99" w:rsidRPr="00933757" w:rsidRDefault="00746A99" w:rsidP="00933757">
            <w:pPr>
              <w:pStyle w:val="TableBodyText"/>
              <w:jc w:val="both"/>
            </w:pPr>
            <w:r w:rsidRPr="00933757">
              <w:t xml:space="preserve">To be included </w:t>
            </w:r>
            <w:r>
              <w:t xml:space="preserve">as a </w:t>
            </w:r>
            <w:r w:rsidR="005648C7">
              <w:t xml:space="preserve">disaster </w:t>
            </w:r>
            <w:r>
              <w:t>event</w:t>
            </w:r>
            <w:r w:rsidRPr="00933757">
              <w:t>, natural, technological and human</w:t>
            </w:r>
            <w:r>
              <w:noBreakHyphen/>
            </w:r>
            <w:r w:rsidRPr="00933757">
              <w:t>caused events must meet at least one of the following criteria:</w:t>
            </w:r>
          </w:p>
          <w:p w:rsidR="00746A99" w:rsidRPr="00933757" w:rsidRDefault="00746A99" w:rsidP="001B18EA">
            <w:pPr>
              <w:pStyle w:val="TableBullet"/>
            </w:pPr>
            <w:r w:rsidRPr="00933757">
              <w:t>three or more deaths</w:t>
            </w:r>
          </w:p>
          <w:p w:rsidR="00746A99" w:rsidRPr="00933757" w:rsidRDefault="00746A99" w:rsidP="001B18EA">
            <w:pPr>
              <w:pStyle w:val="TableBullet"/>
            </w:pPr>
            <w:r w:rsidRPr="00933757">
              <w:t>20 injuries or illnesses</w:t>
            </w:r>
          </w:p>
          <w:p w:rsidR="00746A99" w:rsidRPr="00933757" w:rsidRDefault="00746A99" w:rsidP="001B18EA">
            <w:pPr>
              <w:pStyle w:val="TableBullet"/>
            </w:pPr>
            <w:r w:rsidRPr="00933757">
              <w:t>significant damage to property, infrastructure, agriculture or the environment; or disruption to essential services, commerce or industry; or trauma or dislocation of the community at an estimated total cost of $10</w:t>
            </w:r>
            <w:r w:rsidR="005648C7">
              <w:t> </w:t>
            </w:r>
            <w:r w:rsidRPr="00933757">
              <w:t>million or more at the time the event occurred.</w:t>
            </w:r>
          </w:p>
          <w:p w:rsidR="00746A99" w:rsidRPr="00933757" w:rsidRDefault="00746A99" w:rsidP="00D54C36">
            <w:pPr>
              <w:pStyle w:val="TableBodyText"/>
              <w:jc w:val="both"/>
            </w:pPr>
            <w:r>
              <w:t xml:space="preserve">For the </w:t>
            </w:r>
            <w:r>
              <w:rPr>
                <w:i/>
              </w:rPr>
              <w:t xml:space="preserve">Report on Government Services </w:t>
            </w:r>
            <w:r>
              <w:t>the following event types are in scope:</w:t>
            </w:r>
          </w:p>
        </w:tc>
      </w:tr>
      <w:tr w:rsidR="00746A99" w:rsidRPr="001F3F80" w:rsidTr="00746A99">
        <w:trPr>
          <w:jc w:val="center"/>
        </w:trPr>
        <w:tc>
          <w:tcPr>
            <w:tcW w:w="1980" w:type="dxa"/>
            <w:vMerge/>
          </w:tcPr>
          <w:p w:rsidR="00746A99" w:rsidRPr="00A05229" w:rsidRDefault="00746A99" w:rsidP="00B1303B">
            <w:pPr>
              <w:pStyle w:val="TableBodyText"/>
              <w:keepNext w:val="0"/>
              <w:jc w:val="left"/>
              <w:rPr>
                <w:b/>
              </w:rPr>
            </w:pPr>
          </w:p>
        </w:tc>
        <w:tc>
          <w:tcPr>
            <w:tcW w:w="3420" w:type="dxa"/>
          </w:tcPr>
          <w:p w:rsidR="00746A99" w:rsidRDefault="00746A99" w:rsidP="00D54C36">
            <w:pPr>
              <w:pStyle w:val="TableBullet"/>
            </w:pPr>
            <w:r>
              <w:t>Bushfire</w:t>
            </w:r>
          </w:p>
          <w:p w:rsidR="00746A99" w:rsidRDefault="00746A99" w:rsidP="00D54C36">
            <w:pPr>
              <w:pStyle w:val="TableBullet"/>
            </w:pPr>
            <w:r>
              <w:t>Cyclone</w:t>
            </w:r>
          </w:p>
          <w:p w:rsidR="00746A99" w:rsidRDefault="00746A99" w:rsidP="00D54C36">
            <w:pPr>
              <w:pStyle w:val="TableBullet"/>
            </w:pPr>
            <w:r>
              <w:t>Earthquake</w:t>
            </w:r>
          </w:p>
          <w:p w:rsidR="00746A99" w:rsidRDefault="00746A99" w:rsidP="00D54C36">
            <w:pPr>
              <w:pStyle w:val="TableBullet"/>
            </w:pPr>
            <w:r>
              <w:t>Environmental</w:t>
            </w:r>
          </w:p>
          <w:p w:rsidR="00746A99" w:rsidRDefault="00746A99" w:rsidP="00D54C36">
            <w:pPr>
              <w:pStyle w:val="TableBullet"/>
            </w:pPr>
            <w:r>
              <w:t>Flood</w:t>
            </w:r>
          </w:p>
          <w:p w:rsidR="00746A99" w:rsidRDefault="00746A99" w:rsidP="00D54C36">
            <w:pPr>
              <w:pStyle w:val="TableBullet"/>
            </w:pPr>
            <w:r>
              <w:t>Hail</w:t>
            </w:r>
          </w:p>
        </w:tc>
        <w:tc>
          <w:tcPr>
            <w:tcW w:w="3420" w:type="dxa"/>
          </w:tcPr>
          <w:p w:rsidR="00746A99" w:rsidRDefault="00746A99" w:rsidP="00D54C36">
            <w:pPr>
              <w:pStyle w:val="TableBullet"/>
            </w:pPr>
            <w:r>
              <w:t>Landslide</w:t>
            </w:r>
          </w:p>
          <w:p w:rsidR="00746A99" w:rsidRDefault="00746A99" w:rsidP="00D54C36">
            <w:pPr>
              <w:pStyle w:val="TableBullet"/>
            </w:pPr>
            <w:r>
              <w:t xml:space="preserve">Severe Storm </w:t>
            </w:r>
          </w:p>
          <w:p w:rsidR="00746A99" w:rsidRDefault="00746A99" w:rsidP="00D54C36">
            <w:pPr>
              <w:pStyle w:val="TableBullet"/>
            </w:pPr>
            <w:r>
              <w:t>Tornado</w:t>
            </w:r>
          </w:p>
          <w:p w:rsidR="00746A99" w:rsidRDefault="00746A99" w:rsidP="00D54C36">
            <w:pPr>
              <w:pStyle w:val="TableBullet"/>
            </w:pPr>
            <w:r>
              <w:t>Tsunami</w:t>
            </w:r>
          </w:p>
          <w:p w:rsidR="00746A99" w:rsidRPr="00A05229" w:rsidRDefault="00746A99" w:rsidP="00D54C36">
            <w:pPr>
              <w:pStyle w:val="TableBullet"/>
              <w:rPr>
                <w:u w:val="single"/>
              </w:rPr>
            </w:pPr>
            <w:r>
              <w:t>Urban fire.</w:t>
            </w:r>
          </w:p>
        </w:tc>
      </w:tr>
      <w:tr w:rsidR="00746A99" w:rsidRPr="001F3F80" w:rsidTr="00B1303B">
        <w:trPr>
          <w:jc w:val="center"/>
        </w:trPr>
        <w:tc>
          <w:tcPr>
            <w:tcW w:w="1980" w:type="dxa"/>
            <w:vMerge/>
          </w:tcPr>
          <w:p w:rsidR="00746A99" w:rsidRPr="00A05229" w:rsidRDefault="00746A99" w:rsidP="00B1303B">
            <w:pPr>
              <w:pStyle w:val="TableBodyText"/>
              <w:keepNext w:val="0"/>
              <w:jc w:val="left"/>
              <w:rPr>
                <w:b/>
              </w:rPr>
            </w:pPr>
          </w:p>
        </w:tc>
        <w:tc>
          <w:tcPr>
            <w:tcW w:w="6840" w:type="dxa"/>
            <w:gridSpan w:val="2"/>
          </w:tcPr>
          <w:p w:rsidR="00746A99" w:rsidRPr="00933757" w:rsidRDefault="00746A99" w:rsidP="00D54C36">
            <w:pPr>
              <w:pStyle w:val="TableBodyText"/>
              <w:keepNext w:val="0"/>
              <w:jc w:val="both"/>
            </w:pPr>
            <w:r w:rsidRPr="00933757">
              <w:rPr>
                <w:u w:val="single"/>
              </w:rPr>
              <w:t>Deflator</w:t>
            </w:r>
          </w:p>
          <w:p w:rsidR="00746A99" w:rsidRPr="00A05229" w:rsidRDefault="007C27CC" w:rsidP="007C27CC">
            <w:pPr>
              <w:pStyle w:val="TableBodyText"/>
              <w:keepNext w:val="0"/>
              <w:jc w:val="both"/>
              <w:rPr>
                <w:u w:val="single"/>
              </w:rPr>
            </w:pPr>
            <w:r w:rsidRPr="00854E63">
              <w:t>Time series financial data are adjusted to</w:t>
            </w:r>
            <w:r>
              <w:t xml:space="preserve"> real </w:t>
            </w:r>
            <w:r w:rsidRPr="00854E63">
              <w:t>dollars using the General Government Final Consumption Expenditure (GGFCE) chain price deflator.</w:t>
            </w:r>
          </w:p>
        </w:tc>
      </w:tr>
      <w:tr w:rsidR="00B1303B" w:rsidRPr="001F3F80" w:rsidTr="00B1303B">
        <w:trPr>
          <w:jc w:val="center"/>
        </w:trPr>
        <w:tc>
          <w:tcPr>
            <w:tcW w:w="1980" w:type="dxa"/>
          </w:tcPr>
          <w:p w:rsidR="00B1303B" w:rsidRPr="00A05229" w:rsidRDefault="00B1303B" w:rsidP="00B1303B">
            <w:pPr>
              <w:pStyle w:val="TableBodyText"/>
              <w:keepNext w:val="0"/>
              <w:jc w:val="left"/>
              <w:rPr>
                <w:b/>
              </w:rPr>
            </w:pPr>
            <w:r w:rsidRPr="00A05229">
              <w:rPr>
                <w:b/>
              </w:rPr>
              <w:t>Data source/s</w:t>
            </w:r>
          </w:p>
        </w:tc>
        <w:tc>
          <w:tcPr>
            <w:tcW w:w="6840" w:type="dxa"/>
            <w:gridSpan w:val="2"/>
          </w:tcPr>
          <w:p w:rsidR="00B1303B" w:rsidRPr="00A05229" w:rsidRDefault="00F4574F" w:rsidP="00B1303B">
            <w:pPr>
              <w:pStyle w:val="TableBodyText"/>
              <w:keepNext w:val="0"/>
              <w:jc w:val="both"/>
            </w:pPr>
            <w:r>
              <w:t xml:space="preserve">Australian Government 2013, </w:t>
            </w:r>
            <w:r>
              <w:rPr>
                <w:i/>
              </w:rPr>
              <w:t xml:space="preserve">Australian Emergency Management: Knowledge </w:t>
            </w:r>
            <w:r w:rsidRPr="00F4574F">
              <w:rPr>
                <w:i/>
              </w:rPr>
              <w:t>Hub</w:t>
            </w:r>
            <w:r>
              <w:t xml:space="preserve">, maintained by the Australian Emergency Management Institute, </w:t>
            </w:r>
            <w:r w:rsidRPr="00FA62AF">
              <w:t>http://</w:t>
            </w:r>
            <w:proofErr w:type="spellStart"/>
            <w:r w:rsidRPr="00FA62AF">
              <w:t>www.emknowledge.gov.au</w:t>
            </w:r>
            <w:proofErr w:type="spellEnd"/>
            <w:r>
              <w:t xml:space="preserve"> (accessed 23</w:t>
            </w:r>
            <w:r w:rsidR="00850966">
              <w:t> </w:t>
            </w:r>
            <w:r>
              <w:t>April 2013</w:t>
            </w:r>
          </w:p>
          <w:p w:rsidR="00B1303B" w:rsidRPr="00A05229" w:rsidRDefault="00B1303B" w:rsidP="00B1303B">
            <w:pPr>
              <w:pStyle w:val="TableBodyText"/>
              <w:keepNext w:val="0"/>
              <w:jc w:val="both"/>
            </w:pPr>
            <w:r w:rsidRPr="00A05229">
              <w:rPr>
                <w:u w:val="single"/>
              </w:rPr>
              <w:t>Denominator</w:t>
            </w:r>
            <w:r w:rsidRPr="00A05229">
              <w:t xml:space="preserve"> </w:t>
            </w:r>
          </w:p>
          <w:p w:rsidR="00B1303B" w:rsidRPr="00A05229" w:rsidRDefault="0039658D" w:rsidP="00B07B20">
            <w:pPr>
              <w:pStyle w:val="TableBodyText"/>
              <w:keepNext w:val="0"/>
              <w:jc w:val="both"/>
            </w:pPr>
            <w:r w:rsidRPr="0039658D">
              <w:t>ABS 2013, Australian National Accounts: National Income, Expenditure and Product, June 2013, Cat. no. 5206.0</w:t>
            </w:r>
          </w:p>
        </w:tc>
      </w:tr>
      <w:tr w:rsidR="00B1303B" w:rsidRPr="000D7225" w:rsidTr="00B1303B">
        <w:trPr>
          <w:cantSplit/>
          <w:jc w:val="center"/>
        </w:trPr>
        <w:tc>
          <w:tcPr>
            <w:tcW w:w="8820" w:type="dxa"/>
            <w:gridSpan w:val="3"/>
          </w:tcPr>
          <w:p w:rsidR="00B1303B" w:rsidRDefault="00B1303B" w:rsidP="00B1303B">
            <w:pPr>
              <w:pStyle w:val="TableBodyText"/>
              <w:keepNext w:val="0"/>
              <w:jc w:val="left"/>
              <w:rPr>
                <w:rFonts w:ascii="Times New Roman" w:hAnsi="Times New Roman"/>
                <w:sz w:val="24"/>
                <w:lang w:eastAsia="en-US"/>
              </w:rPr>
            </w:pPr>
          </w:p>
          <w:p w:rsidR="00B1303B" w:rsidRPr="00CE3D86" w:rsidRDefault="00B1303B" w:rsidP="00B1303B">
            <w:pPr>
              <w:pStyle w:val="TableBodyText"/>
              <w:keepNext w:val="0"/>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B1303B" w:rsidRPr="00254F46" w:rsidTr="00B1303B">
        <w:trPr>
          <w:jc w:val="center"/>
        </w:trPr>
        <w:tc>
          <w:tcPr>
            <w:tcW w:w="1980" w:type="dxa"/>
          </w:tcPr>
          <w:p w:rsidR="00B1303B" w:rsidRPr="00A05229" w:rsidRDefault="00B1303B" w:rsidP="00B1303B">
            <w:pPr>
              <w:pStyle w:val="TableBodyText"/>
              <w:keepNext w:val="0"/>
              <w:jc w:val="left"/>
              <w:rPr>
                <w:b/>
                <w:szCs w:val="22"/>
              </w:rPr>
            </w:pPr>
            <w:r w:rsidRPr="00A05229">
              <w:rPr>
                <w:b/>
                <w:szCs w:val="22"/>
              </w:rPr>
              <w:t>Institutional environment</w:t>
            </w:r>
          </w:p>
        </w:tc>
        <w:tc>
          <w:tcPr>
            <w:tcW w:w="6840" w:type="dxa"/>
            <w:gridSpan w:val="2"/>
          </w:tcPr>
          <w:p w:rsidR="00A32D8C" w:rsidRPr="00A32D8C" w:rsidRDefault="00A32D8C" w:rsidP="00A32D8C">
            <w:pPr>
              <w:pStyle w:val="TableBodyText"/>
              <w:jc w:val="left"/>
              <w:rPr>
                <w:u w:val="single"/>
              </w:rPr>
            </w:pPr>
            <w:r w:rsidRPr="00A32D8C">
              <w:rPr>
                <w:u w:val="single"/>
              </w:rPr>
              <w:t>Data Collector: Insurance Council of Australia (ICA)</w:t>
            </w:r>
          </w:p>
          <w:p w:rsidR="00A32D8C" w:rsidRDefault="00A32D8C" w:rsidP="00A32D8C">
            <w:pPr>
              <w:pStyle w:val="TableBodyText"/>
              <w:jc w:val="left"/>
            </w:pPr>
            <w:r>
              <w:t xml:space="preserve">Collection authority: Data are derived from the submissions of ICA member general insurance companies following large events incurring cost to the community and insurers. </w:t>
            </w:r>
          </w:p>
          <w:p w:rsidR="00A32D8C" w:rsidRDefault="00A32D8C" w:rsidP="00A32D8C">
            <w:pPr>
              <w:pStyle w:val="TableBodyText"/>
              <w:jc w:val="left"/>
            </w:pPr>
            <w:r w:rsidRPr="00B973AD">
              <w:t>The Insurance Council of Australia is the representative body of the general insurance industry in Australia. Its members represent more than 90 per cent of total premium income written by private sector general insurers</w:t>
            </w:r>
            <w:r>
              <w:t>.</w:t>
            </w:r>
          </w:p>
          <w:p w:rsidR="00A32D8C" w:rsidRPr="00A32D8C" w:rsidRDefault="00A32D8C" w:rsidP="00B973AD">
            <w:pPr>
              <w:pStyle w:val="TableBodyText"/>
              <w:jc w:val="left"/>
              <w:rPr>
                <w:u w:val="single"/>
              </w:rPr>
            </w:pPr>
            <w:r w:rsidRPr="00A32D8C">
              <w:rPr>
                <w:u w:val="single"/>
              </w:rPr>
              <w:lastRenderedPageBreak/>
              <w:t xml:space="preserve">Data Compiler: </w:t>
            </w:r>
            <w:r w:rsidR="00B973AD" w:rsidRPr="00A32D8C">
              <w:rPr>
                <w:u w:val="single"/>
              </w:rPr>
              <w:t>T</w:t>
            </w:r>
            <w:r w:rsidR="00D83A6B" w:rsidRPr="00A32D8C">
              <w:rPr>
                <w:u w:val="single"/>
              </w:rPr>
              <w:t xml:space="preserve">he Australian Emergency Management Institute </w:t>
            </w:r>
            <w:r w:rsidR="00B973AD" w:rsidRPr="00A32D8C">
              <w:rPr>
                <w:u w:val="single"/>
              </w:rPr>
              <w:t>(</w:t>
            </w:r>
            <w:proofErr w:type="spellStart"/>
            <w:r w:rsidR="00B973AD" w:rsidRPr="00A32D8C">
              <w:rPr>
                <w:u w:val="single"/>
              </w:rPr>
              <w:t>AEMI</w:t>
            </w:r>
            <w:proofErr w:type="spellEnd"/>
            <w:r w:rsidR="00B973AD" w:rsidRPr="00A32D8C">
              <w:rPr>
                <w:u w:val="single"/>
              </w:rPr>
              <w:t>)</w:t>
            </w:r>
          </w:p>
          <w:p w:rsidR="00B973AD" w:rsidRDefault="00A32D8C" w:rsidP="00B973AD">
            <w:pPr>
              <w:pStyle w:val="TableBodyText"/>
              <w:jc w:val="left"/>
            </w:pPr>
            <w:r>
              <w:t xml:space="preserve">The </w:t>
            </w:r>
            <w:proofErr w:type="spellStart"/>
            <w:r>
              <w:t>AEMI</w:t>
            </w:r>
            <w:proofErr w:type="spellEnd"/>
            <w:r w:rsidR="00B973AD">
              <w:t xml:space="preserve"> hosts the Australian Emergency Management Knowledge Hub. </w:t>
            </w:r>
            <w:r w:rsidR="00B973AD" w:rsidRPr="00B973AD">
              <w:t>The Knowledge Hub provides research, resources and news relevant to emergency management and includes statistics and information, photos, video and media about past disaster events.</w:t>
            </w:r>
          </w:p>
          <w:p w:rsidR="00B1303B" w:rsidRPr="00A05229" w:rsidRDefault="00B973AD" w:rsidP="00A32D8C">
            <w:pPr>
              <w:pStyle w:val="TableBodyText"/>
              <w:jc w:val="left"/>
            </w:pPr>
            <w:r>
              <w:t xml:space="preserve">The </w:t>
            </w:r>
            <w:proofErr w:type="spellStart"/>
            <w:r>
              <w:t>AEMI</w:t>
            </w:r>
            <w:proofErr w:type="spellEnd"/>
            <w:r>
              <w:t xml:space="preserve"> </w:t>
            </w:r>
            <w:r w:rsidRPr="00B973AD">
              <w:t>is a centre of excellence for knowledge and skills development in the national emergency management sector. As a part of the Attorney</w:t>
            </w:r>
            <w:r>
              <w:noBreakHyphen/>
            </w:r>
            <w:r w:rsidRPr="00B973AD">
              <w:t xml:space="preserve">General’s Department, </w:t>
            </w:r>
            <w:proofErr w:type="spellStart"/>
            <w:r w:rsidRPr="00B973AD">
              <w:t>AEMI</w:t>
            </w:r>
            <w:proofErr w:type="spellEnd"/>
            <w:r w:rsidRPr="00B973AD">
              <w:t xml:space="preserve"> provides a range of education, training, professional development, information, research and community awareness services to the nation and our region.</w:t>
            </w:r>
          </w:p>
        </w:tc>
      </w:tr>
      <w:tr w:rsidR="00B1303B" w:rsidRPr="00254F46" w:rsidTr="00B1303B">
        <w:trPr>
          <w:cantSplit/>
          <w:jc w:val="center"/>
        </w:trPr>
        <w:tc>
          <w:tcPr>
            <w:tcW w:w="1980" w:type="dxa"/>
          </w:tcPr>
          <w:p w:rsidR="00B1303B" w:rsidRPr="00A05229" w:rsidRDefault="00B1303B" w:rsidP="00B1303B">
            <w:pPr>
              <w:pStyle w:val="TableBodyText"/>
              <w:keepNext w:val="0"/>
              <w:jc w:val="left"/>
              <w:rPr>
                <w:b/>
                <w:szCs w:val="22"/>
              </w:rPr>
            </w:pPr>
            <w:r w:rsidRPr="00A05229">
              <w:rPr>
                <w:b/>
                <w:szCs w:val="22"/>
              </w:rPr>
              <w:lastRenderedPageBreak/>
              <w:t>Relevance</w:t>
            </w:r>
          </w:p>
        </w:tc>
        <w:tc>
          <w:tcPr>
            <w:tcW w:w="6840" w:type="dxa"/>
            <w:gridSpan w:val="2"/>
          </w:tcPr>
          <w:p w:rsidR="00A32D8C" w:rsidRDefault="00A32D8C" w:rsidP="00A32D8C">
            <w:pPr>
              <w:pStyle w:val="TableBodyText"/>
              <w:jc w:val="left"/>
            </w:pPr>
            <w:r w:rsidRPr="00A32D8C">
              <w:rPr>
                <w:u w:val="single"/>
              </w:rPr>
              <w:t>Data topic</w:t>
            </w:r>
            <w:r>
              <w:t xml:space="preserve">: Estimates of asset losses are derived from the submissions of general insurance companies following large events incurring cost to the community and insurers. </w:t>
            </w:r>
          </w:p>
          <w:p w:rsidR="00A32D8C" w:rsidRDefault="00A32D8C" w:rsidP="00A32D8C">
            <w:pPr>
              <w:pStyle w:val="TableBodyText"/>
              <w:jc w:val="left"/>
            </w:pPr>
            <w:r w:rsidRPr="00A32D8C">
              <w:rPr>
                <w:u w:val="single"/>
              </w:rPr>
              <w:t>Level of geography</w:t>
            </w:r>
            <w:r>
              <w:t>: The incurred cost of claims is available for each declared emergency event can be coded to state/territory locations.</w:t>
            </w:r>
          </w:p>
          <w:p w:rsidR="00A32D8C" w:rsidRDefault="00A32D8C" w:rsidP="00A32D8C">
            <w:pPr>
              <w:pStyle w:val="TableBodyText"/>
              <w:jc w:val="left"/>
            </w:pPr>
            <w:r w:rsidRPr="00A32D8C">
              <w:rPr>
                <w:u w:val="single"/>
              </w:rPr>
              <w:t>Key Data Items</w:t>
            </w:r>
            <w:r>
              <w:t xml:space="preserve">: The incurred cost of claims is available for each declared emergency event by disaster/event type, </w:t>
            </w:r>
            <w:r w:rsidRPr="00A32D8C">
              <w:t>Catastrophe Number</w:t>
            </w:r>
            <w:r>
              <w:t xml:space="preserve"> (</w:t>
            </w:r>
            <w:r w:rsidRPr="00A32D8C">
              <w:t>if declared</w:t>
            </w:r>
            <w:r>
              <w:t>), date, location, state, original cost and normalised cost.</w:t>
            </w:r>
          </w:p>
          <w:p w:rsidR="005E6DBD" w:rsidRPr="00A05229" w:rsidRDefault="00A32D8C" w:rsidP="00A32D8C">
            <w:pPr>
              <w:pStyle w:val="TableBodyText"/>
              <w:jc w:val="left"/>
            </w:pPr>
            <w:r w:rsidRPr="00684DFE">
              <w:rPr>
                <w:u w:val="single"/>
              </w:rPr>
              <w:t>Additional information</w:t>
            </w:r>
            <w:r>
              <w:t>:</w:t>
            </w:r>
            <w:r w:rsidR="00684DFE">
              <w:t xml:space="preserve"> </w:t>
            </w:r>
            <w:r>
              <w:t>Value of asset loss is a measure of the economic cost of emergency events. The prevention/mitigation, preparedness, and response activities of government contribute to reduce the value of total asset loss from emergency events. A low or decreasing value of total asset loss from emergency events is desirable.</w:t>
            </w:r>
          </w:p>
        </w:tc>
      </w:tr>
      <w:tr w:rsidR="00B1303B" w:rsidRPr="00254F46" w:rsidTr="00B1303B">
        <w:trPr>
          <w:cantSplit/>
          <w:jc w:val="center"/>
        </w:trPr>
        <w:tc>
          <w:tcPr>
            <w:tcW w:w="1980" w:type="dxa"/>
          </w:tcPr>
          <w:p w:rsidR="00B1303B" w:rsidRPr="00A05229" w:rsidRDefault="00B1303B" w:rsidP="00B1303B">
            <w:pPr>
              <w:pStyle w:val="TableBodyText"/>
              <w:keepNext w:val="0"/>
              <w:jc w:val="left"/>
              <w:rPr>
                <w:b/>
                <w:szCs w:val="22"/>
              </w:rPr>
            </w:pPr>
            <w:r w:rsidRPr="00A05229">
              <w:rPr>
                <w:b/>
                <w:szCs w:val="22"/>
              </w:rPr>
              <w:t>Timeliness</w:t>
            </w:r>
          </w:p>
        </w:tc>
        <w:tc>
          <w:tcPr>
            <w:tcW w:w="6840" w:type="dxa"/>
            <w:gridSpan w:val="2"/>
          </w:tcPr>
          <w:p w:rsidR="00D83A6B" w:rsidRDefault="00684DFE" w:rsidP="00D83A6B">
            <w:pPr>
              <w:pStyle w:val="TableBodyText"/>
              <w:jc w:val="left"/>
            </w:pPr>
            <w:r w:rsidRPr="00684DFE">
              <w:rPr>
                <w:u w:val="single"/>
              </w:rPr>
              <w:t>Data collected</w:t>
            </w:r>
            <w:r>
              <w:t xml:space="preserve">: </w:t>
            </w:r>
            <w:r w:rsidR="00D83A6B">
              <w:t xml:space="preserve">Data are available for individual emergency events, allowing for the creation of financial year and/or calendar year data. </w:t>
            </w:r>
          </w:p>
          <w:p w:rsidR="00B1303B" w:rsidRDefault="00684DFE" w:rsidP="00D83A6B">
            <w:pPr>
              <w:pStyle w:val="TableBodyText"/>
              <w:keepNext w:val="0"/>
              <w:jc w:val="left"/>
            </w:pPr>
            <w:r>
              <w:rPr>
                <w:u w:val="single"/>
              </w:rPr>
              <w:t>Data available</w:t>
            </w:r>
            <w:r w:rsidRPr="00684DFE">
              <w:t xml:space="preserve">: </w:t>
            </w:r>
            <w:r w:rsidR="00D83A6B">
              <w:t>Reports are available approximately four months after the reference period. 2012</w:t>
            </w:r>
            <w:r w:rsidR="00850966">
              <w:noBreakHyphen/>
            </w:r>
            <w:r w:rsidR="00D83A6B">
              <w:t>13 financial year data should be available for inclusion in the 2014 RoGS.</w:t>
            </w:r>
          </w:p>
          <w:p w:rsidR="00684DFE" w:rsidRPr="00A05229" w:rsidRDefault="00684DFE" w:rsidP="00D83A6B">
            <w:pPr>
              <w:pStyle w:val="TableBodyText"/>
              <w:keepNext w:val="0"/>
              <w:jc w:val="left"/>
            </w:pPr>
            <w:r w:rsidRPr="00684DFE">
              <w:rPr>
                <w:u w:val="single"/>
              </w:rPr>
              <w:t>Additional information</w:t>
            </w:r>
            <w:r w:rsidRPr="00684DFE">
              <w:t>:</w:t>
            </w:r>
            <w:r>
              <w:t xml:space="preserve"> </w:t>
            </w:r>
            <w:r w:rsidRPr="00684DFE">
              <w:t>The final loss figure for an event can take many years to resolve.</w:t>
            </w:r>
          </w:p>
        </w:tc>
      </w:tr>
      <w:tr w:rsidR="00B1303B" w:rsidRPr="00254F46" w:rsidTr="00B1303B">
        <w:trPr>
          <w:jc w:val="center"/>
        </w:trPr>
        <w:tc>
          <w:tcPr>
            <w:tcW w:w="1980" w:type="dxa"/>
          </w:tcPr>
          <w:p w:rsidR="00B1303B" w:rsidRPr="00A05229" w:rsidRDefault="00B1303B" w:rsidP="00B1303B">
            <w:pPr>
              <w:pStyle w:val="TableBodyText"/>
              <w:keepNext w:val="0"/>
              <w:jc w:val="left"/>
              <w:rPr>
                <w:b/>
                <w:szCs w:val="22"/>
              </w:rPr>
            </w:pPr>
            <w:r w:rsidRPr="00A05229">
              <w:rPr>
                <w:b/>
                <w:szCs w:val="22"/>
              </w:rPr>
              <w:t>Accuracy</w:t>
            </w:r>
          </w:p>
        </w:tc>
        <w:tc>
          <w:tcPr>
            <w:tcW w:w="6840" w:type="dxa"/>
            <w:gridSpan w:val="2"/>
          </w:tcPr>
          <w:p w:rsidR="00B9381D" w:rsidRDefault="00D83A6B" w:rsidP="00933757">
            <w:pPr>
              <w:pStyle w:val="TableBodyText"/>
              <w:jc w:val="both"/>
            </w:pPr>
            <w:r>
              <w:t xml:space="preserve">The asset loss data </w:t>
            </w:r>
            <w:r w:rsidR="00933757" w:rsidRPr="00933757">
              <w:t>do not represent the entire cost of the event, it is only a</w:t>
            </w:r>
            <w:r w:rsidR="00933757">
              <w:t>n</w:t>
            </w:r>
            <w:r w:rsidR="00933757" w:rsidRPr="00933757">
              <w:t xml:space="preserve"> approximation of the insured loss based upon reported data. </w:t>
            </w:r>
          </w:p>
          <w:p w:rsidR="00B9381D" w:rsidRDefault="00933757" w:rsidP="00B9381D">
            <w:pPr>
              <w:pStyle w:val="TableBullet"/>
            </w:pPr>
            <w:r w:rsidRPr="00933757">
              <w:t xml:space="preserve">The final loss figure for an event can take many years to resolve. </w:t>
            </w:r>
          </w:p>
          <w:p w:rsidR="00933757" w:rsidRDefault="00933757" w:rsidP="00B9381D">
            <w:pPr>
              <w:pStyle w:val="TableBullet"/>
            </w:pPr>
            <w:r w:rsidRPr="00933757">
              <w:t>Events are only recorded where there is a potential for the insured loss to exceed $10</w:t>
            </w:r>
            <w:r>
              <w:t> </w:t>
            </w:r>
            <w:r w:rsidRPr="00933757">
              <w:t xml:space="preserve">million. </w:t>
            </w:r>
            <w:r w:rsidR="00B9381D">
              <w:t>M</w:t>
            </w:r>
            <w:r w:rsidR="00B9381D" w:rsidRPr="00933757">
              <w:t>any large single losses occur on a day to day basis in Australia that are not part of a larger catastrophe event.</w:t>
            </w:r>
          </w:p>
          <w:p w:rsidR="00B9381D" w:rsidRDefault="00B9381D" w:rsidP="00B9381D">
            <w:pPr>
              <w:pStyle w:val="TableBullet"/>
            </w:pPr>
            <w:r>
              <w:t>Other c</w:t>
            </w:r>
            <w:r w:rsidR="00933757" w:rsidRPr="00933757">
              <w:t xml:space="preserve">osts not taken into account </w:t>
            </w:r>
            <w:r>
              <w:t>include:</w:t>
            </w:r>
          </w:p>
          <w:p w:rsidR="00933757" w:rsidRPr="00933757" w:rsidRDefault="00214707" w:rsidP="00B9381D">
            <w:pPr>
              <w:pStyle w:val="TableBullet2"/>
            </w:pPr>
            <w:r>
              <w:t xml:space="preserve">the losses of insurance companies that are not a member of the Insurance Council. </w:t>
            </w:r>
          </w:p>
          <w:p w:rsidR="00933757" w:rsidRPr="00933757" w:rsidRDefault="00933757" w:rsidP="00B9381D">
            <w:pPr>
              <w:pStyle w:val="TableBullet2"/>
            </w:pPr>
            <w:r w:rsidRPr="00933757">
              <w:t>costs incurred by emergency services; local, State, Territory and Commonwealth governments; non</w:t>
            </w:r>
            <w:r w:rsidR="00850966">
              <w:noBreakHyphen/>
            </w:r>
            <w:r w:rsidRPr="00933757">
              <w:t>government organisations; and by local governments during clean</w:t>
            </w:r>
            <w:r w:rsidR="00850966">
              <w:noBreakHyphen/>
            </w:r>
            <w:r w:rsidRPr="00933757">
              <w:t>up</w:t>
            </w:r>
          </w:p>
          <w:p w:rsidR="00933757" w:rsidRPr="00933757" w:rsidRDefault="00933757" w:rsidP="00B9381D">
            <w:pPr>
              <w:pStyle w:val="TableBullet2"/>
            </w:pPr>
            <w:r w:rsidRPr="00933757">
              <w:t>remedial and environmental damage costs (including pollution of foreshores and riverbanks and beach erosion)</w:t>
            </w:r>
          </w:p>
          <w:p w:rsidR="00933757" w:rsidRPr="00933757" w:rsidRDefault="00933757" w:rsidP="00B9381D">
            <w:pPr>
              <w:pStyle w:val="TableBullet2"/>
            </w:pPr>
            <w:r w:rsidRPr="00933757">
              <w:t>costs associated with community dislocation</w:t>
            </w:r>
          </w:p>
          <w:p w:rsidR="00933757" w:rsidRPr="00933757" w:rsidRDefault="00933757" w:rsidP="00B9381D">
            <w:pPr>
              <w:pStyle w:val="TableBullet2"/>
            </w:pPr>
            <w:r w:rsidRPr="00933757">
              <w:t>costs associated with job losses</w:t>
            </w:r>
          </w:p>
          <w:p w:rsidR="00933757" w:rsidRPr="00933757" w:rsidRDefault="00933757" w:rsidP="00B9381D">
            <w:pPr>
              <w:pStyle w:val="TableBullet2"/>
            </w:pPr>
            <w:r w:rsidRPr="00933757">
              <w:t>costs associated with rehabilitation/recovery</w:t>
            </w:r>
          </w:p>
          <w:p w:rsidR="00B1303B" w:rsidRPr="00A05229" w:rsidRDefault="00933757" w:rsidP="00B9381D">
            <w:pPr>
              <w:pStyle w:val="TableBullet2"/>
            </w:pPr>
            <w:r w:rsidRPr="00933757">
              <w:t>medical and funeral costs associated with injuries and deaths.</w:t>
            </w:r>
          </w:p>
        </w:tc>
      </w:tr>
      <w:tr w:rsidR="00B1303B" w:rsidRPr="00E57110" w:rsidTr="00B1303B">
        <w:trPr>
          <w:cantSplit/>
          <w:jc w:val="center"/>
        </w:trPr>
        <w:tc>
          <w:tcPr>
            <w:tcW w:w="1980" w:type="dxa"/>
          </w:tcPr>
          <w:p w:rsidR="00B1303B" w:rsidRPr="00A05229" w:rsidRDefault="005E6DBD" w:rsidP="00B1303B">
            <w:pPr>
              <w:pStyle w:val="TableBodyText"/>
              <w:keepNext w:val="0"/>
              <w:jc w:val="left"/>
              <w:rPr>
                <w:b/>
                <w:szCs w:val="22"/>
              </w:rPr>
            </w:pPr>
            <w:r>
              <w:rPr>
                <w:b/>
                <w:szCs w:val="22"/>
              </w:rPr>
              <w:t>Coherence</w:t>
            </w:r>
          </w:p>
        </w:tc>
        <w:tc>
          <w:tcPr>
            <w:tcW w:w="6840" w:type="dxa"/>
            <w:gridSpan w:val="2"/>
          </w:tcPr>
          <w:p w:rsidR="00B1303B" w:rsidRPr="00A05229" w:rsidRDefault="005E6DBD" w:rsidP="005E6DBD">
            <w:pPr>
              <w:pStyle w:val="TableBodyText"/>
              <w:keepNext w:val="0"/>
              <w:jc w:val="left"/>
            </w:pPr>
            <w:r w:rsidRPr="005E6DBD">
              <w:t>Insurance companies must adhere to common accounting practices for insurance companies, and provide data according to an agreed classification system.</w:t>
            </w:r>
          </w:p>
        </w:tc>
      </w:tr>
      <w:tr w:rsidR="00B1303B" w:rsidRPr="00E57110" w:rsidTr="00B1303B">
        <w:trPr>
          <w:cantSplit/>
          <w:jc w:val="center"/>
        </w:trPr>
        <w:tc>
          <w:tcPr>
            <w:tcW w:w="1980" w:type="dxa"/>
          </w:tcPr>
          <w:p w:rsidR="00B1303B" w:rsidRPr="00A05229" w:rsidRDefault="00B1303B" w:rsidP="00B1303B">
            <w:pPr>
              <w:pStyle w:val="TableBodyText"/>
              <w:keepNext w:val="0"/>
              <w:jc w:val="left"/>
              <w:rPr>
                <w:b/>
                <w:szCs w:val="22"/>
              </w:rPr>
            </w:pPr>
            <w:r w:rsidRPr="00A05229">
              <w:rPr>
                <w:b/>
                <w:szCs w:val="22"/>
              </w:rPr>
              <w:t>Acc</w:t>
            </w:r>
            <w:r w:rsidR="005E6DBD">
              <w:rPr>
                <w:b/>
                <w:szCs w:val="22"/>
              </w:rPr>
              <w:t>essibility</w:t>
            </w:r>
          </w:p>
        </w:tc>
        <w:tc>
          <w:tcPr>
            <w:tcW w:w="6840" w:type="dxa"/>
            <w:gridSpan w:val="2"/>
          </w:tcPr>
          <w:p w:rsidR="00B1303B" w:rsidRPr="00A05229" w:rsidRDefault="00137460" w:rsidP="00137460">
            <w:r w:rsidRPr="00137460">
              <w:rPr>
                <w:rFonts w:ascii="Arial" w:hAnsi="Arial"/>
                <w:sz w:val="20"/>
                <w:szCs w:val="20"/>
              </w:rPr>
              <w:t>The Attorney</w:t>
            </w:r>
            <w:r w:rsidR="00850966">
              <w:rPr>
                <w:rFonts w:ascii="Arial" w:hAnsi="Arial"/>
                <w:sz w:val="20"/>
                <w:szCs w:val="20"/>
              </w:rPr>
              <w:noBreakHyphen/>
            </w:r>
            <w:r w:rsidRPr="00137460">
              <w:rPr>
                <w:rFonts w:ascii="Arial" w:hAnsi="Arial"/>
                <w:sz w:val="20"/>
                <w:szCs w:val="20"/>
              </w:rPr>
              <w:t>General</w:t>
            </w:r>
            <w:r w:rsidR="00850966">
              <w:rPr>
                <w:rFonts w:ascii="Arial" w:hAnsi="Arial"/>
                <w:sz w:val="20"/>
                <w:szCs w:val="20"/>
              </w:rPr>
              <w:t>’</w:t>
            </w:r>
            <w:r w:rsidRPr="00137460">
              <w:rPr>
                <w:rFonts w:ascii="Arial" w:hAnsi="Arial"/>
                <w:sz w:val="20"/>
                <w:szCs w:val="20"/>
              </w:rPr>
              <w:t>s Department aims to make information on th</w:t>
            </w:r>
            <w:r>
              <w:rPr>
                <w:rFonts w:ascii="Arial" w:hAnsi="Arial"/>
                <w:sz w:val="20"/>
                <w:szCs w:val="20"/>
              </w:rPr>
              <w:t>e Knowledge Hub</w:t>
            </w:r>
            <w:r w:rsidRPr="00137460">
              <w:rPr>
                <w:rFonts w:ascii="Arial" w:hAnsi="Arial"/>
                <w:sz w:val="20"/>
                <w:szCs w:val="20"/>
              </w:rPr>
              <w:t xml:space="preserve"> website accessible to all users.</w:t>
            </w:r>
            <w:r>
              <w:rPr>
                <w:rFonts w:ascii="Arial" w:hAnsi="Arial"/>
                <w:sz w:val="20"/>
                <w:szCs w:val="20"/>
              </w:rPr>
              <w:t xml:space="preserve"> D</w:t>
            </w:r>
            <w:r w:rsidR="00B1303B" w:rsidRPr="00137460">
              <w:rPr>
                <w:rFonts w:ascii="Arial" w:hAnsi="Arial"/>
                <w:sz w:val="20"/>
                <w:szCs w:val="20"/>
              </w:rPr>
              <w:t xml:space="preserve">ata are available in a variety of formats on the website, </w:t>
            </w:r>
            <w:proofErr w:type="spellStart"/>
            <w:r w:rsidR="00B1303B" w:rsidRPr="00137460">
              <w:rPr>
                <w:rFonts w:ascii="Arial" w:hAnsi="Arial"/>
                <w:sz w:val="20"/>
                <w:szCs w:val="20"/>
              </w:rPr>
              <w:t>www.</w:t>
            </w:r>
            <w:r>
              <w:rPr>
                <w:rFonts w:ascii="Arial" w:hAnsi="Arial"/>
                <w:sz w:val="20"/>
                <w:szCs w:val="20"/>
              </w:rPr>
              <w:t>e</w:t>
            </w:r>
            <w:r w:rsidRPr="00137460">
              <w:rPr>
                <w:rFonts w:ascii="Arial" w:hAnsi="Arial"/>
                <w:sz w:val="20"/>
                <w:szCs w:val="20"/>
              </w:rPr>
              <w:t>mknowledge.gov.au</w:t>
            </w:r>
            <w:proofErr w:type="spellEnd"/>
            <w:r w:rsidR="00B1303B" w:rsidRPr="00137460">
              <w:rPr>
                <w:rFonts w:ascii="Arial" w:hAnsi="Arial"/>
                <w:sz w:val="20"/>
                <w:szCs w:val="20"/>
              </w:rPr>
              <w:t xml:space="preserve">. </w:t>
            </w:r>
          </w:p>
        </w:tc>
      </w:tr>
      <w:tr w:rsidR="00B1303B" w:rsidRPr="00254F46" w:rsidTr="00B1303B">
        <w:trPr>
          <w:cantSplit/>
          <w:jc w:val="center"/>
        </w:trPr>
        <w:tc>
          <w:tcPr>
            <w:tcW w:w="1980" w:type="dxa"/>
          </w:tcPr>
          <w:p w:rsidR="00B1303B" w:rsidRPr="00A05229" w:rsidRDefault="00B1303B" w:rsidP="00B1303B">
            <w:pPr>
              <w:pStyle w:val="TableBodyText"/>
              <w:keepNext w:val="0"/>
              <w:jc w:val="left"/>
              <w:rPr>
                <w:b/>
                <w:szCs w:val="22"/>
              </w:rPr>
            </w:pPr>
            <w:r w:rsidRPr="00A05229">
              <w:rPr>
                <w:b/>
                <w:szCs w:val="22"/>
              </w:rPr>
              <w:lastRenderedPageBreak/>
              <w:t>Interpretability</w:t>
            </w:r>
          </w:p>
        </w:tc>
        <w:tc>
          <w:tcPr>
            <w:tcW w:w="6840" w:type="dxa"/>
            <w:gridSpan w:val="2"/>
          </w:tcPr>
          <w:p w:rsidR="005E6DBD" w:rsidRDefault="005E6DBD" w:rsidP="005E6DBD">
            <w:pPr>
              <w:pStyle w:val="TableBodyText"/>
              <w:jc w:val="left"/>
            </w:pPr>
            <w:r>
              <w:t>Insurance Statistics Australia publishes an Operations Guidebook, which documents the key collection processes, standards and classifications. The guidebook is available at:</w:t>
            </w:r>
          </w:p>
          <w:p w:rsidR="00B1303B" w:rsidRPr="00FF7981" w:rsidRDefault="005E6DBD" w:rsidP="005E6DBD">
            <w:pPr>
              <w:pStyle w:val="TableBodyText"/>
              <w:keepNext w:val="0"/>
              <w:jc w:val="left"/>
            </w:pPr>
            <w:r>
              <w:t>http://</w:t>
            </w:r>
            <w:proofErr w:type="spellStart"/>
            <w:r>
              <w:t>www.insurancestats.com.au</w:t>
            </w:r>
            <w:proofErr w:type="spellEnd"/>
            <w:r>
              <w:t>/</w:t>
            </w:r>
            <w:proofErr w:type="spellStart"/>
            <w:r>
              <w:t>objectives.html</w:t>
            </w:r>
            <w:proofErr w:type="spellEnd"/>
          </w:p>
        </w:tc>
      </w:tr>
      <w:tr w:rsidR="00B1303B" w:rsidRPr="00254F46" w:rsidTr="00B1303B">
        <w:trPr>
          <w:cantSplit/>
          <w:jc w:val="center"/>
        </w:trPr>
        <w:tc>
          <w:tcPr>
            <w:tcW w:w="8820" w:type="dxa"/>
            <w:gridSpan w:val="3"/>
          </w:tcPr>
          <w:p w:rsidR="00B1303B" w:rsidRDefault="00B1303B" w:rsidP="00B1303B">
            <w:pPr>
              <w:pStyle w:val="TableBodyText"/>
              <w:keepNext w:val="0"/>
              <w:jc w:val="both"/>
              <w:rPr>
                <w:b/>
                <w:u w:val="single"/>
              </w:rPr>
            </w:pPr>
          </w:p>
          <w:p w:rsidR="00B1303B" w:rsidRPr="00CE3D86" w:rsidRDefault="00B1303B" w:rsidP="00B1303B">
            <w:pPr>
              <w:pStyle w:val="TableBodyText"/>
              <w:keepNext w:val="0"/>
              <w:jc w:val="both"/>
            </w:pPr>
            <w:r w:rsidRPr="00C744E0">
              <w:rPr>
                <w:b/>
                <w:u w:val="single"/>
              </w:rPr>
              <w:t>Data Gaps/Issues Analysis</w:t>
            </w:r>
          </w:p>
        </w:tc>
      </w:tr>
      <w:tr w:rsidR="00B1303B" w:rsidRPr="004F3342" w:rsidTr="00B1303B">
        <w:trPr>
          <w:cantSplit/>
          <w:jc w:val="center"/>
        </w:trPr>
        <w:tc>
          <w:tcPr>
            <w:tcW w:w="1980" w:type="dxa"/>
            <w:tcBorders>
              <w:bottom w:val="single" w:sz="4" w:space="0" w:color="auto"/>
            </w:tcBorders>
          </w:tcPr>
          <w:p w:rsidR="00B1303B" w:rsidRPr="00A05229" w:rsidRDefault="00B1303B" w:rsidP="00B1303B">
            <w:pPr>
              <w:pStyle w:val="TableBodyText"/>
              <w:keepNext w:val="0"/>
              <w:jc w:val="left"/>
              <w:rPr>
                <w:b/>
                <w:szCs w:val="22"/>
              </w:rPr>
            </w:pPr>
            <w:r w:rsidRPr="00A05229">
              <w:rPr>
                <w:b/>
                <w:szCs w:val="22"/>
              </w:rPr>
              <w:t>Key data gaps/issues</w:t>
            </w:r>
          </w:p>
        </w:tc>
        <w:tc>
          <w:tcPr>
            <w:tcW w:w="6840" w:type="dxa"/>
            <w:gridSpan w:val="2"/>
            <w:tcBorders>
              <w:bottom w:val="single" w:sz="4" w:space="0" w:color="auto"/>
            </w:tcBorders>
          </w:tcPr>
          <w:p w:rsidR="00B1303B" w:rsidRPr="00CE3D86" w:rsidRDefault="00B1303B" w:rsidP="00B1303B">
            <w:pPr>
              <w:pStyle w:val="TableBodyText"/>
              <w:keepNext w:val="0"/>
              <w:jc w:val="both"/>
            </w:pPr>
            <w:r w:rsidRPr="00CE3D86">
              <w:t xml:space="preserve">The Steering Committee notes the following key data gaps/issues: </w:t>
            </w:r>
          </w:p>
          <w:p w:rsidR="00B1303B" w:rsidRPr="004F3342" w:rsidRDefault="00B1303B" w:rsidP="00BC760C">
            <w:pPr>
              <w:pStyle w:val="TableBullet"/>
              <w:keepNext w:val="0"/>
              <w:jc w:val="both"/>
            </w:pPr>
            <w:r w:rsidRPr="00CE3D86">
              <w:t xml:space="preserve">Volatility </w:t>
            </w:r>
            <w:r>
              <w:t>—</w:t>
            </w:r>
            <w:r w:rsidRPr="00CE3D86">
              <w:t xml:space="preserve"> due to the </w:t>
            </w:r>
            <w:r w:rsidR="00BC760C">
              <w:t>sporadic nature o</w:t>
            </w:r>
            <w:r w:rsidRPr="00CE3D86">
              <w:t xml:space="preserve">f </w:t>
            </w:r>
            <w:r>
              <w:t>emergency event</w:t>
            </w:r>
            <w:r w:rsidRPr="00CE3D86">
              <w:t xml:space="preserve">s, there is a high level of volatility in reported </w:t>
            </w:r>
            <w:r w:rsidR="00BC760C">
              <w:t>asset loss data</w:t>
            </w:r>
            <w:r w:rsidRPr="00CE3D86">
              <w:t>. It is important therefore to assess longer term trends where data are available.</w:t>
            </w:r>
          </w:p>
        </w:tc>
      </w:tr>
    </w:tbl>
    <w:p w:rsidR="00B1303B" w:rsidRDefault="00B1303B" w:rsidP="00B1303B">
      <w:pPr>
        <w:pStyle w:val="BodyText"/>
      </w:pPr>
    </w:p>
    <w:p w:rsidR="00B1303B" w:rsidRDefault="00B1303B" w:rsidP="00B1303B">
      <w:pPr>
        <w:pStyle w:val="BodyText"/>
      </w:pPr>
    </w:p>
    <w:p w:rsidR="00BC760C" w:rsidRDefault="00BC760C" w:rsidP="00454B67">
      <w:pPr>
        <w:pStyle w:val="BodyText"/>
        <w:rPr>
          <w:rFonts w:ascii="Arial" w:hAnsi="Arial"/>
        </w:rPr>
      </w:pPr>
      <w:r>
        <w:br w:type="page"/>
      </w:r>
    </w:p>
    <w:p w:rsidR="00804D71" w:rsidRDefault="00804D71" w:rsidP="00804D71">
      <w:pPr>
        <w:pStyle w:val="Heading3"/>
      </w:pPr>
      <w:bookmarkStart w:id="24" w:name="_Toc370727701"/>
      <w:r w:rsidRPr="00804D71">
        <w:lastRenderedPageBreak/>
        <w:t>Deaths from emergency events</w:t>
      </w:r>
      <w:bookmarkEnd w:id="24"/>
      <w:r w:rsidRPr="00804D71">
        <w:t xml:space="preserve"> </w:t>
      </w:r>
    </w:p>
    <w:p w:rsidR="00BD19D0" w:rsidRPr="00A05229" w:rsidRDefault="00BD19D0" w:rsidP="005B3753">
      <w:pPr>
        <w:pStyle w:val="Box"/>
      </w:pPr>
      <w:r w:rsidRPr="0001794F">
        <w:t>Data quality information for this indicator has been drafted by the Secretariat in consultation with the ABS, with additional Steering Committee comments.</w:t>
      </w:r>
    </w:p>
    <w:tbl>
      <w:tblPr>
        <w:tblW w:w="8820" w:type="dxa"/>
        <w:jc w:val="center"/>
        <w:tblLook w:val="01E0" w:firstRow="1" w:lastRow="1" w:firstColumn="1" w:lastColumn="1" w:noHBand="0" w:noVBand="0"/>
      </w:tblPr>
      <w:tblGrid>
        <w:gridCol w:w="1980"/>
        <w:gridCol w:w="6840"/>
      </w:tblGrid>
      <w:tr w:rsidR="00BD19D0" w:rsidRPr="001F3F80" w:rsidTr="00A05A81">
        <w:trPr>
          <w:jc w:val="center"/>
        </w:trPr>
        <w:tc>
          <w:tcPr>
            <w:tcW w:w="8820" w:type="dxa"/>
            <w:gridSpan w:val="2"/>
            <w:tcBorders>
              <w:top w:val="single" w:sz="4" w:space="0" w:color="auto"/>
              <w:bottom w:val="single" w:sz="4" w:space="0" w:color="auto"/>
            </w:tcBorders>
          </w:tcPr>
          <w:p w:rsidR="00BD19D0" w:rsidRPr="005B3753" w:rsidRDefault="00BD19D0" w:rsidP="00D166B4">
            <w:pPr>
              <w:pStyle w:val="TableBodyText"/>
              <w:keepNext w:val="0"/>
              <w:jc w:val="left"/>
              <w:rPr>
                <w:b/>
                <w:sz w:val="16"/>
                <w:szCs w:val="16"/>
                <w:u w:val="single"/>
              </w:rPr>
            </w:pPr>
          </w:p>
          <w:p w:rsidR="00BD19D0" w:rsidRPr="003211C6" w:rsidRDefault="00BD19D0" w:rsidP="00D166B4">
            <w:pPr>
              <w:pStyle w:val="TableBodyText"/>
              <w:keepNext w:val="0"/>
              <w:jc w:val="left"/>
              <w:rPr>
                <w:rFonts w:cs="Arial"/>
                <w:b/>
                <w:sz w:val="22"/>
                <w:szCs w:val="22"/>
                <w:u w:val="single"/>
              </w:rPr>
            </w:pPr>
            <w:r w:rsidRPr="003211C6">
              <w:rPr>
                <w:b/>
                <w:u w:val="single"/>
              </w:rPr>
              <w:t>Indicator definition and description</w:t>
            </w:r>
          </w:p>
        </w:tc>
      </w:tr>
      <w:tr w:rsidR="00BD19D0" w:rsidRPr="001F3F80" w:rsidTr="00A05A81">
        <w:trPr>
          <w:jc w:val="center"/>
        </w:trPr>
        <w:tc>
          <w:tcPr>
            <w:tcW w:w="1980" w:type="dxa"/>
            <w:tcBorders>
              <w:top w:val="single" w:sz="4" w:space="0" w:color="auto"/>
            </w:tcBorders>
          </w:tcPr>
          <w:p w:rsidR="00BD19D0" w:rsidRPr="00A05229" w:rsidRDefault="00BD19D0" w:rsidP="00D166B4">
            <w:pPr>
              <w:pStyle w:val="TableBodyText"/>
              <w:keepNext w:val="0"/>
              <w:jc w:val="left"/>
              <w:rPr>
                <w:b/>
              </w:rPr>
            </w:pPr>
            <w:r w:rsidRPr="00A05229">
              <w:rPr>
                <w:b/>
              </w:rPr>
              <w:t>Element</w:t>
            </w:r>
          </w:p>
        </w:tc>
        <w:tc>
          <w:tcPr>
            <w:tcW w:w="6840" w:type="dxa"/>
            <w:tcBorders>
              <w:top w:val="single" w:sz="4" w:space="0" w:color="auto"/>
            </w:tcBorders>
          </w:tcPr>
          <w:p w:rsidR="00BD19D0" w:rsidRPr="00A05229" w:rsidRDefault="00804D71" w:rsidP="00804D71">
            <w:pPr>
              <w:pStyle w:val="TableBodyText"/>
              <w:keepNext w:val="0"/>
              <w:jc w:val="both"/>
            </w:pPr>
            <w:r w:rsidRPr="00804D71">
              <w:t>Emergency management sector performance indicator framework</w:t>
            </w:r>
            <w:r w:rsidR="00BD19D0">
              <w:t xml:space="preserve"> – </w:t>
            </w:r>
            <w:r>
              <w:t>Sector wide indicators</w:t>
            </w:r>
          </w:p>
        </w:tc>
      </w:tr>
      <w:tr w:rsidR="00BD19D0" w:rsidRPr="001F3F80" w:rsidTr="00BD19D0">
        <w:trPr>
          <w:jc w:val="center"/>
        </w:trPr>
        <w:tc>
          <w:tcPr>
            <w:tcW w:w="1980" w:type="dxa"/>
          </w:tcPr>
          <w:p w:rsidR="00BD19D0" w:rsidRPr="00A05229" w:rsidRDefault="00BD19D0" w:rsidP="00D166B4">
            <w:pPr>
              <w:pStyle w:val="TableBodyText"/>
              <w:keepNext w:val="0"/>
              <w:jc w:val="left"/>
              <w:rPr>
                <w:b/>
              </w:rPr>
            </w:pPr>
            <w:r w:rsidRPr="00A05229">
              <w:rPr>
                <w:b/>
              </w:rPr>
              <w:t>Indicator</w:t>
            </w:r>
          </w:p>
        </w:tc>
        <w:tc>
          <w:tcPr>
            <w:tcW w:w="6840" w:type="dxa"/>
          </w:tcPr>
          <w:p w:rsidR="00BD19D0" w:rsidRPr="00A05229" w:rsidRDefault="00804D71" w:rsidP="00D166B4">
            <w:pPr>
              <w:pStyle w:val="TableBodyText"/>
              <w:keepNext w:val="0"/>
              <w:jc w:val="both"/>
            </w:pPr>
            <w:r w:rsidRPr="00804D71">
              <w:t>Deaths from emergency events</w:t>
            </w:r>
          </w:p>
        </w:tc>
      </w:tr>
      <w:tr w:rsidR="00BD19D0" w:rsidRPr="001F3F80" w:rsidTr="00BD19D0">
        <w:trPr>
          <w:jc w:val="center"/>
        </w:trPr>
        <w:tc>
          <w:tcPr>
            <w:tcW w:w="1980" w:type="dxa"/>
          </w:tcPr>
          <w:p w:rsidR="00BD19D0" w:rsidRPr="00A05229" w:rsidRDefault="00BD19D0" w:rsidP="00D166B4">
            <w:pPr>
              <w:pStyle w:val="TableBodyText"/>
              <w:keepNext w:val="0"/>
              <w:jc w:val="left"/>
              <w:rPr>
                <w:b/>
              </w:rPr>
            </w:pPr>
            <w:r w:rsidRPr="00A05229">
              <w:rPr>
                <w:b/>
              </w:rPr>
              <w:t>Measure (computation)</w:t>
            </w:r>
          </w:p>
        </w:tc>
        <w:tc>
          <w:tcPr>
            <w:tcW w:w="6840" w:type="dxa"/>
          </w:tcPr>
          <w:p w:rsidR="00804D71" w:rsidRDefault="00804D71" w:rsidP="00804D71">
            <w:pPr>
              <w:pStyle w:val="TableBodyText"/>
              <w:jc w:val="both"/>
            </w:pPr>
            <w:r>
              <w:t>Deaths from emergency events’ is defined as the number of deaths per calendar year in three categories:</w:t>
            </w:r>
          </w:p>
          <w:p w:rsidR="00804D71" w:rsidRDefault="002F3732" w:rsidP="00804D71">
            <w:pPr>
              <w:pStyle w:val="TableBullet"/>
            </w:pPr>
            <w:r w:rsidRPr="002F3732">
              <w:rPr>
                <w:i/>
              </w:rPr>
              <w:t xml:space="preserve">Road </w:t>
            </w:r>
            <w:r w:rsidR="00804D71" w:rsidRPr="002F3732">
              <w:rPr>
                <w:i/>
              </w:rPr>
              <w:t>traffic deaths</w:t>
            </w:r>
            <w:r w:rsidR="00804D71">
              <w:t xml:space="preserve"> — deaths primarily caused by accidents involving transport vehicles (mainly cars)</w:t>
            </w:r>
          </w:p>
          <w:p w:rsidR="00804D71" w:rsidRDefault="002F3732" w:rsidP="00804D71">
            <w:pPr>
              <w:pStyle w:val="TableBullet"/>
            </w:pPr>
            <w:r w:rsidRPr="002F3732">
              <w:rPr>
                <w:i/>
              </w:rPr>
              <w:t xml:space="preserve">Fire </w:t>
            </w:r>
            <w:r w:rsidR="00804D71" w:rsidRPr="002F3732">
              <w:rPr>
                <w:i/>
              </w:rPr>
              <w:t xml:space="preserve">deaths </w:t>
            </w:r>
            <w:r w:rsidR="00804D71">
              <w:t>— deaths primarily caused by exposure to smoke, fire or flames</w:t>
            </w:r>
          </w:p>
          <w:p w:rsidR="00BD19D0" w:rsidRPr="00A05229" w:rsidRDefault="002F3732" w:rsidP="00804D71">
            <w:pPr>
              <w:pStyle w:val="TableBullet"/>
            </w:pPr>
            <w:r w:rsidRPr="002F3732">
              <w:rPr>
                <w:i/>
              </w:rPr>
              <w:t>Deaths from exposure to forces of nature</w:t>
            </w:r>
            <w:r>
              <w:t xml:space="preserve"> </w:t>
            </w:r>
            <w:r w:rsidR="00804D71">
              <w:t xml:space="preserve">— </w:t>
            </w:r>
            <w:r>
              <w:t>deaths primarily caused by exposure to forces of nature, such as natural disasters, or extreme climatic or weather conditions.</w:t>
            </w:r>
          </w:p>
          <w:p w:rsidR="00BD19D0" w:rsidRPr="00A05229" w:rsidRDefault="00BD19D0" w:rsidP="00D166B4">
            <w:pPr>
              <w:pStyle w:val="TableBodyText"/>
              <w:keepNext w:val="0"/>
              <w:jc w:val="both"/>
              <w:rPr>
                <w:u w:val="single"/>
              </w:rPr>
            </w:pPr>
            <w:r w:rsidRPr="00A05229">
              <w:rPr>
                <w:u w:val="single"/>
              </w:rPr>
              <w:t>Numerator/s</w:t>
            </w:r>
          </w:p>
          <w:p w:rsidR="00BD19D0" w:rsidRPr="00A05229" w:rsidRDefault="00BD19D0" w:rsidP="00D166B4">
            <w:pPr>
              <w:pStyle w:val="TableBodyText"/>
              <w:keepNext w:val="0"/>
              <w:jc w:val="both"/>
            </w:pPr>
            <w:r w:rsidRPr="00A05229">
              <w:t>The following International Classification of Diseases (ICD) codes are aggregated to define the data set:</w:t>
            </w:r>
          </w:p>
          <w:p w:rsidR="00804D71" w:rsidRDefault="002F3732" w:rsidP="002F3732">
            <w:pPr>
              <w:pStyle w:val="TableBullet"/>
            </w:pPr>
            <w:r w:rsidRPr="002F3732">
              <w:rPr>
                <w:i/>
              </w:rPr>
              <w:t xml:space="preserve">Road traffic deaths </w:t>
            </w:r>
            <w:r>
              <w:t xml:space="preserve">— </w:t>
            </w:r>
            <w:r w:rsidRPr="002F3732">
              <w:t xml:space="preserve">include ICD codes Road traffic accidents </w:t>
            </w:r>
            <w:r>
              <w:br/>
            </w:r>
            <w:r w:rsidRPr="002F3732">
              <w:t>(V01</w:t>
            </w:r>
            <w:r>
              <w:t>–</w:t>
            </w:r>
            <w:r w:rsidRPr="002F3732">
              <w:t>V79), Intentional self</w:t>
            </w:r>
            <w:r w:rsidR="00850966">
              <w:noBreakHyphen/>
            </w:r>
            <w:r w:rsidRPr="002F3732">
              <w:t>harm by crashing of motor vehicle (</w:t>
            </w:r>
            <w:proofErr w:type="spellStart"/>
            <w:r w:rsidRPr="002F3732">
              <w:t>X82</w:t>
            </w:r>
            <w:proofErr w:type="spellEnd"/>
            <w:r w:rsidRPr="002F3732">
              <w:t>), Assault by crashing of motor vehicle (</w:t>
            </w:r>
            <w:proofErr w:type="spellStart"/>
            <w:r w:rsidRPr="002F3732">
              <w:t>Y03</w:t>
            </w:r>
            <w:proofErr w:type="spellEnd"/>
            <w:r w:rsidRPr="002F3732">
              <w:t>), and Crashing of motor vehicle, undetermined intent (</w:t>
            </w:r>
            <w:proofErr w:type="spellStart"/>
            <w:r w:rsidRPr="002F3732">
              <w:t>Y32</w:t>
            </w:r>
            <w:proofErr w:type="spellEnd"/>
            <w:r w:rsidRPr="002F3732">
              <w:t>).</w:t>
            </w:r>
          </w:p>
          <w:p w:rsidR="002F3732" w:rsidRDefault="002F3732" w:rsidP="002F3732">
            <w:pPr>
              <w:pStyle w:val="TableBullet"/>
            </w:pPr>
            <w:r w:rsidRPr="002F3732">
              <w:rPr>
                <w:i/>
              </w:rPr>
              <w:t>Fire deaths</w:t>
            </w:r>
            <w:r>
              <w:t xml:space="preserve"> — </w:t>
            </w:r>
            <w:r w:rsidRPr="002F3732">
              <w:t>include ICD codes Exposure to smoke, fire and flames (</w:t>
            </w:r>
            <w:proofErr w:type="spellStart"/>
            <w:r w:rsidRPr="002F3732">
              <w:t>X00</w:t>
            </w:r>
            <w:proofErr w:type="spellEnd"/>
            <w:r>
              <w:t>–</w:t>
            </w:r>
            <w:proofErr w:type="spellStart"/>
            <w:r w:rsidRPr="002F3732">
              <w:t>X09</w:t>
            </w:r>
            <w:proofErr w:type="spellEnd"/>
            <w:r w:rsidRPr="002F3732">
              <w:t>), Intentional self</w:t>
            </w:r>
            <w:r w:rsidR="00850966">
              <w:noBreakHyphen/>
            </w:r>
            <w:r w:rsidRPr="002F3732">
              <w:t>harm by smoke, fire and flames (</w:t>
            </w:r>
            <w:proofErr w:type="spellStart"/>
            <w:r w:rsidRPr="002F3732">
              <w:t>X76</w:t>
            </w:r>
            <w:proofErr w:type="spellEnd"/>
            <w:r w:rsidRPr="002F3732">
              <w:t>), Assault by smoke, fire and flames (</w:t>
            </w:r>
            <w:proofErr w:type="spellStart"/>
            <w:r w:rsidRPr="002F3732">
              <w:t>X97</w:t>
            </w:r>
            <w:proofErr w:type="spellEnd"/>
            <w:r w:rsidRPr="002F3732">
              <w:t>), and Exposure to smoke, fire and flames, undetermined intent (</w:t>
            </w:r>
            <w:proofErr w:type="spellStart"/>
            <w:r w:rsidRPr="002F3732">
              <w:t>Y26</w:t>
            </w:r>
            <w:proofErr w:type="spellEnd"/>
            <w:r w:rsidRPr="002F3732">
              <w:t>).</w:t>
            </w:r>
          </w:p>
          <w:p w:rsidR="002F3732" w:rsidRDefault="002F3732" w:rsidP="002F3732">
            <w:pPr>
              <w:pStyle w:val="TableBullet"/>
            </w:pPr>
            <w:r w:rsidRPr="002F3732">
              <w:rPr>
                <w:i/>
              </w:rPr>
              <w:t>Deaths from exposure to forces of nature</w:t>
            </w:r>
            <w:r>
              <w:t xml:space="preserve"> — i</w:t>
            </w:r>
            <w:r w:rsidRPr="002F3732">
              <w:t>ncludes ICD codes Exposure to excessive natural heat (</w:t>
            </w:r>
            <w:proofErr w:type="spellStart"/>
            <w:r w:rsidRPr="002F3732">
              <w:t>X30</w:t>
            </w:r>
            <w:proofErr w:type="spellEnd"/>
            <w:r w:rsidRPr="002F3732">
              <w:t>), Exposure to excessive natural cold (</w:t>
            </w:r>
            <w:proofErr w:type="spellStart"/>
            <w:r w:rsidRPr="002F3732">
              <w:t>X31</w:t>
            </w:r>
            <w:proofErr w:type="spellEnd"/>
            <w:r w:rsidRPr="002F3732">
              <w:t>), Exposure to sunlight (</w:t>
            </w:r>
            <w:proofErr w:type="spellStart"/>
            <w:r w:rsidRPr="002F3732">
              <w:t>X32</w:t>
            </w:r>
            <w:proofErr w:type="spellEnd"/>
            <w:r w:rsidRPr="002F3732">
              <w:t>), Victim of lightning (</w:t>
            </w:r>
            <w:proofErr w:type="spellStart"/>
            <w:r w:rsidRPr="002F3732">
              <w:t>X33</w:t>
            </w:r>
            <w:proofErr w:type="spellEnd"/>
            <w:r w:rsidRPr="002F3732">
              <w:t>), Victim of earthquake (</w:t>
            </w:r>
            <w:proofErr w:type="spellStart"/>
            <w:r w:rsidRPr="002F3732">
              <w:t>X34</w:t>
            </w:r>
            <w:proofErr w:type="spellEnd"/>
            <w:r w:rsidRPr="002F3732">
              <w:t>), Victim of volcanic eruption (</w:t>
            </w:r>
            <w:proofErr w:type="spellStart"/>
            <w:r w:rsidRPr="002F3732">
              <w:t>X35</w:t>
            </w:r>
            <w:proofErr w:type="spellEnd"/>
            <w:r w:rsidRPr="002F3732">
              <w:t>), Victim of avalanche, landslide and other earth movements (</w:t>
            </w:r>
            <w:proofErr w:type="spellStart"/>
            <w:r w:rsidRPr="002F3732">
              <w:t>X36</w:t>
            </w:r>
            <w:proofErr w:type="spellEnd"/>
            <w:r w:rsidRPr="002F3732">
              <w:t>), Victim of cataclysmic storm (</w:t>
            </w:r>
            <w:proofErr w:type="spellStart"/>
            <w:r w:rsidRPr="002F3732">
              <w:t>X37</w:t>
            </w:r>
            <w:proofErr w:type="spellEnd"/>
            <w:r w:rsidRPr="002F3732">
              <w:t>), Victim of flood (</w:t>
            </w:r>
            <w:proofErr w:type="spellStart"/>
            <w:r w:rsidRPr="002F3732">
              <w:t>X38</w:t>
            </w:r>
            <w:proofErr w:type="spellEnd"/>
            <w:r w:rsidRPr="002F3732">
              <w:t>), and Exposure to other and unspecified forces of nature (</w:t>
            </w:r>
            <w:proofErr w:type="spellStart"/>
            <w:r w:rsidRPr="002F3732">
              <w:t>X39</w:t>
            </w:r>
            <w:proofErr w:type="spellEnd"/>
            <w:r w:rsidRPr="002F3732">
              <w:t>).</w:t>
            </w:r>
          </w:p>
          <w:p w:rsidR="00BD19D0" w:rsidRPr="00A05229" w:rsidRDefault="00BD19D0" w:rsidP="00D166B4">
            <w:pPr>
              <w:pStyle w:val="TableBodyText"/>
              <w:keepNext w:val="0"/>
              <w:jc w:val="both"/>
            </w:pPr>
            <w:r w:rsidRPr="00A05229">
              <w:rPr>
                <w:u w:val="single"/>
              </w:rPr>
              <w:t>Denominator</w:t>
            </w:r>
          </w:p>
          <w:p w:rsidR="00BD19D0" w:rsidRDefault="00BD19D0" w:rsidP="00D166B4">
            <w:pPr>
              <w:pStyle w:val="TableBodyText"/>
              <w:keepNext w:val="0"/>
              <w:jc w:val="both"/>
            </w:pPr>
            <w:r w:rsidRPr="00A05229">
              <w:t xml:space="preserve">Population by State and Territory and Australian total </w:t>
            </w:r>
          </w:p>
          <w:p w:rsidR="00BD19D0" w:rsidRPr="00A05229" w:rsidRDefault="00BD19D0" w:rsidP="00D166B4">
            <w:pPr>
              <w:pStyle w:val="TableBodyText"/>
              <w:keepNext w:val="0"/>
              <w:jc w:val="both"/>
            </w:pPr>
            <w:r>
              <w:t xml:space="preserve">The measure </w:t>
            </w:r>
            <w:r w:rsidRPr="00A05229">
              <w:t>is expressed by State and Territory and Australian total, by ICD code detail and total, as an annual, and a three year rolling weighted average rate per million people.</w:t>
            </w:r>
          </w:p>
        </w:tc>
      </w:tr>
      <w:tr w:rsidR="00BD19D0" w:rsidRPr="001F3F80" w:rsidTr="00BD19D0">
        <w:trPr>
          <w:jc w:val="center"/>
        </w:trPr>
        <w:tc>
          <w:tcPr>
            <w:tcW w:w="1980" w:type="dxa"/>
          </w:tcPr>
          <w:p w:rsidR="00BD19D0" w:rsidRPr="00A05229" w:rsidRDefault="00BD19D0" w:rsidP="00D166B4">
            <w:pPr>
              <w:pStyle w:val="TableBodyText"/>
              <w:keepNext w:val="0"/>
              <w:jc w:val="left"/>
              <w:rPr>
                <w:b/>
              </w:rPr>
            </w:pPr>
            <w:r w:rsidRPr="00A05229">
              <w:rPr>
                <w:b/>
              </w:rPr>
              <w:t>Data source/s</w:t>
            </w:r>
          </w:p>
        </w:tc>
        <w:tc>
          <w:tcPr>
            <w:tcW w:w="6840" w:type="dxa"/>
          </w:tcPr>
          <w:p w:rsidR="00BD19D0" w:rsidRPr="00A05229" w:rsidRDefault="00BD19D0" w:rsidP="00D166B4">
            <w:pPr>
              <w:pStyle w:val="TableBodyText"/>
              <w:keepNext w:val="0"/>
              <w:jc w:val="both"/>
            </w:pPr>
            <w:r w:rsidRPr="00A05229">
              <w:rPr>
                <w:u w:val="single"/>
              </w:rPr>
              <w:t>Numerator</w:t>
            </w:r>
            <w:r w:rsidRPr="00A05229">
              <w:t xml:space="preserve"> </w:t>
            </w:r>
          </w:p>
          <w:p w:rsidR="00BD19D0" w:rsidRPr="00A05229" w:rsidRDefault="00BD19D0" w:rsidP="00D166B4">
            <w:pPr>
              <w:pStyle w:val="TableBodyText"/>
              <w:keepNext w:val="0"/>
              <w:jc w:val="both"/>
            </w:pPr>
            <w:r w:rsidRPr="00A05229">
              <w:t xml:space="preserve">ABS </w:t>
            </w:r>
            <w:r w:rsidRPr="002F3732">
              <w:rPr>
                <w:i/>
              </w:rPr>
              <w:t>Causes of Death, Australia</w:t>
            </w:r>
            <w:r>
              <w:t>, Cat. no. </w:t>
            </w:r>
            <w:r w:rsidRPr="00A05229">
              <w:t>3303.0 (Underlying causes of death, State and Territory tables, published and unpublished data).</w:t>
            </w:r>
          </w:p>
          <w:p w:rsidR="00BD19D0" w:rsidRPr="00A05229" w:rsidRDefault="00BD19D0" w:rsidP="00D166B4">
            <w:pPr>
              <w:pStyle w:val="TableBodyText"/>
              <w:keepNext w:val="0"/>
              <w:jc w:val="both"/>
            </w:pPr>
            <w:r w:rsidRPr="00A05229">
              <w:rPr>
                <w:u w:val="single"/>
              </w:rPr>
              <w:t>Denominator</w:t>
            </w:r>
            <w:r w:rsidRPr="00A05229">
              <w:t xml:space="preserve"> </w:t>
            </w:r>
          </w:p>
          <w:p w:rsidR="00BD19D0" w:rsidRPr="00A05229" w:rsidRDefault="00BD19D0" w:rsidP="0039658D">
            <w:pPr>
              <w:pStyle w:val="TableBodyText"/>
              <w:keepNext w:val="0"/>
              <w:jc w:val="both"/>
            </w:pPr>
            <w:r w:rsidRPr="00A05229">
              <w:t xml:space="preserve">ABS </w:t>
            </w:r>
            <w:r w:rsidRPr="002F3732">
              <w:rPr>
                <w:i/>
              </w:rPr>
              <w:t>Estimated Residential Population</w:t>
            </w:r>
            <w:r>
              <w:t>, Cat. no.</w:t>
            </w:r>
            <w:r w:rsidR="00850966">
              <w:t xml:space="preserve"> </w:t>
            </w:r>
            <w:r w:rsidRPr="00A05229">
              <w:t xml:space="preserve">3101.0 (for more detail about the population data used in the Report see RoGS Statistical </w:t>
            </w:r>
            <w:r w:rsidR="0039658D">
              <w:t>context (chapter</w:t>
            </w:r>
            <w:r w:rsidR="00850966">
              <w:t> </w:t>
            </w:r>
            <w:r w:rsidR="0039658D">
              <w:t>2)</w:t>
            </w:r>
            <w:r>
              <w:t>).</w:t>
            </w:r>
          </w:p>
        </w:tc>
      </w:tr>
      <w:tr w:rsidR="00BD19D0" w:rsidRPr="000D7225" w:rsidTr="00BD19D0">
        <w:trPr>
          <w:cantSplit/>
          <w:jc w:val="center"/>
        </w:trPr>
        <w:tc>
          <w:tcPr>
            <w:tcW w:w="8820" w:type="dxa"/>
            <w:gridSpan w:val="2"/>
          </w:tcPr>
          <w:p w:rsidR="00BD19D0" w:rsidRDefault="00BD19D0" w:rsidP="00D166B4">
            <w:pPr>
              <w:pStyle w:val="TableBodyText"/>
              <w:keepNext w:val="0"/>
              <w:jc w:val="left"/>
              <w:rPr>
                <w:rFonts w:ascii="Times New Roman" w:hAnsi="Times New Roman"/>
                <w:sz w:val="24"/>
                <w:lang w:eastAsia="en-US"/>
              </w:rPr>
            </w:pPr>
          </w:p>
          <w:p w:rsidR="00BD19D0" w:rsidRPr="00CE3D86" w:rsidRDefault="00BD19D0" w:rsidP="00D166B4">
            <w:pPr>
              <w:pStyle w:val="TableBodyText"/>
              <w:keepNext w:val="0"/>
              <w:jc w:val="left"/>
              <w:rPr>
                <w:rFonts w:cs="Arial"/>
                <w:b/>
                <w:sz w:val="22"/>
                <w:szCs w:val="22"/>
                <w:u w:val="single"/>
              </w:rPr>
            </w:pPr>
            <w:r>
              <w:rPr>
                <w:rFonts w:ascii="Times New Roman" w:hAnsi="Times New Roman"/>
                <w:sz w:val="24"/>
                <w:lang w:eastAsia="en-US"/>
              </w:rPr>
              <w:br w:type="page"/>
            </w:r>
            <w:r>
              <w:rPr>
                <w:rFonts w:ascii="Times New Roman" w:hAnsi="Times New Roman"/>
                <w:sz w:val="24"/>
                <w:lang w:eastAsia="en-US"/>
              </w:rPr>
              <w:br w:type="page"/>
            </w:r>
            <w:r w:rsidRPr="003211C6">
              <w:rPr>
                <w:b/>
                <w:u w:val="single"/>
              </w:rPr>
              <w:t>Data Quality Framework dimensions</w:t>
            </w:r>
          </w:p>
        </w:tc>
      </w:tr>
      <w:tr w:rsidR="00BD19D0" w:rsidRPr="00254F46" w:rsidTr="00D166B4">
        <w:trPr>
          <w:jc w:val="center"/>
        </w:trPr>
        <w:tc>
          <w:tcPr>
            <w:tcW w:w="1980" w:type="dxa"/>
          </w:tcPr>
          <w:p w:rsidR="00BD19D0" w:rsidRPr="00A05229" w:rsidRDefault="00BD19D0" w:rsidP="00D166B4">
            <w:pPr>
              <w:pStyle w:val="TableBodyText"/>
              <w:keepNext w:val="0"/>
              <w:jc w:val="left"/>
              <w:rPr>
                <w:b/>
                <w:szCs w:val="22"/>
              </w:rPr>
            </w:pPr>
            <w:r w:rsidRPr="00A05229">
              <w:rPr>
                <w:b/>
                <w:szCs w:val="22"/>
              </w:rPr>
              <w:t>Institutional environment</w:t>
            </w:r>
          </w:p>
        </w:tc>
        <w:tc>
          <w:tcPr>
            <w:tcW w:w="6840" w:type="dxa"/>
          </w:tcPr>
          <w:p w:rsidR="00BD19D0" w:rsidRPr="00A05229" w:rsidRDefault="00BD19D0" w:rsidP="002235B6">
            <w:pPr>
              <w:pStyle w:val="TableBodyText"/>
              <w:keepNext w:val="0"/>
              <w:jc w:val="left"/>
            </w:pPr>
            <w:r w:rsidRPr="00A05229">
              <w:t xml:space="preserve">The Causes of Death collection is published by the Australian Bureau of Statistics (ABS), with data sourced from deaths registrations administered by the various State and Territory Registrars of Births, </w:t>
            </w:r>
            <w:r w:rsidRPr="00A05229">
              <w:lastRenderedPageBreak/>
              <w:t xml:space="preserve">Deaths and Marriages. It is a legal requirement of each State and Territory that all deaths are registered. </w:t>
            </w:r>
          </w:p>
          <w:p w:rsidR="00BD19D0" w:rsidRPr="00A05229" w:rsidRDefault="00BD19D0" w:rsidP="002235B6">
            <w:pPr>
              <w:pStyle w:val="TableBodyText"/>
              <w:keepNext w:val="0"/>
              <w:jc w:val="lef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rsidR="00850966">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ABS Institutional Environment.</w:t>
            </w:r>
          </w:p>
        </w:tc>
      </w:tr>
      <w:tr w:rsidR="00BD19D0" w:rsidRPr="00254F46" w:rsidTr="00BD19D0">
        <w:trPr>
          <w:cantSplit/>
          <w:jc w:val="center"/>
        </w:trPr>
        <w:tc>
          <w:tcPr>
            <w:tcW w:w="1980" w:type="dxa"/>
          </w:tcPr>
          <w:p w:rsidR="00BD19D0" w:rsidRPr="00A05229" w:rsidRDefault="00BD19D0" w:rsidP="00D166B4">
            <w:pPr>
              <w:pStyle w:val="TableBodyText"/>
              <w:keepNext w:val="0"/>
              <w:jc w:val="left"/>
              <w:rPr>
                <w:b/>
                <w:szCs w:val="22"/>
              </w:rPr>
            </w:pPr>
            <w:r w:rsidRPr="00A05229">
              <w:rPr>
                <w:b/>
                <w:szCs w:val="22"/>
              </w:rPr>
              <w:lastRenderedPageBreak/>
              <w:t>Relevance</w:t>
            </w:r>
          </w:p>
        </w:tc>
        <w:tc>
          <w:tcPr>
            <w:tcW w:w="6840" w:type="dxa"/>
          </w:tcPr>
          <w:p w:rsidR="00BD19D0" w:rsidRPr="00A05229" w:rsidRDefault="00BD19D0" w:rsidP="002235B6">
            <w:pPr>
              <w:pStyle w:val="TableBodyText"/>
              <w:keepNext w:val="0"/>
              <w:jc w:val="left"/>
            </w:pPr>
            <w:r w:rsidRPr="00A05229">
              <w:t xml:space="preserve">The ABS Causes of Death collection includes all deaths that occurred and were registered in </w:t>
            </w:r>
            <w:smartTag w:uri="urn:schemas-microsoft-com:office:smarttags" w:element="place">
              <w:smartTag w:uri="urn:schemas-microsoft-com:office:smarttags" w:element="country-region">
                <w:r w:rsidRPr="00A05229">
                  <w:t>Australia</w:t>
                </w:r>
              </w:smartTag>
            </w:smartTag>
            <w:r w:rsidRPr="00A05229">
              <w:t xml:space="preserve">, including deaths of persons whose usual residence is overseas. Deaths of Australian residents that occurred outside </w:t>
            </w:r>
            <w:smartTag w:uri="urn:schemas-microsoft-com:office:smarttags" w:element="place">
              <w:smartTag w:uri="urn:schemas-microsoft-com:office:smarttags" w:element="country-region">
                <w:r w:rsidRPr="00A05229">
                  <w:t>Australia</w:t>
                </w:r>
              </w:smartTag>
            </w:smartTag>
            <w:r w:rsidRPr="00A05229">
              <w:t xml:space="preserve"> may be registered by individual Registrars, but are not included in ABS deaths or causes of death statistics. </w:t>
            </w:r>
          </w:p>
          <w:p w:rsidR="00BD19D0" w:rsidRPr="00A05229" w:rsidRDefault="00BD19D0" w:rsidP="002235B6">
            <w:pPr>
              <w:pStyle w:val="TableBodyText"/>
              <w:keepNext w:val="0"/>
              <w:jc w:val="left"/>
            </w:pPr>
            <w:r w:rsidRPr="00A05229">
              <w:t>Data in the Causes of Death collection include demographic items, as well as Causes of Death information coded according to the International Classification of Diseases (ICD). The ICD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w:t>
            </w:r>
            <w:r>
              <w:t>D</w:t>
            </w:r>
            <w:r w:rsidR="00850966">
              <w:noBreakHyphen/>
            </w:r>
            <w:r>
              <w:t>10) has been used since 1997.</w:t>
            </w:r>
          </w:p>
        </w:tc>
      </w:tr>
      <w:tr w:rsidR="00BD19D0" w:rsidRPr="00254F46" w:rsidTr="00BD19D0">
        <w:trPr>
          <w:cantSplit/>
          <w:jc w:val="center"/>
        </w:trPr>
        <w:tc>
          <w:tcPr>
            <w:tcW w:w="1980" w:type="dxa"/>
          </w:tcPr>
          <w:p w:rsidR="00BD19D0" w:rsidRPr="00A05229" w:rsidRDefault="00BD19D0" w:rsidP="00D166B4">
            <w:pPr>
              <w:pStyle w:val="TableBodyText"/>
              <w:keepNext w:val="0"/>
              <w:jc w:val="left"/>
              <w:rPr>
                <w:b/>
                <w:szCs w:val="22"/>
              </w:rPr>
            </w:pPr>
            <w:r w:rsidRPr="00A05229">
              <w:rPr>
                <w:b/>
                <w:szCs w:val="22"/>
              </w:rPr>
              <w:t>Timeliness</w:t>
            </w:r>
          </w:p>
        </w:tc>
        <w:tc>
          <w:tcPr>
            <w:tcW w:w="6840" w:type="dxa"/>
          </w:tcPr>
          <w:p w:rsidR="00BD19D0" w:rsidRPr="00A05229" w:rsidRDefault="00BD19D0" w:rsidP="002235B6">
            <w:pPr>
              <w:pStyle w:val="TableBodyText"/>
              <w:keepNext w:val="0"/>
              <w:jc w:val="left"/>
            </w:pPr>
            <w:r w:rsidRPr="00A05229">
              <w:t xml:space="preserve">Causes of Death data are published on an annual basis. </w:t>
            </w:r>
          </w:p>
          <w:p w:rsidR="00BD19D0" w:rsidRPr="00A05229" w:rsidRDefault="00BD19D0" w:rsidP="002235B6">
            <w:pPr>
              <w:pStyle w:val="TableBodyText"/>
              <w:keepNext w:val="0"/>
              <w:jc w:val="left"/>
            </w:pPr>
            <w:r w:rsidRPr="00A05229">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w:t>
            </w:r>
            <w:r w:rsidR="00850966">
              <w:t xml:space="preserve"> </w:t>
            </w:r>
            <w:r w:rsidRPr="00A05229">
              <w:t xml:space="preserve">of a death. As a result, a small number of deaths occurring in one year are not registered until the following year or later. </w:t>
            </w:r>
          </w:p>
          <w:p w:rsidR="00BD19D0" w:rsidRPr="00A05229" w:rsidRDefault="00BD19D0" w:rsidP="002235B6">
            <w:pPr>
              <w:pStyle w:val="TableBodyText"/>
              <w:keepNext w:val="0"/>
              <w:jc w:val="left"/>
            </w:pPr>
            <w:r w:rsidRPr="00A05229">
              <w:t xml:space="preserve">Preliminary </w:t>
            </w:r>
            <w:r w:rsidRPr="00DE399F">
              <w:t xml:space="preserve">Estimated Residential Population </w:t>
            </w:r>
            <w:r>
              <w:t>(</w:t>
            </w:r>
            <w:r w:rsidRPr="00A05229">
              <w:t>ERP</w:t>
            </w:r>
            <w:r>
              <w:t>)</w:t>
            </w:r>
            <w:r w:rsidRPr="00A05229">
              <w:t xml:space="preserve"> data </w:t>
            </w:r>
            <w:r>
              <w:t>are</w:t>
            </w:r>
            <w:r w:rsidRPr="00A05229">
              <w:t xml:space="preserve"> compiled and published quarterly and </w:t>
            </w:r>
            <w:r>
              <w:t>are</w:t>
            </w:r>
            <w:r w:rsidRPr="00A05229">
              <w:t xml:space="preserve"> generally made available five to six months after the end of each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are compiled on a date of occurrence basis. In the case of net overseas migration, final data are based on actual traveller behaviour. Final estimates are made available every 5 years after a census and revisions are made to the previous inter</w:t>
            </w:r>
            <w:r w:rsidR="00850966">
              <w:noBreakHyphen/>
            </w:r>
            <w:proofErr w:type="spellStart"/>
            <w:r w:rsidRPr="00A05229">
              <w:t>censal</w:t>
            </w:r>
            <w:proofErr w:type="spellEnd"/>
            <w:r w:rsidRPr="00A05229">
              <w:t xml:space="preserve"> period. ERP data are not changed once finalised. Releasing preliminary, revised and final ERP involves a balance between timeliness and accuracy.</w:t>
            </w:r>
          </w:p>
        </w:tc>
      </w:tr>
      <w:tr w:rsidR="00BD19D0" w:rsidRPr="00254F46" w:rsidTr="00BD19D0">
        <w:trPr>
          <w:jc w:val="center"/>
        </w:trPr>
        <w:tc>
          <w:tcPr>
            <w:tcW w:w="1980" w:type="dxa"/>
          </w:tcPr>
          <w:p w:rsidR="00BD19D0" w:rsidRPr="00A05229" w:rsidRDefault="00BD19D0" w:rsidP="00D166B4">
            <w:pPr>
              <w:pStyle w:val="TableBodyText"/>
              <w:keepNext w:val="0"/>
              <w:jc w:val="left"/>
              <w:rPr>
                <w:b/>
                <w:szCs w:val="22"/>
              </w:rPr>
            </w:pPr>
            <w:r w:rsidRPr="00A05229">
              <w:rPr>
                <w:b/>
                <w:szCs w:val="22"/>
              </w:rPr>
              <w:t>Accuracy</w:t>
            </w:r>
          </w:p>
        </w:tc>
        <w:tc>
          <w:tcPr>
            <w:tcW w:w="6840" w:type="dxa"/>
          </w:tcPr>
          <w:p w:rsidR="00BD19D0" w:rsidRPr="00A05229" w:rsidRDefault="00BD19D0" w:rsidP="002235B6">
            <w:pPr>
              <w:pStyle w:val="TableBodyText"/>
              <w:keepNext w:val="0"/>
              <w:jc w:val="left"/>
            </w:pPr>
            <w:r w:rsidRPr="00A05229">
              <w:t xml:space="preserve">Information on Causes of Death is obtained from a complete enumeration of deaths registered during a specified period and is not subject to sampling error. However, deaths data are subject to </w:t>
            </w:r>
            <w:r w:rsidR="009234A8" w:rsidRPr="00A05229">
              <w:t>non</w:t>
            </w:r>
            <w:r w:rsidR="00850966">
              <w:noBreakHyphen/>
            </w:r>
            <w:r w:rsidR="009234A8" w:rsidRPr="00A05229">
              <w:t>sampling</w:t>
            </w:r>
            <w:r w:rsidRPr="00A05229">
              <w:t xml:space="preserve"> error. Non</w:t>
            </w:r>
            <w:r w:rsidR="00850966">
              <w:noBreakHyphen/>
            </w:r>
            <w:r w:rsidRPr="00A05229">
              <w:t>sampling error can arise from inaccuracies in collecting, recording and processing the data. The most significant of these errors are: misreporting of data items; deficiencies in coverage; non</w:t>
            </w:r>
            <w:r w:rsidR="00850966">
              <w:noBreakHyphen/>
            </w:r>
            <w:r w:rsidRPr="00A05229">
              <w:t>response to particular questions; and processing errors. Every effort is made to minimise error by working closely with data providers, the careful design of forms, training of processing staff and efficient data processing procedures.</w:t>
            </w:r>
          </w:p>
          <w:p w:rsidR="00BD19D0" w:rsidRPr="00A05229" w:rsidRDefault="00BD19D0" w:rsidP="002235B6">
            <w:pPr>
              <w:pStyle w:val="TableBodyText"/>
              <w:keepNext w:val="0"/>
              <w:jc w:val="left"/>
            </w:pPr>
            <w:r w:rsidRPr="00A05229">
              <w:t>All ERP data sources are subject to non</w:t>
            </w:r>
            <w:r w:rsidR="00850966">
              <w:noBreakHyphen/>
            </w:r>
            <w:r w:rsidRPr="00A05229">
              <w:t>sampling error. Non</w:t>
            </w:r>
            <w:r w:rsidR="00850966">
              <w:noBreakHyphen/>
            </w:r>
            <w:r w:rsidRPr="00A05229">
              <w:t xml:space="preserve">sampling </w:t>
            </w:r>
            <w:r w:rsidRPr="00A05229">
              <w:lastRenderedPageBreak/>
              <w:t>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p w:rsidR="00BD19D0" w:rsidRPr="00A05229" w:rsidRDefault="00BD19D0" w:rsidP="002235B6">
            <w:pPr>
              <w:pStyle w:val="TableBodyText"/>
              <w:keepNext w:val="0"/>
              <w:jc w:val="left"/>
            </w:pPr>
            <w:r w:rsidRPr="00A05229">
              <w:t>All coroner certified deaths registered after 1</w:t>
            </w:r>
            <w:r w:rsidR="00850966">
              <w:t> </w:t>
            </w:r>
            <w:r w:rsidRPr="00A05229">
              <w:t xml:space="preserve">January 2007 will be subject to a revision process. See Causes of Death, 2007, </w:t>
            </w:r>
            <w:smartTag w:uri="urn:schemas-microsoft-com:office:smarttags" w:element="country-region">
              <w:smartTag w:uri="urn:schemas-microsoft-com:office:smarttags" w:element="place">
                <w:r w:rsidRPr="003A11B8">
                  <w:t>Australia</w:t>
                </w:r>
              </w:smartTag>
            </w:smartTag>
            <w:r w:rsidRPr="003A11B8">
              <w:t xml:space="preserve"> </w:t>
            </w:r>
            <w:r>
              <w:t>(Cat. no </w:t>
            </w:r>
            <w:r w:rsidRPr="00A05229">
              <w:t xml:space="preserve"> 3303.0</w:t>
            </w:r>
            <w:r>
              <w:t>)</w:t>
            </w:r>
            <w:r w:rsidRPr="00A05229">
              <w:t>.</w:t>
            </w:r>
          </w:p>
          <w:p w:rsidR="00BD19D0" w:rsidRPr="00A05229" w:rsidRDefault="00BD19D0" w:rsidP="002235B6">
            <w:pPr>
              <w:pStyle w:val="TableBodyText"/>
              <w:keepNext w:val="0"/>
              <w:jc w:val="left"/>
            </w:pPr>
            <w:r w:rsidRPr="00A05229">
              <w:t>Some rates are unreliable due to small numbers of deaths over the reference period. All rates in this indica</w:t>
            </w:r>
            <w:r>
              <w:t>tor must be used with caution.</w:t>
            </w:r>
          </w:p>
        </w:tc>
      </w:tr>
      <w:tr w:rsidR="00BD19D0" w:rsidRPr="00E57110" w:rsidTr="00BD19D0">
        <w:trPr>
          <w:cantSplit/>
          <w:jc w:val="center"/>
        </w:trPr>
        <w:tc>
          <w:tcPr>
            <w:tcW w:w="1980" w:type="dxa"/>
          </w:tcPr>
          <w:p w:rsidR="00BD19D0" w:rsidRPr="00A05229" w:rsidRDefault="00BD19D0" w:rsidP="00D166B4">
            <w:pPr>
              <w:pStyle w:val="TableBodyText"/>
              <w:keepNext w:val="0"/>
              <w:jc w:val="left"/>
              <w:rPr>
                <w:b/>
                <w:szCs w:val="22"/>
              </w:rPr>
            </w:pPr>
            <w:r w:rsidRPr="00A05229">
              <w:rPr>
                <w:b/>
                <w:szCs w:val="22"/>
              </w:rPr>
              <w:lastRenderedPageBreak/>
              <w:t>Coherence</w:t>
            </w:r>
          </w:p>
          <w:p w:rsidR="00BD19D0" w:rsidRPr="00A05229" w:rsidRDefault="00BD19D0" w:rsidP="00D166B4">
            <w:pPr>
              <w:pStyle w:val="TableBodyText"/>
              <w:keepNext w:val="0"/>
              <w:jc w:val="left"/>
              <w:rPr>
                <w:b/>
                <w:szCs w:val="22"/>
              </w:rPr>
            </w:pPr>
          </w:p>
        </w:tc>
        <w:tc>
          <w:tcPr>
            <w:tcW w:w="6840" w:type="dxa"/>
          </w:tcPr>
          <w:p w:rsidR="00BD19D0" w:rsidRDefault="00BD19D0" w:rsidP="002235B6">
            <w:pPr>
              <w:pStyle w:val="TableBodyText"/>
              <w:keepNext w:val="0"/>
              <w:jc w:val="left"/>
            </w:pPr>
            <w:r w:rsidRPr="00A05229">
              <w:t xml:space="preserve">The ABS provide source data for the numerator and </w:t>
            </w:r>
            <w:r>
              <w:t>denominator for this indicator.</w:t>
            </w:r>
          </w:p>
          <w:p w:rsidR="002F3732" w:rsidRPr="00A05229" w:rsidRDefault="002F3732" w:rsidP="00470927">
            <w:pPr>
              <w:pStyle w:val="TableBodyText"/>
              <w:keepNext w:val="0"/>
              <w:jc w:val="left"/>
            </w:pPr>
            <w:r w:rsidRPr="002F3732">
              <w:t>The number of road traffic deaths provided in</w:t>
            </w:r>
            <w:r w:rsidRPr="002F3732">
              <w:rPr>
                <w:i/>
              </w:rPr>
              <w:t xml:space="preserve"> Causes of Death</w:t>
            </w:r>
            <w:r w:rsidRPr="002F3732">
              <w:t xml:space="preserve"> (ABS Cat. no. 3303.0) is different to the number of ‘Road fatalities’ presented in </w:t>
            </w:r>
            <w:r>
              <w:t>Police services (</w:t>
            </w:r>
            <w:r w:rsidRPr="002F3732">
              <w:t>chapter</w:t>
            </w:r>
            <w:r w:rsidR="00850966">
              <w:t> </w:t>
            </w:r>
            <w:r>
              <w:t>6)</w:t>
            </w:r>
            <w:r w:rsidRPr="002F3732">
              <w:t>. The ABS source their data from death registrations recorded by the State and Territory Registrars of Births, Deaths and Marriages (where each death must be certified by either a doctor using the Medical Certificate of Cause of Death, or by a coroner). ‘Road fatalities’ in chapter</w:t>
            </w:r>
            <w:r w:rsidR="00850966">
              <w:t> </w:t>
            </w:r>
            <w:r>
              <w:t>6</w:t>
            </w:r>
            <w:r w:rsidRPr="002F3732">
              <w:t xml:space="preserve"> provides more recent data sourced by the Australian Road Deaths </w:t>
            </w:r>
            <w:r w:rsidR="00B028CA" w:rsidRPr="002F3732">
              <w:t>Databases</w:t>
            </w:r>
            <w:r w:rsidRPr="002F3732">
              <w:t xml:space="preserve"> reported by the police each month to the State and Territory road safety authorities.</w:t>
            </w:r>
          </w:p>
        </w:tc>
      </w:tr>
      <w:tr w:rsidR="00BD19D0" w:rsidRPr="00E57110" w:rsidTr="00BD19D0">
        <w:trPr>
          <w:cantSplit/>
          <w:jc w:val="center"/>
        </w:trPr>
        <w:tc>
          <w:tcPr>
            <w:tcW w:w="1980" w:type="dxa"/>
          </w:tcPr>
          <w:p w:rsidR="00BD19D0" w:rsidRPr="00A05229" w:rsidRDefault="00BD19D0" w:rsidP="00D166B4">
            <w:pPr>
              <w:pStyle w:val="TableBodyText"/>
              <w:keepNext w:val="0"/>
              <w:jc w:val="left"/>
              <w:rPr>
                <w:b/>
                <w:szCs w:val="22"/>
              </w:rPr>
            </w:pPr>
            <w:r w:rsidRPr="00A05229">
              <w:rPr>
                <w:b/>
                <w:szCs w:val="22"/>
              </w:rPr>
              <w:t>Accessibility</w:t>
            </w:r>
          </w:p>
          <w:p w:rsidR="00BD19D0" w:rsidRPr="00A05229" w:rsidRDefault="00BD19D0" w:rsidP="00D166B4">
            <w:pPr>
              <w:pStyle w:val="TableBodyText"/>
              <w:keepNext w:val="0"/>
              <w:jc w:val="left"/>
              <w:rPr>
                <w:b/>
                <w:szCs w:val="22"/>
              </w:rPr>
            </w:pPr>
          </w:p>
        </w:tc>
        <w:tc>
          <w:tcPr>
            <w:tcW w:w="6840" w:type="dxa"/>
          </w:tcPr>
          <w:p w:rsidR="00BD19D0" w:rsidRPr="00A05229" w:rsidRDefault="00BD19D0" w:rsidP="002235B6">
            <w:pPr>
              <w:pStyle w:val="TableBodyText"/>
              <w:keepNext w:val="0"/>
              <w:jc w:val="left"/>
            </w:pPr>
            <w:r w:rsidRPr="003A11B8">
              <w:t xml:space="preserve">Causes of Death data are available in a variety of formats on the ABS website, </w:t>
            </w:r>
            <w:proofErr w:type="spellStart"/>
            <w:r w:rsidRPr="003A11B8">
              <w:t>www.abs.gov.au</w:t>
            </w:r>
            <w:proofErr w:type="spellEnd"/>
            <w:r w:rsidRPr="003A11B8">
              <w:t xml:space="preserve">, under Causes of Death, </w:t>
            </w:r>
            <w:smartTag w:uri="urn:schemas-microsoft-com:office:smarttags" w:element="country-region">
              <w:smartTag w:uri="urn:schemas-microsoft-com:office:smarttags" w:element="place">
                <w:r w:rsidRPr="003A11B8">
                  <w:t>Australia</w:t>
                </w:r>
              </w:smartTag>
            </w:smartTag>
            <w:r w:rsidRPr="003A11B8">
              <w:t xml:space="preserve"> (</w:t>
            </w:r>
            <w:r>
              <w:t>Cat. no </w:t>
            </w:r>
            <w:r w:rsidRPr="003A11B8">
              <w:t>3303.0</w:t>
            </w:r>
            <w:r>
              <w:t>).</w:t>
            </w:r>
            <w:r w:rsidRPr="00A05229">
              <w:t xml:space="preserve"> </w:t>
            </w:r>
          </w:p>
          <w:p w:rsidR="00BD19D0" w:rsidRPr="00A05229" w:rsidRDefault="00BD19D0" w:rsidP="002235B6">
            <w:pPr>
              <w:pStyle w:val="TableBodyText"/>
              <w:keepNext w:val="0"/>
              <w:jc w:val="left"/>
            </w:pPr>
            <w:r w:rsidRPr="00A05229">
              <w:t xml:space="preserve">ERP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p w:rsidR="00BD19D0" w:rsidRPr="00A05229" w:rsidRDefault="00BD19D0" w:rsidP="002235B6">
            <w:pPr>
              <w:pStyle w:val="TableBodyText"/>
              <w:keepNext w:val="0"/>
              <w:jc w:val="left"/>
            </w:pPr>
            <w:r w:rsidRPr="00A05229">
              <w:t>Further information on deaths and mortality may be available on request. The ABS observes strict confidentiality protocols as required by the Census and Statistics Act (1905). This may restrict access to data at a very detailed level.</w:t>
            </w:r>
          </w:p>
        </w:tc>
      </w:tr>
      <w:tr w:rsidR="00BD19D0" w:rsidRPr="00254F46" w:rsidTr="00BD19D0">
        <w:trPr>
          <w:cantSplit/>
          <w:jc w:val="center"/>
        </w:trPr>
        <w:tc>
          <w:tcPr>
            <w:tcW w:w="1980" w:type="dxa"/>
          </w:tcPr>
          <w:p w:rsidR="00BD19D0" w:rsidRPr="00A05229" w:rsidRDefault="00BD19D0" w:rsidP="00D166B4">
            <w:pPr>
              <w:pStyle w:val="TableBodyText"/>
              <w:keepNext w:val="0"/>
              <w:jc w:val="left"/>
              <w:rPr>
                <w:b/>
                <w:szCs w:val="22"/>
              </w:rPr>
            </w:pPr>
            <w:r w:rsidRPr="00A05229">
              <w:rPr>
                <w:b/>
                <w:szCs w:val="22"/>
              </w:rPr>
              <w:t>Interpretability</w:t>
            </w:r>
          </w:p>
        </w:tc>
        <w:tc>
          <w:tcPr>
            <w:tcW w:w="6840" w:type="dxa"/>
          </w:tcPr>
          <w:p w:rsidR="00BD19D0" w:rsidRPr="00CE3D86" w:rsidRDefault="00BD19D0" w:rsidP="002235B6">
            <w:pPr>
              <w:pStyle w:val="TableBodyText"/>
              <w:keepNext w:val="0"/>
              <w:jc w:val="left"/>
            </w:pPr>
            <w:r w:rsidRPr="00CE3D86">
              <w:t>Data for this indicator are presented as crude rates, per million estimated resident population, and as three year rolling averages due to volatility of the small numbers involved.</w:t>
            </w:r>
          </w:p>
          <w:p w:rsidR="00BD19D0" w:rsidRDefault="00BD19D0" w:rsidP="002235B6">
            <w:pPr>
              <w:pStyle w:val="TableBodyText"/>
              <w:keepNext w:val="0"/>
              <w:jc w:val="left"/>
            </w:pPr>
            <w:r w:rsidRPr="003A11B8">
              <w:t xml:space="preserve">Information on how to interpret and use the </w:t>
            </w:r>
            <w:r>
              <w:t>c</w:t>
            </w:r>
            <w:r w:rsidRPr="003A11B8">
              <w:t xml:space="preserve">ause of </w:t>
            </w:r>
            <w:r>
              <w:t>d</w:t>
            </w:r>
            <w:r w:rsidRPr="003A11B8">
              <w:t xml:space="preserve">eath data is available from the Explanatory Notes in Causes of Death, </w:t>
            </w:r>
            <w:smartTag w:uri="urn:schemas-microsoft-com:office:smarttags" w:element="country-region">
              <w:smartTag w:uri="urn:schemas-microsoft-com:office:smarttags" w:element="place">
                <w:r w:rsidRPr="003A11B8">
                  <w:t>Australia</w:t>
                </w:r>
              </w:smartTag>
            </w:smartTag>
            <w:r w:rsidRPr="003A11B8">
              <w:t xml:space="preserve"> </w:t>
            </w:r>
            <w:r w:rsidRPr="00CE3D86">
              <w:t>(</w:t>
            </w:r>
            <w:r>
              <w:t>Cat. no </w:t>
            </w:r>
            <w:r w:rsidRPr="00CE3D86">
              <w:t>3303.0).</w:t>
            </w:r>
          </w:p>
          <w:p w:rsidR="00BD19D0" w:rsidRPr="00680707" w:rsidRDefault="00BD19D0" w:rsidP="002235B6">
            <w:pPr>
              <w:pStyle w:val="TableBodyText"/>
              <w:keepNext w:val="0"/>
              <w:jc w:val="left"/>
            </w:pPr>
            <w:r w:rsidRPr="00680707">
              <w:t>Small value data are randomly adjusted to avoid the release of confidential data.</w:t>
            </w:r>
          </w:p>
          <w:p w:rsidR="00BD19D0" w:rsidRDefault="00BD19D0" w:rsidP="002235B6">
            <w:pPr>
              <w:pStyle w:val="TableBodyText"/>
              <w:keepNext w:val="0"/>
              <w:jc w:val="left"/>
            </w:pPr>
            <w:r w:rsidRPr="00FF7981">
              <w:t xml:space="preserve">Causes of death statistics for states and territories have been compiled in respect of the state or territory of usual residence of the deceased, regardless of where in </w:t>
            </w:r>
            <w:smartTag w:uri="urn:schemas-microsoft-com:office:smarttags" w:element="country-region">
              <w:smartTag w:uri="urn:schemas-microsoft-com:office:smarttags" w:element="place">
                <w:r w:rsidRPr="00FF7981">
                  <w:t>Australia</w:t>
                </w:r>
              </w:smartTag>
            </w:smartTag>
            <w:r w:rsidRPr="00FF7981">
              <w:t xml:space="preserve"> the death occurred and was registered. </w:t>
            </w:r>
          </w:p>
          <w:p w:rsidR="00BD19D0" w:rsidRPr="00FF7981" w:rsidRDefault="00BD19D0" w:rsidP="002235B6">
            <w:pPr>
              <w:pStyle w:val="TableBodyText"/>
              <w:keepNext w:val="0"/>
              <w:jc w:val="left"/>
            </w:pPr>
            <w:r>
              <w:t xml:space="preserve">The </w:t>
            </w:r>
            <w:r w:rsidRPr="00DE399F">
              <w:t>ERP is Australia</w:t>
            </w:r>
            <w:r w:rsidR="00850966">
              <w:t>’</w:t>
            </w:r>
            <w:r w:rsidRPr="00DE399F">
              <w:t>s population reported by state and territory and by place of usual residence</w:t>
            </w:r>
            <w:r>
              <w:t xml:space="preserve">. </w:t>
            </w:r>
          </w:p>
        </w:tc>
      </w:tr>
      <w:tr w:rsidR="00BD19D0" w:rsidRPr="00254F46" w:rsidTr="000D25F2">
        <w:trPr>
          <w:cantSplit/>
          <w:jc w:val="center"/>
        </w:trPr>
        <w:tc>
          <w:tcPr>
            <w:tcW w:w="8820" w:type="dxa"/>
            <w:gridSpan w:val="2"/>
          </w:tcPr>
          <w:p w:rsidR="00BD19D0" w:rsidRDefault="00BD19D0" w:rsidP="00D166B4">
            <w:pPr>
              <w:pStyle w:val="TableBodyText"/>
              <w:keepNext w:val="0"/>
              <w:jc w:val="both"/>
              <w:rPr>
                <w:b/>
                <w:u w:val="single"/>
              </w:rPr>
            </w:pPr>
          </w:p>
          <w:p w:rsidR="00BD19D0" w:rsidRPr="00CE3D86" w:rsidRDefault="00BD19D0" w:rsidP="00D166B4">
            <w:pPr>
              <w:pStyle w:val="TableBodyText"/>
              <w:keepNext w:val="0"/>
              <w:jc w:val="both"/>
            </w:pPr>
            <w:r w:rsidRPr="00C744E0">
              <w:rPr>
                <w:b/>
                <w:u w:val="single"/>
              </w:rPr>
              <w:t>Data Gaps/Issues Analysis</w:t>
            </w:r>
          </w:p>
        </w:tc>
      </w:tr>
      <w:tr w:rsidR="00BD19D0" w:rsidRPr="004F3342" w:rsidTr="000D25F2">
        <w:trPr>
          <w:cantSplit/>
          <w:jc w:val="center"/>
        </w:trPr>
        <w:tc>
          <w:tcPr>
            <w:tcW w:w="1980" w:type="dxa"/>
            <w:tcBorders>
              <w:bottom w:val="single" w:sz="4" w:space="0" w:color="auto"/>
            </w:tcBorders>
          </w:tcPr>
          <w:p w:rsidR="00BD19D0" w:rsidRPr="00A05229" w:rsidRDefault="00BD19D0" w:rsidP="00D166B4">
            <w:pPr>
              <w:pStyle w:val="TableBodyText"/>
              <w:keepNext w:val="0"/>
              <w:jc w:val="left"/>
              <w:rPr>
                <w:b/>
                <w:szCs w:val="22"/>
              </w:rPr>
            </w:pPr>
            <w:r w:rsidRPr="00A05229">
              <w:rPr>
                <w:b/>
                <w:szCs w:val="22"/>
              </w:rPr>
              <w:t>Key data gaps/issues</w:t>
            </w:r>
          </w:p>
        </w:tc>
        <w:tc>
          <w:tcPr>
            <w:tcW w:w="6840" w:type="dxa"/>
            <w:tcBorders>
              <w:bottom w:val="single" w:sz="4" w:space="0" w:color="auto"/>
            </w:tcBorders>
          </w:tcPr>
          <w:p w:rsidR="00BD19D0" w:rsidRPr="00CE3D86" w:rsidRDefault="00BD19D0" w:rsidP="00D166B4">
            <w:pPr>
              <w:pStyle w:val="TableBodyText"/>
              <w:keepNext w:val="0"/>
              <w:jc w:val="both"/>
            </w:pPr>
            <w:r w:rsidRPr="00CE3D86">
              <w:t xml:space="preserve">The Steering Committee notes the following key data gaps/issues: </w:t>
            </w:r>
          </w:p>
          <w:p w:rsidR="00BD19D0" w:rsidRPr="00CE3D86" w:rsidRDefault="00BD19D0" w:rsidP="00D166B4">
            <w:pPr>
              <w:pStyle w:val="TableBullet"/>
              <w:keepNext w:val="0"/>
              <w:jc w:val="both"/>
            </w:pPr>
            <w:r w:rsidRPr="00CE3D86">
              <w:t xml:space="preserve">Timeliness </w:t>
            </w:r>
            <w:r>
              <w:t>—</w:t>
            </w:r>
            <w:r w:rsidRPr="00CE3D86">
              <w:t xml:space="preserve"> data available for the Report on Government </w:t>
            </w:r>
            <w:r>
              <w:t>S</w:t>
            </w:r>
            <w:r w:rsidRPr="00CE3D86">
              <w:t xml:space="preserve">ervices are delayed by one reference year. This is due to a </w:t>
            </w:r>
            <w:r w:rsidR="00B028CA" w:rsidRPr="00CE3D86">
              <w:t>tradeoff</w:t>
            </w:r>
            <w:r w:rsidRPr="00CE3D86">
              <w:t xml:space="preserve"> between accuracy and timeliness.</w:t>
            </w:r>
          </w:p>
          <w:p w:rsidR="00BD19D0" w:rsidRPr="004F3342" w:rsidRDefault="00BD19D0" w:rsidP="00470927">
            <w:pPr>
              <w:pStyle w:val="TableBullet"/>
              <w:keepNext w:val="0"/>
              <w:jc w:val="both"/>
            </w:pPr>
            <w:r w:rsidRPr="00CE3D86">
              <w:t xml:space="preserve">Volatility </w:t>
            </w:r>
            <w:r>
              <w:t>—</w:t>
            </w:r>
            <w:r w:rsidRPr="00CE3D86">
              <w:t xml:space="preserve"> due to the small numbers of </w:t>
            </w:r>
            <w:r w:rsidR="00470927">
              <w:t>emergency event</w:t>
            </w:r>
            <w:r w:rsidRPr="00CE3D86">
              <w:t xml:space="preserve"> deaths annually, there is a high level of volatility in reported indicator rates. It is important therefore to assess longer term trends where data are available.</w:t>
            </w:r>
          </w:p>
        </w:tc>
      </w:tr>
    </w:tbl>
    <w:p w:rsidR="00BD19D0" w:rsidRDefault="00BD19D0" w:rsidP="00F9203C">
      <w:pPr>
        <w:pStyle w:val="BoxSpaceBelow"/>
      </w:pPr>
    </w:p>
    <w:sectPr w:rsidR="00BD19D0" w:rsidSect="0089285E">
      <w:headerReference w:type="even" r:id="rId8"/>
      <w:headerReference w:type="default" r:id="rId9"/>
      <w:footerReference w:type="even" r:id="rId10"/>
      <w:footerReference w:type="default" r:id="rId1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D8C" w:rsidRDefault="00A32D8C">
      <w:r>
        <w:separator/>
      </w:r>
    </w:p>
  </w:endnote>
  <w:endnote w:type="continuationSeparator" w:id="0">
    <w:p w:rsidR="00A32D8C" w:rsidRDefault="00A3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32D8C" w:rsidTr="0019293B">
      <w:trPr>
        <w:trHeight w:hRule="exact" w:val="740"/>
      </w:trPr>
      <w:tc>
        <w:tcPr>
          <w:tcW w:w="510" w:type="dxa"/>
          <w:tcBorders>
            <w:top w:val="single" w:sz="6" w:space="0" w:color="auto"/>
          </w:tcBorders>
        </w:tcPr>
        <w:p w:rsidR="00A32D8C" w:rsidRDefault="00A32D8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F7CFA">
            <w:rPr>
              <w:rStyle w:val="PageNumber"/>
              <w:noProof/>
            </w:rPr>
            <w:t>6</w:t>
          </w:r>
          <w:r>
            <w:rPr>
              <w:rStyle w:val="PageNumber"/>
            </w:rPr>
            <w:fldChar w:fldCharType="end"/>
          </w:r>
        </w:p>
      </w:tc>
      <w:tc>
        <w:tcPr>
          <w:tcW w:w="1644" w:type="dxa"/>
          <w:tcBorders>
            <w:top w:val="single" w:sz="6" w:space="0" w:color="auto"/>
          </w:tcBorders>
        </w:tcPr>
        <w:p w:rsidR="00A32D8C" w:rsidRDefault="009F7CFA" w:rsidP="00454B67">
          <w:pPr>
            <w:pStyle w:val="Footer"/>
          </w:pPr>
          <w:sdt>
            <w:sdtPr>
              <w:alias w:val="Subject"/>
              <w:tag w:val=""/>
              <w:id w:val="1646313515"/>
              <w:placeholder>
                <w:docPart w:val="03E9C977434A4470945EEAA71FDBFB09"/>
              </w:placeholder>
              <w:dataBinding w:prefixMappings="xmlns:ns0='http://purl.org/dc/elements/1.1/' xmlns:ns1='http://schemas.openxmlformats.org/package/2006/metadata/core-properties' " w:xpath="/ns1:coreProperties[1]/ns0:subject[1]" w:storeItemID="{6C3C8BC8-F283-45AE-878A-BAB7291924A1}"/>
              <w:text/>
            </w:sdtPr>
            <w:sdtEndPr/>
            <w:sdtContent>
              <w:r w:rsidR="00A32D8C">
                <w:t>Report on Government Services 2014</w:t>
              </w:r>
            </w:sdtContent>
          </w:sdt>
        </w:p>
      </w:tc>
      <w:tc>
        <w:tcPr>
          <w:tcW w:w="6634" w:type="dxa"/>
        </w:tcPr>
        <w:p w:rsidR="00A32D8C" w:rsidRDefault="00A32D8C" w:rsidP="0019293B">
          <w:pPr>
            <w:pStyle w:val="Footer"/>
          </w:pPr>
        </w:p>
      </w:tc>
    </w:tr>
  </w:tbl>
  <w:p w:rsidR="00A32D8C" w:rsidRDefault="00A32D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32D8C">
      <w:trPr>
        <w:trHeight w:hRule="exact" w:val="740"/>
      </w:trPr>
      <w:tc>
        <w:tcPr>
          <w:tcW w:w="6634" w:type="dxa"/>
        </w:tcPr>
        <w:p w:rsidR="00A32D8C" w:rsidRDefault="00A32D8C">
          <w:pPr>
            <w:pStyle w:val="Footer"/>
            <w:ind w:right="360" w:firstLine="360"/>
          </w:pPr>
        </w:p>
      </w:tc>
      <w:tc>
        <w:tcPr>
          <w:tcW w:w="1644" w:type="dxa"/>
          <w:tcBorders>
            <w:top w:val="single" w:sz="6" w:space="0" w:color="auto"/>
          </w:tcBorders>
        </w:tcPr>
        <w:p w:rsidR="00A32D8C" w:rsidRDefault="009F7CFA" w:rsidP="00454B67">
          <w:pPr>
            <w:pStyle w:val="Footer"/>
          </w:pPr>
          <w:sdt>
            <w:sdtPr>
              <w:alias w:val="Title"/>
              <w:tag w:val=""/>
              <w:id w:val="648784908"/>
              <w:dataBinding w:prefixMappings="xmlns:ns0='http://purl.org/dc/elements/1.1/' xmlns:ns1='http://schemas.openxmlformats.org/package/2006/metadata/core-properties' " w:xpath="/ns1:coreProperties[1]/ns0:title[1]" w:storeItemID="{6C3C8BC8-F283-45AE-878A-BAB7291924A1}"/>
              <w:text/>
            </w:sdtPr>
            <w:sdtEndPr/>
            <w:sdtContent>
              <w:r w:rsidR="00A32D8C">
                <w:t>Emergency management DQI</w:t>
              </w:r>
            </w:sdtContent>
          </w:sdt>
        </w:p>
      </w:tc>
      <w:tc>
        <w:tcPr>
          <w:tcW w:w="510" w:type="dxa"/>
          <w:tcBorders>
            <w:top w:val="single" w:sz="6" w:space="0" w:color="auto"/>
          </w:tcBorders>
        </w:tcPr>
        <w:p w:rsidR="00A32D8C" w:rsidRDefault="00A32D8C">
          <w:pPr>
            <w:pStyle w:val="Footer"/>
            <w:jc w:val="right"/>
          </w:pPr>
          <w:r>
            <w:rPr>
              <w:rStyle w:val="PageNumber"/>
            </w:rPr>
            <w:fldChar w:fldCharType="begin"/>
          </w:r>
          <w:r>
            <w:rPr>
              <w:rStyle w:val="PageNumber"/>
            </w:rPr>
            <w:instrText xml:space="preserve">PAGE  </w:instrText>
          </w:r>
          <w:r>
            <w:rPr>
              <w:rStyle w:val="PageNumber"/>
            </w:rPr>
            <w:fldChar w:fldCharType="separate"/>
          </w:r>
          <w:r w:rsidR="009F7CFA">
            <w:rPr>
              <w:rStyle w:val="PageNumber"/>
              <w:noProof/>
            </w:rPr>
            <w:t>1</w:t>
          </w:r>
          <w:r>
            <w:rPr>
              <w:rStyle w:val="PageNumber"/>
            </w:rPr>
            <w:fldChar w:fldCharType="end"/>
          </w:r>
        </w:p>
      </w:tc>
    </w:tr>
  </w:tbl>
  <w:p w:rsidR="00A32D8C" w:rsidRDefault="00A32D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D8C" w:rsidRDefault="00A32D8C">
      <w:r>
        <w:separator/>
      </w:r>
    </w:p>
  </w:footnote>
  <w:footnote w:type="continuationSeparator" w:id="0">
    <w:p w:rsidR="00A32D8C" w:rsidRDefault="00A32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2D8C" w:rsidTr="00D01377">
      <w:tc>
        <w:tcPr>
          <w:tcW w:w="2155" w:type="dxa"/>
          <w:tcBorders>
            <w:top w:val="single" w:sz="24" w:space="0" w:color="auto"/>
          </w:tcBorders>
        </w:tcPr>
        <w:p w:rsidR="00A32D8C" w:rsidRDefault="00A32D8C" w:rsidP="00D01377">
          <w:pPr>
            <w:pStyle w:val="HeaderEven"/>
          </w:pPr>
        </w:p>
      </w:tc>
      <w:tc>
        <w:tcPr>
          <w:tcW w:w="6634" w:type="dxa"/>
          <w:tcBorders>
            <w:top w:val="single" w:sz="6" w:space="0" w:color="auto"/>
          </w:tcBorders>
        </w:tcPr>
        <w:p w:rsidR="00A32D8C" w:rsidRPr="00445A11" w:rsidRDefault="00A32D8C" w:rsidP="00D01377">
          <w:pPr>
            <w:pStyle w:val="HeaderEven"/>
            <w:jc w:val="right"/>
          </w:pPr>
        </w:p>
      </w:tc>
    </w:tr>
  </w:tbl>
  <w:p w:rsidR="00A32D8C" w:rsidRDefault="00A32D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2D8C" w:rsidTr="00D01377">
      <w:tc>
        <w:tcPr>
          <w:tcW w:w="6634" w:type="dxa"/>
          <w:tcBorders>
            <w:top w:val="single" w:sz="6" w:space="0" w:color="auto"/>
          </w:tcBorders>
        </w:tcPr>
        <w:p w:rsidR="00A32D8C" w:rsidRPr="00445A11" w:rsidRDefault="00A32D8C" w:rsidP="00D26F5B">
          <w:pPr>
            <w:pStyle w:val="HeaderOdd"/>
          </w:pPr>
        </w:p>
      </w:tc>
      <w:tc>
        <w:tcPr>
          <w:tcW w:w="2155" w:type="dxa"/>
          <w:tcBorders>
            <w:top w:val="single" w:sz="24" w:space="0" w:color="auto"/>
          </w:tcBorders>
        </w:tcPr>
        <w:p w:rsidR="00A32D8C" w:rsidRDefault="00A32D8C" w:rsidP="00D01377">
          <w:pPr>
            <w:pStyle w:val="HeaderOdd"/>
          </w:pPr>
        </w:p>
      </w:tc>
    </w:tr>
  </w:tbl>
  <w:p w:rsidR="00A32D8C" w:rsidRDefault="00A32D8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C3344A7"/>
    <w:multiLevelType w:val="hybridMultilevel"/>
    <w:tmpl w:val="1A64E98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4B341AC"/>
    <w:multiLevelType w:val="hybridMultilevel"/>
    <w:tmpl w:val="FE546934"/>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03A3CE9"/>
    <w:multiLevelType w:val="hybridMultilevel"/>
    <w:tmpl w:val="CB74A64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5"/>
  </w:num>
  <w:num w:numId="4">
    <w:abstractNumId w:val="7"/>
  </w:num>
  <w:num w:numId="5">
    <w:abstractNumId w:val="5"/>
  </w:num>
  <w:num w:numId="6">
    <w:abstractNumId w:val="28"/>
  </w:num>
  <w:num w:numId="7">
    <w:abstractNumId w:val="3"/>
  </w:num>
  <w:num w:numId="8">
    <w:abstractNumId w:val="9"/>
  </w:num>
  <w:num w:numId="9">
    <w:abstractNumId w:val="2"/>
  </w:num>
  <w:num w:numId="10">
    <w:abstractNumId w:val="40"/>
  </w:num>
  <w:num w:numId="11">
    <w:abstractNumId w:val="4"/>
  </w:num>
  <w:num w:numId="12">
    <w:abstractNumId w:val="1"/>
  </w:num>
  <w:num w:numId="13">
    <w:abstractNumId w:val="0"/>
  </w:num>
  <w:num w:numId="14">
    <w:abstractNumId w:val="31"/>
  </w:num>
  <w:num w:numId="15">
    <w:abstractNumId w:val="46"/>
  </w:num>
  <w:num w:numId="16">
    <w:abstractNumId w:val="19"/>
  </w:num>
  <w:num w:numId="17">
    <w:abstractNumId w:val="17"/>
  </w:num>
  <w:num w:numId="18">
    <w:abstractNumId w:val="29"/>
  </w:num>
  <w:num w:numId="19">
    <w:abstractNumId w:val="12"/>
  </w:num>
  <w:num w:numId="20">
    <w:abstractNumId w:val="37"/>
  </w:num>
  <w:num w:numId="21">
    <w:abstractNumId w:val="39"/>
  </w:num>
  <w:num w:numId="22">
    <w:abstractNumId w:val="27"/>
  </w:num>
  <w:num w:numId="23">
    <w:abstractNumId w:val="30"/>
  </w:num>
  <w:num w:numId="24">
    <w:abstractNumId w:val="32"/>
  </w:num>
  <w:num w:numId="25">
    <w:abstractNumId w:val="44"/>
  </w:num>
  <w:num w:numId="26">
    <w:abstractNumId w:val="36"/>
  </w:num>
  <w:num w:numId="27">
    <w:abstractNumId w:val="41"/>
  </w:num>
  <w:num w:numId="28">
    <w:abstractNumId w:val="42"/>
  </w:num>
  <w:num w:numId="29">
    <w:abstractNumId w:val="34"/>
  </w:num>
  <w:num w:numId="30">
    <w:abstractNumId w:val="23"/>
  </w:num>
  <w:num w:numId="31">
    <w:abstractNumId w:val="47"/>
  </w:num>
  <w:num w:numId="32">
    <w:abstractNumId w:val="16"/>
  </w:num>
  <w:num w:numId="33">
    <w:abstractNumId w:val="8"/>
  </w:num>
  <w:num w:numId="34">
    <w:abstractNumId w:val="20"/>
  </w:num>
  <w:num w:numId="35">
    <w:abstractNumId w:val="43"/>
  </w:num>
  <w:num w:numId="36">
    <w:abstractNumId w:val="35"/>
  </w:num>
  <w:num w:numId="37">
    <w:abstractNumId w:val="13"/>
  </w:num>
  <w:num w:numId="38">
    <w:abstractNumId w:val="38"/>
  </w:num>
  <w:num w:numId="39">
    <w:abstractNumId w:val="15"/>
  </w:num>
  <w:num w:numId="40">
    <w:abstractNumId w:val="19"/>
  </w:num>
  <w:num w:numId="41">
    <w:abstractNumId w:val="18"/>
  </w:num>
  <w:num w:numId="42">
    <w:abstractNumId w:val="14"/>
  </w:num>
  <w:num w:numId="43">
    <w:abstractNumId w:val="24"/>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21"/>
  </w:num>
  <w:num w:numId="49">
    <w:abstractNumId w:val="25"/>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road rescue and ambulance DQI"/>
    <w:docVar w:name="ShortReportTitle" w:val="Report on Government Services 2012"/>
  </w:docVars>
  <w:rsids>
    <w:rsidRoot w:val="00BD19D0"/>
    <w:rsid w:val="0003664B"/>
    <w:rsid w:val="0004111F"/>
    <w:rsid w:val="0007150B"/>
    <w:rsid w:val="000938F5"/>
    <w:rsid w:val="000B4B31"/>
    <w:rsid w:val="000B601B"/>
    <w:rsid w:val="000C207E"/>
    <w:rsid w:val="000D25F2"/>
    <w:rsid w:val="00110116"/>
    <w:rsid w:val="00120FFC"/>
    <w:rsid w:val="00126EB8"/>
    <w:rsid w:val="0013423E"/>
    <w:rsid w:val="001363AA"/>
    <w:rsid w:val="00137460"/>
    <w:rsid w:val="0019293B"/>
    <w:rsid w:val="001B18EA"/>
    <w:rsid w:val="001C0865"/>
    <w:rsid w:val="001C3ABA"/>
    <w:rsid w:val="001D35B6"/>
    <w:rsid w:val="001E5DE7"/>
    <w:rsid w:val="001E7BE8"/>
    <w:rsid w:val="001F0248"/>
    <w:rsid w:val="00202C2C"/>
    <w:rsid w:val="00214707"/>
    <w:rsid w:val="002235B6"/>
    <w:rsid w:val="00235F13"/>
    <w:rsid w:val="00242279"/>
    <w:rsid w:val="002523D2"/>
    <w:rsid w:val="00291B40"/>
    <w:rsid w:val="00291B8B"/>
    <w:rsid w:val="002A25F5"/>
    <w:rsid w:val="002B4008"/>
    <w:rsid w:val="002D0E8E"/>
    <w:rsid w:val="002F3732"/>
    <w:rsid w:val="002F7BF3"/>
    <w:rsid w:val="00301189"/>
    <w:rsid w:val="003011DA"/>
    <w:rsid w:val="00302CD9"/>
    <w:rsid w:val="00323E09"/>
    <w:rsid w:val="00333932"/>
    <w:rsid w:val="003518AA"/>
    <w:rsid w:val="00353182"/>
    <w:rsid w:val="003602E1"/>
    <w:rsid w:val="00371240"/>
    <w:rsid w:val="00374731"/>
    <w:rsid w:val="0039658D"/>
    <w:rsid w:val="003C38B5"/>
    <w:rsid w:val="003C5D99"/>
    <w:rsid w:val="003F0789"/>
    <w:rsid w:val="00401882"/>
    <w:rsid w:val="004100C8"/>
    <w:rsid w:val="00412ACE"/>
    <w:rsid w:val="00431249"/>
    <w:rsid w:val="00434C19"/>
    <w:rsid w:val="00436941"/>
    <w:rsid w:val="00450810"/>
    <w:rsid w:val="00454B67"/>
    <w:rsid w:val="00470927"/>
    <w:rsid w:val="00477144"/>
    <w:rsid w:val="0049459F"/>
    <w:rsid w:val="004B43AE"/>
    <w:rsid w:val="004C2370"/>
    <w:rsid w:val="004C30ED"/>
    <w:rsid w:val="005648C7"/>
    <w:rsid w:val="00583C39"/>
    <w:rsid w:val="005909CF"/>
    <w:rsid w:val="00591E71"/>
    <w:rsid w:val="005951CA"/>
    <w:rsid w:val="0059550D"/>
    <w:rsid w:val="005A595B"/>
    <w:rsid w:val="005B3753"/>
    <w:rsid w:val="005E6DBD"/>
    <w:rsid w:val="00607BF1"/>
    <w:rsid w:val="00630D4D"/>
    <w:rsid w:val="00632A74"/>
    <w:rsid w:val="00641B72"/>
    <w:rsid w:val="00653DB4"/>
    <w:rsid w:val="00684DFE"/>
    <w:rsid w:val="006A4655"/>
    <w:rsid w:val="006C7038"/>
    <w:rsid w:val="006E73EF"/>
    <w:rsid w:val="006F579F"/>
    <w:rsid w:val="00742308"/>
    <w:rsid w:val="00746A99"/>
    <w:rsid w:val="0075629A"/>
    <w:rsid w:val="007604BB"/>
    <w:rsid w:val="00790A3C"/>
    <w:rsid w:val="0079415E"/>
    <w:rsid w:val="007A21EB"/>
    <w:rsid w:val="007A36B6"/>
    <w:rsid w:val="007C27CC"/>
    <w:rsid w:val="007C36C9"/>
    <w:rsid w:val="007E01E4"/>
    <w:rsid w:val="007F7107"/>
    <w:rsid w:val="008009F1"/>
    <w:rsid w:val="00804D71"/>
    <w:rsid w:val="0081030F"/>
    <w:rsid w:val="0082087D"/>
    <w:rsid w:val="00822892"/>
    <w:rsid w:val="00843AF7"/>
    <w:rsid w:val="00850966"/>
    <w:rsid w:val="0086082C"/>
    <w:rsid w:val="00864ADC"/>
    <w:rsid w:val="00880153"/>
    <w:rsid w:val="00880F97"/>
    <w:rsid w:val="0088133A"/>
    <w:rsid w:val="0089285E"/>
    <w:rsid w:val="0089436C"/>
    <w:rsid w:val="009030BF"/>
    <w:rsid w:val="00914368"/>
    <w:rsid w:val="009234A8"/>
    <w:rsid w:val="00931076"/>
    <w:rsid w:val="00933757"/>
    <w:rsid w:val="009345D9"/>
    <w:rsid w:val="00934B15"/>
    <w:rsid w:val="00942B62"/>
    <w:rsid w:val="00956A0C"/>
    <w:rsid w:val="00956BD9"/>
    <w:rsid w:val="00962489"/>
    <w:rsid w:val="00972C7F"/>
    <w:rsid w:val="009B718A"/>
    <w:rsid w:val="009F696D"/>
    <w:rsid w:val="009F6BC6"/>
    <w:rsid w:val="009F7CFA"/>
    <w:rsid w:val="00A01B04"/>
    <w:rsid w:val="00A0532F"/>
    <w:rsid w:val="00A05A81"/>
    <w:rsid w:val="00A110E5"/>
    <w:rsid w:val="00A17328"/>
    <w:rsid w:val="00A250D0"/>
    <w:rsid w:val="00A2703A"/>
    <w:rsid w:val="00A32D8C"/>
    <w:rsid w:val="00A33DFF"/>
    <w:rsid w:val="00A35115"/>
    <w:rsid w:val="00A53449"/>
    <w:rsid w:val="00A554AB"/>
    <w:rsid w:val="00A8094C"/>
    <w:rsid w:val="00A94FA6"/>
    <w:rsid w:val="00AA6710"/>
    <w:rsid w:val="00AA7DD7"/>
    <w:rsid w:val="00AB0681"/>
    <w:rsid w:val="00B028CA"/>
    <w:rsid w:val="00B07B20"/>
    <w:rsid w:val="00B1303B"/>
    <w:rsid w:val="00B463A7"/>
    <w:rsid w:val="00B53E7E"/>
    <w:rsid w:val="00B6342E"/>
    <w:rsid w:val="00B7113F"/>
    <w:rsid w:val="00B9381D"/>
    <w:rsid w:val="00B973AD"/>
    <w:rsid w:val="00BA73B6"/>
    <w:rsid w:val="00BB4FCD"/>
    <w:rsid w:val="00BB52CD"/>
    <w:rsid w:val="00BC34AD"/>
    <w:rsid w:val="00BC760C"/>
    <w:rsid w:val="00BD13EA"/>
    <w:rsid w:val="00BD19D0"/>
    <w:rsid w:val="00BE3808"/>
    <w:rsid w:val="00C062E9"/>
    <w:rsid w:val="00C13721"/>
    <w:rsid w:val="00C543F4"/>
    <w:rsid w:val="00C6291C"/>
    <w:rsid w:val="00C633CB"/>
    <w:rsid w:val="00C8762C"/>
    <w:rsid w:val="00CA00F9"/>
    <w:rsid w:val="00CA2961"/>
    <w:rsid w:val="00CB50D7"/>
    <w:rsid w:val="00CB7177"/>
    <w:rsid w:val="00CC1998"/>
    <w:rsid w:val="00CC4946"/>
    <w:rsid w:val="00CD45C2"/>
    <w:rsid w:val="00D01377"/>
    <w:rsid w:val="00D166B4"/>
    <w:rsid w:val="00D26F5B"/>
    <w:rsid w:val="00D270A4"/>
    <w:rsid w:val="00D34E1B"/>
    <w:rsid w:val="00D54C36"/>
    <w:rsid w:val="00D63D73"/>
    <w:rsid w:val="00D66E1E"/>
    <w:rsid w:val="00D75722"/>
    <w:rsid w:val="00D77765"/>
    <w:rsid w:val="00D83A6B"/>
    <w:rsid w:val="00DB67C9"/>
    <w:rsid w:val="00DC0C95"/>
    <w:rsid w:val="00DD6580"/>
    <w:rsid w:val="00E03BBD"/>
    <w:rsid w:val="00E17C72"/>
    <w:rsid w:val="00E2696F"/>
    <w:rsid w:val="00E669E2"/>
    <w:rsid w:val="00E76135"/>
    <w:rsid w:val="00F056FC"/>
    <w:rsid w:val="00F135D8"/>
    <w:rsid w:val="00F31299"/>
    <w:rsid w:val="00F3534A"/>
    <w:rsid w:val="00F4574F"/>
    <w:rsid w:val="00F85325"/>
    <w:rsid w:val="00F9203C"/>
    <w:rsid w:val="00FA62AF"/>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F7CFA"/>
    <w:rPr>
      <w:sz w:val="26"/>
      <w:szCs w:val="24"/>
    </w:rPr>
  </w:style>
  <w:style w:type="paragraph" w:styleId="Heading1">
    <w:name w:val="heading 1"/>
    <w:basedOn w:val="BodyText"/>
    <w:next w:val="BodyText"/>
    <w:rsid w:val="009F7CFA"/>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F7CF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F7CFA"/>
    <w:pPr>
      <w:spacing w:before="560" w:line="320" w:lineRule="exact"/>
      <w:ind w:left="0" w:firstLine="0"/>
      <w:outlineLvl w:val="2"/>
    </w:pPr>
    <w:rPr>
      <w:sz w:val="26"/>
    </w:rPr>
  </w:style>
  <w:style w:type="paragraph" w:styleId="Heading4">
    <w:name w:val="heading 4"/>
    <w:basedOn w:val="Heading3"/>
    <w:next w:val="BodyText"/>
    <w:qFormat/>
    <w:rsid w:val="009F7CFA"/>
    <w:pPr>
      <w:spacing w:before="480"/>
      <w:outlineLvl w:val="3"/>
    </w:pPr>
    <w:rPr>
      <w:b w:val="0"/>
      <w:i/>
      <w:sz w:val="24"/>
    </w:rPr>
  </w:style>
  <w:style w:type="paragraph" w:styleId="Heading5">
    <w:name w:val="heading 5"/>
    <w:basedOn w:val="Heading4"/>
    <w:next w:val="BodyText"/>
    <w:qFormat/>
    <w:rsid w:val="009F7CFA"/>
    <w:pPr>
      <w:outlineLvl w:val="4"/>
    </w:pPr>
    <w:rPr>
      <w:rFonts w:ascii="Times New Roman" w:hAnsi="Times New Roman"/>
      <w:sz w:val="26"/>
    </w:rPr>
  </w:style>
  <w:style w:type="paragraph" w:styleId="Heading6">
    <w:name w:val="heading 6"/>
    <w:basedOn w:val="BodyText"/>
    <w:next w:val="BodyText"/>
    <w:rsid w:val="009F7CFA"/>
    <w:pPr>
      <w:spacing w:after="60"/>
      <w:jc w:val="left"/>
      <w:outlineLvl w:val="5"/>
    </w:pPr>
    <w:rPr>
      <w:i/>
      <w:sz w:val="22"/>
    </w:rPr>
  </w:style>
  <w:style w:type="paragraph" w:styleId="Heading7">
    <w:name w:val="heading 7"/>
    <w:basedOn w:val="BodyText"/>
    <w:next w:val="BodyText"/>
    <w:rsid w:val="009F7CFA"/>
    <w:pPr>
      <w:spacing w:after="60" w:line="240" w:lineRule="auto"/>
      <w:jc w:val="left"/>
      <w:outlineLvl w:val="6"/>
    </w:pPr>
    <w:rPr>
      <w:rFonts w:ascii="Arial" w:hAnsi="Arial"/>
      <w:sz w:val="20"/>
    </w:rPr>
  </w:style>
  <w:style w:type="paragraph" w:styleId="Heading8">
    <w:name w:val="heading 8"/>
    <w:basedOn w:val="BodyText"/>
    <w:next w:val="BodyText"/>
    <w:rsid w:val="009F7CFA"/>
    <w:pPr>
      <w:spacing w:after="60" w:line="240" w:lineRule="auto"/>
      <w:jc w:val="left"/>
      <w:outlineLvl w:val="7"/>
    </w:pPr>
    <w:rPr>
      <w:rFonts w:ascii="Arial" w:hAnsi="Arial"/>
      <w:i/>
      <w:sz w:val="20"/>
    </w:rPr>
  </w:style>
  <w:style w:type="paragraph" w:styleId="Heading9">
    <w:name w:val="heading 9"/>
    <w:basedOn w:val="BodyText"/>
    <w:next w:val="BodyText"/>
    <w:rsid w:val="009F7CF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F7C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7CFA"/>
  </w:style>
  <w:style w:type="paragraph" w:styleId="BodyText">
    <w:name w:val="Body Text"/>
    <w:link w:val="BodyTextChar"/>
    <w:qFormat/>
    <w:rsid w:val="009F7CFA"/>
    <w:pPr>
      <w:spacing w:before="240" w:line="320" w:lineRule="atLeast"/>
      <w:jc w:val="both"/>
    </w:pPr>
    <w:rPr>
      <w:sz w:val="26"/>
    </w:rPr>
  </w:style>
  <w:style w:type="paragraph" w:customStyle="1" w:styleId="Chapter">
    <w:name w:val="Chapter"/>
    <w:basedOn w:val="Heading1"/>
    <w:next w:val="BodyText"/>
    <w:semiHidden/>
    <w:rsid w:val="009F7CFA"/>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semiHidden/>
    <w:rsid w:val="009F7CFA"/>
    <w:pPr>
      <w:spacing w:before="80" w:line="200" w:lineRule="exact"/>
      <w:ind w:right="6"/>
      <w:jc w:val="left"/>
    </w:pPr>
    <w:rPr>
      <w:caps/>
      <w:spacing w:val="-4"/>
      <w:sz w:val="16"/>
    </w:rPr>
  </w:style>
  <w:style w:type="paragraph" w:customStyle="1" w:styleId="FooterEnd">
    <w:name w:val="Footer End"/>
    <w:basedOn w:val="Footer"/>
    <w:rsid w:val="009F7CFA"/>
    <w:pPr>
      <w:spacing w:before="0" w:line="20" w:lineRule="exact"/>
    </w:pPr>
  </w:style>
  <w:style w:type="paragraph" w:styleId="Header">
    <w:name w:val="header"/>
    <w:basedOn w:val="BodyText"/>
    <w:rsid w:val="009F7CF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F7CFA"/>
    <w:pPr>
      <w:spacing w:line="20" w:lineRule="exact"/>
    </w:pPr>
    <w:rPr>
      <w:sz w:val="16"/>
    </w:rPr>
  </w:style>
  <w:style w:type="paragraph" w:customStyle="1" w:styleId="HeaderEven">
    <w:name w:val="Header Even"/>
    <w:basedOn w:val="Header"/>
    <w:semiHidden/>
    <w:rsid w:val="009F7CFA"/>
  </w:style>
  <w:style w:type="paragraph" w:customStyle="1" w:styleId="HeaderOdd">
    <w:name w:val="Header Odd"/>
    <w:basedOn w:val="Header"/>
    <w:semiHidden/>
    <w:rsid w:val="009F7CFA"/>
  </w:style>
  <w:style w:type="character" w:styleId="PageNumber">
    <w:name w:val="page number"/>
    <w:basedOn w:val="DefaultParagraphFont"/>
    <w:rsid w:val="009F7CFA"/>
    <w:rPr>
      <w:rFonts w:ascii="Arial" w:hAnsi="Arial"/>
      <w:b/>
      <w:sz w:val="16"/>
    </w:rPr>
  </w:style>
  <w:style w:type="paragraph" w:customStyle="1" w:styleId="Abbreviation">
    <w:name w:val="Abbreviation"/>
    <w:basedOn w:val="BodyText"/>
    <w:rsid w:val="009F7CFA"/>
    <w:pPr>
      <w:spacing w:before="120"/>
      <w:ind w:left="2381" w:hanging="2381"/>
      <w:jc w:val="left"/>
    </w:pPr>
  </w:style>
  <w:style w:type="paragraph" w:customStyle="1" w:styleId="Box">
    <w:name w:val="Box"/>
    <w:basedOn w:val="BodyText"/>
    <w:link w:val="BoxChar"/>
    <w:qFormat/>
    <w:rsid w:val="009F7CFA"/>
    <w:pPr>
      <w:keepNext/>
      <w:spacing w:before="120" w:line="280" w:lineRule="atLeast"/>
    </w:pPr>
    <w:rPr>
      <w:rFonts w:ascii="Arial" w:hAnsi="Arial"/>
      <w:sz w:val="22"/>
    </w:rPr>
  </w:style>
  <w:style w:type="character" w:customStyle="1" w:styleId="BoxChar">
    <w:name w:val="Box Char"/>
    <w:basedOn w:val="FootnoteTextChar"/>
    <w:link w:val="Box"/>
    <w:rsid w:val="00BD19D0"/>
    <w:rPr>
      <w:rFonts w:ascii="Arial" w:hAnsi="Arial"/>
      <w:sz w:val="22"/>
    </w:rPr>
  </w:style>
  <w:style w:type="character" w:customStyle="1" w:styleId="FootnoteTextChar">
    <w:name w:val="Footnote Text Char"/>
    <w:basedOn w:val="DefaultParagraphFont"/>
    <w:link w:val="FootnoteText"/>
    <w:locked/>
    <w:rsid w:val="00BD19D0"/>
    <w:rPr>
      <w:sz w:val="22"/>
    </w:rPr>
  </w:style>
  <w:style w:type="paragraph" w:styleId="FootnoteText">
    <w:name w:val="footnote text"/>
    <w:basedOn w:val="BodyText"/>
    <w:link w:val="FootnoteTextChar"/>
    <w:rsid w:val="009F7CFA"/>
    <w:pPr>
      <w:tabs>
        <w:tab w:val="left" w:pos="284"/>
      </w:tabs>
      <w:spacing w:before="80" w:line="260" w:lineRule="exact"/>
      <w:ind w:left="284" w:hanging="284"/>
    </w:pPr>
    <w:rPr>
      <w:sz w:val="22"/>
    </w:rPr>
  </w:style>
  <w:style w:type="paragraph" w:customStyle="1" w:styleId="BoxContinued">
    <w:name w:val="Box Continued"/>
    <w:basedOn w:val="BodyText"/>
    <w:next w:val="BodyText"/>
    <w:semiHidden/>
    <w:rsid w:val="009F7CFA"/>
    <w:pPr>
      <w:spacing w:before="180" w:line="220" w:lineRule="exact"/>
      <w:jc w:val="right"/>
    </w:pPr>
    <w:rPr>
      <w:rFonts w:ascii="Arial" w:hAnsi="Arial"/>
      <w:sz w:val="18"/>
    </w:rPr>
  </w:style>
  <w:style w:type="paragraph" w:customStyle="1" w:styleId="BoxHeading1">
    <w:name w:val="Box Heading 1"/>
    <w:basedOn w:val="BodyText"/>
    <w:next w:val="Box"/>
    <w:rsid w:val="009F7CFA"/>
    <w:pPr>
      <w:keepNext/>
      <w:spacing w:before="200" w:line="280" w:lineRule="atLeast"/>
    </w:pPr>
    <w:rPr>
      <w:rFonts w:ascii="Arial" w:hAnsi="Arial"/>
      <w:b/>
      <w:sz w:val="22"/>
    </w:rPr>
  </w:style>
  <w:style w:type="paragraph" w:customStyle="1" w:styleId="BoxHeading2">
    <w:name w:val="Box Heading 2"/>
    <w:basedOn w:val="BoxHeading1"/>
    <w:next w:val="Normal"/>
    <w:rsid w:val="009F7CFA"/>
    <w:rPr>
      <w:b w:val="0"/>
      <w:i/>
    </w:rPr>
  </w:style>
  <w:style w:type="paragraph" w:customStyle="1" w:styleId="BoxListBullet">
    <w:name w:val="Box List Bullet"/>
    <w:basedOn w:val="BodyText"/>
    <w:rsid w:val="009F7CFA"/>
    <w:pPr>
      <w:keepNext/>
      <w:numPr>
        <w:numId w:val="1"/>
      </w:numPr>
      <w:spacing w:before="60" w:line="280" w:lineRule="atLeast"/>
    </w:pPr>
    <w:rPr>
      <w:rFonts w:ascii="Arial" w:hAnsi="Arial"/>
      <w:sz w:val="22"/>
    </w:rPr>
  </w:style>
  <w:style w:type="paragraph" w:customStyle="1" w:styleId="BoxListBullet2">
    <w:name w:val="Box List Bullet 2"/>
    <w:basedOn w:val="BodyText"/>
    <w:rsid w:val="009F7CFA"/>
    <w:pPr>
      <w:keepNext/>
      <w:numPr>
        <w:numId w:val="2"/>
      </w:numPr>
      <w:spacing w:before="60" w:line="280" w:lineRule="atLeast"/>
    </w:pPr>
    <w:rPr>
      <w:rFonts w:ascii="Arial" w:hAnsi="Arial"/>
      <w:sz w:val="22"/>
    </w:rPr>
  </w:style>
  <w:style w:type="paragraph" w:customStyle="1" w:styleId="BoxListNumber">
    <w:name w:val="Box List Number"/>
    <w:basedOn w:val="BodyText"/>
    <w:rsid w:val="009F7CFA"/>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9F7CFA"/>
    <w:pPr>
      <w:numPr>
        <w:ilvl w:val="1"/>
      </w:numPr>
    </w:pPr>
  </w:style>
  <w:style w:type="paragraph" w:customStyle="1" w:styleId="BoxQuote">
    <w:name w:val="Box Quote"/>
    <w:basedOn w:val="BodyText"/>
    <w:next w:val="Box"/>
    <w:rsid w:val="009F7CFA"/>
    <w:pPr>
      <w:keepNext/>
      <w:spacing w:before="60" w:line="260" w:lineRule="exact"/>
      <w:ind w:left="284"/>
    </w:pPr>
    <w:rPr>
      <w:rFonts w:ascii="Arial" w:hAnsi="Arial"/>
      <w:sz w:val="20"/>
    </w:rPr>
  </w:style>
  <w:style w:type="paragraph" w:customStyle="1" w:styleId="Note">
    <w:name w:val="Note"/>
    <w:basedOn w:val="BodyText"/>
    <w:next w:val="BodyText"/>
    <w:rsid w:val="009F7CFA"/>
    <w:pPr>
      <w:keepLines/>
      <w:spacing w:before="80" w:line="220" w:lineRule="exact"/>
    </w:pPr>
    <w:rPr>
      <w:rFonts w:ascii="Arial" w:hAnsi="Arial"/>
      <w:sz w:val="18"/>
    </w:rPr>
  </w:style>
  <w:style w:type="paragraph" w:customStyle="1" w:styleId="Source">
    <w:name w:val="Source"/>
    <w:basedOn w:val="Note"/>
    <w:next w:val="BodyText"/>
    <w:rsid w:val="009F7CFA"/>
    <w:pPr>
      <w:spacing w:after="120"/>
    </w:pPr>
  </w:style>
  <w:style w:type="paragraph" w:customStyle="1" w:styleId="BoxSource">
    <w:name w:val="Box Source"/>
    <w:basedOn w:val="Source"/>
    <w:next w:val="BodyText"/>
    <w:rsid w:val="009F7CFA"/>
    <w:pPr>
      <w:spacing w:before="180" w:after="0"/>
    </w:pPr>
  </w:style>
  <w:style w:type="paragraph" w:customStyle="1" w:styleId="BoxSpace">
    <w:name w:val="Box Space"/>
    <w:basedOn w:val="BodyText"/>
    <w:rsid w:val="009B718A"/>
    <w:pPr>
      <w:keepNext/>
      <w:spacing w:before="360" w:line="80" w:lineRule="exact"/>
      <w:jc w:val="left"/>
    </w:pPr>
  </w:style>
  <w:style w:type="paragraph" w:styleId="Caption">
    <w:name w:val="caption"/>
    <w:basedOn w:val="Normal"/>
    <w:next w:val="BodyText"/>
    <w:rsid w:val="009F7CF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CFA"/>
    <w:pPr>
      <w:spacing w:before="120" w:after="0"/>
      <w:ind w:left="1304" w:hanging="1304"/>
    </w:pPr>
    <w:rPr>
      <w:sz w:val="24"/>
    </w:rPr>
  </w:style>
  <w:style w:type="paragraph" w:customStyle="1" w:styleId="BoxSubtitle">
    <w:name w:val="Box Subtitle"/>
    <w:basedOn w:val="BoxTitle"/>
    <w:next w:val="Normal"/>
    <w:rsid w:val="009F7CFA"/>
    <w:pPr>
      <w:spacing w:after="80" w:line="200" w:lineRule="exact"/>
      <w:ind w:firstLine="0"/>
    </w:pPr>
    <w:rPr>
      <w:b w:val="0"/>
      <w:sz w:val="20"/>
    </w:rPr>
  </w:style>
  <w:style w:type="paragraph" w:customStyle="1" w:styleId="ChapterSummary">
    <w:name w:val="Chapter Summary"/>
    <w:basedOn w:val="BodyText"/>
    <w:rsid w:val="009F7CFA"/>
    <w:pPr>
      <w:ind w:left="907"/>
    </w:pPr>
    <w:rPr>
      <w:rFonts w:ascii="Arial" w:hAnsi="Arial"/>
      <w:b/>
      <w:sz w:val="22"/>
    </w:rPr>
  </w:style>
  <w:style w:type="character" w:styleId="CommentReference">
    <w:name w:val="annotation reference"/>
    <w:basedOn w:val="DefaultParagraphFont"/>
    <w:semiHidden/>
    <w:rsid w:val="009F7CFA"/>
    <w:rPr>
      <w:b/>
      <w:vanish/>
      <w:color w:val="FF00FF"/>
      <w:sz w:val="20"/>
    </w:rPr>
  </w:style>
  <w:style w:type="paragraph" w:styleId="CommentText">
    <w:name w:val="annotation text"/>
    <w:basedOn w:val="Normal"/>
    <w:semiHidden/>
    <w:rsid w:val="009F7CFA"/>
    <w:pPr>
      <w:spacing w:before="120" w:line="240" w:lineRule="atLeast"/>
      <w:ind w:left="567" w:hanging="567"/>
    </w:pPr>
    <w:rPr>
      <w:sz w:val="20"/>
    </w:rPr>
  </w:style>
  <w:style w:type="paragraph" w:customStyle="1" w:styleId="Continued">
    <w:name w:val="Continued"/>
    <w:basedOn w:val="BoxContinued"/>
    <w:next w:val="BodyText"/>
    <w:rsid w:val="009F7CFA"/>
  </w:style>
  <w:style w:type="character" w:customStyle="1" w:styleId="DocumentInfo">
    <w:name w:val="Document Info"/>
    <w:basedOn w:val="DefaultParagraphFont"/>
    <w:semiHidden/>
    <w:rsid w:val="009F7CFA"/>
    <w:rPr>
      <w:rFonts w:ascii="Arial" w:hAnsi="Arial"/>
      <w:sz w:val="14"/>
    </w:rPr>
  </w:style>
  <w:style w:type="character" w:customStyle="1" w:styleId="DraftingNote">
    <w:name w:val="Drafting Note"/>
    <w:basedOn w:val="DefaultParagraphFont"/>
    <w:rsid w:val="009F7CFA"/>
    <w:rPr>
      <w:b/>
      <w:color w:val="FF0000"/>
      <w:sz w:val="24"/>
      <w:u w:val="dotted"/>
    </w:rPr>
  </w:style>
  <w:style w:type="paragraph" w:customStyle="1" w:styleId="Figure">
    <w:name w:val="Figure"/>
    <w:basedOn w:val="BodyText"/>
    <w:rsid w:val="009F7CFA"/>
    <w:pPr>
      <w:keepNext/>
      <w:spacing w:before="120" w:after="120" w:line="240" w:lineRule="atLeast"/>
      <w:jc w:val="center"/>
    </w:pPr>
  </w:style>
  <w:style w:type="paragraph" w:customStyle="1" w:styleId="FigureTitle">
    <w:name w:val="Figure Title"/>
    <w:basedOn w:val="Caption"/>
    <w:next w:val="Subtitle"/>
    <w:rsid w:val="009F7CFA"/>
    <w:rPr>
      <w:sz w:val="24"/>
    </w:rPr>
  </w:style>
  <w:style w:type="paragraph" w:styleId="Subtitle">
    <w:name w:val="Subtitle"/>
    <w:basedOn w:val="Caption"/>
    <w:link w:val="SubtitleChar"/>
    <w:rsid w:val="009F7CFA"/>
    <w:pPr>
      <w:spacing w:before="0" w:line="200" w:lineRule="exact"/>
      <w:ind w:firstLine="0"/>
    </w:pPr>
    <w:rPr>
      <w:b w:val="0"/>
      <w:sz w:val="20"/>
    </w:rPr>
  </w:style>
  <w:style w:type="paragraph" w:customStyle="1" w:styleId="Finding">
    <w:name w:val="Finding"/>
    <w:basedOn w:val="BodyText"/>
    <w:rsid w:val="009F7CFA"/>
    <w:pPr>
      <w:keepLines/>
      <w:spacing w:before="180"/>
    </w:pPr>
    <w:rPr>
      <w:i/>
    </w:rPr>
  </w:style>
  <w:style w:type="paragraph" w:customStyle="1" w:styleId="FindingBullet">
    <w:name w:val="Finding Bullet"/>
    <w:basedOn w:val="Finding"/>
    <w:rsid w:val="009F7CFA"/>
    <w:pPr>
      <w:numPr>
        <w:numId w:val="3"/>
      </w:numPr>
      <w:spacing w:before="80"/>
    </w:pPr>
  </w:style>
  <w:style w:type="paragraph" w:customStyle="1" w:styleId="FindingNoTitle">
    <w:name w:val="Finding NoTitle"/>
    <w:basedOn w:val="Finding"/>
    <w:rsid w:val="009F7CFA"/>
    <w:pPr>
      <w:spacing w:before="240"/>
    </w:pPr>
  </w:style>
  <w:style w:type="paragraph" w:customStyle="1" w:styleId="RecTitle">
    <w:name w:val="Rec Title"/>
    <w:basedOn w:val="BodyText"/>
    <w:next w:val="Normal"/>
    <w:rsid w:val="009F7CFA"/>
    <w:pPr>
      <w:keepNext/>
      <w:keepLines/>
    </w:pPr>
    <w:rPr>
      <w:caps/>
      <w:sz w:val="20"/>
    </w:rPr>
  </w:style>
  <w:style w:type="paragraph" w:customStyle="1" w:styleId="FindingTitle">
    <w:name w:val="Finding Title"/>
    <w:basedOn w:val="RecTitle"/>
    <w:next w:val="Finding"/>
    <w:rsid w:val="009F7CFA"/>
    <w:pPr>
      <w:framePr w:wrap="notBeside" w:hAnchor="text"/>
    </w:pPr>
  </w:style>
  <w:style w:type="character" w:styleId="FootnoteReference">
    <w:name w:val="footnote reference"/>
    <w:basedOn w:val="DefaultParagraphFont"/>
    <w:semiHidden/>
    <w:rsid w:val="009F7CFA"/>
    <w:rPr>
      <w:rFonts w:ascii="Times New Roman" w:hAnsi="Times New Roman"/>
      <w:position w:val="6"/>
      <w:sz w:val="22"/>
      <w:vertAlign w:val="baseline"/>
    </w:rPr>
  </w:style>
  <w:style w:type="paragraph" w:customStyle="1" w:styleId="InformationRequest">
    <w:name w:val="Information Request"/>
    <w:basedOn w:val="Finding"/>
    <w:next w:val="BodyText"/>
    <w:rsid w:val="009F7CFA"/>
    <w:pPr>
      <w:spacing w:before="360" w:after="120"/>
    </w:pPr>
    <w:rPr>
      <w:rFonts w:ascii="Arial" w:hAnsi="Arial"/>
      <w:sz w:val="24"/>
    </w:rPr>
  </w:style>
  <w:style w:type="paragraph" w:customStyle="1" w:styleId="Jurisdictioncommentsbodytext">
    <w:name w:val="Jurisdiction comments body text"/>
    <w:rsid w:val="009F7CFA"/>
    <w:pPr>
      <w:spacing w:after="140"/>
      <w:jc w:val="both"/>
    </w:pPr>
    <w:rPr>
      <w:rFonts w:ascii="Arial" w:hAnsi="Arial"/>
      <w:sz w:val="24"/>
      <w:lang w:eastAsia="en-US"/>
    </w:rPr>
  </w:style>
  <w:style w:type="paragraph" w:customStyle="1" w:styleId="Jurisdictioncommentsheading">
    <w:name w:val="Jurisdiction comments heading"/>
    <w:rsid w:val="009F7CF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F7CFA"/>
    <w:pPr>
      <w:numPr>
        <w:numId w:val="4"/>
      </w:numPr>
      <w:spacing w:after="140"/>
      <w:jc w:val="both"/>
    </w:pPr>
    <w:rPr>
      <w:rFonts w:ascii="Arial" w:hAnsi="Arial"/>
      <w:sz w:val="24"/>
      <w:lang w:eastAsia="en-US"/>
    </w:rPr>
  </w:style>
  <w:style w:type="paragraph" w:styleId="ListBullet">
    <w:name w:val="List Bullet"/>
    <w:basedOn w:val="BodyText"/>
    <w:rsid w:val="009F7CFA"/>
    <w:pPr>
      <w:numPr>
        <w:numId w:val="6"/>
      </w:numPr>
      <w:spacing w:before="120"/>
    </w:pPr>
  </w:style>
  <w:style w:type="paragraph" w:styleId="ListBullet2">
    <w:name w:val="List Bullet 2"/>
    <w:basedOn w:val="BodyText"/>
    <w:rsid w:val="009F7CFA"/>
    <w:pPr>
      <w:numPr>
        <w:numId w:val="8"/>
      </w:numPr>
      <w:spacing w:before="120"/>
    </w:pPr>
  </w:style>
  <w:style w:type="paragraph" w:styleId="ListBullet3">
    <w:name w:val="List Bullet 3"/>
    <w:basedOn w:val="BodyText"/>
    <w:rsid w:val="009F7CFA"/>
    <w:pPr>
      <w:numPr>
        <w:numId w:val="10"/>
      </w:numPr>
      <w:spacing w:before="120"/>
    </w:pPr>
  </w:style>
  <w:style w:type="paragraph" w:styleId="ListNumber">
    <w:name w:val="List Number"/>
    <w:basedOn w:val="BodyText"/>
    <w:rsid w:val="009F7CFA"/>
    <w:pPr>
      <w:numPr>
        <w:numId w:val="32"/>
      </w:numPr>
      <w:spacing w:before="120"/>
    </w:pPr>
  </w:style>
  <w:style w:type="paragraph" w:styleId="ListNumber2">
    <w:name w:val="List Number 2"/>
    <w:basedOn w:val="ListNumber"/>
    <w:rsid w:val="009F7CFA"/>
    <w:pPr>
      <w:numPr>
        <w:ilvl w:val="1"/>
      </w:numPr>
    </w:pPr>
  </w:style>
  <w:style w:type="paragraph" w:styleId="ListNumber3">
    <w:name w:val="List Number 3"/>
    <w:basedOn w:val="ListNumber2"/>
    <w:rsid w:val="009F7CFA"/>
    <w:pPr>
      <w:numPr>
        <w:ilvl w:val="2"/>
      </w:numPr>
    </w:pPr>
  </w:style>
  <w:style w:type="character" w:customStyle="1" w:styleId="NoteLabel">
    <w:name w:val="Note Label"/>
    <w:basedOn w:val="DefaultParagraphFont"/>
    <w:rsid w:val="009F7CFA"/>
    <w:rPr>
      <w:rFonts w:ascii="Arial" w:hAnsi="Arial"/>
      <w:b/>
      <w:position w:val="6"/>
      <w:sz w:val="18"/>
    </w:rPr>
  </w:style>
  <w:style w:type="paragraph" w:customStyle="1" w:styleId="PartDivider">
    <w:name w:val="Part Divider"/>
    <w:basedOn w:val="BodyText"/>
    <w:next w:val="BodyText"/>
    <w:semiHidden/>
    <w:rsid w:val="009F7CFA"/>
    <w:pPr>
      <w:spacing w:before="0" w:line="40" w:lineRule="exact"/>
      <w:jc w:val="right"/>
    </w:pPr>
    <w:rPr>
      <w:smallCaps/>
      <w:sz w:val="16"/>
    </w:rPr>
  </w:style>
  <w:style w:type="paragraph" w:customStyle="1" w:styleId="PartNumber">
    <w:name w:val="Part Number"/>
    <w:basedOn w:val="BodyText"/>
    <w:next w:val="BodyText"/>
    <w:semiHidden/>
    <w:rsid w:val="009F7CFA"/>
    <w:pPr>
      <w:spacing w:before="4000" w:line="320" w:lineRule="exact"/>
      <w:ind w:left="6634"/>
      <w:jc w:val="right"/>
    </w:pPr>
    <w:rPr>
      <w:smallCaps/>
      <w:spacing w:val="60"/>
      <w:sz w:val="32"/>
    </w:rPr>
  </w:style>
  <w:style w:type="paragraph" w:customStyle="1" w:styleId="PartTitle">
    <w:name w:val="Part Title"/>
    <w:basedOn w:val="BodyText"/>
    <w:semiHidden/>
    <w:rsid w:val="009F7CFA"/>
    <w:pPr>
      <w:spacing w:before="160" w:after="1360" w:line="520" w:lineRule="exact"/>
      <w:ind w:right="2381"/>
      <w:jc w:val="right"/>
    </w:pPr>
    <w:rPr>
      <w:smallCaps/>
      <w:sz w:val="52"/>
    </w:rPr>
  </w:style>
  <w:style w:type="paragraph" w:styleId="Quote">
    <w:name w:val="Quote"/>
    <w:basedOn w:val="BodyText"/>
    <w:next w:val="BodyText"/>
    <w:qFormat/>
    <w:rsid w:val="009F7CFA"/>
    <w:pPr>
      <w:spacing w:before="120" w:line="280" w:lineRule="exact"/>
      <w:ind w:left="340"/>
    </w:pPr>
    <w:rPr>
      <w:sz w:val="24"/>
    </w:rPr>
  </w:style>
  <w:style w:type="paragraph" w:customStyle="1" w:styleId="QuoteBullet">
    <w:name w:val="Quote Bullet"/>
    <w:basedOn w:val="Quote"/>
    <w:rsid w:val="009F7CFA"/>
    <w:pPr>
      <w:numPr>
        <w:numId w:val="14"/>
      </w:numPr>
    </w:pPr>
  </w:style>
  <w:style w:type="paragraph" w:customStyle="1" w:styleId="Rec">
    <w:name w:val="Rec"/>
    <w:basedOn w:val="BodyText"/>
    <w:rsid w:val="009F7CFA"/>
    <w:pPr>
      <w:keepLines/>
      <w:spacing w:before="180"/>
    </w:pPr>
    <w:rPr>
      <w:b/>
      <w:i/>
    </w:rPr>
  </w:style>
  <w:style w:type="paragraph" w:customStyle="1" w:styleId="RecBullet">
    <w:name w:val="Rec Bullet"/>
    <w:basedOn w:val="Rec"/>
    <w:rsid w:val="009F7CFA"/>
    <w:pPr>
      <w:numPr>
        <w:numId w:val="15"/>
      </w:numPr>
      <w:spacing w:before="80"/>
    </w:pPr>
  </w:style>
  <w:style w:type="paragraph" w:customStyle="1" w:styleId="RecB">
    <w:name w:val="RecB"/>
    <w:basedOn w:val="Normal"/>
    <w:rsid w:val="009F7CF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F7CFA"/>
    <w:pPr>
      <w:numPr>
        <w:numId w:val="16"/>
      </w:numPr>
      <w:spacing w:before="80"/>
    </w:pPr>
  </w:style>
  <w:style w:type="paragraph" w:customStyle="1" w:styleId="RecBNoTitle">
    <w:name w:val="RecB NoTitle"/>
    <w:basedOn w:val="RecB"/>
    <w:rsid w:val="009F7CFA"/>
    <w:pPr>
      <w:spacing w:before="240"/>
    </w:pPr>
  </w:style>
  <w:style w:type="paragraph" w:customStyle="1" w:styleId="Reference">
    <w:name w:val="Reference"/>
    <w:basedOn w:val="BodyText"/>
    <w:rsid w:val="009F7CFA"/>
    <w:pPr>
      <w:spacing w:before="120"/>
      <w:ind w:left="340" w:hanging="340"/>
    </w:pPr>
  </w:style>
  <w:style w:type="paragraph" w:customStyle="1" w:styleId="SequenceInfo">
    <w:name w:val="Sequence Info"/>
    <w:basedOn w:val="BodyText"/>
    <w:semiHidden/>
    <w:rsid w:val="009F7CFA"/>
    <w:rPr>
      <w:vanish/>
      <w:sz w:val="16"/>
    </w:rPr>
  </w:style>
  <w:style w:type="paragraph" w:customStyle="1" w:styleId="SideNote">
    <w:name w:val="Side Note"/>
    <w:basedOn w:val="BodyText"/>
    <w:next w:val="BodyText"/>
    <w:semiHidden/>
    <w:rsid w:val="009F7CFA"/>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F7CFA"/>
    <w:pPr>
      <w:framePr w:wrap="around"/>
      <w:numPr>
        <w:numId w:val="17"/>
      </w:numPr>
      <w:tabs>
        <w:tab w:val="left" w:pos="227"/>
      </w:tabs>
    </w:pPr>
  </w:style>
  <w:style w:type="paragraph" w:customStyle="1" w:styleId="SideNoteGraphic">
    <w:name w:val="Side Note Graphic"/>
    <w:basedOn w:val="SideNote"/>
    <w:next w:val="BodyText"/>
    <w:semiHidden/>
    <w:rsid w:val="009F7CFA"/>
    <w:pPr>
      <w:framePr w:wrap="around"/>
    </w:pPr>
  </w:style>
  <w:style w:type="paragraph" w:customStyle="1" w:styleId="TableBodyText">
    <w:name w:val="Table Body Text"/>
    <w:basedOn w:val="BodyText"/>
    <w:link w:val="TableBodyTextChar"/>
    <w:rsid w:val="009F7CFA"/>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locked/>
    <w:rsid w:val="00BD19D0"/>
    <w:rPr>
      <w:rFonts w:ascii="Arial" w:hAnsi="Arial"/>
    </w:rPr>
  </w:style>
  <w:style w:type="paragraph" w:customStyle="1" w:styleId="TableBullet">
    <w:name w:val="Table Bullet"/>
    <w:basedOn w:val="TableBodyText"/>
    <w:link w:val="TableBulletChar"/>
    <w:rsid w:val="009F7CFA"/>
    <w:pPr>
      <w:numPr>
        <w:numId w:val="18"/>
      </w:numPr>
      <w:jc w:val="left"/>
    </w:pPr>
  </w:style>
  <w:style w:type="character" w:customStyle="1" w:styleId="TableBulletChar">
    <w:name w:val="Table Bullet Char"/>
    <w:basedOn w:val="DefaultParagraphFont"/>
    <w:link w:val="TableBullet"/>
    <w:locked/>
    <w:rsid w:val="00BD19D0"/>
    <w:rPr>
      <w:rFonts w:ascii="Arial" w:hAnsi="Arial"/>
    </w:rPr>
  </w:style>
  <w:style w:type="paragraph" w:customStyle="1" w:styleId="TableColumnHeading">
    <w:name w:val="Table Column Heading"/>
    <w:basedOn w:val="TableBodyText"/>
    <w:rsid w:val="009F7CFA"/>
    <w:pPr>
      <w:spacing w:before="80" w:after="80"/>
    </w:pPr>
    <w:rPr>
      <w:i/>
    </w:rPr>
  </w:style>
  <w:style w:type="paragraph" w:styleId="TOC2">
    <w:name w:val="toc 2"/>
    <w:basedOn w:val="BodyText"/>
    <w:rsid w:val="009F7CFA"/>
    <w:pPr>
      <w:tabs>
        <w:tab w:val="right" w:pos="8789"/>
      </w:tabs>
      <w:ind w:left="510" w:right="851" w:hanging="510"/>
      <w:jc w:val="left"/>
    </w:pPr>
    <w:rPr>
      <w:b/>
    </w:rPr>
  </w:style>
  <w:style w:type="paragraph" w:styleId="TOC3">
    <w:name w:val="toc 3"/>
    <w:basedOn w:val="TOC2"/>
    <w:rsid w:val="009F7CFA"/>
    <w:pPr>
      <w:spacing w:before="60"/>
      <w:ind w:left="1190" w:hanging="680"/>
    </w:pPr>
    <w:rPr>
      <w:b w:val="0"/>
    </w:rPr>
  </w:style>
  <w:style w:type="paragraph" w:styleId="TableofFigures">
    <w:name w:val="table of figures"/>
    <w:basedOn w:val="TOC3"/>
    <w:next w:val="BodyText"/>
    <w:semiHidden/>
    <w:rsid w:val="009F7CFA"/>
    <w:pPr>
      <w:ind w:left="737" w:hanging="737"/>
    </w:pPr>
  </w:style>
  <w:style w:type="paragraph" w:customStyle="1" w:styleId="TableTitle">
    <w:name w:val="Table Title"/>
    <w:basedOn w:val="Caption"/>
    <w:next w:val="Subtitle"/>
    <w:rsid w:val="009F7CFA"/>
    <w:rPr>
      <w:sz w:val="24"/>
    </w:rPr>
  </w:style>
  <w:style w:type="paragraph" w:customStyle="1" w:styleId="TableUnitsRow">
    <w:name w:val="Table Units Row"/>
    <w:basedOn w:val="TableBodyText"/>
    <w:rsid w:val="009F7CFA"/>
    <w:pPr>
      <w:spacing w:before="80" w:after="80"/>
    </w:pPr>
  </w:style>
  <w:style w:type="paragraph" w:styleId="TOC1">
    <w:name w:val="toc 1"/>
    <w:basedOn w:val="Normal"/>
    <w:next w:val="TOC2"/>
    <w:semiHidden/>
    <w:rsid w:val="009F7CFA"/>
    <w:pPr>
      <w:tabs>
        <w:tab w:val="right" w:pos="8789"/>
      </w:tabs>
      <w:spacing w:before="480" w:after="60" w:line="320" w:lineRule="exact"/>
      <w:ind w:left="1191" w:right="851" w:hanging="1191"/>
    </w:pPr>
    <w:rPr>
      <w:b/>
      <w:caps/>
    </w:rPr>
  </w:style>
  <w:style w:type="paragraph" w:styleId="TOC4">
    <w:name w:val="toc 4"/>
    <w:basedOn w:val="TOC3"/>
    <w:semiHidden/>
    <w:rsid w:val="009F7CFA"/>
    <w:pPr>
      <w:ind w:left="1191" w:firstLine="0"/>
    </w:pPr>
  </w:style>
  <w:style w:type="table" w:styleId="TableGrid">
    <w:name w:val="Table Grid"/>
    <w:basedOn w:val="TableNormal"/>
    <w:rsid w:val="00BD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5B3753"/>
    <w:rPr>
      <w:sz w:val="26"/>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9F7CFA"/>
    <w:rPr>
      <w:rFonts w:ascii="Tahoma" w:hAnsi="Tahoma" w:cs="Tahoma"/>
      <w:sz w:val="16"/>
      <w:szCs w:val="16"/>
    </w:rPr>
  </w:style>
  <w:style w:type="paragraph" w:customStyle="1" w:styleId="TableBullet2">
    <w:name w:val="Table Bullet 2"/>
    <w:basedOn w:val="BoxListBullet2"/>
    <w:rsid w:val="00BD19D0"/>
    <w:pPr>
      <w:spacing w:before="0" w:after="40" w:line="220" w:lineRule="atLeast"/>
      <w:ind w:left="568" w:hanging="284"/>
      <w:jc w:val="left"/>
    </w:pPr>
    <w:rPr>
      <w:sz w:val="20"/>
    </w:rPr>
  </w:style>
  <w:style w:type="character" w:customStyle="1" w:styleId="SubtitleChar">
    <w:name w:val="Subtitle Char"/>
    <w:basedOn w:val="DefaultParagraphFont"/>
    <w:link w:val="Subtitle"/>
    <w:rsid w:val="009F7CFA"/>
    <w:rPr>
      <w:rFonts w:ascii="Arial" w:hAnsi="Arial"/>
      <w:szCs w:val="24"/>
    </w:rPr>
  </w:style>
  <w:style w:type="paragraph" w:customStyle="1" w:styleId="RecBBullet2">
    <w:name w:val="RecB Bullet 2"/>
    <w:basedOn w:val="ListBullet2"/>
    <w:semiHidden/>
    <w:rsid w:val="009F7CFA"/>
    <w:pPr>
      <w:pBdr>
        <w:left w:val="single" w:sz="24" w:space="29" w:color="C0C0C0"/>
      </w:pBdr>
    </w:pPr>
    <w:rPr>
      <w:b/>
      <w:i/>
    </w:rPr>
  </w:style>
  <w:style w:type="character" w:customStyle="1" w:styleId="BalloonTextChar">
    <w:name w:val="Balloon Text Char"/>
    <w:basedOn w:val="DefaultParagraphFont"/>
    <w:link w:val="BalloonText"/>
    <w:rsid w:val="009F7CFA"/>
    <w:rPr>
      <w:rFonts w:ascii="Tahoma" w:hAnsi="Tahoma" w:cs="Tahoma"/>
      <w:sz w:val="16"/>
      <w:szCs w:val="16"/>
    </w:rPr>
  </w:style>
  <w:style w:type="paragraph" w:customStyle="1" w:styleId="BoxListBullet3">
    <w:name w:val="Box List Bullet 3"/>
    <w:basedOn w:val="ListBullet3"/>
    <w:rsid w:val="009F7CFA"/>
    <w:pPr>
      <w:numPr>
        <w:numId w:val="5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F7CFA"/>
    <w:rPr>
      <w:i/>
      <w:iCs/>
    </w:rPr>
  </w:style>
  <w:style w:type="paragraph" w:customStyle="1" w:styleId="BoxQuoteBullet">
    <w:name w:val="Box Quote Bullet"/>
    <w:basedOn w:val="BoxQuote"/>
    <w:next w:val="Box"/>
    <w:rsid w:val="009F7CFA"/>
    <w:pPr>
      <w:numPr>
        <w:numId w:val="48"/>
      </w:numPr>
      <w:ind w:left="568" w:hanging="284"/>
    </w:pPr>
  </w:style>
  <w:style w:type="paragraph" w:customStyle="1" w:styleId="InformationRequestBullet">
    <w:name w:val="Information Request Bullet"/>
    <w:basedOn w:val="ListBullet"/>
    <w:next w:val="BodyText"/>
    <w:rsid w:val="009F7CFA"/>
    <w:pPr>
      <w:numPr>
        <w:numId w:val="49"/>
      </w:numPr>
      <w:ind w:left="340" w:hanging="340"/>
    </w:pPr>
    <w:rPr>
      <w:rFonts w:ascii="Arial" w:hAnsi="Arial"/>
      <w:i/>
      <w:sz w:val="24"/>
    </w:rPr>
  </w:style>
  <w:style w:type="paragraph" w:customStyle="1" w:styleId="BoxSpaceAbove">
    <w:name w:val="Box Space Above"/>
    <w:basedOn w:val="BodyText"/>
    <w:rsid w:val="009F7CFA"/>
    <w:pPr>
      <w:keepNext/>
      <w:spacing w:before="360" w:line="80" w:lineRule="exact"/>
      <w:jc w:val="left"/>
    </w:pPr>
  </w:style>
  <w:style w:type="paragraph" w:customStyle="1" w:styleId="BoxSpaceBelow">
    <w:name w:val="Box Space Below"/>
    <w:basedOn w:val="Box"/>
    <w:rsid w:val="009F7CFA"/>
    <w:pPr>
      <w:keepNext w:val="0"/>
      <w:spacing w:before="60" w:after="60" w:line="80" w:lineRule="exact"/>
    </w:pPr>
    <w:rPr>
      <w:sz w:val="14"/>
    </w:rPr>
  </w:style>
  <w:style w:type="character" w:styleId="PlaceholderText">
    <w:name w:val="Placeholder Text"/>
    <w:basedOn w:val="DefaultParagraphFont"/>
    <w:uiPriority w:val="99"/>
    <w:semiHidden/>
    <w:rsid w:val="00454B6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F7CFA"/>
    <w:rPr>
      <w:sz w:val="26"/>
      <w:szCs w:val="24"/>
    </w:rPr>
  </w:style>
  <w:style w:type="paragraph" w:styleId="Heading1">
    <w:name w:val="heading 1"/>
    <w:basedOn w:val="BodyText"/>
    <w:next w:val="BodyText"/>
    <w:rsid w:val="009F7CFA"/>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F7CF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F7CFA"/>
    <w:pPr>
      <w:spacing w:before="560" w:line="320" w:lineRule="exact"/>
      <w:ind w:left="0" w:firstLine="0"/>
      <w:outlineLvl w:val="2"/>
    </w:pPr>
    <w:rPr>
      <w:sz w:val="26"/>
    </w:rPr>
  </w:style>
  <w:style w:type="paragraph" w:styleId="Heading4">
    <w:name w:val="heading 4"/>
    <w:basedOn w:val="Heading3"/>
    <w:next w:val="BodyText"/>
    <w:qFormat/>
    <w:rsid w:val="009F7CFA"/>
    <w:pPr>
      <w:spacing w:before="480"/>
      <w:outlineLvl w:val="3"/>
    </w:pPr>
    <w:rPr>
      <w:b w:val="0"/>
      <w:i/>
      <w:sz w:val="24"/>
    </w:rPr>
  </w:style>
  <w:style w:type="paragraph" w:styleId="Heading5">
    <w:name w:val="heading 5"/>
    <w:basedOn w:val="Heading4"/>
    <w:next w:val="BodyText"/>
    <w:qFormat/>
    <w:rsid w:val="009F7CFA"/>
    <w:pPr>
      <w:outlineLvl w:val="4"/>
    </w:pPr>
    <w:rPr>
      <w:rFonts w:ascii="Times New Roman" w:hAnsi="Times New Roman"/>
      <w:sz w:val="26"/>
    </w:rPr>
  </w:style>
  <w:style w:type="paragraph" w:styleId="Heading6">
    <w:name w:val="heading 6"/>
    <w:basedOn w:val="BodyText"/>
    <w:next w:val="BodyText"/>
    <w:rsid w:val="009F7CFA"/>
    <w:pPr>
      <w:spacing w:after="60"/>
      <w:jc w:val="left"/>
      <w:outlineLvl w:val="5"/>
    </w:pPr>
    <w:rPr>
      <w:i/>
      <w:sz w:val="22"/>
    </w:rPr>
  </w:style>
  <w:style w:type="paragraph" w:styleId="Heading7">
    <w:name w:val="heading 7"/>
    <w:basedOn w:val="BodyText"/>
    <w:next w:val="BodyText"/>
    <w:rsid w:val="009F7CFA"/>
    <w:pPr>
      <w:spacing w:after="60" w:line="240" w:lineRule="auto"/>
      <w:jc w:val="left"/>
      <w:outlineLvl w:val="6"/>
    </w:pPr>
    <w:rPr>
      <w:rFonts w:ascii="Arial" w:hAnsi="Arial"/>
      <w:sz w:val="20"/>
    </w:rPr>
  </w:style>
  <w:style w:type="paragraph" w:styleId="Heading8">
    <w:name w:val="heading 8"/>
    <w:basedOn w:val="BodyText"/>
    <w:next w:val="BodyText"/>
    <w:rsid w:val="009F7CFA"/>
    <w:pPr>
      <w:spacing w:after="60" w:line="240" w:lineRule="auto"/>
      <w:jc w:val="left"/>
      <w:outlineLvl w:val="7"/>
    </w:pPr>
    <w:rPr>
      <w:rFonts w:ascii="Arial" w:hAnsi="Arial"/>
      <w:i/>
      <w:sz w:val="20"/>
    </w:rPr>
  </w:style>
  <w:style w:type="paragraph" w:styleId="Heading9">
    <w:name w:val="heading 9"/>
    <w:basedOn w:val="BodyText"/>
    <w:next w:val="BodyText"/>
    <w:rsid w:val="009F7CF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F7C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7CFA"/>
  </w:style>
  <w:style w:type="paragraph" w:styleId="BodyText">
    <w:name w:val="Body Text"/>
    <w:link w:val="BodyTextChar"/>
    <w:qFormat/>
    <w:rsid w:val="009F7CFA"/>
    <w:pPr>
      <w:spacing w:before="240" w:line="320" w:lineRule="atLeast"/>
      <w:jc w:val="both"/>
    </w:pPr>
    <w:rPr>
      <w:sz w:val="26"/>
    </w:rPr>
  </w:style>
  <w:style w:type="paragraph" w:customStyle="1" w:styleId="Chapter">
    <w:name w:val="Chapter"/>
    <w:basedOn w:val="Heading1"/>
    <w:next w:val="BodyText"/>
    <w:semiHidden/>
    <w:rsid w:val="009F7CFA"/>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semiHidden/>
    <w:rsid w:val="009F7CFA"/>
    <w:pPr>
      <w:spacing w:before="80" w:line="200" w:lineRule="exact"/>
      <w:ind w:right="6"/>
      <w:jc w:val="left"/>
    </w:pPr>
    <w:rPr>
      <w:caps/>
      <w:spacing w:val="-4"/>
      <w:sz w:val="16"/>
    </w:rPr>
  </w:style>
  <w:style w:type="paragraph" w:customStyle="1" w:styleId="FooterEnd">
    <w:name w:val="Footer End"/>
    <w:basedOn w:val="Footer"/>
    <w:rsid w:val="009F7CFA"/>
    <w:pPr>
      <w:spacing w:before="0" w:line="20" w:lineRule="exact"/>
    </w:pPr>
  </w:style>
  <w:style w:type="paragraph" w:styleId="Header">
    <w:name w:val="header"/>
    <w:basedOn w:val="BodyText"/>
    <w:rsid w:val="009F7CF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F7CFA"/>
    <w:pPr>
      <w:spacing w:line="20" w:lineRule="exact"/>
    </w:pPr>
    <w:rPr>
      <w:sz w:val="16"/>
    </w:rPr>
  </w:style>
  <w:style w:type="paragraph" w:customStyle="1" w:styleId="HeaderEven">
    <w:name w:val="Header Even"/>
    <w:basedOn w:val="Header"/>
    <w:semiHidden/>
    <w:rsid w:val="009F7CFA"/>
  </w:style>
  <w:style w:type="paragraph" w:customStyle="1" w:styleId="HeaderOdd">
    <w:name w:val="Header Odd"/>
    <w:basedOn w:val="Header"/>
    <w:semiHidden/>
    <w:rsid w:val="009F7CFA"/>
  </w:style>
  <w:style w:type="character" w:styleId="PageNumber">
    <w:name w:val="page number"/>
    <w:basedOn w:val="DefaultParagraphFont"/>
    <w:rsid w:val="009F7CFA"/>
    <w:rPr>
      <w:rFonts w:ascii="Arial" w:hAnsi="Arial"/>
      <w:b/>
      <w:sz w:val="16"/>
    </w:rPr>
  </w:style>
  <w:style w:type="paragraph" w:customStyle="1" w:styleId="Abbreviation">
    <w:name w:val="Abbreviation"/>
    <w:basedOn w:val="BodyText"/>
    <w:rsid w:val="009F7CFA"/>
    <w:pPr>
      <w:spacing w:before="120"/>
      <w:ind w:left="2381" w:hanging="2381"/>
      <w:jc w:val="left"/>
    </w:pPr>
  </w:style>
  <w:style w:type="paragraph" w:customStyle="1" w:styleId="Box">
    <w:name w:val="Box"/>
    <w:basedOn w:val="BodyText"/>
    <w:link w:val="BoxChar"/>
    <w:qFormat/>
    <w:rsid w:val="009F7CFA"/>
    <w:pPr>
      <w:keepNext/>
      <w:spacing w:before="120" w:line="280" w:lineRule="atLeast"/>
    </w:pPr>
    <w:rPr>
      <w:rFonts w:ascii="Arial" w:hAnsi="Arial"/>
      <w:sz w:val="22"/>
    </w:rPr>
  </w:style>
  <w:style w:type="character" w:customStyle="1" w:styleId="BoxChar">
    <w:name w:val="Box Char"/>
    <w:basedOn w:val="FootnoteTextChar"/>
    <w:link w:val="Box"/>
    <w:rsid w:val="00BD19D0"/>
    <w:rPr>
      <w:rFonts w:ascii="Arial" w:hAnsi="Arial"/>
      <w:sz w:val="22"/>
    </w:rPr>
  </w:style>
  <w:style w:type="character" w:customStyle="1" w:styleId="FootnoteTextChar">
    <w:name w:val="Footnote Text Char"/>
    <w:basedOn w:val="DefaultParagraphFont"/>
    <w:link w:val="FootnoteText"/>
    <w:locked/>
    <w:rsid w:val="00BD19D0"/>
    <w:rPr>
      <w:sz w:val="22"/>
    </w:rPr>
  </w:style>
  <w:style w:type="paragraph" w:styleId="FootnoteText">
    <w:name w:val="footnote text"/>
    <w:basedOn w:val="BodyText"/>
    <w:link w:val="FootnoteTextChar"/>
    <w:rsid w:val="009F7CFA"/>
    <w:pPr>
      <w:tabs>
        <w:tab w:val="left" w:pos="284"/>
      </w:tabs>
      <w:spacing w:before="80" w:line="260" w:lineRule="exact"/>
      <w:ind w:left="284" w:hanging="284"/>
    </w:pPr>
    <w:rPr>
      <w:sz w:val="22"/>
    </w:rPr>
  </w:style>
  <w:style w:type="paragraph" w:customStyle="1" w:styleId="BoxContinued">
    <w:name w:val="Box Continued"/>
    <w:basedOn w:val="BodyText"/>
    <w:next w:val="BodyText"/>
    <w:semiHidden/>
    <w:rsid w:val="009F7CFA"/>
    <w:pPr>
      <w:spacing w:before="180" w:line="220" w:lineRule="exact"/>
      <w:jc w:val="right"/>
    </w:pPr>
    <w:rPr>
      <w:rFonts w:ascii="Arial" w:hAnsi="Arial"/>
      <w:sz w:val="18"/>
    </w:rPr>
  </w:style>
  <w:style w:type="paragraph" w:customStyle="1" w:styleId="BoxHeading1">
    <w:name w:val="Box Heading 1"/>
    <w:basedOn w:val="BodyText"/>
    <w:next w:val="Box"/>
    <w:rsid w:val="009F7CFA"/>
    <w:pPr>
      <w:keepNext/>
      <w:spacing w:before="200" w:line="280" w:lineRule="atLeast"/>
    </w:pPr>
    <w:rPr>
      <w:rFonts w:ascii="Arial" w:hAnsi="Arial"/>
      <w:b/>
      <w:sz w:val="22"/>
    </w:rPr>
  </w:style>
  <w:style w:type="paragraph" w:customStyle="1" w:styleId="BoxHeading2">
    <w:name w:val="Box Heading 2"/>
    <w:basedOn w:val="BoxHeading1"/>
    <w:next w:val="Normal"/>
    <w:rsid w:val="009F7CFA"/>
    <w:rPr>
      <w:b w:val="0"/>
      <w:i/>
    </w:rPr>
  </w:style>
  <w:style w:type="paragraph" w:customStyle="1" w:styleId="BoxListBullet">
    <w:name w:val="Box List Bullet"/>
    <w:basedOn w:val="BodyText"/>
    <w:rsid w:val="009F7CFA"/>
    <w:pPr>
      <w:keepNext/>
      <w:numPr>
        <w:numId w:val="1"/>
      </w:numPr>
      <w:spacing w:before="60" w:line="280" w:lineRule="atLeast"/>
    </w:pPr>
    <w:rPr>
      <w:rFonts w:ascii="Arial" w:hAnsi="Arial"/>
      <w:sz w:val="22"/>
    </w:rPr>
  </w:style>
  <w:style w:type="paragraph" w:customStyle="1" w:styleId="BoxListBullet2">
    <w:name w:val="Box List Bullet 2"/>
    <w:basedOn w:val="BodyText"/>
    <w:rsid w:val="009F7CFA"/>
    <w:pPr>
      <w:keepNext/>
      <w:numPr>
        <w:numId w:val="2"/>
      </w:numPr>
      <w:spacing w:before="60" w:line="280" w:lineRule="atLeast"/>
    </w:pPr>
    <w:rPr>
      <w:rFonts w:ascii="Arial" w:hAnsi="Arial"/>
      <w:sz w:val="22"/>
    </w:rPr>
  </w:style>
  <w:style w:type="paragraph" w:customStyle="1" w:styleId="BoxListNumber">
    <w:name w:val="Box List Number"/>
    <w:basedOn w:val="BodyText"/>
    <w:rsid w:val="009F7CFA"/>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9F7CFA"/>
    <w:pPr>
      <w:numPr>
        <w:ilvl w:val="1"/>
      </w:numPr>
    </w:pPr>
  </w:style>
  <w:style w:type="paragraph" w:customStyle="1" w:styleId="BoxQuote">
    <w:name w:val="Box Quote"/>
    <w:basedOn w:val="BodyText"/>
    <w:next w:val="Box"/>
    <w:rsid w:val="009F7CFA"/>
    <w:pPr>
      <w:keepNext/>
      <w:spacing w:before="60" w:line="260" w:lineRule="exact"/>
      <w:ind w:left="284"/>
    </w:pPr>
    <w:rPr>
      <w:rFonts w:ascii="Arial" w:hAnsi="Arial"/>
      <w:sz w:val="20"/>
    </w:rPr>
  </w:style>
  <w:style w:type="paragraph" w:customStyle="1" w:styleId="Note">
    <w:name w:val="Note"/>
    <w:basedOn w:val="BodyText"/>
    <w:next w:val="BodyText"/>
    <w:rsid w:val="009F7CFA"/>
    <w:pPr>
      <w:keepLines/>
      <w:spacing w:before="80" w:line="220" w:lineRule="exact"/>
    </w:pPr>
    <w:rPr>
      <w:rFonts w:ascii="Arial" w:hAnsi="Arial"/>
      <w:sz w:val="18"/>
    </w:rPr>
  </w:style>
  <w:style w:type="paragraph" w:customStyle="1" w:styleId="Source">
    <w:name w:val="Source"/>
    <w:basedOn w:val="Note"/>
    <w:next w:val="BodyText"/>
    <w:rsid w:val="009F7CFA"/>
    <w:pPr>
      <w:spacing w:after="120"/>
    </w:pPr>
  </w:style>
  <w:style w:type="paragraph" w:customStyle="1" w:styleId="BoxSource">
    <w:name w:val="Box Source"/>
    <w:basedOn w:val="Source"/>
    <w:next w:val="BodyText"/>
    <w:rsid w:val="009F7CFA"/>
    <w:pPr>
      <w:spacing w:before="180" w:after="0"/>
    </w:pPr>
  </w:style>
  <w:style w:type="paragraph" w:customStyle="1" w:styleId="BoxSpace">
    <w:name w:val="Box Space"/>
    <w:basedOn w:val="BodyText"/>
    <w:rsid w:val="009B718A"/>
    <w:pPr>
      <w:keepNext/>
      <w:spacing w:before="360" w:line="80" w:lineRule="exact"/>
      <w:jc w:val="left"/>
    </w:pPr>
  </w:style>
  <w:style w:type="paragraph" w:styleId="Caption">
    <w:name w:val="caption"/>
    <w:basedOn w:val="Normal"/>
    <w:next w:val="BodyText"/>
    <w:rsid w:val="009F7CF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CFA"/>
    <w:pPr>
      <w:spacing w:before="120" w:after="0"/>
      <w:ind w:left="1304" w:hanging="1304"/>
    </w:pPr>
    <w:rPr>
      <w:sz w:val="24"/>
    </w:rPr>
  </w:style>
  <w:style w:type="paragraph" w:customStyle="1" w:styleId="BoxSubtitle">
    <w:name w:val="Box Subtitle"/>
    <w:basedOn w:val="BoxTitle"/>
    <w:next w:val="Normal"/>
    <w:rsid w:val="009F7CFA"/>
    <w:pPr>
      <w:spacing w:after="80" w:line="200" w:lineRule="exact"/>
      <w:ind w:firstLine="0"/>
    </w:pPr>
    <w:rPr>
      <w:b w:val="0"/>
      <w:sz w:val="20"/>
    </w:rPr>
  </w:style>
  <w:style w:type="paragraph" w:customStyle="1" w:styleId="ChapterSummary">
    <w:name w:val="Chapter Summary"/>
    <w:basedOn w:val="BodyText"/>
    <w:rsid w:val="009F7CFA"/>
    <w:pPr>
      <w:ind w:left="907"/>
    </w:pPr>
    <w:rPr>
      <w:rFonts w:ascii="Arial" w:hAnsi="Arial"/>
      <w:b/>
      <w:sz w:val="22"/>
    </w:rPr>
  </w:style>
  <w:style w:type="character" w:styleId="CommentReference">
    <w:name w:val="annotation reference"/>
    <w:basedOn w:val="DefaultParagraphFont"/>
    <w:semiHidden/>
    <w:rsid w:val="009F7CFA"/>
    <w:rPr>
      <w:b/>
      <w:vanish/>
      <w:color w:val="FF00FF"/>
      <w:sz w:val="20"/>
    </w:rPr>
  </w:style>
  <w:style w:type="paragraph" w:styleId="CommentText">
    <w:name w:val="annotation text"/>
    <w:basedOn w:val="Normal"/>
    <w:semiHidden/>
    <w:rsid w:val="009F7CFA"/>
    <w:pPr>
      <w:spacing w:before="120" w:line="240" w:lineRule="atLeast"/>
      <w:ind w:left="567" w:hanging="567"/>
    </w:pPr>
    <w:rPr>
      <w:sz w:val="20"/>
    </w:rPr>
  </w:style>
  <w:style w:type="paragraph" w:customStyle="1" w:styleId="Continued">
    <w:name w:val="Continued"/>
    <w:basedOn w:val="BoxContinued"/>
    <w:next w:val="BodyText"/>
    <w:rsid w:val="009F7CFA"/>
  </w:style>
  <w:style w:type="character" w:customStyle="1" w:styleId="DocumentInfo">
    <w:name w:val="Document Info"/>
    <w:basedOn w:val="DefaultParagraphFont"/>
    <w:semiHidden/>
    <w:rsid w:val="009F7CFA"/>
    <w:rPr>
      <w:rFonts w:ascii="Arial" w:hAnsi="Arial"/>
      <w:sz w:val="14"/>
    </w:rPr>
  </w:style>
  <w:style w:type="character" w:customStyle="1" w:styleId="DraftingNote">
    <w:name w:val="Drafting Note"/>
    <w:basedOn w:val="DefaultParagraphFont"/>
    <w:rsid w:val="009F7CFA"/>
    <w:rPr>
      <w:b/>
      <w:color w:val="FF0000"/>
      <w:sz w:val="24"/>
      <w:u w:val="dotted"/>
    </w:rPr>
  </w:style>
  <w:style w:type="paragraph" w:customStyle="1" w:styleId="Figure">
    <w:name w:val="Figure"/>
    <w:basedOn w:val="BodyText"/>
    <w:rsid w:val="009F7CFA"/>
    <w:pPr>
      <w:keepNext/>
      <w:spacing w:before="120" w:after="120" w:line="240" w:lineRule="atLeast"/>
      <w:jc w:val="center"/>
    </w:pPr>
  </w:style>
  <w:style w:type="paragraph" w:customStyle="1" w:styleId="FigureTitle">
    <w:name w:val="Figure Title"/>
    <w:basedOn w:val="Caption"/>
    <w:next w:val="Subtitle"/>
    <w:rsid w:val="009F7CFA"/>
    <w:rPr>
      <w:sz w:val="24"/>
    </w:rPr>
  </w:style>
  <w:style w:type="paragraph" w:styleId="Subtitle">
    <w:name w:val="Subtitle"/>
    <w:basedOn w:val="Caption"/>
    <w:link w:val="SubtitleChar"/>
    <w:rsid w:val="009F7CFA"/>
    <w:pPr>
      <w:spacing w:before="0" w:line="200" w:lineRule="exact"/>
      <w:ind w:firstLine="0"/>
    </w:pPr>
    <w:rPr>
      <w:b w:val="0"/>
      <w:sz w:val="20"/>
    </w:rPr>
  </w:style>
  <w:style w:type="paragraph" w:customStyle="1" w:styleId="Finding">
    <w:name w:val="Finding"/>
    <w:basedOn w:val="BodyText"/>
    <w:rsid w:val="009F7CFA"/>
    <w:pPr>
      <w:keepLines/>
      <w:spacing w:before="180"/>
    </w:pPr>
    <w:rPr>
      <w:i/>
    </w:rPr>
  </w:style>
  <w:style w:type="paragraph" w:customStyle="1" w:styleId="FindingBullet">
    <w:name w:val="Finding Bullet"/>
    <w:basedOn w:val="Finding"/>
    <w:rsid w:val="009F7CFA"/>
    <w:pPr>
      <w:numPr>
        <w:numId w:val="3"/>
      </w:numPr>
      <w:spacing w:before="80"/>
    </w:pPr>
  </w:style>
  <w:style w:type="paragraph" w:customStyle="1" w:styleId="FindingNoTitle">
    <w:name w:val="Finding NoTitle"/>
    <w:basedOn w:val="Finding"/>
    <w:rsid w:val="009F7CFA"/>
    <w:pPr>
      <w:spacing w:before="240"/>
    </w:pPr>
  </w:style>
  <w:style w:type="paragraph" w:customStyle="1" w:styleId="RecTitle">
    <w:name w:val="Rec Title"/>
    <w:basedOn w:val="BodyText"/>
    <w:next w:val="Normal"/>
    <w:rsid w:val="009F7CFA"/>
    <w:pPr>
      <w:keepNext/>
      <w:keepLines/>
    </w:pPr>
    <w:rPr>
      <w:caps/>
      <w:sz w:val="20"/>
    </w:rPr>
  </w:style>
  <w:style w:type="paragraph" w:customStyle="1" w:styleId="FindingTitle">
    <w:name w:val="Finding Title"/>
    <w:basedOn w:val="RecTitle"/>
    <w:next w:val="Finding"/>
    <w:rsid w:val="009F7CFA"/>
    <w:pPr>
      <w:framePr w:wrap="notBeside" w:hAnchor="text"/>
    </w:pPr>
  </w:style>
  <w:style w:type="character" w:styleId="FootnoteReference">
    <w:name w:val="footnote reference"/>
    <w:basedOn w:val="DefaultParagraphFont"/>
    <w:semiHidden/>
    <w:rsid w:val="009F7CFA"/>
    <w:rPr>
      <w:rFonts w:ascii="Times New Roman" w:hAnsi="Times New Roman"/>
      <w:position w:val="6"/>
      <w:sz w:val="22"/>
      <w:vertAlign w:val="baseline"/>
    </w:rPr>
  </w:style>
  <w:style w:type="paragraph" w:customStyle="1" w:styleId="InformationRequest">
    <w:name w:val="Information Request"/>
    <w:basedOn w:val="Finding"/>
    <w:next w:val="BodyText"/>
    <w:rsid w:val="009F7CFA"/>
    <w:pPr>
      <w:spacing w:before="360" w:after="120"/>
    </w:pPr>
    <w:rPr>
      <w:rFonts w:ascii="Arial" w:hAnsi="Arial"/>
      <w:sz w:val="24"/>
    </w:rPr>
  </w:style>
  <w:style w:type="paragraph" w:customStyle="1" w:styleId="Jurisdictioncommentsbodytext">
    <w:name w:val="Jurisdiction comments body text"/>
    <w:rsid w:val="009F7CFA"/>
    <w:pPr>
      <w:spacing w:after="140"/>
      <w:jc w:val="both"/>
    </w:pPr>
    <w:rPr>
      <w:rFonts w:ascii="Arial" w:hAnsi="Arial"/>
      <w:sz w:val="24"/>
      <w:lang w:eastAsia="en-US"/>
    </w:rPr>
  </w:style>
  <w:style w:type="paragraph" w:customStyle="1" w:styleId="Jurisdictioncommentsheading">
    <w:name w:val="Jurisdiction comments heading"/>
    <w:rsid w:val="009F7CF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F7CFA"/>
    <w:pPr>
      <w:numPr>
        <w:numId w:val="4"/>
      </w:numPr>
      <w:spacing w:after="140"/>
      <w:jc w:val="both"/>
    </w:pPr>
    <w:rPr>
      <w:rFonts w:ascii="Arial" w:hAnsi="Arial"/>
      <w:sz w:val="24"/>
      <w:lang w:eastAsia="en-US"/>
    </w:rPr>
  </w:style>
  <w:style w:type="paragraph" w:styleId="ListBullet">
    <w:name w:val="List Bullet"/>
    <w:basedOn w:val="BodyText"/>
    <w:rsid w:val="009F7CFA"/>
    <w:pPr>
      <w:numPr>
        <w:numId w:val="6"/>
      </w:numPr>
      <w:spacing w:before="120"/>
    </w:pPr>
  </w:style>
  <w:style w:type="paragraph" w:styleId="ListBullet2">
    <w:name w:val="List Bullet 2"/>
    <w:basedOn w:val="BodyText"/>
    <w:rsid w:val="009F7CFA"/>
    <w:pPr>
      <w:numPr>
        <w:numId w:val="8"/>
      </w:numPr>
      <w:spacing w:before="120"/>
    </w:pPr>
  </w:style>
  <w:style w:type="paragraph" w:styleId="ListBullet3">
    <w:name w:val="List Bullet 3"/>
    <w:basedOn w:val="BodyText"/>
    <w:rsid w:val="009F7CFA"/>
    <w:pPr>
      <w:numPr>
        <w:numId w:val="10"/>
      </w:numPr>
      <w:spacing w:before="120"/>
    </w:pPr>
  </w:style>
  <w:style w:type="paragraph" w:styleId="ListNumber">
    <w:name w:val="List Number"/>
    <w:basedOn w:val="BodyText"/>
    <w:rsid w:val="009F7CFA"/>
    <w:pPr>
      <w:numPr>
        <w:numId w:val="32"/>
      </w:numPr>
      <w:spacing w:before="120"/>
    </w:pPr>
  </w:style>
  <w:style w:type="paragraph" w:styleId="ListNumber2">
    <w:name w:val="List Number 2"/>
    <w:basedOn w:val="ListNumber"/>
    <w:rsid w:val="009F7CFA"/>
    <w:pPr>
      <w:numPr>
        <w:ilvl w:val="1"/>
      </w:numPr>
    </w:pPr>
  </w:style>
  <w:style w:type="paragraph" w:styleId="ListNumber3">
    <w:name w:val="List Number 3"/>
    <w:basedOn w:val="ListNumber2"/>
    <w:rsid w:val="009F7CFA"/>
    <w:pPr>
      <w:numPr>
        <w:ilvl w:val="2"/>
      </w:numPr>
    </w:pPr>
  </w:style>
  <w:style w:type="character" w:customStyle="1" w:styleId="NoteLabel">
    <w:name w:val="Note Label"/>
    <w:basedOn w:val="DefaultParagraphFont"/>
    <w:rsid w:val="009F7CFA"/>
    <w:rPr>
      <w:rFonts w:ascii="Arial" w:hAnsi="Arial"/>
      <w:b/>
      <w:position w:val="6"/>
      <w:sz w:val="18"/>
    </w:rPr>
  </w:style>
  <w:style w:type="paragraph" w:customStyle="1" w:styleId="PartDivider">
    <w:name w:val="Part Divider"/>
    <w:basedOn w:val="BodyText"/>
    <w:next w:val="BodyText"/>
    <w:semiHidden/>
    <w:rsid w:val="009F7CFA"/>
    <w:pPr>
      <w:spacing w:before="0" w:line="40" w:lineRule="exact"/>
      <w:jc w:val="right"/>
    </w:pPr>
    <w:rPr>
      <w:smallCaps/>
      <w:sz w:val="16"/>
    </w:rPr>
  </w:style>
  <w:style w:type="paragraph" w:customStyle="1" w:styleId="PartNumber">
    <w:name w:val="Part Number"/>
    <w:basedOn w:val="BodyText"/>
    <w:next w:val="BodyText"/>
    <w:semiHidden/>
    <w:rsid w:val="009F7CFA"/>
    <w:pPr>
      <w:spacing w:before="4000" w:line="320" w:lineRule="exact"/>
      <w:ind w:left="6634"/>
      <w:jc w:val="right"/>
    </w:pPr>
    <w:rPr>
      <w:smallCaps/>
      <w:spacing w:val="60"/>
      <w:sz w:val="32"/>
    </w:rPr>
  </w:style>
  <w:style w:type="paragraph" w:customStyle="1" w:styleId="PartTitle">
    <w:name w:val="Part Title"/>
    <w:basedOn w:val="BodyText"/>
    <w:semiHidden/>
    <w:rsid w:val="009F7CFA"/>
    <w:pPr>
      <w:spacing w:before="160" w:after="1360" w:line="520" w:lineRule="exact"/>
      <w:ind w:right="2381"/>
      <w:jc w:val="right"/>
    </w:pPr>
    <w:rPr>
      <w:smallCaps/>
      <w:sz w:val="52"/>
    </w:rPr>
  </w:style>
  <w:style w:type="paragraph" w:styleId="Quote">
    <w:name w:val="Quote"/>
    <w:basedOn w:val="BodyText"/>
    <w:next w:val="BodyText"/>
    <w:qFormat/>
    <w:rsid w:val="009F7CFA"/>
    <w:pPr>
      <w:spacing w:before="120" w:line="280" w:lineRule="exact"/>
      <w:ind w:left="340"/>
    </w:pPr>
    <w:rPr>
      <w:sz w:val="24"/>
    </w:rPr>
  </w:style>
  <w:style w:type="paragraph" w:customStyle="1" w:styleId="QuoteBullet">
    <w:name w:val="Quote Bullet"/>
    <w:basedOn w:val="Quote"/>
    <w:rsid w:val="009F7CFA"/>
    <w:pPr>
      <w:numPr>
        <w:numId w:val="14"/>
      </w:numPr>
    </w:pPr>
  </w:style>
  <w:style w:type="paragraph" w:customStyle="1" w:styleId="Rec">
    <w:name w:val="Rec"/>
    <w:basedOn w:val="BodyText"/>
    <w:rsid w:val="009F7CFA"/>
    <w:pPr>
      <w:keepLines/>
      <w:spacing w:before="180"/>
    </w:pPr>
    <w:rPr>
      <w:b/>
      <w:i/>
    </w:rPr>
  </w:style>
  <w:style w:type="paragraph" w:customStyle="1" w:styleId="RecBullet">
    <w:name w:val="Rec Bullet"/>
    <w:basedOn w:val="Rec"/>
    <w:rsid w:val="009F7CFA"/>
    <w:pPr>
      <w:numPr>
        <w:numId w:val="15"/>
      </w:numPr>
      <w:spacing w:before="80"/>
    </w:pPr>
  </w:style>
  <w:style w:type="paragraph" w:customStyle="1" w:styleId="RecB">
    <w:name w:val="RecB"/>
    <w:basedOn w:val="Normal"/>
    <w:rsid w:val="009F7CF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F7CFA"/>
    <w:pPr>
      <w:numPr>
        <w:numId w:val="16"/>
      </w:numPr>
      <w:spacing w:before="80"/>
    </w:pPr>
  </w:style>
  <w:style w:type="paragraph" w:customStyle="1" w:styleId="RecBNoTitle">
    <w:name w:val="RecB NoTitle"/>
    <w:basedOn w:val="RecB"/>
    <w:rsid w:val="009F7CFA"/>
    <w:pPr>
      <w:spacing w:before="240"/>
    </w:pPr>
  </w:style>
  <w:style w:type="paragraph" w:customStyle="1" w:styleId="Reference">
    <w:name w:val="Reference"/>
    <w:basedOn w:val="BodyText"/>
    <w:rsid w:val="009F7CFA"/>
    <w:pPr>
      <w:spacing w:before="120"/>
      <w:ind w:left="340" w:hanging="340"/>
    </w:pPr>
  </w:style>
  <w:style w:type="paragraph" w:customStyle="1" w:styleId="SequenceInfo">
    <w:name w:val="Sequence Info"/>
    <w:basedOn w:val="BodyText"/>
    <w:semiHidden/>
    <w:rsid w:val="009F7CFA"/>
    <w:rPr>
      <w:vanish/>
      <w:sz w:val="16"/>
    </w:rPr>
  </w:style>
  <w:style w:type="paragraph" w:customStyle="1" w:styleId="SideNote">
    <w:name w:val="Side Note"/>
    <w:basedOn w:val="BodyText"/>
    <w:next w:val="BodyText"/>
    <w:semiHidden/>
    <w:rsid w:val="009F7CFA"/>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F7CFA"/>
    <w:pPr>
      <w:framePr w:wrap="around"/>
      <w:numPr>
        <w:numId w:val="17"/>
      </w:numPr>
      <w:tabs>
        <w:tab w:val="left" w:pos="227"/>
      </w:tabs>
    </w:pPr>
  </w:style>
  <w:style w:type="paragraph" w:customStyle="1" w:styleId="SideNoteGraphic">
    <w:name w:val="Side Note Graphic"/>
    <w:basedOn w:val="SideNote"/>
    <w:next w:val="BodyText"/>
    <w:semiHidden/>
    <w:rsid w:val="009F7CFA"/>
    <w:pPr>
      <w:framePr w:wrap="around"/>
    </w:pPr>
  </w:style>
  <w:style w:type="paragraph" w:customStyle="1" w:styleId="TableBodyText">
    <w:name w:val="Table Body Text"/>
    <w:basedOn w:val="BodyText"/>
    <w:link w:val="TableBodyTextChar"/>
    <w:rsid w:val="009F7CFA"/>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locked/>
    <w:rsid w:val="00BD19D0"/>
    <w:rPr>
      <w:rFonts w:ascii="Arial" w:hAnsi="Arial"/>
    </w:rPr>
  </w:style>
  <w:style w:type="paragraph" w:customStyle="1" w:styleId="TableBullet">
    <w:name w:val="Table Bullet"/>
    <w:basedOn w:val="TableBodyText"/>
    <w:link w:val="TableBulletChar"/>
    <w:rsid w:val="009F7CFA"/>
    <w:pPr>
      <w:numPr>
        <w:numId w:val="18"/>
      </w:numPr>
      <w:jc w:val="left"/>
    </w:pPr>
  </w:style>
  <w:style w:type="character" w:customStyle="1" w:styleId="TableBulletChar">
    <w:name w:val="Table Bullet Char"/>
    <w:basedOn w:val="DefaultParagraphFont"/>
    <w:link w:val="TableBullet"/>
    <w:locked/>
    <w:rsid w:val="00BD19D0"/>
    <w:rPr>
      <w:rFonts w:ascii="Arial" w:hAnsi="Arial"/>
    </w:rPr>
  </w:style>
  <w:style w:type="paragraph" w:customStyle="1" w:styleId="TableColumnHeading">
    <w:name w:val="Table Column Heading"/>
    <w:basedOn w:val="TableBodyText"/>
    <w:rsid w:val="009F7CFA"/>
    <w:pPr>
      <w:spacing w:before="80" w:after="80"/>
    </w:pPr>
    <w:rPr>
      <w:i/>
    </w:rPr>
  </w:style>
  <w:style w:type="paragraph" w:styleId="TOC2">
    <w:name w:val="toc 2"/>
    <w:basedOn w:val="BodyText"/>
    <w:rsid w:val="009F7CFA"/>
    <w:pPr>
      <w:tabs>
        <w:tab w:val="right" w:pos="8789"/>
      </w:tabs>
      <w:ind w:left="510" w:right="851" w:hanging="510"/>
      <w:jc w:val="left"/>
    </w:pPr>
    <w:rPr>
      <w:b/>
    </w:rPr>
  </w:style>
  <w:style w:type="paragraph" w:styleId="TOC3">
    <w:name w:val="toc 3"/>
    <w:basedOn w:val="TOC2"/>
    <w:rsid w:val="009F7CFA"/>
    <w:pPr>
      <w:spacing w:before="60"/>
      <w:ind w:left="1190" w:hanging="680"/>
    </w:pPr>
    <w:rPr>
      <w:b w:val="0"/>
    </w:rPr>
  </w:style>
  <w:style w:type="paragraph" w:styleId="TableofFigures">
    <w:name w:val="table of figures"/>
    <w:basedOn w:val="TOC3"/>
    <w:next w:val="BodyText"/>
    <w:semiHidden/>
    <w:rsid w:val="009F7CFA"/>
    <w:pPr>
      <w:ind w:left="737" w:hanging="737"/>
    </w:pPr>
  </w:style>
  <w:style w:type="paragraph" w:customStyle="1" w:styleId="TableTitle">
    <w:name w:val="Table Title"/>
    <w:basedOn w:val="Caption"/>
    <w:next w:val="Subtitle"/>
    <w:rsid w:val="009F7CFA"/>
    <w:rPr>
      <w:sz w:val="24"/>
    </w:rPr>
  </w:style>
  <w:style w:type="paragraph" w:customStyle="1" w:styleId="TableUnitsRow">
    <w:name w:val="Table Units Row"/>
    <w:basedOn w:val="TableBodyText"/>
    <w:rsid w:val="009F7CFA"/>
    <w:pPr>
      <w:spacing w:before="80" w:after="80"/>
    </w:pPr>
  </w:style>
  <w:style w:type="paragraph" w:styleId="TOC1">
    <w:name w:val="toc 1"/>
    <w:basedOn w:val="Normal"/>
    <w:next w:val="TOC2"/>
    <w:semiHidden/>
    <w:rsid w:val="009F7CFA"/>
    <w:pPr>
      <w:tabs>
        <w:tab w:val="right" w:pos="8789"/>
      </w:tabs>
      <w:spacing w:before="480" w:after="60" w:line="320" w:lineRule="exact"/>
      <w:ind w:left="1191" w:right="851" w:hanging="1191"/>
    </w:pPr>
    <w:rPr>
      <w:b/>
      <w:caps/>
    </w:rPr>
  </w:style>
  <w:style w:type="paragraph" w:styleId="TOC4">
    <w:name w:val="toc 4"/>
    <w:basedOn w:val="TOC3"/>
    <w:semiHidden/>
    <w:rsid w:val="009F7CFA"/>
    <w:pPr>
      <w:ind w:left="1191" w:firstLine="0"/>
    </w:pPr>
  </w:style>
  <w:style w:type="table" w:styleId="TableGrid">
    <w:name w:val="Table Grid"/>
    <w:basedOn w:val="TableNormal"/>
    <w:rsid w:val="00BD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5B3753"/>
    <w:rPr>
      <w:sz w:val="26"/>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9F7CFA"/>
    <w:rPr>
      <w:rFonts w:ascii="Tahoma" w:hAnsi="Tahoma" w:cs="Tahoma"/>
      <w:sz w:val="16"/>
      <w:szCs w:val="16"/>
    </w:rPr>
  </w:style>
  <w:style w:type="paragraph" w:customStyle="1" w:styleId="TableBullet2">
    <w:name w:val="Table Bullet 2"/>
    <w:basedOn w:val="BoxListBullet2"/>
    <w:rsid w:val="00BD19D0"/>
    <w:pPr>
      <w:spacing w:before="0" w:after="40" w:line="220" w:lineRule="atLeast"/>
      <w:ind w:left="568" w:hanging="284"/>
      <w:jc w:val="left"/>
    </w:pPr>
    <w:rPr>
      <w:sz w:val="20"/>
    </w:rPr>
  </w:style>
  <w:style w:type="character" w:customStyle="1" w:styleId="SubtitleChar">
    <w:name w:val="Subtitle Char"/>
    <w:basedOn w:val="DefaultParagraphFont"/>
    <w:link w:val="Subtitle"/>
    <w:rsid w:val="009F7CFA"/>
    <w:rPr>
      <w:rFonts w:ascii="Arial" w:hAnsi="Arial"/>
      <w:szCs w:val="24"/>
    </w:rPr>
  </w:style>
  <w:style w:type="paragraph" w:customStyle="1" w:styleId="RecBBullet2">
    <w:name w:val="RecB Bullet 2"/>
    <w:basedOn w:val="ListBullet2"/>
    <w:semiHidden/>
    <w:rsid w:val="009F7CFA"/>
    <w:pPr>
      <w:pBdr>
        <w:left w:val="single" w:sz="24" w:space="29" w:color="C0C0C0"/>
      </w:pBdr>
    </w:pPr>
    <w:rPr>
      <w:b/>
      <w:i/>
    </w:rPr>
  </w:style>
  <w:style w:type="character" w:customStyle="1" w:styleId="BalloonTextChar">
    <w:name w:val="Balloon Text Char"/>
    <w:basedOn w:val="DefaultParagraphFont"/>
    <w:link w:val="BalloonText"/>
    <w:rsid w:val="009F7CFA"/>
    <w:rPr>
      <w:rFonts w:ascii="Tahoma" w:hAnsi="Tahoma" w:cs="Tahoma"/>
      <w:sz w:val="16"/>
      <w:szCs w:val="16"/>
    </w:rPr>
  </w:style>
  <w:style w:type="paragraph" w:customStyle="1" w:styleId="BoxListBullet3">
    <w:name w:val="Box List Bullet 3"/>
    <w:basedOn w:val="ListBullet3"/>
    <w:rsid w:val="009F7CFA"/>
    <w:pPr>
      <w:numPr>
        <w:numId w:val="5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F7CFA"/>
    <w:rPr>
      <w:i/>
      <w:iCs/>
    </w:rPr>
  </w:style>
  <w:style w:type="paragraph" w:customStyle="1" w:styleId="BoxQuoteBullet">
    <w:name w:val="Box Quote Bullet"/>
    <w:basedOn w:val="BoxQuote"/>
    <w:next w:val="Box"/>
    <w:rsid w:val="009F7CFA"/>
    <w:pPr>
      <w:numPr>
        <w:numId w:val="48"/>
      </w:numPr>
      <w:ind w:left="568" w:hanging="284"/>
    </w:pPr>
  </w:style>
  <w:style w:type="paragraph" w:customStyle="1" w:styleId="InformationRequestBullet">
    <w:name w:val="Information Request Bullet"/>
    <w:basedOn w:val="ListBullet"/>
    <w:next w:val="BodyText"/>
    <w:rsid w:val="009F7CFA"/>
    <w:pPr>
      <w:numPr>
        <w:numId w:val="49"/>
      </w:numPr>
      <w:ind w:left="340" w:hanging="340"/>
    </w:pPr>
    <w:rPr>
      <w:rFonts w:ascii="Arial" w:hAnsi="Arial"/>
      <w:i/>
      <w:sz w:val="24"/>
    </w:rPr>
  </w:style>
  <w:style w:type="paragraph" w:customStyle="1" w:styleId="BoxSpaceAbove">
    <w:name w:val="Box Space Above"/>
    <w:basedOn w:val="BodyText"/>
    <w:rsid w:val="009F7CFA"/>
    <w:pPr>
      <w:keepNext/>
      <w:spacing w:before="360" w:line="80" w:lineRule="exact"/>
      <w:jc w:val="left"/>
    </w:pPr>
  </w:style>
  <w:style w:type="paragraph" w:customStyle="1" w:styleId="BoxSpaceBelow">
    <w:name w:val="Box Space Below"/>
    <w:basedOn w:val="Box"/>
    <w:rsid w:val="009F7CFA"/>
    <w:pPr>
      <w:keepNext w:val="0"/>
      <w:spacing w:before="60" w:after="60" w:line="80" w:lineRule="exact"/>
    </w:pPr>
    <w:rPr>
      <w:sz w:val="14"/>
    </w:rPr>
  </w:style>
  <w:style w:type="character" w:styleId="PlaceholderText">
    <w:name w:val="Placeholder Text"/>
    <w:basedOn w:val="DefaultParagraphFont"/>
    <w:uiPriority w:val="99"/>
    <w:semiHidden/>
    <w:rsid w:val="00454B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E9C977434A4470945EEAA71FDBFB09"/>
        <w:category>
          <w:name w:val="General"/>
          <w:gallery w:val="placeholder"/>
        </w:category>
        <w:types>
          <w:type w:val="bbPlcHdr"/>
        </w:types>
        <w:behaviors>
          <w:behavior w:val="content"/>
        </w:behaviors>
        <w:guid w:val="{AA26E0BE-65C6-43D9-89DB-86EF7DCD4611}"/>
      </w:docPartPr>
      <w:docPartBody>
        <w:p w:rsidR="00084AC1" w:rsidRDefault="000F4330">
          <w:r w:rsidRPr="00AB4CB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330"/>
    <w:rsid w:val="00084AC1"/>
    <w:rsid w:val="000F4330"/>
    <w:rsid w:val="008370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3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4330"/>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3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43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0</TotalTime>
  <Pages>7</Pages>
  <Words>2463</Words>
  <Characters>14356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Emergency management DQI</vt:lpstr>
    </vt:vector>
  </TitlesOfParts>
  <Company>Productivity Commission</Company>
  <LinksUpToDate>false</LinksUpToDate>
  <CharactersWithSpaces>16786</CharactersWithSpaces>
  <SharedDoc>false</SharedDoc>
  <HLinks>
    <vt:vector size="60" baseType="variant">
      <vt:variant>
        <vt:i4>4194361</vt:i4>
      </vt:variant>
      <vt:variant>
        <vt:i4>60</vt:i4>
      </vt:variant>
      <vt:variant>
        <vt:i4>0</vt:i4>
      </vt:variant>
      <vt:variant>
        <vt:i4>5</vt:i4>
      </vt:variant>
      <vt:variant>
        <vt:lpwstr>http://knowledgeweb.afac.com.au/national_data__and__glossary/national_data/data_requests</vt:lpwstr>
      </vt:variant>
      <vt:variant>
        <vt:lpwstr/>
      </vt: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5505073</vt:i4>
      </vt:variant>
      <vt:variant>
        <vt:i4>54</vt:i4>
      </vt:variant>
      <vt:variant>
        <vt:i4>0</vt:i4>
      </vt:variant>
      <vt:variant>
        <vt:i4>5</vt:i4>
      </vt:variant>
      <vt:variant>
        <vt:lpwstr>http://knowledgeweb.afac.com.au/national_data__and__glossary</vt:lpwstr>
      </vt:variant>
      <vt:variant>
        <vt:lpwstr/>
      </vt:variant>
      <vt:variant>
        <vt:i4>4194361</vt:i4>
      </vt:variant>
      <vt:variant>
        <vt:i4>36</vt:i4>
      </vt:variant>
      <vt:variant>
        <vt:i4>0</vt:i4>
      </vt:variant>
      <vt:variant>
        <vt:i4>5</vt:i4>
      </vt:variant>
      <vt:variant>
        <vt:lpwstr>http://knowledgeweb.afac.com.au/national_data__and__glossary/national_data/data_requests</vt:lpwstr>
      </vt:variant>
      <vt:variant>
        <vt:lpwstr/>
      </vt:variant>
      <vt:variant>
        <vt:i4>5505073</vt:i4>
      </vt:variant>
      <vt:variant>
        <vt:i4>33</vt:i4>
      </vt:variant>
      <vt:variant>
        <vt:i4>0</vt:i4>
      </vt:variant>
      <vt:variant>
        <vt:i4>5</vt:i4>
      </vt:variant>
      <vt:variant>
        <vt:lpwstr>http://knowledgeweb.afac.com.au/national_data__and__glossary</vt:lpwstr>
      </vt:variant>
      <vt:variant>
        <vt:lpwstr/>
      </vt:variant>
      <vt:variant>
        <vt:i4>1507389</vt:i4>
      </vt:variant>
      <vt:variant>
        <vt:i4>26</vt:i4>
      </vt:variant>
      <vt:variant>
        <vt:i4>0</vt:i4>
      </vt:variant>
      <vt:variant>
        <vt:i4>5</vt:i4>
      </vt:variant>
      <vt:variant>
        <vt:lpwstr/>
      </vt:variant>
      <vt:variant>
        <vt:lpwstr>_Toc314226855</vt:lpwstr>
      </vt:variant>
      <vt:variant>
        <vt:i4>1507389</vt:i4>
      </vt:variant>
      <vt:variant>
        <vt:i4>20</vt:i4>
      </vt:variant>
      <vt:variant>
        <vt:i4>0</vt:i4>
      </vt:variant>
      <vt:variant>
        <vt:i4>5</vt:i4>
      </vt:variant>
      <vt:variant>
        <vt:lpwstr/>
      </vt:variant>
      <vt:variant>
        <vt:lpwstr>_Toc314226854</vt:lpwstr>
      </vt:variant>
      <vt:variant>
        <vt:i4>1507389</vt:i4>
      </vt:variant>
      <vt:variant>
        <vt:i4>14</vt:i4>
      </vt:variant>
      <vt:variant>
        <vt:i4>0</vt:i4>
      </vt:variant>
      <vt:variant>
        <vt:i4>5</vt:i4>
      </vt:variant>
      <vt:variant>
        <vt:lpwstr/>
      </vt:variant>
      <vt:variant>
        <vt:lpwstr>_Toc314226853</vt:lpwstr>
      </vt:variant>
      <vt:variant>
        <vt:i4>1507389</vt:i4>
      </vt:variant>
      <vt:variant>
        <vt:i4>8</vt:i4>
      </vt:variant>
      <vt:variant>
        <vt:i4>0</vt:i4>
      </vt:variant>
      <vt:variant>
        <vt:i4>5</vt:i4>
      </vt:variant>
      <vt:variant>
        <vt:lpwstr/>
      </vt:variant>
      <vt:variant>
        <vt:lpwstr>_Toc314226852</vt:lpwstr>
      </vt:variant>
      <vt:variant>
        <vt:i4>1507389</vt:i4>
      </vt:variant>
      <vt:variant>
        <vt:i4>2</vt:i4>
      </vt:variant>
      <vt:variant>
        <vt:i4>0</vt:i4>
      </vt:variant>
      <vt:variant>
        <vt:i4>5</vt:i4>
      </vt:variant>
      <vt:variant>
        <vt:lpwstr/>
      </vt:variant>
      <vt:variant>
        <vt:lpwstr>_Toc314226851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management DQI</dc:title>
  <dc:subject>Report on Government Services 2014</dc:subject>
  <dc:creator>Steering Committee for the Review of Government Service Provision</dc:creator>
  <dc:description>D.</dc:description>
  <cp:lastModifiedBy>Frech, Tanya</cp:lastModifiedBy>
  <cp:revision>4</cp:revision>
  <cp:lastPrinted>2013-11-29T02:59:00Z</cp:lastPrinted>
  <dcterms:created xsi:type="dcterms:W3CDTF">2014-01-13T00:09:00Z</dcterms:created>
  <dcterms:modified xsi:type="dcterms:W3CDTF">2014-01-21T01:39:00Z</dcterms:modified>
</cp:coreProperties>
</file>