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285" w:rsidRPr="006A559F" w:rsidRDefault="00F156AA" w:rsidP="00F156AA">
      <w:pPr>
        <w:pStyle w:val="Heading1"/>
      </w:pPr>
      <w:bookmarkStart w:id="0" w:name="ChapterNumber"/>
      <w:bookmarkStart w:id="1" w:name="_Toc338147184"/>
      <w:bookmarkStart w:id="2" w:name="_GoBack"/>
      <w:bookmarkEnd w:id="2"/>
      <w:r>
        <w:t>E</w:t>
      </w:r>
      <w:bookmarkEnd w:id="0"/>
      <w:r>
        <w:tab/>
      </w:r>
      <w:bookmarkStart w:id="3" w:name="_Appendix"/>
      <w:bookmarkStart w:id="4" w:name="ChapterTitle"/>
      <w:bookmarkEnd w:id="3"/>
      <w:r>
        <w:t xml:space="preserve">Health sector </w:t>
      </w:r>
      <w:bookmarkEnd w:id="4"/>
      <w:r w:rsidR="00F27F98">
        <w:t>overview</w:t>
      </w:r>
      <w:bookmarkEnd w:id="1"/>
    </w:p>
    <w:p w:rsidR="005F4275" w:rsidRDefault="00EE0144">
      <w:pPr>
        <w:pStyle w:val="TOC2"/>
      </w:pPr>
      <w:bookmarkStart w:id="5" w:name="begin"/>
      <w:bookmarkEnd w:id="5"/>
      <w:r w:rsidRPr="006A559F">
        <w:t>CONTENTS</w:t>
      </w:r>
    </w:p>
    <w:p w:rsidR="005E6109" w:rsidRPr="002D0800" w:rsidRDefault="005E6109" w:rsidP="002D0800">
      <w:pPr>
        <w:pStyle w:val="TOC2"/>
        <w:rPr>
          <w:rStyle w:val="Hyperlink"/>
          <w:noProof/>
        </w:rPr>
      </w:pPr>
      <w:r w:rsidRPr="00B948B0">
        <w:rPr>
          <w:noProof/>
        </w:rPr>
        <w:t>E.1</w:t>
      </w:r>
      <w:r w:rsidRPr="00B948B0">
        <w:rPr>
          <w:noProof/>
        </w:rPr>
        <w:tab/>
        <w:t>Introduction</w:t>
      </w:r>
      <w:r w:rsidRPr="00B948B0">
        <w:rPr>
          <w:noProof/>
          <w:webHidden/>
        </w:rPr>
        <w:tab/>
        <w:t>E.</w:t>
      </w:r>
      <w:r w:rsidR="00C01FBD" w:rsidRPr="00B948B0">
        <w:rPr>
          <w:noProof/>
          <w:webHidden/>
        </w:rPr>
        <w:t>1</w:t>
      </w:r>
    </w:p>
    <w:p w:rsidR="005E6109" w:rsidRDefault="005E6109">
      <w:pPr>
        <w:pStyle w:val="TOC2"/>
        <w:rPr>
          <w:rFonts w:asciiTheme="minorHAnsi" w:eastAsiaTheme="minorEastAsia" w:hAnsiTheme="minorHAnsi" w:cstheme="minorBidi"/>
          <w:b w:val="0"/>
          <w:noProof/>
          <w:sz w:val="22"/>
          <w:szCs w:val="22"/>
        </w:rPr>
      </w:pPr>
      <w:r w:rsidRPr="00B948B0">
        <w:rPr>
          <w:noProof/>
        </w:rPr>
        <w:t>E.2</w:t>
      </w:r>
      <w:r>
        <w:rPr>
          <w:rFonts w:asciiTheme="minorHAnsi" w:eastAsiaTheme="minorEastAsia" w:hAnsiTheme="minorHAnsi" w:cstheme="minorBidi"/>
          <w:b w:val="0"/>
          <w:noProof/>
          <w:sz w:val="22"/>
          <w:szCs w:val="22"/>
        </w:rPr>
        <w:tab/>
      </w:r>
      <w:r w:rsidRPr="00B948B0">
        <w:rPr>
          <w:noProof/>
        </w:rPr>
        <w:t>Sector performance indicator framework</w:t>
      </w:r>
      <w:r>
        <w:rPr>
          <w:noProof/>
          <w:webHidden/>
        </w:rPr>
        <w:tab/>
        <w:t>E.</w:t>
      </w:r>
      <w:r w:rsidR="00C01FBD">
        <w:rPr>
          <w:noProof/>
          <w:webHidden/>
        </w:rPr>
        <w:t>10</w:t>
      </w:r>
    </w:p>
    <w:p w:rsidR="005E6109" w:rsidRDefault="005E6109">
      <w:pPr>
        <w:pStyle w:val="TOC2"/>
        <w:rPr>
          <w:rFonts w:asciiTheme="minorHAnsi" w:eastAsiaTheme="minorEastAsia" w:hAnsiTheme="minorHAnsi" w:cstheme="minorBidi"/>
          <w:b w:val="0"/>
          <w:noProof/>
          <w:sz w:val="22"/>
          <w:szCs w:val="22"/>
        </w:rPr>
      </w:pPr>
      <w:r w:rsidRPr="00B948B0">
        <w:rPr>
          <w:noProof/>
        </w:rPr>
        <w:t>E.3</w:t>
      </w:r>
      <w:r>
        <w:rPr>
          <w:rFonts w:asciiTheme="minorHAnsi" w:eastAsiaTheme="minorEastAsia" w:hAnsiTheme="minorHAnsi" w:cstheme="minorBidi"/>
          <w:b w:val="0"/>
          <w:noProof/>
          <w:sz w:val="22"/>
          <w:szCs w:val="22"/>
        </w:rPr>
        <w:tab/>
      </w:r>
      <w:r w:rsidRPr="00B948B0">
        <w:rPr>
          <w:noProof/>
        </w:rPr>
        <w:t>Cross cutting and interface issues</w:t>
      </w:r>
      <w:r>
        <w:rPr>
          <w:noProof/>
          <w:webHidden/>
        </w:rPr>
        <w:tab/>
      </w:r>
      <w:r w:rsidRPr="005E6109">
        <w:rPr>
          <w:noProof/>
          <w:webHidden/>
        </w:rPr>
        <w:t>E.</w:t>
      </w:r>
      <w:r w:rsidR="00C01FBD">
        <w:rPr>
          <w:noProof/>
          <w:webHidden/>
        </w:rPr>
        <w:t>59</w:t>
      </w:r>
    </w:p>
    <w:p w:rsidR="005E6109" w:rsidRDefault="005E6109">
      <w:pPr>
        <w:pStyle w:val="TOC2"/>
        <w:rPr>
          <w:rFonts w:asciiTheme="minorHAnsi" w:eastAsiaTheme="minorEastAsia" w:hAnsiTheme="minorHAnsi" w:cstheme="minorBidi"/>
          <w:b w:val="0"/>
          <w:noProof/>
          <w:sz w:val="22"/>
          <w:szCs w:val="22"/>
        </w:rPr>
      </w:pPr>
      <w:r w:rsidRPr="00B948B0">
        <w:rPr>
          <w:noProof/>
        </w:rPr>
        <w:t>E.4</w:t>
      </w:r>
      <w:r>
        <w:rPr>
          <w:rFonts w:asciiTheme="minorHAnsi" w:eastAsiaTheme="minorEastAsia" w:hAnsiTheme="minorHAnsi" w:cstheme="minorBidi"/>
          <w:b w:val="0"/>
          <w:noProof/>
          <w:sz w:val="22"/>
          <w:szCs w:val="22"/>
        </w:rPr>
        <w:tab/>
      </w:r>
      <w:r w:rsidRPr="00B948B0">
        <w:rPr>
          <w:noProof/>
        </w:rPr>
        <w:t>Future directions in performance reporting</w:t>
      </w:r>
      <w:r>
        <w:rPr>
          <w:noProof/>
          <w:webHidden/>
        </w:rPr>
        <w:tab/>
      </w:r>
      <w:r w:rsidRPr="005E6109">
        <w:rPr>
          <w:noProof/>
          <w:webHidden/>
        </w:rPr>
        <w:t>E.</w:t>
      </w:r>
      <w:r w:rsidR="00C01FBD">
        <w:rPr>
          <w:noProof/>
          <w:webHidden/>
        </w:rPr>
        <w:t>60</w:t>
      </w:r>
    </w:p>
    <w:p w:rsidR="005E6109" w:rsidRDefault="005E6109">
      <w:pPr>
        <w:pStyle w:val="TOC2"/>
        <w:rPr>
          <w:rFonts w:asciiTheme="minorHAnsi" w:eastAsiaTheme="minorEastAsia" w:hAnsiTheme="minorHAnsi" w:cstheme="minorBidi"/>
          <w:b w:val="0"/>
          <w:noProof/>
          <w:sz w:val="22"/>
          <w:szCs w:val="22"/>
        </w:rPr>
      </w:pPr>
      <w:r w:rsidRPr="00B948B0">
        <w:rPr>
          <w:noProof/>
        </w:rPr>
        <w:t>E.5</w:t>
      </w:r>
      <w:r>
        <w:rPr>
          <w:rFonts w:asciiTheme="minorHAnsi" w:eastAsiaTheme="minorEastAsia" w:hAnsiTheme="minorHAnsi" w:cstheme="minorBidi"/>
          <w:b w:val="0"/>
          <w:noProof/>
          <w:sz w:val="22"/>
          <w:szCs w:val="22"/>
        </w:rPr>
        <w:tab/>
      </w:r>
      <w:r w:rsidRPr="00B948B0">
        <w:rPr>
          <w:noProof/>
        </w:rPr>
        <w:t>Jurisdictions’ comments</w:t>
      </w:r>
      <w:r>
        <w:rPr>
          <w:noProof/>
          <w:webHidden/>
        </w:rPr>
        <w:tab/>
      </w:r>
      <w:r w:rsidRPr="005E6109">
        <w:rPr>
          <w:noProof/>
          <w:webHidden/>
        </w:rPr>
        <w:t>E.</w:t>
      </w:r>
      <w:r w:rsidR="00C01FBD">
        <w:rPr>
          <w:noProof/>
          <w:webHidden/>
        </w:rPr>
        <w:t>60</w:t>
      </w:r>
    </w:p>
    <w:p w:rsidR="005E6109" w:rsidRDefault="005E6109">
      <w:pPr>
        <w:pStyle w:val="TOC2"/>
        <w:rPr>
          <w:rFonts w:asciiTheme="minorHAnsi" w:eastAsiaTheme="minorEastAsia" w:hAnsiTheme="minorHAnsi" w:cstheme="minorBidi"/>
          <w:b w:val="0"/>
          <w:noProof/>
          <w:sz w:val="22"/>
          <w:szCs w:val="22"/>
        </w:rPr>
      </w:pPr>
      <w:r w:rsidRPr="00B948B0">
        <w:rPr>
          <w:noProof/>
        </w:rPr>
        <w:t>E.6</w:t>
      </w:r>
      <w:r>
        <w:rPr>
          <w:rFonts w:asciiTheme="minorHAnsi" w:eastAsiaTheme="minorEastAsia" w:hAnsiTheme="minorHAnsi" w:cstheme="minorBidi"/>
          <w:b w:val="0"/>
          <w:noProof/>
          <w:sz w:val="22"/>
          <w:szCs w:val="22"/>
        </w:rPr>
        <w:tab/>
      </w:r>
      <w:r w:rsidRPr="00B948B0">
        <w:rPr>
          <w:noProof/>
        </w:rPr>
        <w:t>List of attachment tables</w:t>
      </w:r>
      <w:r>
        <w:rPr>
          <w:noProof/>
          <w:webHidden/>
        </w:rPr>
        <w:tab/>
      </w:r>
      <w:r w:rsidRPr="005E6109">
        <w:rPr>
          <w:noProof/>
          <w:webHidden/>
        </w:rPr>
        <w:t>E.</w:t>
      </w:r>
      <w:r w:rsidR="00C01FBD">
        <w:rPr>
          <w:noProof/>
          <w:webHidden/>
        </w:rPr>
        <w:t>70</w:t>
      </w:r>
    </w:p>
    <w:p w:rsidR="005E6109" w:rsidRDefault="005E6109">
      <w:pPr>
        <w:pStyle w:val="TOC2"/>
        <w:rPr>
          <w:rFonts w:asciiTheme="minorHAnsi" w:eastAsiaTheme="minorEastAsia" w:hAnsiTheme="minorHAnsi" w:cstheme="minorBidi"/>
          <w:b w:val="0"/>
          <w:noProof/>
          <w:sz w:val="22"/>
          <w:szCs w:val="22"/>
        </w:rPr>
      </w:pPr>
      <w:r w:rsidRPr="00B948B0">
        <w:rPr>
          <w:noProof/>
        </w:rPr>
        <w:t>E.7</w:t>
      </w:r>
      <w:r>
        <w:rPr>
          <w:rFonts w:asciiTheme="minorHAnsi" w:eastAsiaTheme="minorEastAsia" w:hAnsiTheme="minorHAnsi" w:cstheme="minorBidi"/>
          <w:b w:val="0"/>
          <w:noProof/>
          <w:sz w:val="22"/>
          <w:szCs w:val="22"/>
        </w:rPr>
        <w:tab/>
      </w:r>
      <w:r w:rsidRPr="00B948B0">
        <w:rPr>
          <w:noProof/>
        </w:rPr>
        <w:t>References</w:t>
      </w:r>
      <w:r>
        <w:rPr>
          <w:noProof/>
          <w:webHidden/>
        </w:rPr>
        <w:tab/>
      </w:r>
      <w:r w:rsidRPr="005E6109">
        <w:rPr>
          <w:noProof/>
          <w:webHidden/>
        </w:rPr>
        <w:t>E.</w:t>
      </w:r>
      <w:r w:rsidR="00C01FBD">
        <w:rPr>
          <w:noProof/>
          <w:webHidden/>
        </w:rPr>
        <w:t>72</w:t>
      </w:r>
    </w:p>
    <w:p w:rsidR="0062286C" w:rsidRPr="006A559F" w:rsidRDefault="0062286C" w:rsidP="001C38ED">
      <w:pPr>
        <w:pStyle w:val="TOC2"/>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2286C" w:rsidRPr="006A559F" w:rsidTr="0062286C">
        <w:tc>
          <w:tcPr>
            <w:tcW w:w="8771" w:type="dxa"/>
            <w:tcBorders>
              <w:top w:val="single" w:sz="6" w:space="0" w:color="auto"/>
              <w:bottom w:val="nil"/>
            </w:tcBorders>
            <w:shd w:val="clear" w:color="auto" w:fill="E0E0E0"/>
          </w:tcPr>
          <w:p w:rsidR="0062286C" w:rsidRPr="006A559F" w:rsidRDefault="0062286C" w:rsidP="0062286C">
            <w:pPr>
              <w:pStyle w:val="BoxTitle"/>
            </w:pPr>
            <w:r w:rsidRPr="006A559F">
              <w:t>Attachment tables</w:t>
            </w:r>
          </w:p>
        </w:tc>
      </w:tr>
      <w:tr w:rsidR="0062286C" w:rsidRPr="006A559F" w:rsidTr="0062286C">
        <w:trPr>
          <w:cantSplit/>
        </w:trPr>
        <w:tc>
          <w:tcPr>
            <w:tcW w:w="8771" w:type="dxa"/>
            <w:tcBorders>
              <w:top w:val="nil"/>
              <w:left w:val="single" w:sz="6" w:space="0" w:color="auto"/>
              <w:bottom w:val="nil"/>
              <w:right w:val="single" w:sz="6" w:space="0" w:color="auto"/>
            </w:tcBorders>
            <w:shd w:val="clear" w:color="auto" w:fill="E0E0E0"/>
          </w:tcPr>
          <w:p w:rsidR="0062286C" w:rsidRPr="006A559F" w:rsidRDefault="0062286C" w:rsidP="00677DBA">
            <w:pPr>
              <w:pStyle w:val="Box"/>
            </w:pPr>
            <w:r w:rsidRPr="006A559F">
              <w:t xml:space="preserve">Attachment tables are identified in references throughout this </w:t>
            </w:r>
            <w:r w:rsidR="00715541">
              <w:t>sector overview</w:t>
            </w:r>
            <w:r w:rsidRPr="006A559F">
              <w:t xml:space="preserve"> by an ‘</w:t>
            </w:r>
            <w:proofErr w:type="spellStart"/>
            <w:r w:rsidR="007B062E">
              <w:t>E</w:t>
            </w:r>
            <w:r w:rsidRPr="006A559F">
              <w:t>A</w:t>
            </w:r>
            <w:proofErr w:type="spellEnd"/>
            <w:r w:rsidRPr="006A559F">
              <w:t xml:space="preserve">’ </w:t>
            </w:r>
            <w:r w:rsidR="00762F83">
              <w:t>prefix</w:t>
            </w:r>
            <w:r w:rsidRPr="006A559F">
              <w:t xml:space="preserve"> (for example, table </w:t>
            </w:r>
            <w:proofErr w:type="spellStart"/>
            <w:r w:rsidRPr="006A559F">
              <w:t>EA.</w:t>
            </w:r>
            <w:r w:rsidR="00503BD1">
              <w:t>1</w:t>
            </w:r>
            <w:proofErr w:type="spellEnd"/>
            <w:r w:rsidRPr="006A559F">
              <w:t xml:space="preserve">). A full list of attachment tables is provided at the end of this </w:t>
            </w:r>
            <w:r w:rsidR="00715541">
              <w:t>sector overview</w:t>
            </w:r>
            <w:r w:rsidRPr="006A559F">
              <w:t xml:space="preserve">, and the attachment tables are available </w:t>
            </w:r>
            <w:r w:rsidR="00AB2A31" w:rsidRPr="006A559F">
              <w:t xml:space="preserve">from the Review website at </w:t>
            </w:r>
            <w:proofErr w:type="spellStart"/>
            <w:r w:rsidR="00AB2A31" w:rsidRPr="006A559F">
              <w:t>www.pc.gov.au</w:t>
            </w:r>
            <w:proofErr w:type="spellEnd"/>
            <w:r w:rsidR="00AB2A31" w:rsidRPr="006A559F">
              <w:t>/</w:t>
            </w:r>
            <w:proofErr w:type="spellStart"/>
            <w:r w:rsidR="00AB2A31" w:rsidRPr="006A559F">
              <w:t>gsp</w:t>
            </w:r>
            <w:proofErr w:type="spellEnd"/>
            <w:r w:rsidRPr="006A559F">
              <w:t>.</w:t>
            </w:r>
          </w:p>
        </w:tc>
      </w:tr>
      <w:tr w:rsidR="0062286C" w:rsidRPr="006A559F" w:rsidTr="0062286C">
        <w:trPr>
          <w:cantSplit/>
        </w:trPr>
        <w:tc>
          <w:tcPr>
            <w:tcW w:w="8771" w:type="dxa"/>
            <w:tcBorders>
              <w:top w:val="nil"/>
              <w:left w:val="single" w:sz="6" w:space="0" w:color="auto"/>
              <w:bottom w:val="single" w:sz="6" w:space="0" w:color="auto"/>
              <w:right w:val="single" w:sz="6" w:space="0" w:color="auto"/>
            </w:tcBorders>
            <w:shd w:val="clear" w:color="auto" w:fill="E0E0E0"/>
          </w:tcPr>
          <w:p w:rsidR="0062286C" w:rsidRPr="006A559F" w:rsidRDefault="0062286C" w:rsidP="0062286C">
            <w:pPr>
              <w:spacing w:line="120" w:lineRule="exact"/>
            </w:pPr>
          </w:p>
        </w:tc>
      </w:tr>
      <w:tr w:rsidR="00C8377B" w:rsidRPr="006A559F" w:rsidTr="00C8377B">
        <w:tc>
          <w:tcPr>
            <w:tcW w:w="8771" w:type="dxa"/>
            <w:tcBorders>
              <w:top w:val="nil"/>
              <w:left w:val="nil"/>
              <w:bottom w:val="nil"/>
              <w:right w:val="nil"/>
            </w:tcBorders>
          </w:tcPr>
          <w:p w:rsidR="00C8377B" w:rsidRPr="006A559F" w:rsidRDefault="00C8377B" w:rsidP="00C8377B">
            <w:pPr>
              <w:spacing w:before="60" w:after="60" w:line="80" w:lineRule="exact"/>
              <w:rPr>
                <w:b/>
                <w:color w:val="FF00FF"/>
                <w:sz w:val="14"/>
              </w:rPr>
            </w:pPr>
          </w:p>
        </w:tc>
      </w:tr>
    </w:tbl>
    <w:p w:rsidR="00EA61C4" w:rsidRPr="005E6109" w:rsidRDefault="00F156AA" w:rsidP="00EA61C4">
      <w:pPr>
        <w:pStyle w:val="Heading2"/>
      </w:pPr>
      <w:bookmarkStart w:id="6" w:name="_Toc313526078"/>
      <w:bookmarkStart w:id="7" w:name="_Toc338147185"/>
      <w:proofErr w:type="spellStart"/>
      <w:r>
        <w:t>E.</w:t>
      </w:r>
      <w:r w:rsidR="00C01FBD">
        <w:rPr>
          <w:noProof/>
        </w:rPr>
        <w:t>1</w:t>
      </w:r>
      <w:proofErr w:type="spellEnd"/>
      <w:r w:rsidR="00EE0144" w:rsidRPr="005E6109">
        <w:tab/>
      </w:r>
      <w:r w:rsidR="00EA61C4" w:rsidRPr="005E6109">
        <w:t>Introduction</w:t>
      </w:r>
      <w:bookmarkEnd w:id="6"/>
      <w:bookmarkEnd w:id="7"/>
    </w:p>
    <w:p w:rsidR="008F1615" w:rsidRDefault="008F1615" w:rsidP="008F1615">
      <w:pPr>
        <w:pStyle w:val="BodyText"/>
      </w:pPr>
      <w:r w:rsidRPr="005E6109">
        <w:t xml:space="preserve">This </w:t>
      </w:r>
      <w:r w:rsidR="00715541">
        <w:t>sector overview</w:t>
      </w:r>
      <w:r w:rsidRPr="005E6109">
        <w:t xml:space="preserve"> provides an introduction to the Public hospitals </w:t>
      </w:r>
      <w:r w:rsidR="002E4CA8" w:rsidRPr="005E6109">
        <w:t>(</w:t>
      </w:r>
      <w:r w:rsidRPr="005E6109">
        <w:t>chapter 10</w:t>
      </w:r>
      <w:r w:rsidR="002E4CA8" w:rsidRPr="005E6109">
        <w:t>)</w:t>
      </w:r>
      <w:r w:rsidRPr="005E6109">
        <w:t xml:space="preserve">, Primary and community health </w:t>
      </w:r>
      <w:r w:rsidR="002E4CA8" w:rsidRPr="005E6109">
        <w:t>(</w:t>
      </w:r>
      <w:r w:rsidRPr="005E6109">
        <w:t>chapter 11</w:t>
      </w:r>
      <w:r w:rsidR="002E4CA8" w:rsidRPr="005E6109">
        <w:t>),</w:t>
      </w:r>
      <w:r w:rsidRPr="005E6109">
        <w:t xml:space="preserve"> and </w:t>
      </w:r>
      <w:r w:rsidR="00AF4F2D" w:rsidRPr="005E6109">
        <w:t>Mental h</w:t>
      </w:r>
      <w:r w:rsidRPr="005E6109">
        <w:t>ealth management</w:t>
      </w:r>
      <w:r w:rsidR="002E4CA8" w:rsidRPr="005E6109">
        <w:t xml:space="preserve"> (c</w:t>
      </w:r>
      <w:r w:rsidRPr="005E6109">
        <w:t xml:space="preserve">hapter 12) </w:t>
      </w:r>
      <w:r w:rsidR="002E4CA8" w:rsidRPr="005E6109">
        <w:t xml:space="preserve">chapters of this Report. </w:t>
      </w:r>
      <w:r w:rsidRPr="005E6109">
        <w:t>It provides an overview of the health sector,</w:t>
      </w:r>
      <w:r w:rsidR="00007490" w:rsidRPr="005E6109">
        <w:t xml:space="preserve"> </w:t>
      </w:r>
      <w:r w:rsidRPr="005E6109">
        <w:t>presenting both contextual information and high level performance information.</w:t>
      </w:r>
    </w:p>
    <w:p w:rsidR="008F1615" w:rsidRPr="005E6109" w:rsidRDefault="008F1615" w:rsidP="008F1615">
      <w:pPr>
        <w:pStyle w:val="BodyText"/>
      </w:pPr>
      <w:r w:rsidRPr="005E6109">
        <w:t>Major improvements in reporting in health this year are identified in each of the service-specific health chapters.</w:t>
      </w:r>
    </w:p>
    <w:p w:rsidR="00622285" w:rsidRDefault="008C0C19" w:rsidP="00CF7AC3">
      <w:pPr>
        <w:pStyle w:val="BodyText"/>
      </w:pPr>
      <w:r w:rsidRPr="005E6109">
        <w:t xml:space="preserve">Health </w:t>
      </w:r>
      <w:r w:rsidR="00622285" w:rsidRPr="005E6109">
        <w:t xml:space="preserve">services are concerned with promoting, restoring and maintaining a healthy society. They involve illness prevention, health promotion, </w:t>
      </w:r>
      <w:r w:rsidR="00456F7B" w:rsidRPr="005E6109">
        <w:t xml:space="preserve">the </w:t>
      </w:r>
      <w:r w:rsidR="00622285" w:rsidRPr="005E6109">
        <w:t>de</w:t>
      </w:r>
      <w:r w:rsidR="00505E07" w:rsidRPr="005E6109">
        <w:t xml:space="preserve">tection and </w:t>
      </w:r>
      <w:r w:rsidR="00505E07" w:rsidRPr="005E6109">
        <w:lastRenderedPageBreak/>
        <w:t>treatment of illness</w:t>
      </w:r>
      <w:r w:rsidR="00622285" w:rsidRPr="005E6109">
        <w:t xml:space="preserve"> and injury, and the rehabilitation and palliative care of individuals who experience illness and injury. </w:t>
      </w:r>
      <w:r w:rsidR="001A4799" w:rsidRPr="005E6109">
        <w:t>T</w:t>
      </w:r>
      <w:r w:rsidR="00622285" w:rsidRPr="005E6109">
        <w:t xml:space="preserve">he health system </w:t>
      </w:r>
      <w:r w:rsidR="00D05570" w:rsidRPr="005E6109">
        <w:t xml:space="preserve">also </w:t>
      </w:r>
      <w:r w:rsidR="00622285" w:rsidRPr="005E6109">
        <w:t>includes a range of activities that raise awareness of health issues, thereby reducing the risk and onset of illness and injury.</w:t>
      </w:r>
    </w:p>
    <w:p w:rsidR="002E4CA8" w:rsidRPr="005E6109" w:rsidRDefault="002E4CA8" w:rsidP="002E4CA8">
      <w:pPr>
        <w:pStyle w:val="Heading3"/>
      </w:pPr>
      <w:r w:rsidRPr="005E6109">
        <w:t>Policy context</w:t>
      </w:r>
    </w:p>
    <w:p w:rsidR="002E4CA8" w:rsidRPr="00986CD1" w:rsidRDefault="002E4CA8" w:rsidP="002E4CA8">
      <w:pPr>
        <w:pStyle w:val="BodyText"/>
      </w:pPr>
      <w:r>
        <w:t>All levels of government in Australia fund, deliver and regulate health services, with most of the activ</w:t>
      </w:r>
      <w:r w:rsidR="00F33C7E">
        <w:t>ity performed by the Australian, S</w:t>
      </w:r>
      <w:r>
        <w:t xml:space="preserve">tate and </w:t>
      </w:r>
      <w:r w:rsidR="00F33C7E">
        <w:t>T</w:t>
      </w:r>
      <w:r>
        <w:t xml:space="preserve">erritory governments. </w:t>
      </w:r>
      <w:r w:rsidRPr="00986CD1">
        <w:t>The Australian Government’s health services activities include:</w:t>
      </w:r>
    </w:p>
    <w:p w:rsidR="002E4CA8" w:rsidRPr="00986CD1" w:rsidRDefault="002E4CA8" w:rsidP="002E4CA8">
      <w:pPr>
        <w:pStyle w:val="ListBullet"/>
      </w:pPr>
      <w:r w:rsidRPr="00986CD1">
        <w:t>fund</w:t>
      </w:r>
      <w:r w:rsidR="00F33C7E">
        <w:t>ing</w:t>
      </w:r>
      <w:r w:rsidRPr="00986CD1">
        <w:t xml:space="preserve"> </w:t>
      </w:r>
      <w:r w:rsidR="00AB25A3" w:rsidRPr="00766328">
        <w:rPr>
          <w:shd w:val="clear" w:color="auto" w:fill="FFFFFF" w:themeFill="background1"/>
        </w:rPr>
        <w:t xml:space="preserve">State </w:t>
      </w:r>
      <w:r w:rsidR="00D77137" w:rsidRPr="00766328">
        <w:rPr>
          <w:shd w:val="clear" w:color="auto" w:fill="FFFFFF" w:themeFill="background1"/>
        </w:rPr>
        <w:t xml:space="preserve">and </w:t>
      </w:r>
      <w:r w:rsidR="00AB25A3" w:rsidRPr="00766328">
        <w:rPr>
          <w:shd w:val="clear" w:color="auto" w:fill="FFFFFF" w:themeFill="background1"/>
        </w:rPr>
        <w:t xml:space="preserve">Territory governments </w:t>
      </w:r>
      <w:r w:rsidR="00D77137" w:rsidRPr="00766328">
        <w:rPr>
          <w:shd w:val="clear" w:color="auto" w:fill="FFFFFF" w:themeFill="background1"/>
        </w:rPr>
        <w:t>to assist with the cost</w:t>
      </w:r>
      <w:r w:rsidR="00D77137">
        <w:t xml:space="preserve"> of providing public hospital services in line with the National Health Reform Agreement and the National Healthcare Agreement (</w:t>
      </w:r>
      <w:proofErr w:type="spellStart"/>
      <w:r w:rsidR="00D77137">
        <w:t>NHA</w:t>
      </w:r>
      <w:proofErr w:type="spellEnd"/>
      <w:r w:rsidR="00D77137">
        <w:t>)</w:t>
      </w:r>
      <w:r w:rsidRPr="00986CD1">
        <w:t xml:space="preserve"> </w:t>
      </w:r>
    </w:p>
    <w:p w:rsidR="002E4CA8" w:rsidRPr="00986CD1" w:rsidRDefault="002E4CA8" w:rsidP="002E4CA8">
      <w:pPr>
        <w:pStyle w:val="ListBullet"/>
      </w:pPr>
      <w:r w:rsidRPr="00986CD1">
        <w:t xml:space="preserve">providing rebates to patients </w:t>
      </w:r>
      <w:r>
        <w:t>and regulating</w:t>
      </w:r>
      <w:r w:rsidRPr="00986CD1">
        <w:t xml:space="preserve"> medical services provided by </w:t>
      </w:r>
      <w:r w:rsidR="00F33C7E">
        <w:t>General Practitioners (</w:t>
      </w:r>
      <w:r w:rsidRPr="00986CD1">
        <w:t>GPs</w:t>
      </w:r>
      <w:r w:rsidR="00F33C7E">
        <w:t>)</w:t>
      </w:r>
      <w:r w:rsidRPr="00986CD1">
        <w:t xml:space="preserve"> and specialists</w:t>
      </w:r>
      <w:r w:rsidR="00DE3410">
        <w:t>,</w:t>
      </w:r>
      <w:r w:rsidRPr="00986CD1">
        <w:t xml:space="preserve"> </w:t>
      </w:r>
      <w:r w:rsidR="001A4799">
        <w:t>practice nurses, and some services provided by allied health professionals</w:t>
      </w:r>
      <w:r w:rsidR="006F41D3">
        <w:t xml:space="preserve"> (such as Medicare)</w:t>
      </w:r>
      <w:r w:rsidR="001A4799">
        <w:t xml:space="preserve">, </w:t>
      </w:r>
      <w:r w:rsidRPr="00986CD1">
        <w:t>and delivering public health programs</w:t>
      </w:r>
    </w:p>
    <w:p w:rsidR="002E4CA8" w:rsidRPr="00986CD1" w:rsidRDefault="002E4CA8" w:rsidP="002E4CA8">
      <w:pPr>
        <w:pStyle w:val="ListBullet"/>
      </w:pPr>
      <w:r w:rsidRPr="00986CD1">
        <w:t xml:space="preserve">funding </w:t>
      </w:r>
      <w:r>
        <w:t xml:space="preserve">and regulating </w:t>
      </w:r>
      <w:r w:rsidRPr="00986CD1">
        <w:t xml:space="preserve">the </w:t>
      </w:r>
      <w:r w:rsidR="00F33C7E">
        <w:t>Pharmaceutical Benefits Scheme (</w:t>
      </w:r>
      <w:proofErr w:type="spellStart"/>
      <w:r w:rsidRPr="00986CD1">
        <w:t>PBS</w:t>
      </w:r>
      <w:proofErr w:type="spellEnd"/>
      <w:r w:rsidR="00F33C7E">
        <w:t>)</w:t>
      </w:r>
    </w:p>
    <w:p w:rsidR="002E4CA8" w:rsidRPr="00986CD1" w:rsidRDefault="002E4CA8" w:rsidP="002E4CA8">
      <w:pPr>
        <w:pStyle w:val="ListBullet"/>
      </w:pPr>
      <w:r w:rsidRPr="00986CD1">
        <w:t xml:space="preserve">funding </w:t>
      </w:r>
      <w:r>
        <w:t xml:space="preserve">and regulating </w:t>
      </w:r>
      <w:r w:rsidRPr="00986CD1">
        <w:t>private health insurance rebates</w:t>
      </w:r>
    </w:p>
    <w:p w:rsidR="002E4CA8" w:rsidRPr="00986CD1" w:rsidRDefault="002E4CA8" w:rsidP="002E4CA8">
      <w:pPr>
        <w:pStyle w:val="ListBullet"/>
      </w:pPr>
      <w:r w:rsidRPr="00986CD1">
        <w:t>funding improved access to primary health care</w:t>
      </w:r>
      <w:r>
        <w:t xml:space="preserve">, including </w:t>
      </w:r>
      <w:r w:rsidRPr="00986CD1">
        <w:t>Indigenous</w:t>
      </w:r>
      <w:r w:rsidRPr="00986CD1">
        <w:noBreakHyphen/>
        <w:t>specific primary health, specialist services and infrastructure for rural and remote communities</w:t>
      </w:r>
    </w:p>
    <w:p w:rsidR="002E4CA8" w:rsidRPr="00986CD1" w:rsidRDefault="002E4CA8" w:rsidP="002E4CA8">
      <w:pPr>
        <w:pStyle w:val="ListBullet"/>
      </w:pPr>
      <w:r w:rsidRPr="00986CD1">
        <w:t>promulgating and coordinating health regulations</w:t>
      </w:r>
    </w:p>
    <w:p w:rsidR="002E4CA8" w:rsidRPr="00986CD1" w:rsidRDefault="002E4CA8" w:rsidP="002E4CA8">
      <w:pPr>
        <w:pStyle w:val="ListBullet"/>
        <w:pBdr>
          <w:bar w:val="single" w:sz="4" w:color="auto"/>
        </w:pBdr>
      </w:pPr>
      <w:r w:rsidRPr="00986CD1">
        <w:t>undertaking health policy research and policy coordination across the Australian, State and Territory governments</w:t>
      </w:r>
    </w:p>
    <w:p w:rsidR="002E4CA8" w:rsidRPr="00986CD1" w:rsidRDefault="002E4CA8" w:rsidP="002E4CA8">
      <w:pPr>
        <w:pStyle w:val="ListBullet"/>
      </w:pPr>
      <w:r w:rsidRPr="00986CD1">
        <w:t>funding hospital services and the provision of other services through the Department of Veterans’ Affairs</w:t>
      </w:r>
    </w:p>
    <w:p w:rsidR="002E4CA8" w:rsidRPr="00986CD1" w:rsidRDefault="002E4CA8" w:rsidP="002E4CA8">
      <w:pPr>
        <w:pStyle w:val="ListBullet"/>
      </w:pPr>
      <w:r w:rsidRPr="00986CD1">
        <w:t>funding hearing services for eligible Australians through the Australian Government Hearing Services Program</w:t>
      </w:r>
    </w:p>
    <w:p w:rsidR="002E4CA8" w:rsidRPr="00986CD1" w:rsidRDefault="002E4CA8" w:rsidP="002E4CA8">
      <w:pPr>
        <w:pStyle w:val="ListBullet"/>
      </w:pPr>
      <w:r w:rsidRPr="00986CD1">
        <w:t>funding the Medicare Safety Net.</w:t>
      </w:r>
    </w:p>
    <w:p w:rsidR="009101AB" w:rsidRDefault="002E4CA8" w:rsidP="009101AB">
      <w:pPr>
        <w:pStyle w:val="BodyText"/>
      </w:pPr>
      <w:r w:rsidRPr="00986CD1">
        <w:t xml:space="preserve">State and Territory governments contribute funding for, and deliver, a range of health care services (including services specifically for </w:t>
      </w:r>
      <w:r w:rsidR="00550FB3">
        <w:t>Indigenous Australians</w:t>
      </w:r>
      <w:r w:rsidR="009101AB">
        <w:t>) such as:</w:t>
      </w:r>
    </w:p>
    <w:p w:rsidR="00715541" w:rsidRDefault="00715541" w:rsidP="00715541">
      <w:pPr>
        <w:pStyle w:val="ListBullet"/>
      </w:pPr>
      <w:r w:rsidRPr="00986CD1">
        <w:t>community health services</w:t>
      </w:r>
    </w:p>
    <w:p w:rsidR="00715541" w:rsidRDefault="00715541" w:rsidP="00715541">
      <w:pPr>
        <w:pStyle w:val="ListBullet"/>
      </w:pPr>
      <w:r w:rsidRPr="00986CD1">
        <w:t>mental health programs</w:t>
      </w:r>
    </w:p>
    <w:p w:rsidR="00715541" w:rsidRDefault="00715541" w:rsidP="00715541">
      <w:pPr>
        <w:pStyle w:val="ListBullet"/>
      </w:pPr>
      <w:r w:rsidRPr="00986CD1">
        <w:lastRenderedPageBreak/>
        <w:t xml:space="preserve">specialist palliative care </w:t>
      </w:r>
    </w:p>
    <w:p w:rsidR="00715541" w:rsidRPr="00986CD1" w:rsidRDefault="00715541" w:rsidP="00715541">
      <w:pPr>
        <w:pStyle w:val="ListBullet"/>
      </w:pPr>
      <w:r w:rsidRPr="00986CD1">
        <w:t>public hospital services</w:t>
      </w:r>
    </w:p>
    <w:p w:rsidR="00715541" w:rsidRPr="00986CD1" w:rsidRDefault="00715541" w:rsidP="00715541">
      <w:pPr>
        <w:pStyle w:val="ListBullet"/>
        <w:numPr>
          <w:ilvl w:val="0"/>
          <w:numId w:val="1"/>
        </w:numPr>
      </w:pPr>
      <w:r w:rsidRPr="00986CD1">
        <w:t xml:space="preserve">public dental services </w:t>
      </w:r>
    </w:p>
    <w:p w:rsidR="00715541" w:rsidRDefault="00715541" w:rsidP="00715541">
      <w:pPr>
        <w:pStyle w:val="ListBullet"/>
        <w:numPr>
          <w:ilvl w:val="0"/>
          <w:numId w:val="1"/>
        </w:numPr>
      </w:pPr>
      <w:r w:rsidRPr="00986CD1">
        <w:t xml:space="preserve">patient transport </w:t>
      </w:r>
    </w:p>
    <w:p w:rsidR="005E6109" w:rsidRPr="00986CD1" w:rsidRDefault="005E6109" w:rsidP="00715541">
      <w:pPr>
        <w:pStyle w:val="ListBullet"/>
        <w:numPr>
          <w:ilvl w:val="0"/>
          <w:numId w:val="1"/>
        </w:numPr>
      </w:pPr>
      <w:r w:rsidRPr="00986CD1">
        <w:t>health policy research and policy development</w:t>
      </w:r>
    </w:p>
    <w:p w:rsidR="002E4CA8" w:rsidRPr="00986CD1" w:rsidRDefault="002E4CA8" w:rsidP="002E4CA8">
      <w:pPr>
        <w:pStyle w:val="ListBullet"/>
        <w:numPr>
          <w:ilvl w:val="0"/>
          <w:numId w:val="1"/>
        </w:numPr>
      </w:pPr>
      <w:r w:rsidRPr="00986CD1">
        <w:t>public health (such as health promotion programs and disease prevention)</w:t>
      </w:r>
    </w:p>
    <w:p w:rsidR="002E4CA8" w:rsidRPr="00986CD1" w:rsidRDefault="002E4CA8" w:rsidP="002E4CA8">
      <w:pPr>
        <w:pStyle w:val="ListBullet"/>
        <w:numPr>
          <w:ilvl w:val="0"/>
          <w:numId w:val="1"/>
        </w:numPr>
      </w:pPr>
      <w:r w:rsidRPr="00986CD1">
        <w:t>the regulation, inspection, licensing and monitoring of premises, institutions and personnel</w:t>
      </w:r>
      <w:r w:rsidR="005E6109">
        <w:t>.</w:t>
      </w:r>
    </w:p>
    <w:p w:rsidR="002E4CA8" w:rsidRPr="00986CD1" w:rsidRDefault="002E4CA8" w:rsidP="002E4CA8">
      <w:pPr>
        <w:pStyle w:val="BodyText"/>
      </w:pPr>
      <w:r w:rsidRPr="00986CD1">
        <w:t>Local governments are generally involved in environmental control and a range of community</w:t>
      </w:r>
      <w:r w:rsidRPr="00986CD1">
        <w:noBreakHyphen/>
        <w:t>based and home care services, although the exact nature of their involvement varies across jurisdictions. The non</w:t>
      </w:r>
      <w:r w:rsidRPr="00986CD1">
        <w:noBreakHyphen/>
        <w:t>government sector plays a significant role in the health system, delivering general practice and specialist medical and surgical services, dental services, a range of other allied health services (such as optometry and physiotherapy)</w:t>
      </w:r>
      <w:r w:rsidR="00863997">
        <w:t xml:space="preserve"> and</w:t>
      </w:r>
      <w:r w:rsidRPr="00986CD1">
        <w:t xml:space="preserve"> private hospitals.</w:t>
      </w:r>
    </w:p>
    <w:p w:rsidR="00B6000D" w:rsidRPr="005E6109" w:rsidRDefault="00B6000D" w:rsidP="00B6000D">
      <w:pPr>
        <w:pStyle w:val="Heading3"/>
      </w:pPr>
      <w:r w:rsidRPr="005E6109">
        <w:t>Sector scope</w:t>
      </w:r>
    </w:p>
    <w:p w:rsidR="0068748A" w:rsidRPr="00C2532E" w:rsidRDefault="00891B03" w:rsidP="00CF7AC3">
      <w:pPr>
        <w:pStyle w:val="BodyText"/>
      </w:pPr>
      <w:r w:rsidRPr="00C2532E">
        <w:t>Health services in Australia are delivered by a variety of government and non</w:t>
      </w:r>
      <w:r w:rsidR="00614F74" w:rsidRPr="00C2532E">
        <w:noBreakHyphen/>
      </w:r>
      <w:r w:rsidRPr="00C2532E">
        <w:t>government providers in a range of service settings</w:t>
      </w:r>
      <w:r w:rsidR="00962AC2" w:rsidRPr="00C2532E">
        <w:t>. This</w:t>
      </w:r>
      <w:r w:rsidRPr="00C2532E">
        <w:t xml:space="preserve"> Report primarily concentrates on the performance of public hospitals (</w:t>
      </w:r>
      <w:r w:rsidR="00D641CD" w:rsidRPr="00C2532E">
        <w:t>chapter</w:t>
      </w:r>
      <w:r w:rsidR="00E0307A" w:rsidRPr="00C2532E">
        <w:t> </w:t>
      </w:r>
      <w:r w:rsidR="00347CCB" w:rsidRPr="00C2532E">
        <w:t>10</w:t>
      </w:r>
      <w:r w:rsidRPr="00C2532E">
        <w:t>)</w:t>
      </w:r>
      <w:r w:rsidR="00991F4F" w:rsidRPr="00C2532E">
        <w:t>,</w:t>
      </w:r>
      <w:r w:rsidRPr="00C2532E">
        <w:t xml:space="preserve"> primary and community health services (including general practice) (</w:t>
      </w:r>
      <w:r w:rsidR="00D641CD" w:rsidRPr="00C2532E">
        <w:t>chapter</w:t>
      </w:r>
      <w:r w:rsidR="00E0307A" w:rsidRPr="00C2532E">
        <w:t> </w:t>
      </w:r>
      <w:r w:rsidR="00347CCB" w:rsidRPr="00C2532E">
        <w:t>11</w:t>
      </w:r>
      <w:r w:rsidRPr="00C2532E">
        <w:t xml:space="preserve">) </w:t>
      </w:r>
      <w:r w:rsidR="00AF4F2D">
        <w:t xml:space="preserve">and </w:t>
      </w:r>
      <w:r w:rsidR="00991F4F" w:rsidRPr="00C2532E">
        <w:t xml:space="preserve">mental health </w:t>
      </w:r>
      <w:r w:rsidR="00AF4F2D">
        <w:t>management</w:t>
      </w:r>
      <w:r w:rsidR="00991F4F" w:rsidRPr="00C2532E">
        <w:t xml:space="preserve"> (</w:t>
      </w:r>
      <w:r w:rsidR="00D641CD" w:rsidRPr="00C2532E">
        <w:t>chapter</w:t>
      </w:r>
      <w:r w:rsidR="00E0307A" w:rsidRPr="00C2532E">
        <w:t> </w:t>
      </w:r>
      <w:r w:rsidR="00347CCB" w:rsidRPr="00C2532E">
        <w:t>12</w:t>
      </w:r>
      <w:r w:rsidR="00991F4F" w:rsidRPr="00C2532E">
        <w:t>)</w:t>
      </w:r>
      <w:r w:rsidR="00936D6E">
        <w:t xml:space="preserve">. </w:t>
      </w:r>
      <w:r w:rsidR="0068748A" w:rsidRPr="00C2532E">
        <w:t xml:space="preserve">These services are selected </w:t>
      </w:r>
      <w:r w:rsidR="00FB673E" w:rsidRPr="00C2532E">
        <w:t xml:space="preserve">for reporting </w:t>
      </w:r>
      <w:r w:rsidR="0068748A" w:rsidRPr="00C2532E">
        <w:t>as they</w:t>
      </w:r>
      <w:r w:rsidR="006447AB" w:rsidRPr="00C2532E">
        <w:t>:</w:t>
      </w:r>
    </w:p>
    <w:p w:rsidR="006447AB" w:rsidRPr="00986CD1" w:rsidRDefault="006447AB" w:rsidP="006447AB">
      <w:pPr>
        <w:pStyle w:val="ListBullet"/>
      </w:pPr>
      <w:r w:rsidRPr="00986CD1">
        <w:t xml:space="preserve">make an important contribution to the health </w:t>
      </w:r>
      <w:r w:rsidR="004A1A28" w:rsidRPr="00986CD1">
        <w:t>of the community</w:t>
      </w:r>
    </w:p>
    <w:p w:rsidR="0068748A" w:rsidRPr="00986CD1" w:rsidRDefault="00F70478" w:rsidP="0068748A">
      <w:pPr>
        <w:pStyle w:val="ListBullet"/>
      </w:pPr>
      <w:r w:rsidRPr="00986CD1">
        <w:t>reflect government priorities</w:t>
      </w:r>
      <w:r w:rsidR="0068748A" w:rsidRPr="00986CD1">
        <w:t>, for example, the</w:t>
      </w:r>
      <w:r w:rsidR="00D641CD" w:rsidRPr="00986CD1">
        <w:t>y fall within the</w:t>
      </w:r>
      <w:r w:rsidR="0068748A" w:rsidRPr="00986CD1">
        <w:t xml:space="preserve"> National Health Priority </w:t>
      </w:r>
      <w:r w:rsidR="00302753" w:rsidRPr="00986CD1">
        <w:t>Areas</w:t>
      </w:r>
    </w:p>
    <w:p w:rsidR="00891B03" w:rsidRPr="00986CD1" w:rsidRDefault="0019536F" w:rsidP="00891B03">
      <w:pPr>
        <w:pStyle w:val="ListBullet"/>
      </w:pPr>
      <w:r w:rsidRPr="00986CD1">
        <w:t>represent significant component</w:t>
      </w:r>
      <w:r w:rsidR="001107BA" w:rsidRPr="00986CD1">
        <w:t>s</w:t>
      </w:r>
      <w:r w:rsidRPr="00986CD1">
        <w:t xml:space="preserve"> of government </w:t>
      </w:r>
      <w:r w:rsidR="00C326CD">
        <w:t>expenditure on health</w:t>
      </w:r>
      <w:r w:rsidR="00562C91" w:rsidRPr="00986CD1">
        <w:t>care</w:t>
      </w:r>
    </w:p>
    <w:p w:rsidR="00891B03" w:rsidRDefault="00891B03" w:rsidP="00891B03">
      <w:pPr>
        <w:pStyle w:val="ListBullet"/>
      </w:pPr>
      <w:r w:rsidRPr="00986CD1">
        <w:t>have common objectives across jurisdictions.</w:t>
      </w:r>
    </w:p>
    <w:p w:rsidR="00503BD1" w:rsidRPr="00986CD1" w:rsidRDefault="00503BD1" w:rsidP="00503BD1">
      <w:pPr>
        <w:pStyle w:val="BodyText"/>
      </w:pPr>
      <w:r>
        <w:t>H</w:t>
      </w:r>
      <w:r w:rsidRPr="00986CD1">
        <w:t>igh level residential aged care services and patient transport (ambulance) services are not covered in the health chapters in this Report, but are reported separately in chapter 13 (‘Aged care services’) and chapter 9 (‘</w:t>
      </w:r>
      <w:r w:rsidR="00DF6304">
        <w:t>Fire, road rescue and ambulance</w:t>
      </w:r>
      <w:r w:rsidRPr="00986CD1">
        <w:t>’).</w:t>
      </w:r>
    </w:p>
    <w:p w:rsidR="0044145A" w:rsidRPr="00986CD1" w:rsidRDefault="0044145A" w:rsidP="0044145A">
      <w:pPr>
        <w:pStyle w:val="BodyText"/>
      </w:pPr>
      <w:r w:rsidRPr="00986CD1">
        <w:t>Other major areas of government involvement in health provision not covered in the health chapters, or elsewhere in the Report, include:</w:t>
      </w:r>
    </w:p>
    <w:p w:rsidR="0044145A" w:rsidRPr="00986CD1" w:rsidRDefault="0044145A" w:rsidP="0044145A">
      <w:pPr>
        <w:pStyle w:val="ListBullet"/>
      </w:pPr>
      <w:r w:rsidRPr="00986CD1">
        <w:t>public health programs, other than those for mental health</w:t>
      </w:r>
    </w:p>
    <w:p w:rsidR="0044145A" w:rsidRPr="00986CD1" w:rsidRDefault="0044145A" w:rsidP="0044145A">
      <w:pPr>
        <w:pStyle w:val="ListBullet"/>
      </w:pPr>
      <w:r w:rsidRPr="00986CD1">
        <w:t>funding for specialist medical practitioners.</w:t>
      </w:r>
    </w:p>
    <w:p w:rsidR="00622285" w:rsidRPr="005E6109" w:rsidRDefault="00EB1811" w:rsidP="00A26AEB">
      <w:pPr>
        <w:pStyle w:val="Heading3"/>
      </w:pPr>
      <w:r w:rsidRPr="005E6109">
        <w:lastRenderedPageBreak/>
        <w:t>Profile</w:t>
      </w:r>
      <w:r w:rsidR="002E4CA8" w:rsidRPr="005E6109">
        <w:t xml:space="preserve"> of health sector</w:t>
      </w:r>
    </w:p>
    <w:p w:rsidR="00230CD7" w:rsidRDefault="00230CD7" w:rsidP="00342567">
      <w:pPr>
        <w:pStyle w:val="BodyText"/>
      </w:pPr>
      <w:r w:rsidRPr="005E6109">
        <w:t xml:space="preserve">Detailed profiles for the </w:t>
      </w:r>
      <w:r w:rsidR="006C4202" w:rsidRPr="005E6109">
        <w:t>services</w:t>
      </w:r>
      <w:r w:rsidRPr="005E6109">
        <w:t xml:space="preserve"> </w:t>
      </w:r>
      <w:r w:rsidR="006C4202" w:rsidRPr="005E6109">
        <w:t xml:space="preserve">within </w:t>
      </w:r>
      <w:r w:rsidRPr="005E6109">
        <w:t>the health sector are reported in chapters 10, 11 and 12</w:t>
      </w:r>
      <w:r w:rsidR="00342567" w:rsidRPr="005E6109">
        <w:t xml:space="preserve">, and cover health service funding and expenditure as well as the </w:t>
      </w:r>
      <w:r w:rsidRPr="005E6109">
        <w:t>size and scope of the individual service types</w:t>
      </w:r>
      <w:r w:rsidR="00342567" w:rsidRPr="005E6109">
        <w:t>.</w:t>
      </w:r>
    </w:p>
    <w:p w:rsidR="003A6C24" w:rsidRPr="005E6109" w:rsidRDefault="003A6C24" w:rsidP="003A6C24">
      <w:pPr>
        <w:pStyle w:val="Heading4"/>
      </w:pPr>
      <w:r w:rsidRPr="005E6109">
        <w:t>Descriptive statistics</w:t>
      </w:r>
    </w:p>
    <w:p w:rsidR="00E579D1" w:rsidRDefault="003A6C24" w:rsidP="003A6C24">
      <w:pPr>
        <w:pStyle w:val="BodyText"/>
      </w:pPr>
      <w:r w:rsidRPr="00F448CA">
        <w:t xml:space="preserve">Descriptive statistics for the </w:t>
      </w:r>
      <w:r w:rsidR="00AD3A87">
        <w:t>health</w:t>
      </w:r>
      <w:r w:rsidRPr="00F448CA">
        <w:t xml:space="preserve"> sector are included </w:t>
      </w:r>
      <w:r w:rsidR="000C5898">
        <w:t xml:space="preserve">in </w:t>
      </w:r>
      <w:r w:rsidR="000C5898" w:rsidRPr="000E6915">
        <w:t>this section</w:t>
      </w:r>
      <w:r>
        <w:t xml:space="preserve">. </w:t>
      </w:r>
      <w:r w:rsidRPr="00372995">
        <w:t>Additional descriptive data for each jurisdiction are presented in tables</w:t>
      </w:r>
      <w:r>
        <w:t> </w:t>
      </w:r>
      <w:proofErr w:type="spellStart"/>
      <w:r>
        <w:t>E</w:t>
      </w:r>
      <w:r w:rsidRPr="00372995">
        <w:t>A.</w:t>
      </w:r>
      <w:r w:rsidR="009F1357">
        <w:t>5</w:t>
      </w:r>
      <w:proofErr w:type="spellEnd"/>
      <w:r w:rsidRPr="00372995">
        <w:t>–</w:t>
      </w:r>
      <w:proofErr w:type="spellStart"/>
      <w:r>
        <w:t>E</w:t>
      </w:r>
      <w:r w:rsidRPr="00372995">
        <w:t>A.</w:t>
      </w:r>
      <w:r w:rsidR="009F1357">
        <w:t>6</w:t>
      </w:r>
      <w:proofErr w:type="spellEnd"/>
      <w:r w:rsidRPr="00372995">
        <w:t>.</w:t>
      </w:r>
    </w:p>
    <w:p w:rsidR="00AE63D1" w:rsidRPr="00986CD1" w:rsidRDefault="00AE63D1" w:rsidP="00121ECD">
      <w:pPr>
        <w:pStyle w:val="BodyText"/>
      </w:pPr>
      <w:r w:rsidRPr="00986CD1">
        <w:t xml:space="preserve">Total expenditure (recurrent and capital) on health care services in Australia was estimated to </w:t>
      </w:r>
      <w:r w:rsidRPr="00E74402">
        <w:t xml:space="preserve">be </w:t>
      </w:r>
      <w:r w:rsidR="004B1D4D">
        <w:t>$140.2</w:t>
      </w:r>
      <w:r w:rsidRPr="00E74402">
        <w:t> billion in 20</w:t>
      </w:r>
      <w:r w:rsidR="008B37BD" w:rsidRPr="00E74402">
        <w:t>1</w:t>
      </w:r>
      <w:r w:rsidR="00E74402" w:rsidRPr="00E74402">
        <w:t>1</w:t>
      </w:r>
      <w:r w:rsidRPr="00E74402">
        <w:t>-</w:t>
      </w:r>
      <w:r w:rsidR="002451AE" w:rsidRPr="00E74402">
        <w:t>1</w:t>
      </w:r>
      <w:r w:rsidR="00E74402" w:rsidRPr="00E74402">
        <w:t>2</w:t>
      </w:r>
      <w:r w:rsidRPr="00E74402">
        <w:t xml:space="preserve"> </w:t>
      </w:r>
      <w:r w:rsidR="00C326CD" w:rsidRPr="00986CD1">
        <w:t>(figure</w:t>
      </w:r>
      <w:r w:rsidR="00E74402">
        <w:t xml:space="preserve"> </w:t>
      </w:r>
      <w:proofErr w:type="spellStart"/>
      <w:r w:rsidR="00E74402">
        <w:t>E.1</w:t>
      </w:r>
      <w:proofErr w:type="spellEnd"/>
      <w:r w:rsidR="00E74402">
        <w:t>)</w:t>
      </w:r>
      <w:r w:rsidRPr="00986CD1">
        <w:t xml:space="preserve">. This total was estimated to account for </w:t>
      </w:r>
      <w:r w:rsidR="00E74402">
        <w:t>9.5</w:t>
      </w:r>
      <w:r w:rsidRPr="00121ECD">
        <w:t> per cent</w:t>
      </w:r>
      <w:r w:rsidRPr="00986CD1">
        <w:t xml:space="preserve"> of gross domestic product in </w:t>
      </w:r>
      <w:r w:rsidR="00C556DB" w:rsidRPr="00E74402">
        <w:t>2011-12</w:t>
      </w:r>
      <w:r w:rsidR="00C556DB">
        <w:t>,</w:t>
      </w:r>
      <w:r w:rsidRPr="00986CD1">
        <w:t xml:space="preserve"> an incre</w:t>
      </w:r>
      <w:r>
        <w:t>ase of</w:t>
      </w:r>
      <w:r w:rsidR="00CA75BB">
        <w:t xml:space="preserve"> </w:t>
      </w:r>
      <w:r w:rsidR="00C556DB" w:rsidRPr="00C556DB">
        <w:t>1</w:t>
      </w:r>
      <w:r w:rsidR="00CA75BB" w:rsidRPr="00C556DB">
        <w:t>.</w:t>
      </w:r>
      <w:r w:rsidR="00C556DB" w:rsidRPr="00C556DB">
        <w:t>7</w:t>
      </w:r>
      <w:r w:rsidRPr="00C556DB">
        <w:t> percent</w:t>
      </w:r>
      <w:r w:rsidR="00DE3410" w:rsidRPr="00C556DB">
        <w:t>age points</w:t>
      </w:r>
      <w:r w:rsidRPr="00C556DB">
        <w:t xml:space="preserve"> from the </w:t>
      </w:r>
      <w:r w:rsidR="00C556DB" w:rsidRPr="00C556DB">
        <w:t>7.8</w:t>
      </w:r>
      <w:r w:rsidRPr="00C556DB">
        <w:t xml:space="preserve"> per cent of GDP in </w:t>
      </w:r>
      <w:r w:rsidR="00DE3410" w:rsidRPr="00C556DB">
        <w:t>20</w:t>
      </w:r>
      <w:r w:rsidR="0079197E" w:rsidRPr="00C556DB">
        <w:t>0</w:t>
      </w:r>
      <w:r w:rsidR="00C556DB" w:rsidRPr="00C556DB">
        <w:t>2</w:t>
      </w:r>
      <w:r w:rsidRPr="00C556DB">
        <w:noBreakHyphen/>
      </w:r>
      <w:r w:rsidR="00DE3410" w:rsidRPr="00C556DB">
        <w:t>0</w:t>
      </w:r>
      <w:r w:rsidR="00C556DB" w:rsidRPr="00C556DB">
        <w:t>3</w:t>
      </w:r>
      <w:r w:rsidRPr="00986CD1">
        <w:t xml:space="preserve"> (</w:t>
      </w:r>
      <w:proofErr w:type="spellStart"/>
      <w:r w:rsidR="004C0C48" w:rsidRPr="00B6432F">
        <w:t>AIHW</w:t>
      </w:r>
      <w:proofErr w:type="spellEnd"/>
      <w:r w:rsidR="00AE4AA8" w:rsidRPr="00B6432F">
        <w:t> </w:t>
      </w:r>
      <w:proofErr w:type="spellStart"/>
      <w:r w:rsidR="004C0C48" w:rsidRPr="00B6432F">
        <w:t>201</w:t>
      </w:r>
      <w:r w:rsidR="00C556DB" w:rsidRPr="00B6432F">
        <w:t>3</w:t>
      </w:r>
      <w:r w:rsidR="001F50BA" w:rsidRPr="00B6432F">
        <w:t>a</w:t>
      </w:r>
      <w:proofErr w:type="spellEnd"/>
      <w:r w:rsidRPr="00986CD1">
        <w:t xml:space="preserve">). </w:t>
      </w:r>
    </w:p>
    <w:p w:rsidR="00AE63D1" w:rsidRPr="00986CD1" w:rsidRDefault="00AE63D1" w:rsidP="00AE63D1">
      <w:pPr>
        <w:pStyle w:val="FigureTitle"/>
      </w:pPr>
      <w:r w:rsidRPr="00986CD1">
        <w:rPr>
          <w:b w:val="0"/>
        </w:rPr>
        <w:t xml:space="preserve">Figure </w:t>
      </w:r>
      <w:bookmarkStart w:id="8" w:name="OLE_LINK2"/>
      <w:proofErr w:type="spellStart"/>
      <w:r w:rsidR="00F156AA">
        <w:rPr>
          <w:b w:val="0"/>
        </w:rPr>
        <w:t>E.</w:t>
      </w:r>
      <w:r w:rsidR="00C01FBD">
        <w:rPr>
          <w:b w:val="0"/>
          <w:noProof/>
        </w:rPr>
        <w:t>1</w:t>
      </w:r>
      <w:bookmarkEnd w:id="8"/>
      <w:proofErr w:type="spellEnd"/>
      <w:r w:rsidRPr="00986CD1">
        <w:rPr>
          <w:b w:val="0"/>
        </w:rPr>
        <w:tab/>
      </w:r>
      <w:r w:rsidRPr="00986CD1">
        <w:t>Total health expenditure, by source of funds</w:t>
      </w:r>
      <w:r w:rsidR="00C326CD">
        <w:t xml:space="preserve"> </w:t>
      </w:r>
      <w:r w:rsidRPr="00986CD1">
        <w:t>(</w:t>
      </w:r>
      <w:r w:rsidRPr="00E74402">
        <w:t>20</w:t>
      </w:r>
      <w:r w:rsidR="00E74402" w:rsidRPr="00E74402">
        <w:t>11</w:t>
      </w:r>
      <w:r w:rsidRPr="00E74402">
        <w:noBreakHyphen/>
      </w:r>
      <w:r w:rsidR="002451AE" w:rsidRPr="00E74402">
        <w:t>1</w:t>
      </w:r>
      <w:r w:rsidR="00E74402" w:rsidRPr="00E74402">
        <w:t>2</w:t>
      </w:r>
      <w:r w:rsidRPr="00986CD1">
        <w:t> dollars)</w:t>
      </w:r>
      <w:r w:rsidRPr="00986CD1">
        <w:rPr>
          <w:rStyle w:val="NoteLabel"/>
          <w:b/>
        </w:rPr>
        <w:t>a,</w:t>
      </w:r>
      <w:r w:rsidRPr="00986CD1">
        <w:t> </w:t>
      </w:r>
      <w:r w:rsidRPr="00986CD1">
        <w:rPr>
          <w:rStyle w:val="NoteLabel"/>
          <w:b/>
        </w:rPr>
        <w:t>b,</w:t>
      </w:r>
      <w:r w:rsidRPr="00986CD1">
        <w:t> </w:t>
      </w:r>
      <w:r w:rsidRPr="00986CD1">
        <w:rPr>
          <w:rStyle w:val="NoteLabel"/>
          <w:b/>
        </w:rPr>
        <w:t>c,</w:t>
      </w:r>
      <w:r w:rsidRPr="00986CD1">
        <w:t> </w:t>
      </w:r>
      <w:r w:rsidRPr="00986CD1">
        <w:rPr>
          <w:rStyle w:val="NoteLabel"/>
          <w:b/>
        </w:rPr>
        <w:t>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E63D1" w:rsidRPr="00986CD1" w:rsidTr="00D02A99">
        <w:tc>
          <w:tcPr>
            <w:tcW w:w="8777" w:type="dxa"/>
          </w:tcPr>
          <w:p w:rsidR="00AE63D1" w:rsidRPr="00986CD1" w:rsidRDefault="0091658B" w:rsidP="008743FB">
            <w:pPr>
              <w:pStyle w:val="Figure"/>
              <w:pBdr>
                <w:left w:val="single" w:sz="4" w:space="4" w:color="auto"/>
              </w:pBdr>
            </w:pPr>
            <w:r>
              <w:rPr>
                <w:noProof/>
              </w:rPr>
              <w:drawing>
                <wp:inline distT="0" distB="0" distL="0" distR="0" wp14:anchorId="0042B09D" wp14:editId="197E2E8F">
                  <wp:extent cx="5534660" cy="2682875"/>
                  <wp:effectExtent l="0" t="0" r="8890" b="3175"/>
                  <wp:docPr id="6" name="Picture 6" descr="Figure E.1 Total health expenditure, by source of fu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4660" cy="2682875"/>
                          </a:xfrm>
                          <a:prstGeom prst="rect">
                            <a:avLst/>
                          </a:prstGeom>
                          <a:noFill/>
                          <a:ln>
                            <a:noFill/>
                          </a:ln>
                        </pic:spPr>
                      </pic:pic>
                    </a:graphicData>
                  </a:graphic>
                </wp:inline>
              </w:drawing>
            </w:r>
          </w:p>
        </w:tc>
      </w:tr>
    </w:tbl>
    <w:p w:rsidR="00AE63D1" w:rsidRPr="006F007C" w:rsidRDefault="00AE63D1" w:rsidP="00A401D8">
      <w:pPr>
        <w:pStyle w:val="Note"/>
        <w:keepNext/>
      </w:pPr>
      <w:proofErr w:type="spellStart"/>
      <w:r w:rsidRPr="00986CD1">
        <w:rPr>
          <w:rStyle w:val="NoteLabel"/>
        </w:rPr>
        <w:t>a</w:t>
      </w:r>
      <w:proofErr w:type="spellEnd"/>
      <w:r w:rsidRPr="00986CD1">
        <w:sym w:font="Symbol" w:char="F020"/>
      </w:r>
      <w:r w:rsidRPr="00986CD1">
        <w:t xml:space="preserve">Includes recurrent and capital expenditure. </w:t>
      </w:r>
      <w:r w:rsidRPr="00986CD1">
        <w:rPr>
          <w:rStyle w:val="NoteLabel"/>
        </w:rPr>
        <w:t>b</w:t>
      </w:r>
      <w:r w:rsidRPr="00986CD1">
        <w:sym w:font="Symbol" w:char="F020"/>
      </w:r>
      <w:r w:rsidRPr="00986CD1">
        <w:t>Includes expenditure on ambulance services (reported in chapter 9).</w:t>
      </w:r>
      <w:r w:rsidRPr="00986CD1">
        <w:rPr>
          <w:rStyle w:val="NoteLabel"/>
          <w:b w:val="0"/>
        </w:rPr>
        <w:t xml:space="preserve"> </w:t>
      </w:r>
      <w:r w:rsidRPr="00986CD1">
        <w:rPr>
          <w:rStyle w:val="NoteLabel"/>
        </w:rPr>
        <w:t>c</w:t>
      </w:r>
      <w:r w:rsidRPr="00986CD1">
        <w:sym w:font="Symbol" w:char="F020"/>
      </w:r>
      <w:r w:rsidRPr="00986CD1">
        <w:t>Expenditure by Australian Government and non</w:t>
      </w:r>
      <w:r w:rsidRPr="00986CD1">
        <w:noBreakHyphen/>
        <w:t xml:space="preserve">government sources has been adjusted for tax expenditure in relation to private health incentives claimed through the taxation system. </w:t>
      </w:r>
      <w:r w:rsidRPr="00986CD1">
        <w:rPr>
          <w:rStyle w:val="NoteLabel"/>
        </w:rPr>
        <w:t>d</w:t>
      </w:r>
      <w:r w:rsidRPr="00986CD1">
        <w:sym w:font="Symbol" w:char="F020"/>
      </w:r>
      <w:r w:rsidRPr="00986CD1">
        <w:t xml:space="preserve">‘Non-government’ includes expenditure by individuals, health insurance funds, workers compensation and compulsory motor </w:t>
      </w:r>
      <w:r w:rsidRPr="006F007C">
        <w:t>vehicle third party insurers.</w:t>
      </w:r>
    </w:p>
    <w:p w:rsidR="00AE63D1" w:rsidRPr="006F007C" w:rsidRDefault="00AE63D1" w:rsidP="001F50BA">
      <w:pPr>
        <w:pStyle w:val="Note"/>
      </w:pPr>
      <w:r w:rsidRPr="006F007C">
        <w:rPr>
          <w:i/>
        </w:rPr>
        <w:t>Source</w:t>
      </w:r>
      <w:r w:rsidRPr="006F007C">
        <w:t xml:space="preserve">: </w:t>
      </w:r>
      <w:proofErr w:type="spellStart"/>
      <w:r w:rsidR="009101AB" w:rsidRPr="006F007C">
        <w:t>AIHW</w:t>
      </w:r>
      <w:proofErr w:type="spellEnd"/>
      <w:r w:rsidR="009101AB" w:rsidRPr="006F007C">
        <w:t xml:space="preserve"> 201</w:t>
      </w:r>
      <w:r w:rsidR="00E74402" w:rsidRPr="006F007C">
        <w:t>3</w:t>
      </w:r>
      <w:r w:rsidR="009101AB" w:rsidRPr="006F007C">
        <w:t xml:space="preserve">, </w:t>
      </w:r>
      <w:r w:rsidR="009101AB" w:rsidRPr="006F007C">
        <w:rPr>
          <w:i/>
        </w:rPr>
        <w:t>Health Expenditure Australia 20</w:t>
      </w:r>
      <w:r w:rsidR="00E74402" w:rsidRPr="006F007C">
        <w:rPr>
          <w:i/>
        </w:rPr>
        <w:t>11</w:t>
      </w:r>
      <w:r w:rsidR="009101AB" w:rsidRPr="006F007C">
        <w:rPr>
          <w:i/>
        </w:rPr>
        <w:t>-1</w:t>
      </w:r>
      <w:r w:rsidR="00E74402" w:rsidRPr="006F007C">
        <w:rPr>
          <w:i/>
        </w:rPr>
        <w:t>2</w:t>
      </w:r>
      <w:r w:rsidR="009101AB" w:rsidRPr="006F007C">
        <w:t xml:space="preserve">, Health and </w:t>
      </w:r>
      <w:r w:rsidR="00E74402" w:rsidRPr="006F007C">
        <w:t>Welfare Expenditure Series no. 50</w:t>
      </w:r>
      <w:r w:rsidR="009101AB" w:rsidRPr="006F007C">
        <w:t xml:space="preserve">. Cat. no. </w:t>
      </w:r>
      <w:proofErr w:type="spellStart"/>
      <w:r w:rsidR="009101AB" w:rsidRPr="006F007C">
        <w:t>HWE</w:t>
      </w:r>
      <w:proofErr w:type="spellEnd"/>
      <w:r w:rsidR="009101AB" w:rsidRPr="006F007C">
        <w:t xml:space="preserve"> 5</w:t>
      </w:r>
      <w:r w:rsidR="00E74402" w:rsidRPr="006F007C">
        <w:t>9</w:t>
      </w:r>
      <w:r w:rsidR="009101AB" w:rsidRPr="006F007C">
        <w:t xml:space="preserve">, Canberra; Table </w:t>
      </w:r>
      <w:proofErr w:type="spellStart"/>
      <w:r w:rsidRPr="006F007C">
        <w:t>EA.1</w:t>
      </w:r>
      <w:proofErr w:type="spellEnd"/>
      <w:r w:rsidRPr="006F007C">
        <w:t>.</w:t>
      </w:r>
    </w:p>
    <w:p w:rsidR="00C326CD" w:rsidRDefault="00C326CD" w:rsidP="00C326CD">
      <w:pPr>
        <w:pStyle w:val="BodyText"/>
      </w:pPr>
      <w:r w:rsidRPr="00986CD1">
        <w:t>In</w:t>
      </w:r>
      <w:r w:rsidR="001F50BA">
        <w:t xml:space="preserve"> </w:t>
      </w:r>
      <w:r w:rsidR="001F50BA" w:rsidRPr="001F50BA">
        <w:t>2011-12</w:t>
      </w:r>
      <w:r w:rsidRPr="00986CD1">
        <w:t xml:space="preserve">, </w:t>
      </w:r>
      <w:r>
        <w:t xml:space="preserve">the health expenditure of </w:t>
      </w:r>
      <w:r w:rsidRPr="00986CD1">
        <w:t>the Australian, State</w:t>
      </w:r>
      <w:r>
        <w:t xml:space="preserve"> and</w:t>
      </w:r>
      <w:r w:rsidRPr="00986CD1">
        <w:t xml:space="preserve"> Territory</w:t>
      </w:r>
      <w:r>
        <w:t>,</w:t>
      </w:r>
      <w:r w:rsidRPr="00986CD1">
        <w:t xml:space="preserve"> and local governments </w:t>
      </w:r>
      <w:r>
        <w:t xml:space="preserve">was </w:t>
      </w:r>
      <w:r w:rsidR="00F156AA">
        <w:t>$97.8</w:t>
      </w:r>
      <w:r w:rsidRPr="00986CD1">
        <w:t xml:space="preserve"> billion, which </w:t>
      </w:r>
      <w:r w:rsidRPr="00C76FDC">
        <w:t>represented</w:t>
      </w:r>
      <w:r>
        <w:t xml:space="preserve"> </w:t>
      </w:r>
      <w:r w:rsidR="00F156AA">
        <w:t>69.7</w:t>
      </w:r>
      <w:r w:rsidRPr="00C76FDC">
        <w:t> per cent of</w:t>
      </w:r>
      <w:r w:rsidRPr="00986CD1">
        <w:t xml:space="preserve"> total health expenditure</w:t>
      </w:r>
      <w:r>
        <w:t xml:space="preserve"> within Australia</w:t>
      </w:r>
      <w:r w:rsidRPr="00986CD1">
        <w:t xml:space="preserve">. The Australian Government accounted for the largest </w:t>
      </w:r>
      <w:r w:rsidRPr="00986CD1">
        <w:lastRenderedPageBreak/>
        <w:t>proportion of health care expenditure —</w:t>
      </w:r>
      <w:r>
        <w:t xml:space="preserve"> </w:t>
      </w:r>
      <w:r w:rsidR="00F156AA">
        <w:t>$59.5</w:t>
      </w:r>
      <w:r w:rsidRPr="00986CD1">
        <w:t xml:space="preserve"> billion or </w:t>
      </w:r>
      <w:r w:rsidR="00F156AA">
        <w:t>42.4</w:t>
      </w:r>
      <w:r w:rsidRPr="00986CD1">
        <w:t> per cent of the total in</w:t>
      </w:r>
      <w:r w:rsidR="001F50BA">
        <w:t xml:space="preserve"> </w:t>
      </w:r>
      <w:r w:rsidR="001F50BA" w:rsidRPr="001F50BA">
        <w:t>2011-12</w:t>
      </w:r>
      <w:r w:rsidRPr="00986CD1">
        <w:t>. State</w:t>
      </w:r>
      <w:r>
        <w:t xml:space="preserve"> and</w:t>
      </w:r>
      <w:r w:rsidRPr="00986CD1">
        <w:t xml:space="preserve"> Territory</w:t>
      </w:r>
      <w:r>
        <w:t>,</w:t>
      </w:r>
      <w:r w:rsidRPr="00986CD1">
        <w:t xml:space="preserve"> </w:t>
      </w:r>
      <w:r w:rsidRPr="006F007C">
        <w:t xml:space="preserve">and local governments contributed </w:t>
      </w:r>
      <w:r w:rsidR="00F156AA" w:rsidRPr="006F007C">
        <w:t>$38.3</w:t>
      </w:r>
      <w:r w:rsidRPr="006F007C">
        <w:t xml:space="preserve"> billion or </w:t>
      </w:r>
      <w:r w:rsidR="00F156AA" w:rsidRPr="006F007C">
        <w:t>27.3</w:t>
      </w:r>
      <w:r w:rsidRPr="006F007C">
        <w:t> per cent of total health expenditure in that year (</w:t>
      </w:r>
      <w:proofErr w:type="spellStart"/>
      <w:r w:rsidRPr="006F007C">
        <w:t>AIHW</w:t>
      </w:r>
      <w:proofErr w:type="spellEnd"/>
      <w:r w:rsidRPr="006F007C">
        <w:t> </w:t>
      </w:r>
      <w:proofErr w:type="spellStart"/>
      <w:r w:rsidRPr="006F007C">
        <w:t>201</w:t>
      </w:r>
      <w:r w:rsidR="001F50BA" w:rsidRPr="006F007C">
        <w:t>3a</w:t>
      </w:r>
      <w:proofErr w:type="spellEnd"/>
      <w:r w:rsidRPr="006F007C">
        <w:t xml:space="preserve">). The remainder </w:t>
      </w:r>
      <w:r w:rsidRPr="00986CD1">
        <w:t>was paid by individuals, health insurance funds</w:t>
      </w:r>
      <w:r>
        <w:t>,</w:t>
      </w:r>
      <w:r w:rsidRPr="00986CD1">
        <w:t xml:space="preserve"> workers compensation and compulsory motor vehicle third party insurance providers (tables </w:t>
      </w:r>
      <w:proofErr w:type="spellStart"/>
      <w:r w:rsidRPr="00986CD1">
        <w:t>EA.1</w:t>
      </w:r>
      <w:proofErr w:type="spellEnd"/>
      <w:r w:rsidRPr="00986CD1">
        <w:t xml:space="preserve"> </w:t>
      </w:r>
      <w:r>
        <w:t>to</w:t>
      </w:r>
      <w:r w:rsidRPr="00986CD1">
        <w:t xml:space="preserve"> </w:t>
      </w:r>
      <w:proofErr w:type="spellStart"/>
      <w:r w:rsidRPr="00986CD1">
        <w:t>EA.7</w:t>
      </w:r>
      <w:proofErr w:type="spellEnd"/>
      <w:r w:rsidRPr="00986CD1">
        <w:t>).</w:t>
      </w:r>
    </w:p>
    <w:p w:rsidR="00C326CD" w:rsidRDefault="00C326CD" w:rsidP="00C326CD">
      <w:pPr>
        <w:pStyle w:val="BodyText"/>
      </w:pPr>
      <w:r w:rsidRPr="00FF0C2D">
        <w:t>Between 200</w:t>
      </w:r>
      <w:r w:rsidR="00FF0C2D" w:rsidRPr="00FF0C2D">
        <w:t>2</w:t>
      </w:r>
      <w:r w:rsidRPr="00FF0C2D">
        <w:noBreakHyphen/>
        <w:t>0</w:t>
      </w:r>
      <w:r w:rsidR="00FF0C2D" w:rsidRPr="00FF0C2D">
        <w:t>3</w:t>
      </w:r>
      <w:r w:rsidRPr="00FF0C2D">
        <w:t xml:space="preserve"> and 201</w:t>
      </w:r>
      <w:r w:rsidR="00FF0C2D" w:rsidRPr="00FF0C2D">
        <w:t>1</w:t>
      </w:r>
      <w:r w:rsidRPr="00FF0C2D">
        <w:noBreakHyphen/>
        <w:t>1</w:t>
      </w:r>
      <w:r w:rsidR="00FF0C2D" w:rsidRPr="00FF0C2D">
        <w:t>2</w:t>
      </w:r>
      <w:r w:rsidRPr="00FF0C2D">
        <w:t>, the</w:t>
      </w:r>
      <w:r w:rsidRPr="00986CD1">
        <w:t xml:space="preserve"> average annual rate of growth in real expenditure was </w:t>
      </w:r>
      <w:r w:rsidR="00F156AA">
        <w:t>4.9</w:t>
      </w:r>
      <w:r w:rsidRPr="00986CD1">
        <w:t> per cent for the Australian Government,</w:t>
      </w:r>
      <w:r>
        <w:t xml:space="preserve"> </w:t>
      </w:r>
      <w:r w:rsidR="00F156AA">
        <w:t>6.8</w:t>
      </w:r>
      <w:r w:rsidRPr="00986CD1">
        <w:t> per cent for State,</w:t>
      </w:r>
      <w:r>
        <w:t xml:space="preserve"> </w:t>
      </w:r>
      <w:r w:rsidRPr="00986CD1">
        <w:t>Territory and local governments, and</w:t>
      </w:r>
      <w:r>
        <w:t xml:space="preserve"> </w:t>
      </w:r>
      <w:r w:rsidR="00F156AA">
        <w:t>5.0</w:t>
      </w:r>
      <w:r w:rsidRPr="00986CD1">
        <w:t> per cent for non</w:t>
      </w:r>
      <w:r w:rsidRPr="00986CD1">
        <w:noBreakHyphen/>
        <w:t>government sources (</w:t>
      </w:r>
      <w:r>
        <w:t xml:space="preserve">table </w:t>
      </w:r>
      <w:proofErr w:type="spellStart"/>
      <w:r>
        <w:t>EA.1</w:t>
      </w:r>
      <w:proofErr w:type="spellEnd"/>
      <w:r w:rsidRPr="00986CD1">
        <w:t>).</w:t>
      </w:r>
      <w:bookmarkStart w:id="9" w:name="_Ref335144016"/>
      <w:r w:rsidRPr="00986CD1">
        <w:rPr>
          <w:rStyle w:val="FootnoteReference"/>
        </w:rPr>
        <w:footnoteReference w:id="1"/>
      </w:r>
      <w:bookmarkEnd w:id="9"/>
    </w:p>
    <w:p w:rsidR="00715541" w:rsidRDefault="000618F9" w:rsidP="00720403">
      <w:pPr>
        <w:pStyle w:val="BodyText"/>
      </w:pPr>
      <w:r>
        <w:t xml:space="preserve">The Health chapters (Part E) </w:t>
      </w:r>
      <w:r w:rsidR="00C11008">
        <w:t>provide</w:t>
      </w:r>
      <w:r>
        <w:t xml:space="preserve"> performance information on </w:t>
      </w:r>
      <w:r w:rsidRPr="00121ECD">
        <w:t xml:space="preserve">Australian, State and Territory, and local governments health services </w:t>
      </w:r>
      <w:r>
        <w:t xml:space="preserve">that account for </w:t>
      </w:r>
      <w:r w:rsidR="00F156AA">
        <w:t>$77.4</w:t>
      </w:r>
      <w:r w:rsidRPr="00986CD1">
        <w:t> billion</w:t>
      </w:r>
      <w:r>
        <w:t xml:space="preserve"> of </w:t>
      </w:r>
      <w:r w:rsidRPr="00720403">
        <w:t>total</w:t>
      </w:r>
      <w:r w:rsidRPr="00121ECD">
        <w:t xml:space="preserve"> recurrent health expenditure </w:t>
      </w:r>
      <w:r>
        <w:t xml:space="preserve">(or </w:t>
      </w:r>
      <w:r w:rsidR="00F156AA">
        <w:t>84.3</w:t>
      </w:r>
      <w:r w:rsidRPr="00121ECD">
        <w:t> per cent</w:t>
      </w:r>
      <w:r w:rsidRPr="00986CD1">
        <w:t xml:space="preserve"> of </w:t>
      </w:r>
      <w:r>
        <w:t xml:space="preserve">all </w:t>
      </w:r>
      <w:r w:rsidRPr="00986CD1">
        <w:t>government recurrent expenditure</w:t>
      </w:r>
      <w:r>
        <w:t xml:space="preserve"> on </w:t>
      </w:r>
      <w:r w:rsidRPr="00986CD1">
        <w:t xml:space="preserve">health </w:t>
      </w:r>
      <w:r w:rsidRPr="00211BE5">
        <w:t>in 201</w:t>
      </w:r>
      <w:r w:rsidR="00211BE5" w:rsidRPr="00211BE5">
        <w:t>1</w:t>
      </w:r>
      <w:r w:rsidRPr="00211BE5">
        <w:noBreakHyphen/>
        <w:t>1</w:t>
      </w:r>
      <w:r w:rsidR="00211BE5" w:rsidRPr="00211BE5">
        <w:t>2</w:t>
      </w:r>
      <w:r w:rsidRPr="00211BE5">
        <w:t>) (tabl</w:t>
      </w:r>
      <w:r w:rsidRPr="00986CD1">
        <w:t>e </w:t>
      </w:r>
      <w:proofErr w:type="spellStart"/>
      <w:r w:rsidRPr="00986CD1">
        <w:t>EA.4</w:t>
      </w:r>
      <w:proofErr w:type="spellEnd"/>
      <w:r w:rsidRPr="00986CD1">
        <w:t>).</w:t>
      </w:r>
      <w:r>
        <w:t xml:space="preserve"> The services covered are:</w:t>
      </w:r>
    </w:p>
    <w:p w:rsidR="004C26BC" w:rsidRDefault="004C26BC" w:rsidP="004C26BC">
      <w:pPr>
        <w:pStyle w:val="ListBullet"/>
      </w:pPr>
      <w:r w:rsidRPr="00986CD1">
        <w:t>public hospitals</w:t>
      </w:r>
      <w:r>
        <w:t xml:space="preserve"> (chapter 10)</w:t>
      </w:r>
    </w:p>
    <w:p w:rsidR="000618F9" w:rsidRDefault="004C26BC" w:rsidP="00720403">
      <w:pPr>
        <w:pStyle w:val="ListBullet"/>
      </w:pPr>
      <w:r>
        <w:t xml:space="preserve">primary and community health (chapter 11) — </w:t>
      </w:r>
      <w:r w:rsidRPr="00986CD1">
        <w:t>medical services (including payments to general practitioners [GPs] and other specialist practitioners)</w:t>
      </w:r>
      <w:r>
        <w:t xml:space="preserve">, </w:t>
      </w:r>
      <w:r w:rsidRPr="00986CD1">
        <w:t>community and public health, medications and public dental services</w:t>
      </w:r>
    </w:p>
    <w:p w:rsidR="00AE63D1" w:rsidRPr="00986CD1" w:rsidRDefault="00AE63D1" w:rsidP="00417FF4">
      <w:pPr>
        <w:pStyle w:val="ListBullet"/>
      </w:pPr>
      <w:r w:rsidRPr="00986CD1">
        <w:t>sp</w:t>
      </w:r>
      <w:r w:rsidR="00987E5A">
        <w:t>ecialist mental health services</w:t>
      </w:r>
      <w:r w:rsidR="000618F9">
        <w:t xml:space="preserve"> (chapter 12) — recurrent expenditure </w:t>
      </w:r>
      <w:r w:rsidRPr="00986CD1">
        <w:t xml:space="preserve">estimated to </w:t>
      </w:r>
      <w:r w:rsidRPr="00760E9D">
        <w:t>be</w:t>
      </w:r>
      <w:r w:rsidR="00417FF4">
        <w:t xml:space="preserve"> around</w:t>
      </w:r>
      <w:r w:rsidRPr="00760E9D">
        <w:t xml:space="preserve"> </w:t>
      </w:r>
      <w:r w:rsidR="00417FF4" w:rsidRPr="00417FF4">
        <w:t>$7.0</w:t>
      </w:r>
      <w:r w:rsidR="00760E9D" w:rsidRPr="00417FF4">
        <w:t> </w:t>
      </w:r>
      <w:r w:rsidRPr="00417FF4">
        <w:t>billion</w:t>
      </w:r>
      <w:r w:rsidRPr="00986CD1">
        <w:t xml:space="preserve"> in </w:t>
      </w:r>
      <w:r w:rsidRPr="00760E9D">
        <w:t>20</w:t>
      </w:r>
      <w:r w:rsidR="00EC468A" w:rsidRPr="00760E9D">
        <w:t>1</w:t>
      </w:r>
      <w:r w:rsidR="00760E9D" w:rsidRPr="00760E9D">
        <w:t>1</w:t>
      </w:r>
      <w:r w:rsidRPr="00760E9D">
        <w:noBreakHyphen/>
      </w:r>
      <w:r w:rsidR="002451AE" w:rsidRPr="00760E9D">
        <w:t>1</w:t>
      </w:r>
      <w:r w:rsidR="00760E9D" w:rsidRPr="00760E9D">
        <w:t>2</w:t>
      </w:r>
      <w:r w:rsidRPr="00760E9D">
        <w:t xml:space="preserve"> (table</w:t>
      </w:r>
      <w:r w:rsidRPr="00986CD1">
        <w:t> </w:t>
      </w:r>
      <w:proofErr w:type="spellStart"/>
      <w:r w:rsidRPr="00986CD1">
        <w:t>12A.</w:t>
      </w:r>
      <w:r w:rsidR="00760E9D">
        <w:t>4</w:t>
      </w:r>
      <w:proofErr w:type="spellEnd"/>
      <w:r w:rsidRPr="00986CD1">
        <w:t>)</w:t>
      </w:r>
      <w:r w:rsidR="00417FF4">
        <w:t>.</w:t>
      </w:r>
    </w:p>
    <w:p w:rsidR="0006129D" w:rsidRDefault="0006129D" w:rsidP="0006129D">
      <w:pPr>
        <w:pStyle w:val="BodyText"/>
      </w:pPr>
      <w:r w:rsidRPr="009949A7">
        <w:t xml:space="preserve">Health expenditure per person in each jurisdiction is affected by different policy initiatives and socioeconomic and demographic characteristics. Nationally, </w:t>
      </w:r>
      <w:r w:rsidR="007A2230">
        <w:t>t</w:t>
      </w:r>
      <w:r w:rsidRPr="009949A7">
        <w:t xml:space="preserve">otal health expenditure per person in Australia increased from </w:t>
      </w:r>
      <w:r w:rsidR="00211BE5">
        <w:t>$</w:t>
      </w:r>
      <w:r w:rsidR="00211BE5" w:rsidRPr="009758A7">
        <w:t>4</w:t>
      </w:r>
      <w:r w:rsidR="00A401D8" w:rsidRPr="009758A7">
        <w:t>47</w:t>
      </w:r>
      <w:r w:rsidR="001C1F14" w:rsidRPr="009758A7">
        <w:t>4</w:t>
      </w:r>
      <w:r w:rsidR="00793430">
        <w:t xml:space="preserve"> </w:t>
      </w:r>
      <w:r w:rsidRPr="00C110B6">
        <w:t xml:space="preserve">in </w:t>
      </w:r>
      <w:r w:rsidR="005F4275" w:rsidRPr="00211BE5">
        <w:t>200</w:t>
      </w:r>
      <w:r w:rsidR="00211BE5" w:rsidRPr="00211BE5">
        <w:t>2</w:t>
      </w:r>
      <w:r w:rsidRPr="00211BE5">
        <w:t>-</w:t>
      </w:r>
      <w:r w:rsidR="005F4275" w:rsidRPr="00211BE5">
        <w:t>0</w:t>
      </w:r>
      <w:r w:rsidR="00211BE5" w:rsidRPr="00211BE5">
        <w:t>3</w:t>
      </w:r>
      <w:r w:rsidR="005F4275" w:rsidRPr="00C110B6">
        <w:t xml:space="preserve"> </w:t>
      </w:r>
      <w:r w:rsidRPr="00C110B6">
        <w:t xml:space="preserve">to </w:t>
      </w:r>
      <w:r w:rsidR="00F156AA">
        <w:t>$6230</w:t>
      </w:r>
      <w:r w:rsidRPr="00C110B6">
        <w:t xml:space="preserve"> in </w:t>
      </w:r>
      <w:r w:rsidR="001C1F14" w:rsidRPr="00211BE5">
        <w:t>2011</w:t>
      </w:r>
      <w:r w:rsidR="001C1F14" w:rsidRPr="00211BE5">
        <w:noBreakHyphen/>
        <w:t>12</w:t>
      </w:r>
      <w:r w:rsidR="001C1F14">
        <w:t xml:space="preserve"> </w:t>
      </w:r>
      <w:r w:rsidRPr="00C110B6">
        <w:t xml:space="preserve">(expressed in </w:t>
      </w:r>
      <w:r w:rsidR="001C1F14" w:rsidRPr="00211BE5">
        <w:t>2011</w:t>
      </w:r>
      <w:r w:rsidR="001C1F14" w:rsidRPr="00211BE5">
        <w:noBreakHyphen/>
        <w:t>12</w:t>
      </w:r>
      <w:r w:rsidR="001C1F14">
        <w:t xml:space="preserve"> </w:t>
      </w:r>
      <w:r w:rsidRPr="00C110B6">
        <w:t>dollars) (table </w:t>
      </w:r>
      <w:proofErr w:type="spellStart"/>
      <w:r w:rsidRPr="00C110B6">
        <w:t>EA.5</w:t>
      </w:r>
      <w:proofErr w:type="spellEnd"/>
      <w:r w:rsidRPr="00C110B6">
        <w:t xml:space="preserve">). Government real recurrent health expenditure per person in Australia increased from </w:t>
      </w:r>
      <w:r w:rsidR="00F156AA">
        <w:t>$2985</w:t>
      </w:r>
      <w:r w:rsidRPr="00C110B6">
        <w:t xml:space="preserve"> in </w:t>
      </w:r>
      <w:r w:rsidR="005F4275" w:rsidRPr="00C110B6">
        <w:t>200</w:t>
      </w:r>
      <w:r w:rsidR="00FA0394">
        <w:t>2</w:t>
      </w:r>
      <w:r w:rsidR="00863997" w:rsidRPr="00C110B6">
        <w:noBreakHyphen/>
      </w:r>
      <w:r w:rsidR="005F4275" w:rsidRPr="00C110B6">
        <w:t>0</w:t>
      </w:r>
      <w:r w:rsidR="00FA0394">
        <w:t>3</w:t>
      </w:r>
      <w:r w:rsidR="005F4275" w:rsidRPr="00C110B6">
        <w:t xml:space="preserve"> </w:t>
      </w:r>
      <w:r w:rsidRPr="00C110B6">
        <w:t xml:space="preserve">to </w:t>
      </w:r>
      <w:r w:rsidR="00F156AA">
        <w:t>$4079</w:t>
      </w:r>
      <w:r w:rsidRPr="00C110B6">
        <w:t xml:space="preserve"> in </w:t>
      </w:r>
      <w:r w:rsidR="001C1F14" w:rsidRPr="00211BE5">
        <w:t>2011</w:t>
      </w:r>
      <w:r w:rsidR="001C1F14" w:rsidRPr="00211BE5">
        <w:noBreakHyphen/>
        <w:t>12</w:t>
      </w:r>
      <w:r w:rsidR="001C1F14" w:rsidRPr="00C110B6">
        <w:t xml:space="preserve"> </w:t>
      </w:r>
      <w:r w:rsidRPr="00C110B6">
        <w:t xml:space="preserve">(expressed in </w:t>
      </w:r>
      <w:r w:rsidR="001C1F14" w:rsidRPr="00211BE5">
        <w:t>2011</w:t>
      </w:r>
      <w:r w:rsidR="001C1F14" w:rsidRPr="00211BE5">
        <w:noBreakHyphen/>
        <w:t>12</w:t>
      </w:r>
      <w:r w:rsidR="001C1F14">
        <w:t xml:space="preserve"> </w:t>
      </w:r>
      <w:r w:rsidRPr="00C110B6">
        <w:t>dollars). Non</w:t>
      </w:r>
      <w:r w:rsidRPr="00C110B6">
        <w:noBreakHyphen/>
        <w:t>government</w:t>
      </w:r>
      <w:r w:rsidR="00B07AAD" w:rsidRPr="00C110B6">
        <w:t xml:space="preserve"> </w:t>
      </w:r>
      <w:r w:rsidR="007D302A">
        <w:t>r</w:t>
      </w:r>
      <w:r w:rsidRPr="00C110B6">
        <w:t xml:space="preserve">ecurrent expenditure per person in Australia rose from </w:t>
      </w:r>
      <w:r w:rsidR="00F156AA">
        <w:t>$1259</w:t>
      </w:r>
      <w:r w:rsidRPr="00121ECD">
        <w:t xml:space="preserve"> in </w:t>
      </w:r>
      <w:r w:rsidR="001C1F14" w:rsidRPr="00211BE5">
        <w:t>2002-03</w:t>
      </w:r>
      <w:r w:rsidR="001C1F14">
        <w:t xml:space="preserve"> </w:t>
      </w:r>
      <w:r w:rsidRPr="00121ECD">
        <w:t>t</w:t>
      </w:r>
      <w:r w:rsidRPr="009949A7">
        <w:t xml:space="preserve">o </w:t>
      </w:r>
      <w:r w:rsidR="00F156AA">
        <w:t>$1802</w:t>
      </w:r>
      <w:r w:rsidRPr="009949A7">
        <w:t xml:space="preserve"> in </w:t>
      </w:r>
      <w:r w:rsidR="001C1F14" w:rsidRPr="00211BE5">
        <w:t>2011</w:t>
      </w:r>
      <w:r w:rsidR="001C1F14" w:rsidRPr="00211BE5">
        <w:noBreakHyphen/>
        <w:t>12</w:t>
      </w:r>
      <w:r w:rsidR="001C1F14" w:rsidRPr="009949A7">
        <w:t xml:space="preserve"> </w:t>
      </w:r>
      <w:r w:rsidRPr="009949A7">
        <w:t xml:space="preserve">(expressed in </w:t>
      </w:r>
      <w:r w:rsidR="001C1F14" w:rsidRPr="00211BE5">
        <w:t>2011</w:t>
      </w:r>
      <w:r w:rsidR="001C1F14" w:rsidRPr="00211BE5">
        <w:noBreakHyphen/>
        <w:t>12</w:t>
      </w:r>
      <w:r w:rsidR="001C1F14">
        <w:t xml:space="preserve"> dollars) (figure </w:t>
      </w:r>
      <w:proofErr w:type="spellStart"/>
      <w:r w:rsidR="001C1F14">
        <w:t>E.2</w:t>
      </w:r>
      <w:proofErr w:type="spellEnd"/>
      <w:r w:rsidR="00017265">
        <w:t xml:space="preserve"> </w:t>
      </w:r>
      <w:r w:rsidRPr="009949A7">
        <w:t>and table </w:t>
      </w:r>
      <w:proofErr w:type="spellStart"/>
      <w:r w:rsidRPr="009949A7">
        <w:t>EA.6</w:t>
      </w:r>
      <w:proofErr w:type="spellEnd"/>
      <w:r w:rsidRPr="009949A7">
        <w:t>).</w:t>
      </w:r>
    </w:p>
    <w:p w:rsidR="00612880" w:rsidRPr="00612880" w:rsidRDefault="00612880" w:rsidP="0006129D">
      <w:pPr>
        <w:pStyle w:val="BodyText"/>
        <w:rPr>
          <w:shd w:val="clear" w:color="auto" w:fill="CCC0D9" w:themeFill="accent4" w:themeFillTint="66"/>
        </w:rPr>
      </w:pPr>
      <w:r w:rsidRPr="00E90284">
        <w:t>In 2010-11, Australian, State and Territory government total expenditure on health for Indigenous Australians was $4.2 billion (</w:t>
      </w:r>
      <w:proofErr w:type="spellStart"/>
      <w:r w:rsidRPr="00E90284">
        <w:t>AIHW</w:t>
      </w:r>
      <w:proofErr w:type="spellEnd"/>
      <w:r w:rsidRPr="00E90284">
        <w:t xml:space="preserve"> </w:t>
      </w:r>
      <w:proofErr w:type="spellStart"/>
      <w:r w:rsidRPr="00E90284">
        <w:t>2013b</w:t>
      </w:r>
      <w:proofErr w:type="spellEnd"/>
      <w:r>
        <w:t xml:space="preserve">; table </w:t>
      </w:r>
      <w:proofErr w:type="spellStart"/>
      <w:r>
        <w:t>E.1</w:t>
      </w:r>
      <w:proofErr w:type="spellEnd"/>
      <w:r w:rsidRPr="00E90284">
        <w:t xml:space="preserve">). Health expenditure by area of expenditure </w:t>
      </w:r>
      <w:r w:rsidR="00EE63BA">
        <w:t xml:space="preserve">in 2010-11 is presented </w:t>
      </w:r>
      <w:r w:rsidR="00EE63BA" w:rsidRPr="00E90284">
        <w:t>for Indigenous</w:t>
      </w:r>
      <w:r w:rsidR="00EE63BA">
        <w:t xml:space="preserve"> and non</w:t>
      </w:r>
      <w:r w:rsidR="00EE63BA">
        <w:noBreakHyphen/>
      </w:r>
      <w:r w:rsidR="00EE63BA" w:rsidRPr="00E90284">
        <w:t>Indigenous</w:t>
      </w:r>
      <w:r w:rsidR="00EE63BA" w:rsidRPr="00EE63BA">
        <w:t xml:space="preserve"> </w:t>
      </w:r>
      <w:r w:rsidR="00EE63BA" w:rsidRPr="00E90284">
        <w:t xml:space="preserve">Australians </w:t>
      </w:r>
      <w:r w:rsidRPr="00E90284">
        <w:t>in table</w:t>
      </w:r>
      <w:r>
        <w:t xml:space="preserve"> </w:t>
      </w:r>
      <w:proofErr w:type="spellStart"/>
      <w:r>
        <w:t>E.2</w:t>
      </w:r>
      <w:proofErr w:type="spellEnd"/>
      <w:r>
        <w:t>.</w:t>
      </w:r>
    </w:p>
    <w:p w:rsidR="0006129D" w:rsidRPr="009949A7" w:rsidRDefault="0006129D" w:rsidP="0006129D">
      <w:pPr>
        <w:pStyle w:val="FigureTitle"/>
      </w:pPr>
      <w:r w:rsidRPr="009949A7">
        <w:rPr>
          <w:b w:val="0"/>
        </w:rPr>
        <w:lastRenderedPageBreak/>
        <w:t xml:space="preserve">Figure </w:t>
      </w:r>
      <w:bookmarkStart w:id="10" w:name="OLE_LINK15"/>
      <w:proofErr w:type="spellStart"/>
      <w:r w:rsidR="00F156AA">
        <w:rPr>
          <w:b w:val="0"/>
        </w:rPr>
        <w:t>E.</w:t>
      </w:r>
      <w:r w:rsidR="00C01FBD">
        <w:rPr>
          <w:b w:val="0"/>
          <w:noProof/>
        </w:rPr>
        <w:t>2</w:t>
      </w:r>
      <w:bookmarkEnd w:id="10"/>
      <w:proofErr w:type="spellEnd"/>
      <w:r w:rsidRPr="009949A7">
        <w:rPr>
          <w:b w:val="0"/>
        </w:rPr>
        <w:tab/>
      </w:r>
      <w:r w:rsidRPr="009949A7">
        <w:t xml:space="preserve">Recurrent health expenditure per person, by source of funds, </w:t>
      </w:r>
      <w:r w:rsidR="001C1F14" w:rsidRPr="001C1F14">
        <w:t>2011</w:t>
      </w:r>
      <w:r w:rsidR="001C1F14" w:rsidRPr="001C1F14">
        <w:noBreakHyphen/>
        <w:t xml:space="preserve">12 </w:t>
      </w:r>
      <w:r w:rsidRPr="001C1F14">
        <w:rPr>
          <w:rStyle w:val="NoteLabel"/>
          <w:b/>
        </w:rPr>
        <w:t>a,</w:t>
      </w:r>
      <w:r w:rsidRPr="009949A7">
        <w:t> </w:t>
      </w:r>
      <w:r w:rsidRPr="009949A7">
        <w:rPr>
          <w:rStyle w:val="NoteLabel"/>
          <w:b/>
        </w:rPr>
        <w:t>b,</w:t>
      </w:r>
      <w:r w:rsidRPr="009949A7">
        <w:t> </w:t>
      </w:r>
      <w:r w:rsidRPr="009949A7">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6129D" w:rsidRPr="009949A7" w:rsidTr="00D02A99">
        <w:tc>
          <w:tcPr>
            <w:tcW w:w="8777" w:type="dxa"/>
          </w:tcPr>
          <w:p w:rsidR="0011374F" w:rsidRPr="009949A7" w:rsidRDefault="0091658B" w:rsidP="0011374F">
            <w:pPr>
              <w:pStyle w:val="Figure"/>
            </w:pPr>
            <w:r>
              <w:rPr>
                <w:noProof/>
              </w:rPr>
              <w:drawing>
                <wp:inline distT="0" distB="0" distL="0" distR="0" wp14:anchorId="18CCEE48" wp14:editId="08DE0932">
                  <wp:extent cx="5551170" cy="2581910"/>
                  <wp:effectExtent l="0" t="0" r="0" b="8890"/>
                  <wp:docPr id="9" name="Picture 9" descr="Figure E.2 Recurrent health expenditure per person, by source of fund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51170" cy="2581910"/>
                          </a:xfrm>
                          <a:prstGeom prst="rect">
                            <a:avLst/>
                          </a:prstGeom>
                          <a:noFill/>
                          <a:ln>
                            <a:noFill/>
                          </a:ln>
                        </pic:spPr>
                      </pic:pic>
                    </a:graphicData>
                  </a:graphic>
                </wp:inline>
              </w:drawing>
            </w:r>
          </w:p>
        </w:tc>
      </w:tr>
    </w:tbl>
    <w:p w:rsidR="0006129D" w:rsidRPr="009949A7" w:rsidRDefault="0006129D" w:rsidP="00A93EAA">
      <w:pPr>
        <w:pStyle w:val="Note"/>
        <w:keepNext/>
      </w:pPr>
      <w:proofErr w:type="spellStart"/>
      <w:r>
        <w:rPr>
          <w:rStyle w:val="NoteLabel"/>
        </w:rPr>
        <w:t>a</w:t>
      </w:r>
      <w:proofErr w:type="spellEnd"/>
      <w:r w:rsidR="00C93B06">
        <w:t> </w:t>
      </w:r>
      <w:r w:rsidRPr="009949A7">
        <w:t xml:space="preserve">Includes expenditure on ambulance services (reported in chapter 9). </w:t>
      </w:r>
      <w:r w:rsidRPr="009949A7">
        <w:rPr>
          <w:rStyle w:val="NoteLabel"/>
        </w:rPr>
        <w:t>b</w:t>
      </w:r>
      <w:r w:rsidR="00C93B06">
        <w:t> </w:t>
      </w:r>
      <w:r w:rsidRPr="009949A7">
        <w:t xml:space="preserve">Government expenditure includes expenditure by the Australian, State, Territory and local governments. </w:t>
      </w:r>
      <w:r w:rsidRPr="009949A7">
        <w:rPr>
          <w:rStyle w:val="NoteLabel"/>
        </w:rPr>
        <w:t>c</w:t>
      </w:r>
      <w:r w:rsidR="00C93B06">
        <w:t> </w:t>
      </w:r>
      <w:r w:rsidRPr="009949A7">
        <w:rPr>
          <w:szCs w:val="18"/>
        </w:rPr>
        <w:t>ACT per</w:t>
      </w:r>
      <w:r w:rsidRPr="009949A7">
        <w:t> </w:t>
      </w:r>
      <w:r w:rsidRPr="009949A7">
        <w:rPr>
          <w:szCs w:val="18"/>
        </w:rPr>
        <w:t>person figures are not calculated, as the expenditure numbers for the ACT include substantial expenditure for NSW</w:t>
      </w:r>
      <w:r w:rsidRPr="009949A7">
        <w:t> </w:t>
      </w:r>
      <w:r w:rsidRPr="009949A7">
        <w:rPr>
          <w:szCs w:val="18"/>
        </w:rPr>
        <w:t>residents, and</w:t>
      </w:r>
      <w:r w:rsidRPr="009949A7">
        <w:t xml:space="preserve"> </w:t>
      </w:r>
      <w:r w:rsidRPr="009949A7">
        <w:rPr>
          <w:szCs w:val="18"/>
        </w:rPr>
        <w:t>the ACT</w:t>
      </w:r>
      <w:r w:rsidRPr="009949A7">
        <w:t> </w:t>
      </w:r>
      <w:r w:rsidRPr="009949A7">
        <w:rPr>
          <w:szCs w:val="18"/>
        </w:rPr>
        <w:t>population is not the appropriate denominator.</w:t>
      </w:r>
      <w:r w:rsidR="00A401D8">
        <w:rPr>
          <w:szCs w:val="18"/>
        </w:rPr>
        <w:t xml:space="preserve"> </w:t>
      </w:r>
      <w:r w:rsidR="00A401D8">
        <w:rPr>
          <w:rStyle w:val="NoteLabel"/>
        </w:rPr>
        <w:t>d</w:t>
      </w:r>
      <w:r w:rsidR="00A401D8">
        <w:t> </w:t>
      </w:r>
      <w:r w:rsidR="00A401D8">
        <w:rPr>
          <w:szCs w:val="18"/>
        </w:rPr>
        <w:t xml:space="preserve">Excludes </w:t>
      </w:r>
      <w:r w:rsidR="00A401D8" w:rsidRPr="00A401D8">
        <w:rPr>
          <w:szCs w:val="18"/>
        </w:rPr>
        <w:t>expenditure on high level residential aged care.</w:t>
      </w:r>
    </w:p>
    <w:p w:rsidR="0006129D" w:rsidRPr="006F007C" w:rsidRDefault="0006129D" w:rsidP="0006129D">
      <w:pPr>
        <w:pStyle w:val="Source"/>
      </w:pPr>
      <w:r w:rsidRPr="006F007C">
        <w:rPr>
          <w:i/>
        </w:rPr>
        <w:t>Source</w:t>
      </w:r>
      <w:r w:rsidRPr="006F007C">
        <w:t xml:space="preserve">: </w:t>
      </w:r>
      <w:proofErr w:type="spellStart"/>
      <w:r w:rsidR="009101AB" w:rsidRPr="006F007C">
        <w:t>AIHW</w:t>
      </w:r>
      <w:proofErr w:type="spellEnd"/>
      <w:r w:rsidR="009101AB" w:rsidRPr="006F007C">
        <w:t xml:space="preserve"> 201</w:t>
      </w:r>
      <w:r w:rsidR="001C1F14" w:rsidRPr="006F007C">
        <w:t>3</w:t>
      </w:r>
      <w:r w:rsidR="009101AB" w:rsidRPr="006F007C">
        <w:t xml:space="preserve">, </w:t>
      </w:r>
      <w:r w:rsidR="009101AB" w:rsidRPr="006F007C">
        <w:rPr>
          <w:i/>
        </w:rPr>
        <w:t>Health Expenditure Australia 201</w:t>
      </w:r>
      <w:r w:rsidR="001C1F14" w:rsidRPr="006F007C">
        <w:rPr>
          <w:i/>
        </w:rPr>
        <w:t>1</w:t>
      </w:r>
      <w:r w:rsidR="009101AB" w:rsidRPr="006F007C">
        <w:rPr>
          <w:i/>
        </w:rPr>
        <w:t>-1</w:t>
      </w:r>
      <w:r w:rsidR="001C1F14" w:rsidRPr="006F007C">
        <w:rPr>
          <w:i/>
        </w:rPr>
        <w:t>2</w:t>
      </w:r>
      <w:r w:rsidR="009101AB" w:rsidRPr="006F007C">
        <w:t>, Health and Welfare</w:t>
      </w:r>
      <w:r w:rsidR="001C1F14" w:rsidRPr="006F007C">
        <w:t xml:space="preserve"> Expenditure Series no. 50</w:t>
      </w:r>
      <w:r w:rsidR="009101AB" w:rsidRPr="006F007C">
        <w:t xml:space="preserve">. Cat. no. </w:t>
      </w:r>
      <w:proofErr w:type="spellStart"/>
      <w:r w:rsidR="009101AB" w:rsidRPr="006F007C">
        <w:t>HWE</w:t>
      </w:r>
      <w:proofErr w:type="spellEnd"/>
      <w:r w:rsidR="009101AB" w:rsidRPr="006F007C">
        <w:t xml:space="preserve"> 5</w:t>
      </w:r>
      <w:r w:rsidR="001C1F14" w:rsidRPr="006F007C">
        <w:t>9</w:t>
      </w:r>
      <w:r w:rsidR="009101AB" w:rsidRPr="006F007C">
        <w:t xml:space="preserve">, Canberra; </w:t>
      </w:r>
      <w:r w:rsidR="0017445F" w:rsidRPr="006F007C">
        <w:t>T</w:t>
      </w:r>
      <w:r w:rsidRPr="006F007C">
        <w:t>able </w:t>
      </w:r>
      <w:proofErr w:type="spellStart"/>
      <w:r w:rsidRPr="006F007C">
        <w:t>EA.6</w:t>
      </w:r>
      <w:proofErr w:type="spellEnd"/>
      <w:r w:rsidRPr="006F007C">
        <w:t>.</w:t>
      </w:r>
    </w:p>
    <w:p w:rsidR="00773DA2" w:rsidRPr="00706A46" w:rsidRDefault="00BA0F82" w:rsidP="00E90284">
      <w:pPr>
        <w:pStyle w:val="TableTitle"/>
        <w:rPr>
          <w:rStyle w:val="DraftingNote"/>
          <w:b/>
          <w:color w:val="auto"/>
          <w:u w:val="none"/>
        </w:rPr>
      </w:pPr>
      <w:r>
        <w:rPr>
          <w:b w:val="0"/>
        </w:rPr>
        <w:t xml:space="preserve">Table </w:t>
      </w:r>
      <w:bookmarkStart w:id="11" w:name="OLE_LINK3"/>
      <w:proofErr w:type="spellStart"/>
      <w:r>
        <w:rPr>
          <w:b w:val="0"/>
        </w:rPr>
        <w:t>E.</w:t>
      </w:r>
      <w:r w:rsidR="00C01FBD">
        <w:rPr>
          <w:b w:val="0"/>
          <w:noProof/>
        </w:rPr>
        <w:t>1</w:t>
      </w:r>
      <w:bookmarkEnd w:id="11"/>
      <w:proofErr w:type="spellEnd"/>
      <w:r>
        <w:tab/>
      </w:r>
      <w:r w:rsidRPr="00706A46">
        <w:rPr>
          <w:rStyle w:val="DraftingNote"/>
          <w:b/>
          <w:color w:val="auto"/>
          <w:u w:val="none"/>
        </w:rPr>
        <w:t xml:space="preserve">Health funding for Indigenous and non-Indigenous </w:t>
      </w:r>
      <w:r w:rsidR="00950971">
        <w:rPr>
          <w:rStyle w:val="DraftingNote"/>
          <w:b/>
          <w:color w:val="auto"/>
          <w:u w:val="none"/>
        </w:rPr>
        <w:t>Australians</w:t>
      </w:r>
      <w:r w:rsidRPr="00706A46">
        <w:rPr>
          <w:rStyle w:val="DraftingNote"/>
          <w:b/>
          <w:color w:val="auto"/>
          <w:u w:val="none"/>
        </w:rPr>
        <w:t xml:space="preserve"> by source of funding, 2010-11</w:t>
      </w:r>
    </w:p>
    <w:tbl>
      <w:tblPr>
        <w:tblW w:w="0" w:type="auto"/>
        <w:tblLayout w:type="fixed"/>
        <w:tblCellMar>
          <w:left w:w="0" w:type="dxa"/>
          <w:right w:w="0" w:type="dxa"/>
        </w:tblCellMar>
        <w:tblLook w:val="0000" w:firstRow="0" w:lastRow="0" w:firstColumn="0" w:lastColumn="0" w:noHBand="0" w:noVBand="0"/>
      </w:tblPr>
      <w:tblGrid>
        <w:gridCol w:w="3544"/>
        <w:gridCol w:w="1276"/>
        <w:gridCol w:w="1559"/>
        <w:gridCol w:w="1134"/>
        <w:gridCol w:w="1274"/>
      </w:tblGrid>
      <w:tr w:rsidR="00773DA2" w:rsidRPr="00BC7FEC" w:rsidTr="0095550B">
        <w:tc>
          <w:tcPr>
            <w:tcW w:w="3544" w:type="dxa"/>
            <w:tcBorders>
              <w:top w:val="single" w:sz="4" w:space="0" w:color="auto"/>
            </w:tcBorders>
            <w:shd w:val="clear" w:color="auto" w:fill="auto"/>
            <w:vAlign w:val="bottom"/>
          </w:tcPr>
          <w:p w:rsidR="00773DA2" w:rsidRPr="00BC7FEC" w:rsidRDefault="00773DA2" w:rsidP="00E90284">
            <w:pPr>
              <w:pStyle w:val="TableColumnHeading"/>
              <w:jc w:val="left"/>
            </w:pPr>
            <w:r w:rsidRPr="00BC7FEC">
              <w:t>Source of funding</w:t>
            </w:r>
          </w:p>
        </w:tc>
        <w:tc>
          <w:tcPr>
            <w:tcW w:w="3969" w:type="dxa"/>
            <w:gridSpan w:val="3"/>
            <w:tcBorders>
              <w:top w:val="single" w:sz="4" w:space="0" w:color="auto"/>
              <w:bottom w:val="single" w:sz="4" w:space="0" w:color="auto"/>
            </w:tcBorders>
            <w:shd w:val="clear" w:color="auto" w:fill="auto"/>
            <w:vAlign w:val="bottom"/>
          </w:tcPr>
          <w:p w:rsidR="00773DA2" w:rsidRPr="00BC7FEC" w:rsidRDefault="00773DA2" w:rsidP="00E90284">
            <w:pPr>
              <w:pStyle w:val="TableBodyText"/>
              <w:jc w:val="center"/>
              <w:rPr>
                <w:i/>
              </w:rPr>
            </w:pPr>
            <w:r w:rsidRPr="00BC7FEC">
              <w:rPr>
                <w:i/>
              </w:rPr>
              <w:t>Amount ($ million)</w:t>
            </w:r>
          </w:p>
        </w:tc>
        <w:tc>
          <w:tcPr>
            <w:tcW w:w="1274" w:type="dxa"/>
            <w:tcBorders>
              <w:top w:val="single" w:sz="4" w:space="0" w:color="auto"/>
              <w:bottom w:val="single" w:sz="4" w:space="0" w:color="auto"/>
            </w:tcBorders>
            <w:shd w:val="clear" w:color="auto" w:fill="auto"/>
            <w:vAlign w:val="bottom"/>
          </w:tcPr>
          <w:p w:rsidR="00773DA2" w:rsidRPr="00BC7FEC" w:rsidRDefault="00773DA2" w:rsidP="00E90284">
            <w:pPr>
              <w:pStyle w:val="TableBodyText"/>
              <w:jc w:val="center"/>
            </w:pPr>
          </w:p>
        </w:tc>
      </w:tr>
      <w:tr w:rsidR="00773DA2" w:rsidRPr="00BC7FEC" w:rsidTr="00192F80">
        <w:tc>
          <w:tcPr>
            <w:tcW w:w="3544" w:type="dxa"/>
            <w:tcBorders>
              <w:bottom w:val="single" w:sz="4" w:space="0" w:color="auto"/>
            </w:tcBorders>
          </w:tcPr>
          <w:p w:rsidR="00773DA2" w:rsidRPr="00BC7FEC" w:rsidRDefault="00773DA2" w:rsidP="00E90284">
            <w:pPr>
              <w:pStyle w:val="TableUnitsRow"/>
              <w:jc w:val="left"/>
            </w:pPr>
          </w:p>
        </w:tc>
        <w:tc>
          <w:tcPr>
            <w:tcW w:w="1276" w:type="dxa"/>
            <w:tcBorders>
              <w:top w:val="single" w:sz="4" w:space="0" w:color="auto"/>
              <w:bottom w:val="single" w:sz="4" w:space="0" w:color="auto"/>
            </w:tcBorders>
            <w:shd w:val="clear" w:color="auto" w:fill="auto"/>
            <w:vAlign w:val="bottom"/>
          </w:tcPr>
          <w:p w:rsidR="00773DA2" w:rsidRPr="00BC7FEC" w:rsidRDefault="00773DA2" w:rsidP="00E90284">
            <w:pPr>
              <w:pStyle w:val="TableColumnHeading"/>
            </w:pPr>
            <w:r w:rsidRPr="00BC7FEC">
              <w:t>Indigenous</w:t>
            </w:r>
          </w:p>
        </w:tc>
        <w:tc>
          <w:tcPr>
            <w:tcW w:w="1559" w:type="dxa"/>
            <w:tcBorders>
              <w:top w:val="single" w:sz="4" w:space="0" w:color="auto"/>
              <w:bottom w:val="single" w:sz="4" w:space="0" w:color="auto"/>
            </w:tcBorders>
            <w:shd w:val="clear" w:color="auto" w:fill="auto"/>
            <w:vAlign w:val="bottom"/>
          </w:tcPr>
          <w:p w:rsidR="00773DA2" w:rsidRPr="00BC7FEC" w:rsidRDefault="00773DA2" w:rsidP="00E90284">
            <w:pPr>
              <w:pStyle w:val="TableColumnHeading"/>
              <w:ind w:right="28"/>
            </w:pPr>
            <w:r w:rsidRPr="00BC7FEC">
              <w:t xml:space="preserve">Non-Indigenous </w:t>
            </w:r>
          </w:p>
        </w:tc>
        <w:tc>
          <w:tcPr>
            <w:tcW w:w="1134" w:type="dxa"/>
            <w:tcBorders>
              <w:top w:val="single" w:sz="4" w:space="0" w:color="auto"/>
              <w:bottom w:val="single" w:sz="4" w:space="0" w:color="auto"/>
            </w:tcBorders>
            <w:shd w:val="clear" w:color="auto" w:fill="auto"/>
            <w:vAlign w:val="bottom"/>
          </w:tcPr>
          <w:p w:rsidR="00773DA2" w:rsidRPr="00BC7FEC" w:rsidRDefault="00773DA2" w:rsidP="00E90284">
            <w:pPr>
              <w:pStyle w:val="TableColumnHeading"/>
            </w:pPr>
            <w:r w:rsidRPr="00BC7FEC">
              <w:t>Total</w:t>
            </w:r>
          </w:p>
        </w:tc>
        <w:tc>
          <w:tcPr>
            <w:tcW w:w="1274" w:type="dxa"/>
            <w:tcBorders>
              <w:top w:val="single" w:sz="4" w:space="0" w:color="auto"/>
              <w:bottom w:val="single" w:sz="4" w:space="0" w:color="auto"/>
            </w:tcBorders>
          </w:tcPr>
          <w:p w:rsidR="00773DA2" w:rsidRPr="00BC7FEC" w:rsidRDefault="00773DA2" w:rsidP="00E90284">
            <w:pPr>
              <w:pStyle w:val="TableColumnHeading"/>
              <w:ind w:right="28"/>
            </w:pPr>
            <w:r w:rsidRPr="00BC7FEC">
              <w:t>Indigenous share (%)</w:t>
            </w:r>
          </w:p>
        </w:tc>
      </w:tr>
      <w:tr w:rsidR="00773DA2" w:rsidRPr="00BC7FEC" w:rsidTr="0095550B">
        <w:tc>
          <w:tcPr>
            <w:tcW w:w="3544" w:type="dxa"/>
            <w:tcBorders>
              <w:top w:val="single" w:sz="4" w:space="0" w:color="auto"/>
            </w:tcBorders>
            <w:vAlign w:val="bottom"/>
          </w:tcPr>
          <w:p w:rsidR="00773DA2" w:rsidRPr="00BC7FEC" w:rsidRDefault="00773DA2" w:rsidP="00E90284">
            <w:pPr>
              <w:pStyle w:val="TableBodyText"/>
              <w:jc w:val="left"/>
            </w:pPr>
            <w:r w:rsidRPr="00BC7FEC">
              <w:t>State and Territory governments</w:t>
            </w:r>
          </w:p>
        </w:tc>
        <w:tc>
          <w:tcPr>
            <w:tcW w:w="1276" w:type="dxa"/>
            <w:tcBorders>
              <w:top w:val="single" w:sz="4" w:space="0" w:color="auto"/>
            </w:tcBorders>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2 119.2</w:t>
            </w:r>
          </w:p>
        </w:tc>
        <w:tc>
          <w:tcPr>
            <w:tcW w:w="1559" w:type="dxa"/>
            <w:tcBorders>
              <w:top w:val="single" w:sz="4" w:space="0" w:color="auto"/>
            </w:tcBorders>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28 172.0</w:t>
            </w:r>
          </w:p>
        </w:tc>
        <w:tc>
          <w:tcPr>
            <w:tcW w:w="1134" w:type="dxa"/>
            <w:tcBorders>
              <w:top w:val="single" w:sz="4" w:space="0" w:color="auto"/>
            </w:tcBorders>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30 291.2</w:t>
            </w:r>
          </w:p>
        </w:tc>
        <w:tc>
          <w:tcPr>
            <w:tcW w:w="1274" w:type="dxa"/>
            <w:tcBorders>
              <w:top w:val="single" w:sz="4" w:space="0" w:color="auto"/>
            </w:tcBorders>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7.0</w:t>
            </w:r>
          </w:p>
        </w:tc>
      </w:tr>
      <w:tr w:rsidR="00773DA2" w:rsidRPr="00BC7FEC" w:rsidTr="0095550B">
        <w:tc>
          <w:tcPr>
            <w:tcW w:w="3544" w:type="dxa"/>
            <w:vAlign w:val="bottom"/>
          </w:tcPr>
          <w:p w:rsidR="00773DA2" w:rsidRPr="00BC7FEC" w:rsidRDefault="00773DA2" w:rsidP="00E90284">
            <w:pPr>
              <w:pStyle w:val="TableBodyText"/>
              <w:jc w:val="left"/>
            </w:pPr>
            <w:r w:rsidRPr="00BC7FEC">
              <w:t>Australian Government</w:t>
            </w:r>
          </w:p>
        </w:tc>
        <w:tc>
          <w:tcPr>
            <w:tcW w:w="1276"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2 040.7</w:t>
            </w:r>
          </w:p>
        </w:tc>
        <w:tc>
          <w:tcPr>
            <w:tcW w:w="1559"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52 967.2</w:t>
            </w:r>
          </w:p>
        </w:tc>
        <w:tc>
          <w:tcPr>
            <w:tcW w:w="1134"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55 007.8</w:t>
            </w:r>
          </w:p>
        </w:tc>
        <w:tc>
          <w:tcPr>
            <w:tcW w:w="1274" w:type="dxa"/>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3.7</w:t>
            </w:r>
          </w:p>
        </w:tc>
      </w:tr>
      <w:tr w:rsidR="00773DA2" w:rsidRPr="00BC7FEC" w:rsidTr="0095550B">
        <w:tc>
          <w:tcPr>
            <w:tcW w:w="3544" w:type="dxa"/>
            <w:vAlign w:val="bottom"/>
          </w:tcPr>
          <w:p w:rsidR="00773DA2" w:rsidRPr="00BC7FEC" w:rsidRDefault="00773DA2" w:rsidP="00E90284">
            <w:pPr>
              <w:pStyle w:val="TableBodyText"/>
              <w:jc w:val="left"/>
            </w:pPr>
            <w:r w:rsidRPr="00BC7FEC">
              <w:tab/>
              <w:t>Direct Australian Government</w:t>
            </w:r>
          </w:p>
        </w:tc>
        <w:tc>
          <w:tcPr>
            <w:tcW w:w="1276"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1 245.0</w:t>
            </w:r>
          </w:p>
        </w:tc>
        <w:tc>
          <w:tcPr>
            <w:tcW w:w="1559"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33 078.3</w:t>
            </w:r>
          </w:p>
        </w:tc>
        <w:tc>
          <w:tcPr>
            <w:tcW w:w="1134"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34 323.3</w:t>
            </w:r>
          </w:p>
        </w:tc>
        <w:tc>
          <w:tcPr>
            <w:tcW w:w="1274" w:type="dxa"/>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3.6</w:t>
            </w:r>
          </w:p>
        </w:tc>
      </w:tr>
      <w:tr w:rsidR="00773DA2" w:rsidRPr="00BC7FEC" w:rsidTr="0095550B">
        <w:tc>
          <w:tcPr>
            <w:tcW w:w="3544" w:type="dxa"/>
            <w:vAlign w:val="bottom"/>
          </w:tcPr>
          <w:p w:rsidR="00773DA2" w:rsidRPr="00BC7FEC" w:rsidRDefault="00773DA2" w:rsidP="00E90284">
            <w:pPr>
              <w:pStyle w:val="TableBodyText"/>
              <w:jc w:val="left"/>
            </w:pPr>
            <w:r w:rsidRPr="00BC7FEC">
              <w:tab/>
              <w:t xml:space="preserve">Indirect through Australian </w:t>
            </w:r>
            <w:r w:rsidRPr="00BC7FEC">
              <w:tab/>
              <w:t>State/Territory governments</w:t>
            </w:r>
          </w:p>
        </w:tc>
        <w:tc>
          <w:tcPr>
            <w:tcW w:w="1276"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746.1</w:t>
            </w:r>
          </w:p>
        </w:tc>
        <w:tc>
          <w:tcPr>
            <w:tcW w:w="1559"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13 493.9</w:t>
            </w:r>
          </w:p>
        </w:tc>
        <w:tc>
          <w:tcPr>
            <w:tcW w:w="1134"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14 240.0</w:t>
            </w:r>
          </w:p>
        </w:tc>
        <w:tc>
          <w:tcPr>
            <w:tcW w:w="1274" w:type="dxa"/>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5.2</w:t>
            </w:r>
          </w:p>
        </w:tc>
      </w:tr>
      <w:tr w:rsidR="00773DA2" w:rsidRPr="00BC7FEC" w:rsidTr="0095550B">
        <w:tc>
          <w:tcPr>
            <w:tcW w:w="3544" w:type="dxa"/>
            <w:vAlign w:val="bottom"/>
          </w:tcPr>
          <w:p w:rsidR="00773DA2" w:rsidRPr="00BC7FEC" w:rsidRDefault="00773DA2" w:rsidP="00E90284">
            <w:pPr>
              <w:pStyle w:val="TableBodyText"/>
              <w:jc w:val="left"/>
            </w:pPr>
            <w:r w:rsidRPr="00BC7FEC">
              <w:tab/>
              <w:t>Indirect through non-government</w:t>
            </w:r>
            <w:r w:rsidRPr="00BC7FEC">
              <w:rPr>
                <w:rStyle w:val="NoteLabel"/>
              </w:rPr>
              <w:t>a</w:t>
            </w:r>
          </w:p>
        </w:tc>
        <w:tc>
          <w:tcPr>
            <w:tcW w:w="1276"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49.6</w:t>
            </w:r>
          </w:p>
        </w:tc>
        <w:tc>
          <w:tcPr>
            <w:tcW w:w="1559"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6 394.9</w:t>
            </w:r>
          </w:p>
        </w:tc>
        <w:tc>
          <w:tcPr>
            <w:tcW w:w="1134"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6 444.5</w:t>
            </w:r>
          </w:p>
        </w:tc>
        <w:tc>
          <w:tcPr>
            <w:tcW w:w="1274" w:type="dxa"/>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0.8</w:t>
            </w:r>
          </w:p>
        </w:tc>
      </w:tr>
      <w:tr w:rsidR="00773DA2" w:rsidRPr="00BC7FEC" w:rsidTr="0095550B">
        <w:tc>
          <w:tcPr>
            <w:tcW w:w="3544" w:type="dxa"/>
            <w:vAlign w:val="bottom"/>
          </w:tcPr>
          <w:p w:rsidR="00773DA2" w:rsidRPr="00BC7FEC" w:rsidRDefault="00773DA2" w:rsidP="00E90284">
            <w:pPr>
              <w:pStyle w:val="TableBodyText"/>
              <w:jc w:val="left"/>
              <w:rPr>
                <w:i/>
              </w:rPr>
            </w:pPr>
            <w:r w:rsidRPr="00BC7FEC">
              <w:rPr>
                <w:i/>
              </w:rPr>
              <w:t>All governments</w:t>
            </w:r>
          </w:p>
        </w:tc>
        <w:tc>
          <w:tcPr>
            <w:tcW w:w="1276"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4 159.9</w:t>
            </w:r>
          </w:p>
        </w:tc>
        <w:tc>
          <w:tcPr>
            <w:tcW w:w="1559"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81 139.2</w:t>
            </w:r>
          </w:p>
        </w:tc>
        <w:tc>
          <w:tcPr>
            <w:tcW w:w="1134"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85 299.0</w:t>
            </w:r>
          </w:p>
        </w:tc>
        <w:tc>
          <w:tcPr>
            <w:tcW w:w="1274" w:type="dxa"/>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4.9</w:t>
            </w:r>
          </w:p>
        </w:tc>
      </w:tr>
      <w:tr w:rsidR="00773DA2" w:rsidRPr="00BC7FEC" w:rsidTr="0095550B">
        <w:tc>
          <w:tcPr>
            <w:tcW w:w="3544" w:type="dxa"/>
            <w:vAlign w:val="bottom"/>
          </w:tcPr>
          <w:p w:rsidR="00773DA2" w:rsidRPr="00BC7FEC" w:rsidRDefault="00773DA2" w:rsidP="00E90284">
            <w:pPr>
              <w:pStyle w:val="TableBodyText"/>
              <w:jc w:val="left"/>
            </w:pPr>
            <w:r w:rsidRPr="00BC7FEC">
              <w:t>Non-government</w:t>
            </w:r>
          </w:p>
        </w:tc>
        <w:tc>
          <w:tcPr>
            <w:tcW w:w="1276"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392.1</w:t>
            </w:r>
          </w:p>
        </w:tc>
        <w:tc>
          <w:tcPr>
            <w:tcW w:w="1559"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37 964.9</w:t>
            </w:r>
          </w:p>
        </w:tc>
        <w:tc>
          <w:tcPr>
            <w:tcW w:w="1134" w:type="dxa"/>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38 357.1</w:t>
            </w:r>
          </w:p>
        </w:tc>
        <w:tc>
          <w:tcPr>
            <w:tcW w:w="1274" w:type="dxa"/>
            <w:vAlign w:val="bottom"/>
          </w:tcPr>
          <w:p w:rsidR="00773DA2" w:rsidRPr="00C2248B" w:rsidRDefault="00773DA2" w:rsidP="00E90284">
            <w:pPr>
              <w:spacing w:afterLines="40" w:after="96" w:line="220" w:lineRule="atLeast"/>
              <w:ind w:left="6" w:right="113"/>
              <w:jc w:val="right"/>
              <w:rPr>
                <w:rFonts w:ascii="Arial" w:hAnsi="Arial" w:cs="Arial"/>
                <w:sz w:val="20"/>
                <w:szCs w:val="20"/>
              </w:rPr>
            </w:pPr>
            <w:r w:rsidRPr="00C2248B">
              <w:rPr>
                <w:rFonts w:ascii="Arial" w:hAnsi="Arial" w:cs="Arial"/>
                <w:sz w:val="20"/>
                <w:szCs w:val="20"/>
              </w:rPr>
              <w:t xml:space="preserve">  1.0</w:t>
            </w:r>
          </w:p>
        </w:tc>
      </w:tr>
      <w:tr w:rsidR="00773DA2" w:rsidRPr="00BC7FEC" w:rsidTr="0095550B">
        <w:tc>
          <w:tcPr>
            <w:tcW w:w="3544" w:type="dxa"/>
            <w:tcBorders>
              <w:bottom w:val="single" w:sz="4" w:space="0" w:color="auto"/>
            </w:tcBorders>
            <w:vAlign w:val="bottom"/>
          </w:tcPr>
          <w:p w:rsidR="00773DA2" w:rsidRPr="00BC7FEC" w:rsidRDefault="00773DA2" w:rsidP="00E90284">
            <w:pPr>
              <w:pStyle w:val="TableBodyText"/>
              <w:jc w:val="left"/>
              <w:rPr>
                <w:b/>
              </w:rPr>
            </w:pPr>
            <w:r w:rsidRPr="00BC7FEC">
              <w:rPr>
                <w:b/>
              </w:rPr>
              <w:t>Total health</w:t>
            </w:r>
          </w:p>
        </w:tc>
        <w:tc>
          <w:tcPr>
            <w:tcW w:w="1276" w:type="dxa"/>
            <w:tcBorders>
              <w:bottom w:val="single" w:sz="4" w:space="0" w:color="auto"/>
            </w:tcBorders>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b/>
                <w:sz w:val="20"/>
                <w:szCs w:val="20"/>
              </w:rPr>
            </w:pPr>
            <w:r w:rsidRPr="00C2248B">
              <w:rPr>
                <w:rFonts w:ascii="Arial" w:hAnsi="Arial" w:cs="Arial"/>
                <w:b/>
                <w:sz w:val="20"/>
                <w:szCs w:val="20"/>
              </w:rPr>
              <w:t xml:space="preserve"> 4 552.0</w:t>
            </w:r>
          </w:p>
        </w:tc>
        <w:tc>
          <w:tcPr>
            <w:tcW w:w="1559" w:type="dxa"/>
            <w:tcBorders>
              <w:bottom w:val="single" w:sz="4" w:space="0" w:color="auto"/>
            </w:tcBorders>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b/>
                <w:sz w:val="20"/>
                <w:szCs w:val="20"/>
              </w:rPr>
            </w:pPr>
            <w:r w:rsidRPr="00C2248B">
              <w:rPr>
                <w:rFonts w:ascii="Arial" w:hAnsi="Arial" w:cs="Arial"/>
                <w:b/>
                <w:sz w:val="20"/>
                <w:szCs w:val="20"/>
              </w:rPr>
              <w:t xml:space="preserve"> 119 104.1</w:t>
            </w:r>
          </w:p>
        </w:tc>
        <w:tc>
          <w:tcPr>
            <w:tcW w:w="1134" w:type="dxa"/>
            <w:tcBorders>
              <w:bottom w:val="single" w:sz="4" w:space="0" w:color="auto"/>
            </w:tcBorders>
            <w:shd w:val="clear" w:color="auto" w:fill="auto"/>
            <w:vAlign w:val="bottom"/>
          </w:tcPr>
          <w:p w:rsidR="00773DA2" w:rsidRPr="00C2248B" w:rsidRDefault="00773DA2" w:rsidP="00E90284">
            <w:pPr>
              <w:spacing w:afterLines="40" w:after="96" w:line="220" w:lineRule="atLeast"/>
              <w:ind w:left="6" w:right="113"/>
              <w:jc w:val="right"/>
              <w:rPr>
                <w:rFonts w:ascii="Arial" w:hAnsi="Arial" w:cs="Arial"/>
                <w:b/>
                <w:sz w:val="20"/>
                <w:szCs w:val="20"/>
              </w:rPr>
            </w:pPr>
            <w:r w:rsidRPr="00C2248B">
              <w:rPr>
                <w:rFonts w:ascii="Arial" w:hAnsi="Arial" w:cs="Arial"/>
                <w:b/>
                <w:sz w:val="20"/>
                <w:szCs w:val="20"/>
              </w:rPr>
              <w:t xml:space="preserve"> 123 656.1</w:t>
            </w:r>
          </w:p>
        </w:tc>
        <w:tc>
          <w:tcPr>
            <w:tcW w:w="1274" w:type="dxa"/>
            <w:tcBorders>
              <w:bottom w:val="single" w:sz="4" w:space="0" w:color="auto"/>
            </w:tcBorders>
            <w:vAlign w:val="bottom"/>
          </w:tcPr>
          <w:p w:rsidR="00773DA2" w:rsidRPr="00C2248B" w:rsidRDefault="00773DA2" w:rsidP="00E90284">
            <w:pPr>
              <w:spacing w:afterLines="40" w:after="96" w:line="220" w:lineRule="atLeast"/>
              <w:ind w:left="6" w:right="113"/>
              <w:jc w:val="right"/>
              <w:rPr>
                <w:rFonts w:ascii="Arial" w:hAnsi="Arial" w:cs="Arial"/>
                <w:b/>
                <w:sz w:val="20"/>
                <w:szCs w:val="20"/>
              </w:rPr>
            </w:pPr>
            <w:r w:rsidRPr="00C2248B">
              <w:rPr>
                <w:rFonts w:ascii="Arial" w:hAnsi="Arial" w:cs="Arial"/>
                <w:b/>
                <w:sz w:val="20"/>
                <w:szCs w:val="20"/>
              </w:rPr>
              <w:t xml:space="preserve">  3.7</w:t>
            </w:r>
          </w:p>
        </w:tc>
      </w:tr>
    </w:tbl>
    <w:p w:rsidR="00773DA2" w:rsidRDefault="00773DA2" w:rsidP="00E90284">
      <w:pPr>
        <w:pStyle w:val="Note"/>
        <w:keepNext/>
      </w:pPr>
      <w:proofErr w:type="spellStart"/>
      <w:r w:rsidRPr="00065B2F">
        <w:rPr>
          <w:rStyle w:val="NoteLabel"/>
        </w:rPr>
        <w:t>a</w:t>
      </w:r>
      <w:proofErr w:type="spellEnd"/>
      <w:r>
        <w:t xml:space="preserve"> </w:t>
      </w:r>
      <w:r w:rsidR="00626E02" w:rsidRPr="00626E02">
        <w:t>Includes private health insurance rebates for all Australians. Also includes Specific Purpose Payments covering highly specialised drugs in private hospitals and other payments.</w:t>
      </w:r>
    </w:p>
    <w:p w:rsidR="00773DA2" w:rsidRPr="006F007C" w:rsidRDefault="00773DA2" w:rsidP="00E90284">
      <w:pPr>
        <w:pStyle w:val="Source"/>
        <w:rPr>
          <w:shd w:val="clear" w:color="auto" w:fill="CCC0D9" w:themeFill="accent4" w:themeFillTint="66"/>
        </w:rPr>
      </w:pPr>
      <w:r w:rsidRPr="006F007C">
        <w:rPr>
          <w:i/>
        </w:rPr>
        <w:t>Source</w:t>
      </w:r>
      <w:r w:rsidRPr="006F007C">
        <w:t xml:space="preserve">: </w:t>
      </w:r>
      <w:proofErr w:type="spellStart"/>
      <w:r w:rsidRPr="006F007C">
        <w:t>AIHW</w:t>
      </w:r>
      <w:proofErr w:type="spellEnd"/>
      <w:r w:rsidRPr="006F007C">
        <w:t xml:space="preserve"> 2013, </w:t>
      </w:r>
      <w:r w:rsidRPr="006F007C">
        <w:rPr>
          <w:i/>
        </w:rPr>
        <w:t>Expenditure on health for Aboriginal and Torres Strait Islander people 2010–11,</w:t>
      </w:r>
      <w:r w:rsidRPr="006F007C">
        <w:t xml:space="preserve"> Health and Welfare Expenditure Series no. 48. Cat. no. </w:t>
      </w:r>
      <w:proofErr w:type="spellStart"/>
      <w:r w:rsidRPr="006F007C">
        <w:t>HWE</w:t>
      </w:r>
      <w:proofErr w:type="spellEnd"/>
      <w:r w:rsidRPr="006F007C">
        <w:t xml:space="preserve"> 57,</w:t>
      </w:r>
      <w:r w:rsidR="00327AD4" w:rsidRPr="006F007C">
        <w:t xml:space="preserve"> Canberra.</w:t>
      </w:r>
      <w:r w:rsidR="00327AD4" w:rsidRPr="006F007C">
        <w:rPr>
          <w:shd w:val="clear" w:color="auto" w:fill="CCC0D9" w:themeFill="accent4" w:themeFillTint="66"/>
        </w:rPr>
        <w:t xml:space="preserve"> </w:t>
      </w:r>
    </w:p>
    <w:p w:rsidR="009F7CB8" w:rsidRDefault="008022B8" w:rsidP="00E90284">
      <w:pPr>
        <w:pStyle w:val="TableTitle"/>
      </w:pPr>
      <w:r>
        <w:rPr>
          <w:b w:val="0"/>
        </w:rPr>
        <w:lastRenderedPageBreak/>
        <w:t xml:space="preserve">Table </w:t>
      </w:r>
      <w:bookmarkStart w:id="12" w:name="OLE_LINK33"/>
      <w:proofErr w:type="spellStart"/>
      <w:r>
        <w:rPr>
          <w:b w:val="0"/>
        </w:rPr>
        <w:t>E.</w:t>
      </w:r>
      <w:r w:rsidR="00C01FBD">
        <w:rPr>
          <w:b w:val="0"/>
          <w:noProof/>
        </w:rPr>
        <w:t>2</w:t>
      </w:r>
      <w:bookmarkEnd w:id="12"/>
      <w:proofErr w:type="spellEnd"/>
      <w:r>
        <w:tab/>
      </w:r>
      <w:r w:rsidRPr="008022B8">
        <w:t xml:space="preserve">Expenditure on health </w:t>
      </w:r>
      <w:r w:rsidR="005B0791">
        <w:t>services for Indigenous and non</w:t>
      </w:r>
      <w:r w:rsidR="005B0791">
        <w:noBreakHyphen/>
      </w:r>
      <w:r w:rsidRPr="008022B8">
        <w:t>Indigenous Australians, 2010-11</w:t>
      </w:r>
    </w:p>
    <w:tbl>
      <w:tblPr>
        <w:tblW w:w="8800" w:type="dxa"/>
        <w:tblLayout w:type="fixed"/>
        <w:tblCellMar>
          <w:left w:w="0" w:type="dxa"/>
          <w:right w:w="0" w:type="dxa"/>
        </w:tblCellMar>
        <w:tblLook w:val="0000" w:firstRow="0" w:lastRow="0" w:firstColumn="0" w:lastColumn="0" w:noHBand="0" w:noVBand="0"/>
      </w:tblPr>
      <w:tblGrid>
        <w:gridCol w:w="1418"/>
        <w:gridCol w:w="1134"/>
        <w:gridCol w:w="1158"/>
        <w:gridCol w:w="1078"/>
        <w:gridCol w:w="1119"/>
        <w:gridCol w:w="1134"/>
        <w:gridCol w:w="1134"/>
        <w:gridCol w:w="625"/>
      </w:tblGrid>
      <w:tr w:rsidR="009F7CB8" w:rsidRPr="00B61FEB" w:rsidTr="00B939BB">
        <w:tc>
          <w:tcPr>
            <w:tcW w:w="1418" w:type="dxa"/>
            <w:vMerge w:val="restart"/>
            <w:tcBorders>
              <w:top w:val="single" w:sz="4" w:space="0" w:color="auto"/>
            </w:tcBorders>
            <w:shd w:val="clear" w:color="auto" w:fill="auto"/>
            <w:vAlign w:val="bottom"/>
          </w:tcPr>
          <w:p w:rsidR="009F7CB8" w:rsidRPr="00B61FEB" w:rsidRDefault="009F7CB8" w:rsidP="00E90284">
            <w:pPr>
              <w:pStyle w:val="TableColumnHeading"/>
              <w:jc w:val="left"/>
            </w:pPr>
            <w:r w:rsidRPr="00B61FEB">
              <w:t>Area of expenditure</w:t>
            </w:r>
          </w:p>
        </w:tc>
        <w:tc>
          <w:tcPr>
            <w:tcW w:w="3370" w:type="dxa"/>
            <w:gridSpan w:val="3"/>
            <w:tcBorders>
              <w:top w:val="single" w:sz="4" w:space="0" w:color="auto"/>
              <w:bottom w:val="single" w:sz="4" w:space="0" w:color="auto"/>
            </w:tcBorders>
            <w:shd w:val="clear" w:color="auto" w:fill="auto"/>
          </w:tcPr>
          <w:p w:rsidR="009F7CB8" w:rsidRPr="00B61FEB" w:rsidRDefault="009F7CB8" w:rsidP="00E90284">
            <w:pPr>
              <w:pStyle w:val="TableColumnHeading"/>
              <w:jc w:val="center"/>
            </w:pPr>
            <w:r w:rsidRPr="00B61FEB">
              <w:t>Expenditure ($ million)</w:t>
            </w:r>
          </w:p>
        </w:tc>
        <w:tc>
          <w:tcPr>
            <w:tcW w:w="1119" w:type="dxa"/>
            <w:tcBorders>
              <w:top w:val="single" w:sz="4" w:space="0" w:color="auto"/>
              <w:bottom w:val="single" w:sz="4" w:space="0" w:color="auto"/>
            </w:tcBorders>
            <w:shd w:val="clear" w:color="auto" w:fill="auto"/>
          </w:tcPr>
          <w:p w:rsidR="009F7CB8" w:rsidRPr="00B61FEB" w:rsidRDefault="009F7CB8" w:rsidP="00E90284">
            <w:pPr>
              <w:pStyle w:val="TableColumnHeading"/>
              <w:jc w:val="center"/>
            </w:pPr>
          </w:p>
        </w:tc>
        <w:tc>
          <w:tcPr>
            <w:tcW w:w="2268" w:type="dxa"/>
            <w:gridSpan w:val="2"/>
            <w:tcBorders>
              <w:top w:val="single" w:sz="4" w:space="0" w:color="auto"/>
              <w:bottom w:val="single" w:sz="4" w:space="0" w:color="auto"/>
            </w:tcBorders>
            <w:shd w:val="clear" w:color="auto" w:fill="auto"/>
          </w:tcPr>
          <w:p w:rsidR="009F7CB8" w:rsidRPr="00B61FEB" w:rsidRDefault="009F7CB8" w:rsidP="00E90284">
            <w:pPr>
              <w:pStyle w:val="TableColumnHeading"/>
              <w:ind w:right="28"/>
              <w:jc w:val="center"/>
            </w:pPr>
            <w:r w:rsidRPr="00B61FEB">
              <w:t>Expenditure per person ($)</w:t>
            </w:r>
          </w:p>
        </w:tc>
        <w:tc>
          <w:tcPr>
            <w:tcW w:w="625" w:type="dxa"/>
            <w:tcBorders>
              <w:top w:val="single" w:sz="4" w:space="0" w:color="auto"/>
              <w:bottom w:val="single" w:sz="4" w:space="0" w:color="auto"/>
            </w:tcBorders>
            <w:shd w:val="clear" w:color="auto" w:fill="auto"/>
          </w:tcPr>
          <w:p w:rsidR="009F7CB8" w:rsidRPr="00B61FEB" w:rsidRDefault="009F7CB8" w:rsidP="00E90284">
            <w:pPr>
              <w:pStyle w:val="TableColumnHeading"/>
              <w:ind w:right="28"/>
              <w:jc w:val="center"/>
            </w:pPr>
          </w:p>
        </w:tc>
      </w:tr>
      <w:tr w:rsidR="009F7CB8" w:rsidRPr="00B61FEB" w:rsidTr="00B939BB">
        <w:trPr>
          <w:trHeight w:val="569"/>
        </w:trPr>
        <w:tc>
          <w:tcPr>
            <w:tcW w:w="1418" w:type="dxa"/>
            <w:vMerge/>
            <w:tcBorders>
              <w:bottom w:val="single" w:sz="4" w:space="0" w:color="auto"/>
            </w:tcBorders>
          </w:tcPr>
          <w:p w:rsidR="009F7CB8" w:rsidRPr="00B61FEB" w:rsidRDefault="009F7CB8" w:rsidP="00E90284">
            <w:pPr>
              <w:pStyle w:val="TableBodyText"/>
              <w:jc w:val="left"/>
            </w:pPr>
          </w:p>
        </w:tc>
        <w:tc>
          <w:tcPr>
            <w:tcW w:w="1134" w:type="dxa"/>
            <w:tcBorders>
              <w:top w:val="single" w:sz="4" w:space="0" w:color="auto"/>
              <w:bottom w:val="single" w:sz="4" w:space="0" w:color="auto"/>
            </w:tcBorders>
            <w:vAlign w:val="bottom"/>
          </w:tcPr>
          <w:p w:rsidR="009F7CB8" w:rsidRPr="00B61FEB" w:rsidRDefault="009F7CB8" w:rsidP="00E90284">
            <w:pPr>
              <w:pStyle w:val="TableColumnHeading"/>
            </w:pPr>
            <w:r w:rsidRPr="00B61FEB">
              <w:t>Indigenous</w:t>
            </w:r>
          </w:p>
        </w:tc>
        <w:tc>
          <w:tcPr>
            <w:tcW w:w="1158" w:type="dxa"/>
            <w:tcBorders>
              <w:top w:val="single" w:sz="4" w:space="0" w:color="auto"/>
              <w:bottom w:val="single" w:sz="4" w:space="0" w:color="auto"/>
            </w:tcBorders>
            <w:shd w:val="clear" w:color="auto" w:fill="auto"/>
            <w:vAlign w:val="bottom"/>
          </w:tcPr>
          <w:p w:rsidR="009F7CB8" w:rsidRPr="00B61FEB" w:rsidRDefault="009F7CB8" w:rsidP="00E90284">
            <w:pPr>
              <w:pStyle w:val="TableColumnHeading"/>
            </w:pPr>
            <w:r w:rsidRPr="00B61FEB">
              <w:t>Non-Indigenous</w:t>
            </w:r>
          </w:p>
        </w:tc>
        <w:tc>
          <w:tcPr>
            <w:tcW w:w="1078" w:type="dxa"/>
            <w:tcBorders>
              <w:top w:val="single" w:sz="4" w:space="0" w:color="auto"/>
              <w:bottom w:val="single" w:sz="4" w:space="0" w:color="auto"/>
            </w:tcBorders>
            <w:shd w:val="clear" w:color="auto" w:fill="auto"/>
            <w:vAlign w:val="bottom"/>
          </w:tcPr>
          <w:p w:rsidR="009F7CB8" w:rsidRPr="00B61FEB" w:rsidRDefault="009F7CB8" w:rsidP="00E90284">
            <w:pPr>
              <w:pStyle w:val="TableColumnHeading"/>
            </w:pPr>
            <w:r w:rsidRPr="00B61FEB">
              <w:t>Total</w:t>
            </w:r>
          </w:p>
        </w:tc>
        <w:tc>
          <w:tcPr>
            <w:tcW w:w="1119" w:type="dxa"/>
            <w:tcBorders>
              <w:top w:val="single" w:sz="4" w:space="0" w:color="auto"/>
              <w:bottom w:val="single" w:sz="4" w:space="0" w:color="auto"/>
            </w:tcBorders>
            <w:vAlign w:val="bottom"/>
          </w:tcPr>
          <w:p w:rsidR="009F7CB8" w:rsidRPr="00B61FEB" w:rsidRDefault="009F7CB8" w:rsidP="00E90284">
            <w:pPr>
              <w:pStyle w:val="TableColumnHeading"/>
              <w:ind w:right="75"/>
            </w:pPr>
            <w:r w:rsidRPr="00B61FEB">
              <w:t>Indigenous share (%)</w:t>
            </w:r>
          </w:p>
        </w:tc>
        <w:tc>
          <w:tcPr>
            <w:tcW w:w="1134" w:type="dxa"/>
            <w:tcBorders>
              <w:top w:val="single" w:sz="4" w:space="0" w:color="auto"/>
              <w:bottom w:val="single" w:sz="4" w:space="0" w:color="auto"/>
            </w:tcBorders>
            <w:vAlign w:val="bottom"/>
          </w:tcPr>
          <w:p w:rsidR="009F7CB8" w:rsidRPr="00B61FEB" w:rsidRDefault="009F7CB8" w:rsidP="00E90284">
            <w:pPr>
              <w:pStyle w:val="TableColumnHeading"/>
            </w:pPr>
            <w:r w:rsidRPr="00B61FEB">
              <w:t>Indigenous</w:t>
            </w:r>
          </w:p>
        </w:tc>
        <w:tc>
          <w:tcPr>
            <w:tcW w:w="1134" w:type="dxa"/>
            <w:tcBorders>
              <w:top w:val="single" w:sz="4" w:space="0" w:color="auto"/>
              <w:bottom w:val="single" w:sz="4" w:space="0" w:color="auto"/>
            </w:tcBorders>
            <w:vAlign w:val="bottom"/>
          </w:tcPr>
          <w:p w:rsidR="009F7CB8" w:rsidRPr="00B61FEB" w:rsidRDefault="009F7CB8" w:rsidP="00E90284">
            <w:pPr>
              <w:pStyle w:val="TableColumnHeading"/>
            </w:pPr>
            <w:r w:rsidRPr="00B61FEB">
              <w:t>Non-Indigenous</w:t>
            </w:r>
          </w:p>
        </w:tc>
        <w:tc>
          <w:tcPr>
            <w:tcW w:w="625" w:type="dxa"/>
            <w:tcBorders>
              <w:top w:val="single" w:sz="4" w:space="0" w:color="auto"/>
              <w:bottom w:val="single" w:sz="4" w:space="0" w:color="auto"/>
            </w:tcBorders>
            <w:vAlign w:val="bottom"/>
          </w:tcPr>
          <w:p w:rsidR="009F7CB8" w:rsidRPr="00B61FEB" w:rsidRDefault="009F7CB8" w:rsidP="00E90284">
            <w:pPr>
              <w:pStyle w:val="TableColumnHeading"/>
            </w:pPr>
            <w:r w:rsidRPr="00B61FEB">
              <w:t>Ratio</w:t>
            </w:r>
          </w:p>
        </w:tc>
      </w:tr>
      <w:tr w:rsidR="00F86841" w:rsidRPr="00B61FEB" w:rsidTr="00B939BB">
        <w:tc>
          <w:tcPr>
            <w:tcW w:w="1418" w:type="dxa"/>
            <w:tcBorders>
              <w:top w:val="single" w:sz="4" w:space="0" w:color="auto"/>
            </w:tcBorders>
            <w:vAlign w:val="bottom"/>
          </w:tcPr>
          <w:p w:rsidR="00F86841" w:rsidRPr="00B61FEB" w:rsidRDefault="00F86841" w:rsidP="00E90284">
            <w:pPr>
              <w:pStyle w:val="TableBodyText"/>
              <w:jc w:val="left"/>
            </w:pPr>
            <w:r w:rsidRPr="00B61FEB">
              <w:t xml:space="preserve">Total hospital </w:t>
            </w:r>
            <w:r w:rsidR="00E808B1">
              <w:t>services</w:t>
            </w:r>
          </w:p>
        </w:tc>
        <w:tc>
          <w:tcPr>
            <w:tcW w:w="1134" w:type="dxa"/>
            <w:tcBorders>
              <w:top w:val="single" w:sz="4" w:space="0" w:color="auto"/>
            </w:tcBorders>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2 178.0</w:t>
            </w:r>
          </w:p>
        </w:tc>
        <w:tc>
          <w:tcPr>
            <w:tcW w:w="1158" w:type="dxa"/>
            <w:tcBorders>
              <w:top w:val="single" w:sz="4" w:space="0" w:color="auto"/>
            </w:tcBorders>
            <w:shd w:val="clear" w:color="auto" w:fill="auto"/>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47 527.6</w:t>
            </w:r>
          </w:p>
        </w:tc>
        <w:tc>
          <w:tcPr>
            <w:tcW w:w="1078" w:type="dxa"/>
            <w:tcBorders>
              <w:top w:val="single" w:sz="4" w:space="0" w:color="auto"/>
            </w:tcBorders>
            <w:shd w:val="clear" w:color="auto" w:fill="auto"/>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49 705.7</w:t>
            </w:r>
          </w:p>
        </w:tc>
        <w:tc>
          <w:tcPr>
            <w:tcW w:w="1119" w:type="dxa"/>
            <w:tcBorders>
              <w:top w:val="single" w:sz="4" w:space="0" w:color="auto"/>
            </w:tcBorders>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4.4</w:t>
            </w:r>
          </w:p>
        </w:tc>
        <w:tc>
          <w:tcPr>
            <w:tcW w:w="1134" w:type="dxa"/>
            <w:tcBorders>
              <w:top w:val="single" w:sz="4" w:space="0" w:color="auto"/>
            </w:tcBorders>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3 825.6</w:t>
            </w:r>
          </w:p>
        </w:tc>
        <w:tc>
          <w:tcPr>
            <w:tcW w:w="1134" w:type="dxa"/>
            <w:tcBorders>
              <w:top w:val="single" w:sz="4" w:space="0" w:color="auto"/>
            </w:tcBorders>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2 169.4</w:t>
            </w:r>
          </w:p>
        </w:tc>
        <w:tc>
          <w:tcPr>
            <w:tcW w:w="625" w:type="dxa"/>
            <w:tcBorders>
              <w:top w:val="single" w:sz="4" w:space="0" w:color="auto"/>
            </w:tcBorders>
            <w:tcMar>
              <w:left w:w="0" w:type="dxa"/>
              <w:right w:w="0" w:type="dxa"/>
            </w:tcMar>
            <w:vAlign w:val="bottom"/>
          </w:tcPr>
          <w:p w:rsidR="00F86841" w:rsidRPr="00C409CB" w:rsidRDefault="00F86841" w:rsidP="00E90284">
            <w:pPr>
              <w:spacing w:afterLines="40" w:after="96" w:line="220" w:lineRule="atLeast"/>
              <w:ind w:left="6" w:right="113"/>
              <w:jc w:val="right"/>
              <w:rPr>
                <w:rFonts w:ascii="Arial" w:hAnsi="Arial" w:cs="Arial"/>
                <w:bCs/>
                <w:sz w:val="20"/>
                <w:szCs w:val="20"/>
              </w:rPr>
            </w:pPr>
            <w:r w:rsidRPr="00C409CB">
              <w:rPr>
                <w:rFonts w:ascii="Arial" w:hAnsi="Arial" w:cs="Arial"/>
                <w:bCs/>
                <w:sz w:val="20"/>
                <w:szCs w:val="20"/>
              </w:rPr>
              <w:t xml:space="preserve">  1.8</w:t>
            </w:r>
          </w:p>
        </w:tc>
      </w:tr>
      <w:tr w:rsidR="00F86841" w:rsidRPr="00B61FEB" w:rsidTr="00B939BB">
        <w:tc>
          <w:tcPr>
            <w:tcW w:w="1418" w:type="dxa"/>
            <w:vAlign w:val="bottom"/>
          </w:tcPr>
          <w:p w:rsidR="00F86841" w:rsidRPr="00B61FEB" w:rsidRDefault="00F86841" w:rsidP="00E90284">
            <w:pPr>
              <w:pStyle w:val="TableBodyText"/>
              <w:jc w:val="left"/>
            </w:pPr>
            <w:r w:rsidRPr="00B61FEB">
              <w:t xml:space="preserve"> </w:t>
            </w:r>
            <w:r w:rsidR="006A7486">
              <w:t xml:space="preserve">  Public</w:t>
            </w:r>
            <w:r w:rsidR="006A7486">
              <w:br/>
              <w:t xml:space="preserve">   hospital</w:t>
            </w:r>
            <w:r w:rsidR="00E808B1">
              <w:t>s</w:t>
            </w:r>
            <w:r w:rsidRPr="00B61FEB">
              <w:rPr>
                <w:rStyle w:val="NoteLabel"/>
              </w:rPr>
              <w:t>a</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2 067.4</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36 870.4</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38 937.8</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5.3</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3 631.3</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1 683.0</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2.2</w:t>
            </w:r>
          </w:p>
        </w:tc>
      </w:tr>
      <w:tr w:rsidR="00F86841" w:rsidRPr="00B61FEB" w:rsidTr="00B939BB">
        <w:tc>
          <w:tcPr>
            <w:tcW w:w="1418" w:type="dxa"/>
            <w:vAlign w:val="bottom"/>
          </w:tcPr>
          <w:p w:rsidR="00F86841" w:rsidRPr="00B61FEB" w:rsidRDefault="006A7486" w:rsidP="00E90284">
            <w:pPr>
              <w:pStyle w:val="TableBodyText"/>
              <w:jc w:val="left"/>
            </w:pPr>
            <w:r>
              <w:tab/>
              <w:t xml:space="preserve">Admitted </w:t>
            </w:r>
            <w:r>
              <w:tab/>
              <w:t>patient</w:t>
            </w:r>
            <w:r w:rsidR="00E808B1">
              <w:t>s</w:t>
            </w:r>
            <w:r w:rsidR="00F86841" w:rsidRPr="00B61FEB">
              <w:rPr>
                <w:rStyle w:val="NoteLabel"/>
              </w:rPr>
              <w:t>b</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1 748.7</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31 106.6</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32 855.4</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5.3</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3 071.6</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1 419.9</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2.2</w:t>
            </w:r>
          </w:p>
        </w:tc>
      </w:tr>
      <w:tr w:rsidR="00F86841" w:rsidRPr="00B61FEB" w:rsidTr="00B939BB">
        <w:tc>
          <w:tcPr>
            <w:tcW w:w="1418" w:type="dxa"/>
            <w:vAlign w:val="bottom"/>
          </w:tcPr>
          <w:p w:rsidR="00F86841" w:rsidRPr="00B61FEB" w:rsidRDefault="00F86841" w:rsidP="00E90284">
            <w:pPr>
              <w:pStyle w:val="TableBodyText"/>
              <w:jc w:val="left"/>
            </w:pPr>
            <w:r w:rsidRPr="00B61FEB">
              <w:tab/>
              <w:t>Non-</w:t>
            </w:r>
            <w:r w:rsidRPr="00B61FEB">
              <w:tab/>
              <w:t>admitted</w:t>
            </w:r>
            <w:r w:rsidRPr="00B61FEB">
              <w:tab/>
              <w:t>patient</w:t>
            </w:r>
            <w:r w:rsidR="00E808B1">
              <w:t xml:space="preserve">s </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333.0</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5 749.4</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6 082.4</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5.5</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584.9</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262.4</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2.2</w:t>
            </w:r>
          </w:p>
        </w:tc>
      </w:tr>
      <w:tr w:rsidR="00F86841" w:rsidRPr="00B61FEB" w:rsidTr="00B939BB">
        <w:tc>
          <w:tcPr>
            <w:tcW w:w="1418" w:type="dxa"/>
            <w:vAlign w:val="bottom"/>
          </w:tcPr>
          <w:p w:rsidR="00F86841" w:rsidRPr="00B61FEB" w:rsidRDefault="00F86841" w:rsidP="00E90284">
            <w:pPr>
              <w:pStyle w:val="TableBodyText"/>
              <w:jc w:val="left"/>
            </w:pPr>
            <w:r w:rsidRPr="00B61FEB">
              <w:t xml:space="preserve">   Private</w:t>
            </w:r>
            <w:r w:rsidRPr="00B61FEB">
              <w:br/>
              <w:t xml:space="preserve">   hospitals</w:t>
            </w:r>
            <w:r w:rsidRPr="00B61FEB">
              <w:rPr>
                <w:rStyle w:val="NoteLabel"/>
              </w:rPr>
              <w:t>c</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110.7</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10 657.3</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10 767.9</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1.0</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194.4</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486.5</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0.4</w:t>
            </w:r>
          </w:p>
        </w:tc>
      </w:tr>
      <w:tr w:rsidR="00F86841" w:rsidRPr="00B61FEB" w:rsidTr="00B939BB">
        <w:tc>
          <w:tcPr>
            <w:tcW w:w="1418" w:type="dxa"/>
            <w:vAlign w:val="bottom"/>
          </w:tcPr>
          <w:p w:rsidR="00F86841" w:rsidRPr="00B61FEB" w:rsidRDefault="006A7486" w:rsidP="00E90284">
            <w:pPr>
              <w:pStyle w:val="TableBodyText"/>
              <w:jc w:val="left"/>
            </w:pPr>
            <w:r>
              <w:t>Patient transport</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183.4</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2 601.4</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2 784.7</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6.6</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322.1</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118.7</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2.7</w:t>
            </w:r>
          </w:p>
        </w:tc>
      </w:tr>
      <w:tr w:rsidR="00F86841" w:rsidRPr="00B61FEB" w:rsidTr="00B939BB">
        <w:tc>
          <w:tcPr>
            <w:tcW w:w="1418" w:type="dxa"/>
            <w:vAlign w:val="bottom"/>
          </w:tcPr>
          <w:p w:rsidR="00F86841" w:rsidRPr="00B61FEB" w:rsidRDefault="006A7486" w:rsidP="00E90284">
            <w:pPr>
              <w:pStyle w:val="TableBodyText"/>
              <w:jc w:val="left"/>
            </w:pPr>
            <w:r>
              <w:t>Medi</w:t>
            </w:r>
            <w:r w:rsidR="00E808B1">
              <w:t>c</w:t>
            </w:r>
            <w:r>
              <w:t>al</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376.3</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22 148.2</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22 524.5</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1.7</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660.9</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1 011.0</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0.7</w:t>
            </w:r>
          </w:p>
        </w:tc>
      </w:tr>
      <w:tr w:rsidR="00F86841" w:rsidRPr="00B61FEB" w:rsidTr="00B939BB">
        <w:tc>
          <w:tcPr>
            <w:tcW w:w="1418" w:type="dxa"/>
            <w:vAlign w:val="bottom"/>
          </w:tcPr>
          <w:p w:rsidR="00F86841" w:rsidRPr="00B61FEB" w:rsidRDefault="006A7486" w:rsidP="00E90284">
            <w:pPr>
              <w:pStyle w:val="TableBodyText"/>
              <w:jc w:val="left"/>
            </w:pPr>
            <w:r>
              <w:t xml:space="preserve">   Medicare</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286.0</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17 380.7</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17 666.8</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1.6</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502.4</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793.3</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0.6</w:t>
            </w:r>
          </w:p>
        </w:tc>
      </w:tr>
      <w:tr w:rsidR="00F86841" w:rsidRPr="00B61FEB" w:rsidTr="00B939BB">
        <w:tc>
          <w:tcPr>
            <w:tcW w:w="1418" w:type="dxa"/>
            <w:vAlign w:val="bottom"/>
          </w:tcPr>
          <w:p w:rsidR="00F86841" w:rsidRPr="00B61FEB" w:rsidRDefault="00F86841" w:rsidP="00E90284">
            <w:pPr>
              <w:pStyle w:val="TableBodyText"/>
              <w:jc w:val="left"/>
            </w:pPr>
            <w:r w:rsidRPr="00B61FEB">
              <w:t xml:space="preserve">   Other</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90.2</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4 767.5</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4 857.7</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1.9</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158.5</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217.6</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0.7</w:t>
            </w:r>
          </w:p>
        </w:tc>
      </w:tr>
      <w:tr w:rsidR="00F86841" w:rsidRPr="00B61FEB" w:rsidTr="00B939BB">
        <w:tc>
          <w:tcPr>
            <w:tcW w:w="1418" w:type="dxa"/>
            <w:vAlign w:val="bottom"/>
          </w:tcPr>
          <w:p w:rsidR="00F86841" w:rsidRPr="00B61FEB" w:rsidRDefault="00F86841" w:rsidP="00E90284">
            <w:pPr>
              <w:pStyle w:val="TableBodyText"/>
              <w:jc w:val="left"/>
            </w:pPr>
            <w:r w:rsidRPr="00B61FEB">
              <w:t xml:space="preserve">Dental </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84.8</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7 780.8</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7 865.5</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1.1</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148.9</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355.2</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0.4</w:t>
            </w:r>
          </w:p>
        </w:tc>
      </w:tr>
      <w:tr w:rsidR="00F86841" w:rsidRPr="00B61FEB" w:rsidTr="00B939BB">
        <w:tc>
          <w:tcPr>
            <w:tcW w:w="1418" w:type="dxa"/>
            <w:vAlign w:val="bottom"/>
          </w:tcPr>
          <w:p w:rsidR="00F86841" w:rsidRPr="00B61FEB" w:rsidRDefault="00F86841" w:rsidP="00E90284">
            <w:pPr>
              <w:pStyle w:val="TableBodyText"/>
              <w:jc w:val="left"/>
            </w:pPr>
            <w:r w:rsidRPr="00B61FEB">
              <w:t>Community health</w:t>
            </w:r>
            <w:r w:rsidR="002F41FC">
              <w:rPr>
                <w:rStyle w:val="NoteLabel"/>
              </w:rPr>
              <w:t>d</w:t>
            </w:r>
            <w:r w:rsidRPr="00B61FEB">
              <w:t xml:space="preserve"> </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1 119.6</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5 172.0</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6 291.6</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17.8</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1 966.5</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236.1</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8.3</w:t>
            </w:r>
          </w:p>
        </w:tc>
      </w:tr>
      <w:tr w:rsidR="00F86841" w:rsidRPr="00B61FEB" w:rsidTr="00B939BB">
        <w:tc>
          <w:tcPr>
            <w:tcW w:w="1418" w:type="dxa"/>
            <w:vAlign w:val="bottom"/>
          </w:tcPr>
          <w:p w:rsidR="00F86841" w:rsidRPr="00B61FEB" w:rsidRDefault="00F86841" w:rsidP="00E90284">
            <w:pPr>
              <w:pStyle w:val="TableBodyText"/>
              <w:jc w:val="left"/>
            </w:pPr>
            <w:r w:rsidRPr="00B61FEB">
              <w:t xml:space="preserve">Other professional </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43.8</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4 053.4</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4 097.2</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1.1</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77.0</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185.0</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0.4</w:t>
            </w:r>
          </w:p>
        </w:tc>
      </w:tr>
      <w:tr w:rsidR="00F86841" w:rsidRPr="00B61FEB" w:rsidTr="00B939BB">
        <w:tc>
          <w:tcPr>
            <w:tcW w:w="1418" w:type="dxa"/>
            <w:vAlign w:val="bottom"/>
          </w:tcPr>
          <w:p w:rsidR="00F86841" w:rsidRPr="00B61FEB" w:rsidRDefault="00F86841" w:rsidP="00E90284">
            <w:pPr>
              <w:pStyle w:val="TableBodyText"/>
              <w:jc w:val="left"/>
            </w:pPr>
            <w:r w:rsidRPr="00B61FEB">
              <w:t>Public health</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185.7</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1 810.3</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1 996.1</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9.3</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326.2</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82.6</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4.0</w:t>
            </w:r>
          </w:p>
        </w:tc>
      </w:tr>
      <w:tr w:rsidR="00F86841" w:rsidRPr="00B61FEB" w:rsidTr="00B939BB">
        <w:tc>
          <w:tcPr>
            <w:tcW w:w="1418" w:type="dxa"/>
            <w:vAlign w:val="bottom"/>
          </w:tcPr>
          <w:p w:rsidR="00F86841" w:rsidRPr="00B61FEB" w:rsidRDefault="00F86841" w:rsidP="00E90284">
            <w:pPr>
              <w:pStyle w:val="TableBodyText"/>
              <w:jc w:val="left"/>
            </w:pPr>
            <w:r w:rsidRPr="00B61FEB">
              <w:t>Medications</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209.9</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18 215.2</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18 425.0</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1.1</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368.7</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831.4</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0.4</w:t>
            </w:r>
          </w:p>
        </w:tc>
      </w:tr>
      <w:tr w:rsidR="00F86841" w:rsidRPr="00B61FEB" w:rsidTr="00B939BB">
        <w:tc>
          <w:tcPr>
            <w:tcW w:w="1418" w:type="dxa"/>
            <w:vAlign w:val="bottom"/>
          </w:tcPr>
          <w:p w:rsidR="00F86841" w:rsidRPr="00B61FEB" w:rsidRDefault="00F86841" w:rsidP="00E90284">
            <w:pPr>
              <w:pStyle w:val="TableBodyText"/>
              <w:jc w:val="left"/>
            </w:pPr>
            <w:r w:rsidRPr="00B61FEB">
              <w:t>Aids and appliances</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15.2</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3 616.6</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3 631.8</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0.4</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26.7</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165.1</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0.2</w:t>
            </w:r>
          </w:p>
        </w:tc>
      </w:tr>
      <w:tr w:rsidR="00F86841" w:rsidRPr="00B61FEB" w:rsidTr="00B939BB">
        <w:tc>
          <w:tcPr>
            <w:tcW w:w="1418" w:type="dxa"/>
            <w:vAlign w:val="bottom"/>
          </w:tcPr>
          <w:p w:rsidR="00F86841" w:rsidRPr="00C409CB" w:rsidRDefault="00F86841" w:rsidP="00E90284">
            <w:pPr>
              <w:pStyle w:val="TableBodyText"/>
              <w:jc w:val="left"/>
            </w:pPr>
            <w:r w:rsidRPr="00C409CB">
              <w:t>Research</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124.2</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4 158.5</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4 282.7</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2.9</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218.2</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189.8</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1.2</w:t>
            </w:r>
          </w:p>
        </w:tc>
      </w:tr>
      <w:tr w:rsidR="00F86841" w:rsidRPr="00B61FEB" w:rsidTr="00B939BB">
        <w:tc>
          <w:tcPr>
            <w:tcW w:w="1418" w:type="dxa"/>
            <w:vAlign w:val="bottom"/>
          </w:tcPr>
          <w:p w:rsidR="00F86841" w:rsidRPr="00C409CB" w:rsidRDefault="00F86841" w:rsidP="00E90284">
            <w:pPr>
              <w:pStyle w:val="TableBodyText"/>
              <w:jc w:val="left"/>
            </w:pPr>
            <w:r w:rsidRPr="00C409CB">
              <w:t>Health administration</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31.1</w:t>
            </w:r>
          </w:p>
        </w:tc>
        <w:tc>
          <w:tcPr>
            <w:tcW w:w="115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2 020.1</w:t>
            </w:r>
          </w:p>
        </w:tc>
        <w:tc>
          <w:tcPr>
            <w:tcW w:w="1078" w:type="dxa"/>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2 051.2</w:t>
            </w:r>
          </w:p>
        </w:tc>
        <w:tc>
          <w:tcPr>
            <w:tcW w:w="1119"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1.5</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54.6</w:t>
            </w:r>
          </w:p>
        </w:tc>
        <w:tc>
          <w:tcPr>
            <w:tcW w:w="1134"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92.2</w:t>
            </w:r>
          </w:p>
        </w:tc>
        <w:tc>
          <w:tcPr>
            <w:tcW w:w="625" w:type="dxa"/>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sz w:val="20"/>
                <w:szCs w:val="20"/>
              </w:rPr>
            </w:pPr>
            <w:r>
              <w:rPr>
                <w:rFonts w:ascii="Arial" w:hAnsi="Arial" w:cs="Arial"/>
                <w:sz w:val="20"/>
                <w:szCs w:val="20"/>
              </w:rPr>
              <w:t xml:space="preserve">  0.6</w:t>
            </w:r>
          </w:p>
        </w:tc>
      </w:tr>
      <w:tr w:rsidR="00F86841" w:rsidRPr="009F7CB8" w:rsidTr="00B939BB">
        <w:tc>
          <w:tcPr>
            <w:tcW w:w="1418" w:type="dxa"/>
            <w:tcBorders>
              <w:bottom w:val="single" w:sz="4" w:space="0" w:color="auto"/>
            </w:tcBorders>
            <w:shd w:val="clear" w:color="auto" w:fill="auto"/>
            <w:vAlign w:val="bottom"/>
          </w:tcPr>
          <w:p w:rsidR="00F86841" w:rsidRPr="009F7CB8" w:rsidRDefault="00F86841" w:rsidP="00E90284">
            <w:pPr>
              <w:pStyle w:val="TableBodyText"/>
              <w:jc w:val="left"/>
              <w:rPr>
                <w:b/>
              </w:rPr>
            </w:pPr>
            <w:r w:rsidRPr="009F7CB8">
              <w:rPr>
                <w:b/>
              </w:rPr>
              <w:t>Total health</w:t>
            </w:r>
          </w:p>
        </w:tc>
        <w:tc>
          <w:tcPr>
            <w:tcW w:w="1134"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4 552.0</w:t>
            </w:r>
          </w:p>
        </w:tc>
        <w:tc>
          <w:tcPr>
            <w:tcW w:w="1158"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119 104.1</w:t>
            </w:r>
          </w:p>
        </w:tc>
        <w:tc>
          <w:tcPr>
            <w:tcW w:w="1078"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123 656.1</w:t>
            </w:r>
          </w:p>
        </w:tc>
        <w:tc>
          <w:tcPr>
            <w:tcW w:w="1119"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3.7</w:t>
            </w:r>
          </w:p>
        </w:tc>
        <w:tc>
          <w:tcPr>
            <w:tcW w:w="1134"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7 995.4</w:t>
            </w:r>
          </w:p>
        </w:tc>
        <w:tc>
          <w:tcPr>
            <w:tcW w:w="1134"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5 436.5</w:t>
            </w:r>
          </w:p>
        </w:tc>
        <w:tc>
          <w:tcPr>
            <w:tcW w:w="625" w:type="dxa"/>
            <w:tcBorders>
              <w:bottom w:val="single" w:sz="4" w:space="0" w:color="auto"/>
            </w:tcBorders>
            <w:shd w:val="clear" w:color="auto" w:fill="auto"/>
            <w:tcMar>
              <w:left w:w="0" w:type="dxa"/>
              <w:right w:w="0" w:type="dxa"/>
            </w:tcMar>
            <w:vAlign w:val="bottom"/>
          </w:tcPr>
          <w:p w:rsidR="00F86841" w:rsidRDefault="00F86841" w:rsidP="00E90284">
            <w:pPr>
              <w:spacing w:afterLines="40" w:after="96" w:line="220" w:lineRule="atLeast"/>
              <w:ind w:left="6" w:right="113"/>
              <w:jc w:val="right"/>
              <w:rPr>
                <w:rFonts w:ascii="Arial" w:hAnsi="Arial" w:cs="Arial"/>
                <w:b/>
                <w:bCs/>
                <w:sz w:val="20"/>
                <w:szCs w:val="20"/>
              </w:rPr>
            </w:pPr>
            <w:r>
              <w:rPr>
                <w:rFonts w:ascii="Arial" w:hAnsi="Arial" w:cs="Arial"/>
                <w:b/>
                <w:bCs/>
                <w:sz w:val="20"/>
                <w:szCs w:val="20"/>
              </w:rPr>
              <w:t xml:space="preserve">  1.5</w:t>
            </w:r>
          </w:p>
        </w:tc>
      </w:tr>
    </w:tbl>
    <w:p w:rsidR="009F7CB8" w:rsidRDefault="00065B2F" w:rsidP="00E90284">
      <w:pPr>
        <w:pStyle w:val="Note"/>
      </w:pPr>
      <w:proofErr w:type="spellStart"/>
      <w:r w:rsidRPr="00065B2F">
        <w:rPr>
          <w:rStyle w:val="NoteLabel"/>
        </w:rPr>
        <w:t>a</w:t>
      </w:r>
      <w:proofErr w:type="spellEnd"/>
      <w:r>
        <w:t xml:space="preserve"> Excludes dental services, patient transport services, community health services, public health and health research undertaken by the hospital. </w:t>
      </w:r>
      <w:r w:rsidRPr="00065B2F">
        <w:rPr>
          <w:rStyle w:val="NoteLabel"/>
        </w:rPr>
        <w:t>b</w:t>
      </w:r>
      <w:r>
        <w:t xml:space="preserve"> Admitted patient expenditure estimates </w:t>
      </w:r>
      <w:r w:rsidR="00A71814">
        <w:t xml:space="preserve">are </w:t>
      </w:r>
      <w:r>
        <w:t>adjust</w:t>
      </w:r>
      <w:r w:rsidR="00A71814">
        <w:t>ed</w:t>
      </w:r>
      <w:r>
        <w:t xml:space="preserve"> for Aboriginal and Torres Strait Islander under-identification. </w:t>
      </w:r>
      <w:r w:rsidRPr="00065B2F">
        <w:rPr>
          <w:rStyle w:val="NoteLabel"/>
        </w:rPr>
        <w:t>c</w:t>
      </w:r>
      <w:r w:rsidR="00A71814">
        <w:t xml:space="preserve"> Includes S</w:t>
      </w:r>
      <w:r>
        <w:t>tate/</w:t>
      </w:r>
      <w:r w:rsidR="00A71814">
        <w:t>T</w:t>
      </w:r>
      <w:r>
        <w:t>erritory government</w:t>
      </w:r>
      <w:r w:rsidR="00A71814">
        <w:t>s’</w:t>
      </w:r>
      <w:r>
        <w:t xml:space="preserve"> expenditure for services provided for public patients in private hospitals. The estimates are not comparable to previous estimates due to improved methodology. </w:t>
      </w:r>
      <w:r w:rsidRPr="00065B2F">
        <w:rPr>
          <w:rStyle w:val="NoteLabel"/>
        </w:rPr>
        <w:t>d</w:t>
      </w:r>
      <w:r>
        <w:t xml:space="preserve"> Includes other recurrent expenditure on health not elsewhere classified, such as family planning previously reported under ‘Other health services (</w:t>
      </w:r>
      <w:proofErr w:type="spellStart"/>
      <w:r>
        <w:t>n.e.c</w:t>
      </w:r>
      <w:proofErr w:type="spellEnd"/>
      <w:r>
        <w:t xml:space="preserve">.)’. State and </w:t>
      </w:r>
      <w:r w:rsidR="00A71814">
        <w:t>T</w:t>
      </w:r>
      <w:r>
        <w:t>erritory expenditure on Closing the Gap initiatives have been allocated to this category for the first time.</w:t>
      </w:r>
    </w:p>
    <w:p w:rsidR="00065B2F" w:rsidRPr="006F007C" w:rsidRDefault="00065B2F" w:rsidP="00E90284">
      <w:pPr>
        <w:pStyle w:val="Source"/>
        <w:rPr>
          <w:rStyle w:val="DraftingNote"/>
          <w:color w:val="auto"/>
        </w:rPr>
      </w:pPr>
      <w:r w:rsidRPr="006F007C">
        <w:rPr>
          <w:i/>
        </w:rPr>
        <w:t>Source</w:t>
      </w:r>
      <w:r w:rsidR="00930159" w:rsidRPr="006F007C">
        <w:t xml:space="preserve">: </w:t>
      </w:r>
      <w:proofErr w:type="spellStart"/>
      <w:r w:rsidR="00930159" w:rsidRPr="006F007C">
        <w:t>AIHW</w:t>
      </w:r>
      <w:proofErr w:type="spellEnd"/>
      <w:r w:rsidR="00930159" w:rsidRPr="006F007C">
        <w:t xml:space="preserve"> 2013, </w:t>
      </w:r>
      <w:r w:rsidR="00930159" w:rsidRPr="006F007C">
        <w:rPr>
          <w:i/>
        </w:rPr>
        <w:t>Expenditure on health for Aboriginal and Torres Strait Islander people 2010</w:t>
      </w:r>
      <w:r w:rsidR="0080773E" w:rsidRPr="006F007C">
        <w:rPr>
          <w:i/>
        </w:rPr>
        <w:t>-</w:t>
      </w:r>
      <w:r w:rsidR="00930159" w:rsidRPr="006F007C">
        <w:rPr>
          <w:i/>
        </w:rPr>
        <w:t>11,</w:t>
      </w:r>
      <w:r w:rsidR="00930159" w:rsidRPr="006F007C">
        <w:t xml:space="preserve"> Health and Welfare Expenditure Series no. 48. Cat. no. </w:t>
      </w:r>
      <w:proofErr w:type="spellStart"/>
      <w:r w:rsidR="00930159" w:rsidRPr="006F007C">
        <w:t>HWE</w:t>
      </w:r>
      <w:proofErr w:type="spellEnd"/>
      <w:r w:rsidR="00930159" w:rsidRPr="006F007C">
        <w:t xml:space="preserve"> 57,</w:t>
      </w:r>
      <w:r w:rsidR="0080773E" w:rsidRPr="006F007C">
        <w:t xml:space="preserve"> Canberra.</w:t>
      </w:r>
    </w:p>
    <w:p w:rsidR="001B69A4" w:rsidRDefault="001B69A4" w:rsidP="001B69A4">
      <w:pPr>
        <w:pStyle w:val="BodyText"/>
        <w:rPr>
          <w:rStyle w:val="DraftingNote"/>
        </w:rPr>
      </w:pPr>
    </w:p>
    <w:p w:rsidR="001B69A4" w:rsidRDefault="001B69A4"/>
    <w:p w:rsidR="002E4CA8" w:rsidRPr="00D200E6" w:rsidRDefault="00176B72" w:rsidP="002E4CA8">
      <w:pPr>
        <w:pStyle w:val="Heading3"/>
        <w:rPr>
          <w:rStyle w:val="DraftingNote"/>
        </w:rPr>
      </w:pPr>
      <w:r>
        <w:lastRenderedPageBreak/>
        <w:t>F</w:t>
      </w:r>
      <w:r w:rsidR="002E4CA8" w:rsidRPr="007561FE">
        <w:t>actors affecting demand for services</w:t>
      </w:r>
    </w:p>
    <w:p w:rsidR="0064434F" w:rsidRPr="009261A3" w:rsidRDefault="00594D9F" w:rsidP="00E90284">
      <w:pPr>
        <w:pStyle w:val="BodyText"/>
        <w:rPr>
          <w:rStyle w:val="DraftingNote"/>
        </w:rPr>
      </w:pPr>
      <w:r>
        <w:t>Health status</w:t>
      </w:r>
      <w:r w:rsidR="00E3725B">
        <w:t xml:space="preserve"> is linked to</w:t>
      </w:r>
      <w:r w:rsidR="00B61E69">
        <w:t xml:space="preserve"> demand for health services</w:t>
      </w:r>
      <w:r w:rsidR="00E3725B">
        <w:t xml:space="preserve"> and</w:t>
      </w:r>
      <w:r w:rsidR="00B61E69">
        <w:t xml:space="preserve"> is associated with a range of demographic and socioeconomic factors</w:t>
      </w:r>
      <w:r>
        <w:t>.</w:t>
      </w:r>
      <w:r w:rsidR="0064434F">
        <w:t xml:space="preserve"> Financial, educational, geographic and cultural barriers can reduce access to health services and contr</w:t>
      </w:r>
      <w:r w:rsidR="009548F1">
        <w:t>ibute to poorer health outcomes.</w:t>
      </w:r>
    </w:p>
    <w:p w:rsidR="00176B72" w:rsidRDefault="00176B72" w:rsidP="00E90284">
      <w:pPr>
        <w:pStyle w:val="Heading4"/>
      </w:pPr>
      <w:r>
        <w:t>Social and economic factors</w:t>
      </w:r>
    </w:p>
    <w:p w:rsidR="00124D55" w:rsidRPr="006F007C" w:rsidRDefault="000B7FAD" w:rsidP="00903DCA">
      <w:pPr>
        <w:pStyle w:val="BodyText"/>
        <w:rPr>
          <w:rStyle w:val="DraftingNote"/>
          <w:color w:val="auto"/>
        </w:rPr>
      </w:pPr>
      <w:r w:rsidRPr="009949A7">
        <w:t xml:space="preserve">It has been well documented that people </w:t>
      </w:r>
      <w:r>
        <w:t xml:space="preserve">who </w:t>
      </w:r>
      <w:r w:rsidRPr="009949A7">
        <w:t>experienc</w:t>
      </w:r>
      <w:r>
        <w:t>e</w:t>
      </w:r>
      <w:r w:rsidRPr="009949A7">
        <w:t xml:space="preserve"> social and economic disadvantage</w:t>
      </w:r>
      <w:r>
        <w:t xml:space="preserve"> are at risk of </w:t>
      </w:r>
      <w:r w:rsidRPr="009949A7">
        <w:t xml:space="preserve">negative </w:t>
      </w:r>
      <w:r>
        <w:t xml:space="preserve">health </w:t>
      </w:r>
      <w:r w:rsidRPr="009949A7">
        <w:t xml:space="preserve">outcomes. </w:t>
      </w:r>
      <w:r w:rsidR="00E17464">
        <w:t xml:space="preserve">Compared with those who have social and economic advantages, disadvantaged Australians are more likely to have shorter </w:t>
      </w:r>
      <w:r w:rsidR="00E17464" w:rsidRPr="006F007C">
        <w:t>lives (</w:t>
      </w:r>
      <w:proofErr w:type="spellStart"/>
      <w:r w:rsidR="00E17464" w:rsidRPr="006F007C">
        <w:t>AIHW</w:t>
      </w:r>
      <w:proofErr w:type="spellEnd"/>
      <w:r w:rsidR="00E17464" w:rsidRPr="006F007C">
        <w:t> 201</w:t>
      </w:r>
      <w:r w:rsidR="00AF69FC" w:rsidRPr="006F007C">
        <w:t>2</w:t>
      </w:r>
      <w:r w:rsidR="00E17464" w:rsidRPr="006F007C">
        <w:t>). Those who are disadvantaged tend to have greater health risks such as smoking more and higher rates of obesity (</w:t>
      </w:r>
      <w:proofErr w:type="spellStart"/>
      <w:r w:rsidR="00E17464" w:rsidRPr="006F007C">
        <w:t>SCRGSP</w:t>
      </w:r>
      <w:proofErr w:type="spellEnd"/>
      <w:r w:rsidR="00E17464" w:rsidRPr="006F007C">
        <w:t> 20</w:t>
      </w:r>
      <w:r w:rsidR="00181B2B" w:rsidRPr="006F007C">
        <w:t>12</w:t>
      </w:r>
      <w:r w:rsidR="00E17464" w:rsidRPr="006F007C">
        <w:t xml:space="preserve">). </w:t>
      </w:r>
      <w:r w:rsidRPr="006F007C">
        <w:t>Burden</w:t>
      </w:r>
      <w:r w:rsidRPr="006F007C">
        <w:noBreakHyphen/>
        <w:t>of</w:t>
      </w:r>
      <w:r w:rsidRPr="006F007C">
        <w:noBreakHyphen/>
        <w:t>disease studies indicate greater burden among people who are relatively disadvantaged in society (</w:t>
      </w:r>
      <w:proofErr w:type="spellStart"/>
      <w:r w:rsidRPr="006F007C">
        <w:t>Begg</w:t>
      </w:r>
      <w:proofErr w:type="spellEnd"/>
      <w:r w:rsidRPr="006F007C">
        <w:t xml:space="preserve"> et al. 2007). Those who are disadvantaged are more likely to report their health as fair or poor than those that do not suffer the same disadvantage as measured by the Socio Economic Indexes for Areas </w:t>
      </w:r>
      <w:r w:rsidR="009722F7" w:rsidRPr="006F007C">
        <w:t>(</w:t>
      </w:r>
      <w:proofErr w:type="spellStart"/>
      <w:r w:rsidR="009722F7" w:rsidRPr="006F007C">
        <w:t>SEIFA</w:t>
      </w:r>
      <w:proofErr w:type="spellEnd"/>
      <w:r w:rsidR="009722F7" w:rsidRPr="006F007C">
        <w:t>)</w:t>
      </w:r>
      <w:r w:rsidR="006C551A" w:rsidRPr="006F007C">
        <w:t>.</w:t>
      </w:r>
    </w:p>
    <w:p w:rsidR="00593C2B" w:rsidRPr="006F007C" w:rsidRDefault="00593C2B" w:rsidP="00593C2B">
      <w:pPr>
        <w:pStyle w:val="BodyText"/>
      </w:pPr>
      <w:r w:rsidRPr="006F007C">
        <w:t>Higher income and wealth are associated with better health. People with higher income are better able to access health services in a timely manner, and are also able to access goods and services that have health benefits such as better housing, food and other healthy pursuits (</w:t>
      </w:r>
      <w:proofErr w:type="spellStart"/>
      <w:r w:rsidRPr="006F007C">
        <w:t>AIHW</w:t>
      </w:r>
      <w:proofErr w:type="spellEnd"/>
      <w:r w:rsidRPr="006F007C">
        <w:t xml:space="preserve"> 2012). </w:t>
      </w:r>
      <w:r w:rsidR="0064434F" w:rsidRPr="006F007C">
        <w:t>People with h</w:t>
      </w:r>
      <w:r w:rsidRPr="006F007C">
        <w:t>igher education levels</w:t>
      </w:r>
      <w:r w:rsidR="0064434F" w:rsidRPr="006F007C">
        <w:t>,</w:t>
      </w:r>
      <w:r w:rsidRPr="006F007C">
        <w:t xml:space="preserve"> </w:t>
      </w:r>
      <w:r w:rsidR="0064434F" w:rsidRPr="006F007C">
        <w:t xml:space="preserve">which are </w:t>
      </w:r>
      <w:r w:rsidRPr="006F007C">
        <w:t>also associated with higher incomes</w:t>
      </w:r>
      <w:r w:rsidR="0064434F" w:rsidRPr="006F007C">
        <w:t xml:space="preserve"> and</w:t>
      </w:r>
      <w:r w:rsidRPr="006F007C">
        <w:t xml:space="preserve"> better access to health care</w:t>
      </w:r>
      <w:r w:rsidR="0064434F" w:rsidRPr="006F007C">
        <w:t>, are likely to have better health (</w:t>
      </w:r>
      <w:proofErr w:type="spellStart"/>
      <w:r w:rsidR="0064434F" w:rsidRPr="006F007C">
        <w:t>AIHW</w:t>
      </w:r>
      <w:proofErr w:type="spellEnd"/>
      <w:r w:rsidR="0064434F" w:rsidRPr="006F007C">
        <w:t> 2012).</w:t>
      </w:r>
    </w:p>
    <w:p w:rsidR="0064434F" w:rsidRPr="006F007C" w:rsidRDefault="0064434F" w:rsidP="00E90284">
      <w:pPr>
        <w:pStyle w:val="Heading4"/>
      </w:pPr>
      <w:r w:rsidRPr="006F007C">
        <w:t>Geographic location</w:t>
      </w:r>
    </w:p>
    <w:p w:rsidR="00AF07BC" w:rsidRPr="006F007C" w:rsidRDefault="000B7FAD" w:rsidP="0064434F">
      <w:pPr>
        <w:pStyle w:val="BodyText"/>
      </w:pPr>
      <w:r w:rsidRPr="006F007C">
        <w:t>Geographic distance to health services, particularly in remote and very remote areas, can contribute to poor health. People living in rural and remote areas tend to have higher levels of disease risk factors and illness than those in major cities (</w:t>
      </w:r>
      <w:proofErr w:type="spellStart"/>
      <w:r w:rsidRPr="006F007C">
        <w:t>AIHW</w:t>
      </w:r>
      <w:proofErr w:type="spellEnd"/>
      <w:r w:rsidR="00BC057B" w:rsidRPr="006F007C">
        <w:t> </w:t>
      </w:r>
      <w:r w:rsidRPr="006F007C">
        <w:t>201</w:t>
      </w:r>
      <w:r w:rsidR="00FA0394" w:rsidRPr="006F007C">
        <w:t>2</w:t>
      </w:r>
      <w:r w:rsidRPr="006F007C">
        <w:t>).</w:t>
      </w:r>
      <w:r w:rsidR="0064434F" w:rsidRPr="006F007C">
        <w:t xml:space="preserve"> </w:t>
      </w:r>
      <w:r w:rsidRPr="006F007C">
        <w:t>Those in remote areas are more likely to report their health as fair or poor and less likely to report their health as excellent, very good or good than those in major cities.</w:t>
      </w:r>
      <w:r w:rsidR="00AF07BC" w:rsidRPr="006F007C">
        <w:t xml:space="preserve"> </w:t>
      </w:r>
    </w:p>
    <w:p w:rsidR="000B7FAD" w:rsidRPr="004E32C0" w:rsidRDefault="00AF07BC" w:rsidP="00E90284">
      <w:pPr>
        <w:pStyle w:val="BodyText"/>
        <w:rPr>
          <w:color w:val="FF0000"/>
        </w:rPr>
      </w:pPr>
      <w:r w:rsidRPr="006F007C">
        <w:t xml:space="preserve">Nationally, 2.3 per cent </w:t>
      </w:r>
      <w:r>
        <w:t>of the population live</w:t>
      </w:r>
      <w:r w:rsidR="007B0D9A">
        <w:t>d</w:t>
      </w:r>
      <w:r>
        <w:t xml:space="preserve"> in remote and very remote areas </w:t>
      </w:r>
      <w:r w:rsidR="007B0D9A">
        <w:t xml:space="preserve">in 2012 </w:t>
      </w:r>
      <w:r>
        <w:t>(</w:t>
      </w:r>
      <w:r w:rsidR="007B0D9A">
        <w:t xml:space="preserve">table </w:t>
      </w:r>
      <w:proofErr w:type="spellStart"/>
      <w:r w:rsidR="007B0D9A">
        <w:t>2A.12</w:t>
      </w:r>
      <w:proofErr w:type="spellEnd"/>
      <w:r>
        <w:t>). Those living in remote and very remot</w:t>
      </w:r>
      <w:r w:rsidR="007B0D9A">
        <w:t>e areas made up less than 7 per </w:t>
      </w:r>
      <w:r>
        <w:t xml:space="preserve">cent of the population in </w:t>
      </w:r>
      <w:r w:rsidR="007B0D9A">
        <w:t>each S</w:t>
      </w:r>
      <w:r>
        <w:t xml:space="preserve">tate and </w:t>
      </w:r>
      <w:r w:rsidR="007B0D9A">
        <w:t>T</w:t>
      </w:r>
      <w:r>
        <w:t>erritor</w:t>
      </w:r>
      <w:r w:rsidR="007B0D9A">
        <w:t>y</w:t>
      </w:r>
      <w:r>
        <w:t xml:space="preserve"> except the NT, where</w:t>
      </w:r>
      <w:r w:rsidR="007B0D9A">
        <w:t xml:space="preserve"> the figure was </w:t>
      </w:r>
      <w:r>
        <w:t>43.9 per cent</w:t>
      </w:r>
      <w:r w:rsidR="001215D6">
        <w:t xml:space="preserve"> — 20.8 per cent in remote and 23.1 per cent in very remote areas.</w:t>
      </w:r>
    </w:p>
    <w:p w:rsidR="00176B72" w:rsidRDefault="00176B72" w:rsidP="00E90284">
      <w:pPr>
        <w:pStyle w:val="Heading4"/>
      </w:pPr>
      <w:r>
        <w:lastRenderedPageBreak/>
        <w:t>Indigenous status</w:t>
      </w:r>
    </w:p>
    <w:p w:rsidR="0024296F" w:rsidRPr="006F007C" w:rsidRDefault="00550FB3" w:rsidP="00E90284">
      <w:pPr>
        <w:pStyle w:val="BodyText"/>
        <w:rPr>
          <w:rStyle w:val="DraftingNote"/>
          <w:color w:val="auto"/>
        </w:rPr>
      </w:pPr>
      <w:r>
        <w:t>Indigenous Australians</w:t>
      </w:r>
      <w:r w:rsidR="000B7FAD">
        <w:t xml:space="preserve"> are generally less healthy than other Australians, die at much younger ages, and have more disability and a lower quality of </w:t>
      </w:r>
      <w:r w:rsidR="00CA5547">
        <w:br/>
      </w:r>
      <w:r w:rsidR="000B7FAD">
        <w:t xml:space="preserve">life </w:t>
      </w:r>
      <w:r w:rsidR="000B7FAD" w:rsidRPr="006F007C">
        <w:t>(</w:t>
      </w:r>
      <w:proofErr w:type="spellStart"/>
      <w:r w:rsidR="000B7FAD" w:rsidRPr="006F007C">
        <w:t>AIHW</w:t>
      </w:r>
      <w:proofErr w:type="spellEnd"/>
      <w:r w:rsidR="00A66FEE" w:rsidRPr="006F007C">
        <w:t> </w:t>
      </w:r>
      <w:r w:rsidR="00124D55" w:rsidRPr="006F007C">
        <w:t>2012</w:t>
      </w:r>
      <w:r w:rsidR="00FC486D" w:rsidRPr="006F007C">
        <w:t>;</w:t>
      </w:r>
      <w:r w:rsidR="000B7FAD" w:rsidRPr="006F007C">
        <w:t xml:space="preserve"> tables </w:t>
      </w:r>
      <w:proofErr w:type="spellStart"/>
      <w:r w:rsidR="000B7FAD" w:rsidRPr="006F007C">
        <w:t>EA.</w:t>
      </w:r>
      <w:r w:rsidR="003B0966" w:rsidRPr="006F007C">
        <w:t>3</w:t>
      </w:r>
      <w:r w:rsidR="00C03A83" w:rsidRPr="006F007C">
        <w:t>5</w:t>
      </w:r>
      <w:proofErr w:type="spellEnd"/>
      <w:r w:rsidR="00FC486D" w:rsidRPr="006F007C">
        <w:t xml:space="preserve"> and </w:t>
      </w:r>
      <w:proofErr w:type="spellStart"/>
      <w:r w:rsidR="000B7FAD" w:rsidRPr="006F007C">
        <w:t>EA.</w:t>
      </w:r>
      <w:r w:rsidR="003B0966" w:rsidRPr="006F007C">
        <w:t>3</w:t>
      </w:r>
      <w:r w:rsidR="00C03A83" w:rsidRPr="006F007C">
        <w:t>7</w:t>
      </w:r>
      <w:proofErr w:type="spellEnd"/>
      <w:r w:rsidR="000B7FAD" w:rsidRPr="006F007C">
        <w:t xml:space="preserve">). Many Indigenous Australians live </w:t>
      </w:r>
      <w:r w:rsidR="00CA5547" w:rsidRPr="006F007C">
        <w:br/>
      </w:r>
      <w:r w:rsidR="000B7FAD" w:rsidRPr="006F007C">
        <w:t>in conditions of social and economic disadvantage</w:t>
      </w:r>
      <w:r w:rsidR="00DE6126" w:rsidRPr="006F007C">
        <w:t xml:space="preserve"> </w:t>
      </w:r>
      <w:r w:rsidR="00DE6126" w:rsidRPr="00E90284">
        <w:t xml:space="preserve">— a recent study found socioeconomic disadvantage to be </w:t>
      </w:r>
      <w:r w:rsidR="002C2578" w:rsidRPr="00E90284">
        <w:t>the</w:t>
      </w:r>
      <w:r w:rsidR="00DE6126" w:rsidRPr="00E90284">
        <w:t xml:space="preserve"> </w:t>
      </w:r>
      <w:r w:rsidR="002C2578" w:rsidRPr="00E90284">
        <w:t xml:space="preserve">leading health risk for Indigenous Australians in the NT, </w:t>
      </w:r>
      <w:r w:rsidR="002418FF" w:rsidRPr="00E90284">
        <w:t>accounting for</w:t>
      </w:r>
      <w:r w:rsidR="00DE6126" w:rsidRPr="00E90284">
        <w:t xml:space="preserve"> </w:t>
      </w:r>
      <w:r w:rsidR="002418FF" w:rsidRPr="00E90284">
        <w:t xml:space="preserve">42 to 54 per cent of </w:t>
      </w:r>
      <w:r w:rsidR="002C2578" w:rsidRPr="00E90284">
        <w:t xml:space="preserve">the life expectancy </w:t>
      </w:r>
      <w:r w:rsidR="002418FF" w:rsidRPr="00E90284">
        <w:t>gap</w:t>
      </w:r>
      <w:r w:rsidR="002C2578" w:rsidRPr="00E90284">
        <w:t xml:space="preserve"> between Indigenous and non-Indigenous Australians</w:t>
      </w:r>
      <w:r w:rsidR="002418FF" w:rsidRPr="00E90284">
        <w:t xml:space="preserve"> (Zhao </w:t>
      </w:r>
      <w:r w:rsidR="002418FF" w:rsidRPr="00E90284">
        <w:rPr>
          <w:i/>
        </w:rPr>
        <w:t>et al</w:t>
      </w:r>
      <w:r w:rsidR="002418FF" w:rsidRPr="00E90284">
        <w:t>. 2013)</w:t>
      </w:r>
      <w:r w:rsidR="000B7FAD" w:rsidRPr="00E90284">
        <w:t>.</w:t>
      </w:r>
      <w:r w:rsidR="000B7FAD" w:rsidRPr="006F007C">
        <w:t xml:space="preserve"> </w:t>
      </w:r>
      <w:r w:rsidRPr="006F007C">
        <w:t>Indigenous Australians</w:t>
      </w:r>
      <w:r w:rsidR="000B7FAD" w:rsidRPr="006F007C">
        <w:t xml:space="preserve"> have low employment and income levels</w:t>
      </w:r>
      <w:r w:rsidR="00E57B09" w:rsidRPr="006F007C">
        <w:t xml:space="preserve"> when compared to non</w:t>
      </w:r>
      <w:r w:rsidR="00E57B09" w:rsidRPr="006F007C">
        <w:noBreakHyphen/>
      </w:r>
      <w:r w:rsidRPr="006F007C">
        <w:t>Indigenous Australians</w:t>
      </w:r>
      <w:r w:rsidR="000B7FAD" w:rsidRPr="006F007C">
        <w:t xml:space="preserve"> (see </w:t>
      </w:r>
      <w:r w:rsidR="00E57B09" w:rsidRPr="006F007C">
        <w:t xml:space="preserve">chapter 2 </w:t>
      </w:r>
      <w:r w:rsidR="00CA5547" w:rsidRPr="006F007C">
        <w:t>Statistical context</w:t>
      </w:r>
      <w:r w:rsidR="00E57B09" w:rsidRPr="006F007C">
        <w:t xml:space="preserve"> </w:t>
      </w:r>
      <w:r w:rsidR="00CA5547" w:rsidRPr="006F007C">
        <w:t>p. </w:t>
      </w:r>
      <w:r w:rsidR="00A527AF" w:rsidRPr="006F007C">
        <w:t>2.</w:t>
      </w:r>
      <w:r w:rsidR="00E57B09" w:rsidRPr="006F007C">
        <w:t>2</w:t>
      </w:r>
      <w:r w:rsidR="00A527AF" w:rsidRPr="006F007C">
        <w:t>; tables</w:t>
      </w:r>
      <w:r w:rsidR="00CA5547" w:rsidRPr="006F007C">
        <w:t> </w:t>
      </w:r>
      <w:proofErr w:type="spellStart"/>
      <w:r w:rsidR="00E57B09" w:rsidRPr="006F007C">
        <w:t>2</w:t>
      </w:r>
      <w:r w:rsidR="00A527AF" w:rsidRPr="006F007C">
        <w:t>A</w:t>
      </w:r>
      <w:r w:rsidR="000B7FAD" w:rsidRPr="006F007C">
        <w:t>.</w:t>
      </w:r>
      <w:r w:rsidR="003B0966" w:rsidRPr="006F007C">
        <w:t>23</w:t>
      </w:r>
      <w:proofErr w:type="spellEnd"/>
      <w:r w:rsidR="003B0966" w:rsidRPr="006F007C">
        <w:t>–</w:t>
      </w:r>
      <w:proofErr w:type="spellStart"/>
      <w:r w:rsidR="00E57B09" w:rsidRPr="006F007C">
        <w:t>2</w:t>
      </w:r>
      <w:r w:rsidR="00A527AF" w:rsidRPr="006F007C">
        <w:t>A</w:t>
      </w:r>
      <w:r w:rsidR="00A44C00" w:rsidRPr="006F007C">
        <w:t>.</w:t>
      </w:r>
      <w:r w:rsidR="003B0966" w:rsidRPr="006F007C">
        <w:t>25</w:t>
      </w:r>
      <w:proofErr w:type="spellEnd"/>
      <w:r w:rsidR="00A527AF" w:rsidRPr="006F007C">
        <w:t>;</w:t>
      </w:r>
      <w:r w:rsidR="00A44C00" w:rsidRPr="006F007C">
        <w:t xml:space="preserve"> </w:t>
      </w:r>
      <w:r w:rsidR="00A527AF" w:rsidRPr="006F007C">
        <w:t>tables</w:t>
      </w:r>
      <w:r w:rsidR="00CA5547" w:rsidRPr="006F007C">
        <w:t> </w:t>
      </w:r>
      <w:proofErr w:type="spellStart"/>
      <w:r w:rsidR="00E57B09" w:rsidRPr="006F007C">
        <w:t>2</w:t>
      </w:r>
      <w:r w:rsidR="00A527AF" w:rsidRPr="006F007C">
        <w:t>A</w:t>
      </w:r>
      <w:r w:rsidR="000B7FAD" w:rsidRPr="006F007C">
        <w:t>.</w:t>
      </w:r>
      <w:r w:rsidR="003B0966" w:rsidRPr="006F007C">
        <w:t>34</w:t>
      </w:r>
      <w:proofErr w:type="spellEnd"/>
      <w:r w:rsidR="003B0966" w:rsidRPr="006F007C">
        <w:t>–</w:t>
      </w:r>
      <w:proofErr w:type="spellStart"/>
      <w:r w:rsidR="00E57B09" w:rsidRPr="006F007C">
        <w:t>2</w:t>
      </w:r>
      <w:r w:rsidR="00A527AF" w:rsidRPr="006F007C">
        <w:t>A</w:t>
      </w:r>
      <w:r w:rsidR="000B7FAD" w:rsidRPr="006F007C">
        <w:t>.</w:t>
      </w:r>
      <w:r w:rsidR="00DC0925" w:rsidRPr="006F007C">
        <w:t>36</w:t>
      </w:r>
      <w:proofErr w:type="spellEnd"/>
      <w:r w:rsidR="00A527AF" w:rsidRPr="006F007C">
        <w:t>;</w:t>
      </w:r>
      <w:r w:rsidR="000B7FAD" w:rsidRPr="006F007C">
        <w:t xml:space="preserve"> </w:t>
      </w:r>
      <w:proofErr w:type="spellStart"/>
      <w:r w:rsidR="00852979" w:rsidRPr="006F007C">
        <w:t>S</w:t>
      </w:r>
      <w:r w:rsidR="000B7FAD" w:rsidRPr="006F007C">
        <w:t>CRGSP</w:t>
      </w:r>
      <w:proofErr w:type="spellEnd"/>
      <w:r w:rsidR="00BC057B" w:rsidRPr="006F007C">
        <w:t> </w:t>
      </w:r>
      <w:r w:rsidR="000B7FAD" w:rsidRPr="006F007C">
        <w:t xml:space="preserve">2011). </w:t>
      </w:r>
      <w:r w:rsidRPr="006F007C">
        <w:t>Indigenous Australians</w:t>
      </w:r>
      <w:r w:rsidR="000B7FAD" w:rsidRPr="006F007C">
        <w:t xml:space="preserve"> have relatively high rates for </w:t>
      </w:r>
      <w:r w:rsidR="00E17464" w:rsidRPr="006F007C">
        <w:t xml:space="preserve">many </w:t>
      </w:r>
      <w:r w:rsidR="000B7FAD" w:rsidRPr="006F007C">
        <w:t xml:space="preserve">health risk factors and are more </w:t>
      </w:r>
      <w:r w:rsidR="000B7FAD">
        <w:t xml:space="preserve">likely to smoke and </w:t>
      </w:r>
      <w:r w:rsidR="000B7FAD" w:rsidRPr="004728BF">
        <w:t xml:space="preserve">to consume alcohol at </w:t>
      </w:r>
      <w:r w:rsidR="000B7FAD">
        <w:t xml:space="preserve">risky levels </w:t>
      </w:r>
      <w:r w:rsidR="000B7FAD" w:rsidRPr="006F007C">
        <w:t>(ABS</w:t>
      </w:r>
      <w:r w:rsidR="00BC057B" w:rsidRPr="006F007C">
        <w:t> </w:t>
      </w:r>
      <w:proofErr w:type="spellStart"/>
      <w:r w:rsidR="00BC057B" w:rsidRPr="006F007C">
        <w:t>20</w:t>
      </w:r>
      <w:r w:rsidR="00E07E42" w:rsidRPr="006F007C">
        <w:t>13</w:t>
      </w:r>
      <w:r w:rsidR="00C20CA4" w:rsidRPr="006F007C">
        <w:t>a</w:t>
      </w:r>
      <w:proofErr w:type="spellEnd"/>
      <w:r w:rsidR="002418FF" w:rsidRPr="006F007C">
        <w:t>;</w:t>
      </w:r>
      <w:r w:rsidR="000B7FAD" w:rsidRPr="006F007C">
        <w:t xml:space="preserve"> </w:t>
      </w:r>
      <w:proofErr w:type="spellStart"/>
      <w:r w:rsidR="000B7FAD" w:rsidRPr="006F007C">
        <w:t>SCRGSP</w:t>
      </w:r>
      <w:proofErr w:type="spellEnd"/>
      <w:r w:rsidR="00BC057B" w:rsidRPr="006F007C">
        <w:t> </w:t>
      </w:r>
      <w:r w:rsidR="000B7FAD" w:rsidRPr="006F007C">
        <w:t>2011</w:t>
      </w:r>
      <w:r w:rsidR="002418FF" w:rsidRPr="00E90284">
        <w:t xml:space="preserve">; Zhao </w:t>
      </w:r>
      <w:r w:rsidR="002418FF" w:rsidRPr="00E90284">
        <w:rPr>
          <w:i/>
        </w:rPr>
        <w:t>et al</w:t>
      </w:r>
      <w:r w:rsidR="002418FF" w:rsidRPr="00E90284">
        <w:t>. 2013</w:t>
      </w:r>
      <w:r w:rsidR="000B7FAD" w:rsidRPr="00E90284">
        <w:t xml:space="preserve">). </w:t>
      </w:r>
      <w:r w:rsidRPr="00E90284">
        <w:t>Indigenous</w:t>
      </w:r>
      <w:r w:rsidRPr="006F007C">
        <w:t xml:space="preserve"> Australians</w:t>
      </w:r>
      <w:r w:rsidR="000B7FAD" w:rsidRPr="006F007C">
        <w:t xml:space="preserve"> </w:t>
      </w:r>
      <w:r w:rsidR="00C730C7" w:rsidRPr="006F007C">
        <w:t xml:space="preserve">are </w:t>
      </w:r>
      <w:r w:rsidR="000B7FAD" w:rsidRPr="006F007C">
        <w:t>more likely to live in inadequate and overcrowded housing (</w:t>
      </w:r>
      <w:proofErr w:type="spellStart"/>
      <w:r w:rsidR="000B7FAD" w:rsidRPr="006F007C">
        <w:t>SCRGSP</w:t>
      </w:r>
      <w:proofErr w:type="spellEnd"/>
      <w:r w:rsidR="00BC057B" w:rsidRPr="006F007C">
        <w:t> </w:t>
      </w:r>
      <w:r w:rsidR="000B7FAD" w:rsidRPr="006F007C">
        <w:t>2011) and in remote areas</w:t>
      </w:r>
      <w:r w:rsidR="00E17464" w:rsidRPr="006F007C">
        <w:t xml:space="preserve"> with more limited access to health services</w:t>
      </w:r>
      <w:r w:rsidR="000B7FAD" w:rsidRPr="006F007C">
        <w:t xml:space="preserve">. </w:t>
      </w:r>
      <w:r w:rsidR="00C157B9" w:rsidRPr="006F007C">
        <w:br/>
      </w:r>
      <w:r w:rsidR="009F0F57" w:rsidRPr="006F007C">
        <w:t xml:space="preserve">In 2006, </w:t>
      </w:r>
      <w:r w:rsidR="009F0C46" w:rsidRPr="006F007C">
        <w:t xml:space="preserve">51 992 </w:t>
      </w:r>
      <w:r w:rsidRPr="006F007C">
        <w:t>Indigenous Australians</w:t>
      </w:r>
      <w:r w:rsidR="000B7FAD" w:rsidRPr="006F007C">
        <w:t xml:space="preserve"> </w:t>
      </w:r>
      <w:r w:rsidR="009F0F57" w:rsidRPr="006F007C">
        <w:t xml:space="preserve">were </w:t>
      </w:r>
      <w:r w:rsidR="000B7FAD" w:rsidRPr="006F007C">
        <w:t xml:space="preserve">living in </w:t>
      </w:r>
      <w:r w:rsidR="009F0F57" w:rsidRPr="006F007C">
        <w:t xml:space="preserve">discrete Indigenous </w:t>
      </w:r>
      <w:r w:rsidR="000B7FAD" w:rsidRPr="006F007C">
        <w:t xml:space="preserve">communities </w:t>
      </w:r>
      <w:r w:rsidR="009F0F57" w:rsidRPr="006F007C">
        <w:t xml:space="preserve">that </w:t>
      </w:r>
      <w:r w:rsidR="000B7FAD" w:rsidRPr="006F007C">
        <w:t>were 100 kilometres or more from the nearest hospital (ABS </w:t>
      </w:r>
      <w:r w:rsidR="00E3725B" w:rsidRPr="006F007C">
        <w:t>2007).</w:t>
      </w:r>
    </w:p>
    <w:p w:rsidR="0024296F" w:rsidRPr="00702D30" w:rsidRDefault="0024296F" w:rsidP="00E90284">
      <w:pPr>
        <w:pStyle w:val="BodyText"/>
        <w:rPr>
          <w:rStyle w:val="DraftingNote"/>
        </w:rPr>
      </w:pPr>
      <w:r w:rsidRPr="00E3725B">
        <w:rPr>
          <w:rStyle w:val="DraftingNote"/>
          <w:b w:val="0"/>
          <w:color w:val="auto"/>
          <w:sz w:val="26"/>
          <w:u w:val="none"/>
        </w:rPr>
        <w:t xml:space="preserve">Nationally, 3.0 per cent of the total population identified as Indigenous in 2011. </w:t>
      </w:r>
      <w:r w:rsidR="007B0D9A" w:rsidRPr="00E3725B">
        <w:rPr>
          <w:rStyle w:val="DraftingNote"/>
          <w:b w:val="0"/>
          <w:color w:val="auto"/>
          <w:sz w:val="26"/>
          <w:u w:val="none"/>
        </w:rPr>
        <w:t xml:space="preserve">Those identifying as Indigenous made up less than 5 per cent </w:t>
      </w:r>
      <w:r w:rsidR="007B0D9A" w:rsidRPr="00E3725B">
        <w:t xml:space="preserve">of the population </w:t>
      </w:r>
      <w:r w:rsidR="00C25094">
        <w:br/>
      </w:r>
      <w:r w:rsidR="007B0D9A" w:rsidRPr="00E3725B">
        <w:t xml:space="preserve">in each State and Territory except the NT, where the figure was 29.8 per cent </w:t>
      </w:r>
      <w:r w:rsidR="00353186" w:rsidRPr="00E3725B">
        <w:rPr>
          <w:rStyle w:val="DraftingNote"/>
          <w:b w:val="0"/>
          <w:color w:val="auto"/>
          <w:sz w:val="26"/>
          <w:u w:val="none"/>
        </w:rPr>
        <w:t>(</w:t>
      </w:r>
      <w:r w:rsidR="00F90DC0">
        <w:rPr>
          <w:rStyle w:val="DraftingNote"/>
          <w:b w:val="0"/>
          <w:color w:val="auto"/>
          <w:sz w:val="26"/>
          <w:u w:val="none"/>
        </w:rPr>
        <w:t>tables</w:t>
      </w:r>
      <w:r w:rsidR="00C25094">
        <w:rPr>
          <w:rStyle w:val="DraftingNote"/>
          <w:b w:val="0"/>
          <w:color w:val="auto"/>
          <w:sz w:val="26"/>
          <w:u w:val="none"/>
        </w:rPr>
        <w:t> </w:t>
      </w:r>
      <w:proofErr w:type="spellStart"/>
      <w:r w:rsidR="00F90DC0">
        <w:rPr>
          <w:rStyle w:val="DraftingNote"/>
          <w:b w:val="0"/>
          <w:color w:val="auto"/>
          <w:sz w:val="26"/>
          <w:u w:val="none"/>
        </w:rPr>
        <w:t>2A.1</w:t>
      </w:r>
      <w:proofErr w:type="spellEnd"/>
      <w:r w:rsidR="00F90DC0">
        <w:rPr>
          <w:rStyle w:val="DraftingNote"/>
          <w:b w:val="0"/>
          <w:color w:val="auto"/>
          <w:sz w:val="26"/>
          <w:u w:val="none"/>
        </w:rPr>
        <w:t xml:space="preserve"> and </w:t>
      </w:r>
      <w:proofErr w:type="spellStart"/>
      <w:r w:rsidR="00F90DC0">
        <w:rPr>
          <w:rStyle w:val="DraftingNote"/>
          <w:b w:val="0"/>
          <w:color w:val="auto"/>
          <w:sz w:val="26"/>
          <w:u w:val="none"/>
        </w:rPr>
        <w:t>2A.15</w:t>
      </w:r>
      <w:proofErr w:type="spellEnd"/>
      <w:r w:rsidR="00F90DC0">
        <w:rPr>
          <w:rStyle w:val="DraftingNote"/>
          <w:b w:val="0"/>
          <w:color w:val="auto"/>
          <w:sz w:val="26"/>
          <w:u w:val="none"/>
        </w:rPr>
        <w:t>)</w:t>
      </w:r>
      <w:r w:rsidR="00C46726">
        <w:rPr>
          <w:rStyle w:val="DraftingNote"/>
          <w:b w:val="0"/>
          <w:color w:val="auto"/>
          <w:sz w:val="26"/>
          <w:u w:val="none"/>
        </w:rPr>
        <w:t>.</w:t>
      </w:r>
    </w:p>
    <w:p w:rsidR="00622285" w:rsidRPr="007561FE" w:rsidRDefault="00EC7ADA" w:rsidP="00EC7ADA">
      <w:pPr>
        <w:pStyle w:val="Heading3"/>
      </w:pPr>
      <w:r w:rsidRPr="007561FE">
        <w:t>Service-sector objectives</w:t>
      </w:r>
    </w:p>
    <w:p w:rsidR="00622285" w:rsidRPr="00182BEE" w:rsidRDefault="00622285" w:rsidP="002F6F98">
      <w:pPr>
        <w:pStyle w:val="BodyText"/>
      </w:pPr>
      <w:r w:rsidRPr="00182BEE">
        <w:t xml:space="preserve">Government involvement in health services is predicated on the desire to improve the health of all Australians and to ensure equity of </w:t>
      </w:r>
      <w:r w:rsidRPr="003C18EC">
        <w:t xml:space="preserve">access </w:t>
      </w:r>
      <w:r w:rsidR="00C730C7" w:rsidRPr="003C18EC">
        <w:t xml:space="preserve">and the sustainability of the Australian health system. </w:t>
      </w:r>
      <w:r w:rsidR="00B36234" w:rsidRPr="003C18EC">
        <w:t>B</w:t>
      </w:r>
      <w:r w:rsidRPr="003C18EC">
        <w:t>ox</w:t>
      </w:r>
      <w:r w:rsidR="000E5BFE" w:rsidRPr="003C18EC">
        <w:t> </w:t>
      </w:r>
      <w:proofErr w:type="spellStart"/>
      <w:r w:rsidR="006D7EC8">
        <w:t>E.1</w:t>
      </w:r>
      <w:proofErr w:type="spellEnd"/>
      <w:r w:rsidR="00B36234" w:rsidRPr="003C18EC">
        <w:t xml:space="preserve"> presents the overall objectives of the health system as summarised for this Report, which are consistent with the objectives outlined in the National Healthcare </w:t>
      </w:r>
      <w:r w:rsidR="00B36234" w:rsidRPr="006F007C">
        <w:t>Agreement (</w:t>
      </w:r>
      <w:proofErr w:type="spellStart"/>
      <w:r w:rsidR="00B36234" w:rsidRPr="006F007C">
        <w:t>MCFFR</w:t>
      </w:r>
      <w:proofErr w:type="spellEnd"/>
      <w:r w:rsidR="008F73CC" w:rsidRPr="006F007C">
        <w:t xml:space="preserve"> 2012</w:t>
      </w:r>
      <w:r w:rsidR="00B36234" w:rsidRPr="006F007C">
        <w:t>)</w:t>
      </w:r>
      <w:r w:rsidR="00307B0E" w:rsidRPr="006F007C">
        <w:t>.</w:t>
      </w:r>
      <w:r w:rsidRPr="006F007C">
        <w:t xml:space="preserve"> </w:t>
      </w:r>
      <w:r w:rsidR="00307B0E" w:rsidRPr="006F007C">
        <w:t>G</w:t>
      </w:r>
      <w:r w:rsidRPr="006F007C">
        <w:t>overnments</w:t>
      </w:r>
      <w:r w:rsidR="002578A8" w:rsidRPr="006F007C">
        <w:t xml:space="preserve"> provide</w:t>
      </w:r>
      <w:r w:rsidRPr="006F007C">
        <w:t xml:space="preserve"> a variety of services in different settings to fulfil th</w:t>
      </w:r>
      <w:r w:rsidR="00BB609C" w:rsidRPr="006F007C">
        <w:t>ese</w:t>
      </w:r>
      <w:r w:rsidRPr="006F007C">
        <w:t xml:space="preserve"> objective</w:t>
      </w:r>
      <w:r w:rsidR="00BB609C" w:rsidRPr="006F007C">
        <w:t>s</w:t>
      </w:r>
      <w:r w:rsidRPr="00182BEE">
        <w:t>.</w:t>
      </w:r>
    </w:p>
    <w:p w:rsidR="006B641D" w:rsidRPr="00182BEE" w:rsidRDefault="006B641D" w:rsidP="002F6F9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22285" w:rsidRPr="00182BEE" w:rsidTr="0088149B">
        <w:tc>
          <w:tcPr>
            <w:tcW w:w="8771" w:type="dxa"/>
            <w:tcBorders>
              <w:top w:val="single" w:sz="6" w:space="0" w:color="auto"/>
              <w:bottom w:val="nil"/>
            </w:tcBorders>
          </w:tcPr>
          <w:p w:rsidR="00622285" w:rsidRPr="00182BEE" w:rsidRDefault="00622285" w:rsidP="002F6F98">
            <w:pPr>
              <w:pStyle w:val="BoxTitle"/>
            </w:pPr>
            <w:r w:rsidRPr="00182BEE">
              <w:rPr>
                <w:b w:val="0"/>
              </w:rPr>
              <w:t xml:space="preserve">Box </w:t>
            </w:r>
            <w:bookmarkStart w:id="13" w:name="OLE_LINK7"/>
            <w:proofErr w:type="spellStart"/>
            <w:r w:rsidR="00F156AA">
              <w:rPr>
                <w:b w:val="0"/>
              </w:rPr>
              <w:t>E.</w:t>
            </w:r>
            <w:r w:rsidR="00C01FBD">
              <w:rPr>
                <w:b w:val="0"/>
                <w:noProof/>
              </w:rPr>
              <w:t>1</w:t>
            </w:r>
            <w:bookmarkEnd w:id="13"/>
            <w:proofErr w:type="spellEnd"/>
            <w:r w:rsidRPr="00182BEE">
              <w:tab/>
              <w:t>Overall objectives of the health system</w:t>
            </w:r>
          </w:p>
        </w:tc>
      </w:tr>
      <w:tr w:rsidR="00622285" w:rsidRPr="00182BEE" w:rsidTr="00E6726B">
        <w:trPr>
          <w:cantSplit/>
        </w:trPr>
        <w:tc>
          <w:tcPr>
            <w:tcW w:w="8771" w:type="dxa"/>
            <w:tcBorders>
              <w:top w:val="nil"/>
              <w:bottom w:val="nil"/>
            </w:tcBorders>
          </w:tcPr>
          <w:p w:rsidR="00622285" w:rsidRPr="00182BEE" w:rsidRDefault="00622285" w:rsidP="002F6F98">
            <w:pPr>
              <w:pStyle w:val="Box"/>
            </w:pPr>
            <w:r w:rsidRPr="00182BEE">
              <w:t xml:space="preserve">Government involvement in the health system is aimed at efficiently and effectively </w:t>
            </w:r>
            <w:r w:rsidR="007E4A04" w:rsidRPr="007E4A04">
              <w:t>improv</w:t>
            </w:r>
            <w:r w:rsidR="007E4A04">
              <w:t>ing</w:t>
            </w:r>
            <w:r w:rsidR="007E4A04" w:rsidRPr="007E4A04">
              <w:t xml:space="preserve"> health outcomes for all Australians and ensur</w:t>
            </w:r>
            <w:r w:rsidR="00D13530">
              <w:t>ing</w:t>
            </w:r>
            <w:r w:rsidR="007E4A04" w:rsidRPr="007E4A04">
              <w:t xml:space="preserve"> the sustainability of the Australian health system</w:t>
            </w:r>
            <w:r w:rsidR="00D13530">
              <w:t>, achieving the following outcomes</w:t>
            </w:r>
            <w:r w:rsidRPr="00182BEE">
              <w:t>:</w:t>
            </w:r>
          </w:p>
          <w:p w:rsidR="001625A7" w:rsidRDefault="007E4A04" w:rsidP="002F6F98">
            <w:pPr>
              <w:pStyle w:val="BoxListBullet"/>
            </w:pPr>
            <w:r w:rsidRPr="007E4A04">
              <w:t>Australians are born and remain healthy</w:t>
            </w:r>
          </w:p>
          <w:p w:rsidR="001625A7" w:rsidRDefault="007E4A04" w:rsidP="002F6F98">
            <w:pPr>
              <w:pStyle w:val="BoxListBullet"/>
            </w:pPr>
            <w:r w:rsidRPr="007E4A04">
              <w:t>Australians receive appropriate high quality and affordable primary and community health services</w:t>
            </w:r>
          </w:p>
          <w:p w:rsidR="007E4A04" w:rsidRDefault="007E4A04" w:rsidP="002F6F98">
            <w:pPr>
              <w:pStyle w:val="BoxListBullet"/>
            </w:pPr>
            <w:r w:rsidRPr="007E4A04">
              <w:t xml:space="preserve">Australians receive appropriate high quality and affordable hospital and hospital related care </w:t>
            </w:r>
          </w:p>
          <w:p w:rsidR="00BD45D6" w:rsidRDefault="00BD45D6" w:rsidP="002F6F98">
            <w:pPr>
              <w:pStyle w:val="BoxListBullet"/>
            </w:pPr>
            <w:r w:rsidRPr="00BD45D6">
              <w:t xml:space="preserve">Australians have positive health care experiences which take account of individual circumstances and care needs </w:t>
            </w:r>
          </w:p>
          <w:p w:rsidR="00BD45D6" w:rsidRDefault="00BD45D6" w:rsidP="002F6F98">
            <w:pPr>
              <w:pStyle w:val="BoxListBullet"/>
            </w:pPr>
            <w:r w:rsidRPr="00BD45D6">
              <w:t xml:space="preserve">Australians have a health system that promotes social inclusion and reduces disadvantage, especially for Indigenous Australians </w:t>
            </w:r>
          </w:p>
          <w:p w:rsidR="00622285" w:rsidRPr="00182BEE" w:rsidRDefault="00BD45D6" w:rsidP="002F6F98">
            <w:pPr>
              <w:pStyle w:val="BoxListBullet"/>
            </w:pPr>
            <w:r w:rsidRPr="00BD45D6">
              <w:t>Australians have a sustainable health system</w:t>
            </w:r>
            <w:r w:rsidR="001625A7">
              <w:t>.</w:t>
            </w:r>
          </w:p>
        </w:tc>
      </w:tr>
      <w:tr w:rsidR="00622285" w:rsidRPr="00182BEE" w:rsidTr="0088149B">
        <w:trPr>
          <w:cantSplit/>
        </w:trPr>
        <w:tc>
          <w:tcPr>
            <w:tcW w:w="8771" w:type="dxa"/>
            <w:tcBorders>
              <w:top w:val="nil"/>
              <w:bottom w:val="single" w:sz="6" w:space="0" w:color="auto"/>
            </w:tcBorders>
          </w:tcPr>
          <w:p w:rsidR="00622285" w:rsidRPr="00182BEE" w:rsidRDefault="00622285" w:rsidP="002F6F98">
            <w:pPr>
              <w:spacing w:line="120" w:lineRule="exact"/>
            </w:pPr>
          </w:p>
        </w:tc>
      </w:tr>
    </w:tbl>
    <w:p w:rsidR="00EF1425" w:rsidRPr="00182BEE" w:rsidRDefault="00EF1425" w:rsidP="00EF1425">
      <w:pPr>
        <w:pStyle w:val="BodyText"/>
      </w:pPr>
      <w:r w:rsidRPr="00182BEE">
        <w:t>Measuring the equity, effectiveness and efficiency of Australia’s health system is a complex task. It must account for the performance of a range of services (such as prevention and medical intervention) and service providers (such as community health centres, GPs and public hospitals), and account for the overall outcomes generated by the health system. The appropriate mix of services — including the prevention of illness and injury, and medical treatment (prevention versus medical intervention) — and the appropriate mix of service delivery mechanisms (community</w:t>
      </w:r>
      <w:r w:rsidRPr="00182BEE">
        <w:noBreakHyphen/>
        <w:t>based versus hospital</w:t>
      </w:r>
      <w:r w:rsidRPr="00182BEE">
        <w:noBreakHyphen/>
        <w:t>based) play</w:t>
      </w:r>
      <w:r w:rsidR="00E17464">
        <w:t>s</w:t>
      </w:r>
      <w:r w:rsidRPr="00182BEE">
        <w:t xml:space="preserve"> an important role in determining outcomes. Other relevant factors are external to the health system, such as the socioeconomic and demographic characteristics of the population, available infrastructure and the environment.</w:t>
      </w:r>
    </w:p>
    <w:p w:rsidR="00E275A8" w:rsidRPr="007561FE" w:rsidRDefault="00F156AA" w:rsidP="00E275A8">
      <w:pPr>
        <w:pStyle w:val="Heading2"/>
      </w:pPr>
      <w:bookmarkStart w:id="14" w:name="_Toc275247499"/>
      <w:bookmarkStart w:id="15" w:name="_Toc313526079"/>
      <w:bookmarkStart w:id="16" w:name="_Toc338147186"/>
      <w:bookmarkStart w:id="17" w:name="_Toc297906729"/>
      <w:proofErr w:type="spellStart"/>
      <w:r>
        <w:t>E.</w:t>
      </w:r>
      <w:r w:rsidR="00C01FBD">
        <w:rPr>
          <w:noProof/>
        </w:rPr>
        <w:t>2</w:t>
      </w:r>
      <w:proofErr w:type="spellEnd"/>
      <w:r w:rsidR="00EE0144" w:rsidRPr="007561FE">
        <w:tab/>
      </w:r>
      <w:r w:rsidR="00E275A8" w:rsidRPr="007561FE">
        <w:t>Sector performance indicator framework</w:t>
      </w:r>
      <w:bookmarkEnd w:id="14"/>
      <w:bookmarkEnd w:id="15"/>
      <w:bookmarkEnd w:id="16"/>
    </w:p>
    <w:bookmarkEnd w:id="17"/>
    <w:p w:rsidR="002F6F98" w:rsidRDefault="002F6F98" w:rsidP="002F6F98">
      <w:pPr>
        <w:pStyle w:val="BodyText"/>
      </w:pPr>
      <w:r w:rsidRPr="007561FE">
        <w:t xml:space="preserve">This </w:t>
      </w:r>
      <w:r>
        <w:t>sector overview</w:t>
      </w:r>
      <w:r w:rsidRPr="007561FE">
        <w:t xml:space="preserve"> is based on a sector performance indicator framework </w:t>
      </w:r>
      <w:r w:rsidRPr="004F7C55">
        <w:t>(figure </w:t>
      </w:r>
      <w:proofErr w:type="spellStart"/>
      <w:r w:rsidR="00F156AA">
        <w:t>E.3</w:t>
      </w:r>
      <w:proofErr w:type="spellEnd"/>
      <w:r w:rsidRPr="004F7C55">
        <w:t>)</w:t>
      </w:r>
      <w:r>
        <w:t>. This framework is made up of the following elements:</w:t>
      </w:r>
    </w:p>
    <w:p w:rsidR="002F6F98" w:rsidRDefault="002F6F98" w:rsidP="002F6F98">
      <w:pPr>
        <w:pStyle w:val="ListBullet"/>
      </w:pPr>
      <w:r w:rsidRPr="004F7C55">
        <w:t xml:space="preserve">Sector </w:t>
      </w:r>
      <w:r>
        <w:t>objectives</w:t>
      </w:r>
      <w:r w:rsidRPr="004F7C55">
        <w:t xml:space="preserve"> — </w:t>
      </w:r>
      <w:r>
        <w:t>three</w:t>
      </w:r>
      <w:r w:rsidRPr="004F7C55">
        <w:t xml:space="preserve"> sector </w:t>
      </w:r>
      <w:r>
        <w:t>objectives</w:t>
      </w:r>
      <w:r w:rsidRPr="004F7C55">
        <w:t xml:space="preserve"> are </w:t>
      </w:r>
      <w:r>
        <w:t>a précis of</w:t>
      </w:r>
      <w:r w:rsidRPr="004F7C55">
        <w:t xml:space="preserve"> the key objectives of </w:t>
      </w:r>
      <w:r>
        <w:t xml:space="preserve">the health system </w:t>
      </w:r>
      <w:r w:rsidRPr="004F7C55">
        <w:t xml:space="preserve">and reflect the outcomes in the </w:t>
      </w:r>
      <w:proofErr w:type="spellStart"/>
      <w:r w:rsidRPr="004F7C55">
        <w:t>NHA</w:t>
      </w:r>
      <w:proofErr w:type="spellEnd"/>
      <w:r>
        <w:t xml:space="preserve"> (box </w:t>
      </w:r>
      <w:proofErr w:type="spellStart"/>
      <w:r w:rsidR="00F156AA">
        <w:t>E.</w:t>
      </w:r>
      <w:r w:rsidR="00CD56E9">
        <w:t>1</w:t>
      </w:r>
      <w:proofErr w:type="spellEnd"/>
      <w:r>
        <w:t>)</w:t>
      </w:r>
      <w:r w:rsidRPr="004F7C55">
        <w:t>.</w:t>
      </w:r>
    </w:p>
    <w:p w:rsidR="002F6F98" w:rsidRPr="004F7C55" w:rsidRDefault="002F6F98" w:rsidP="002F6F98">
      <w:pPr>
        <w:pStyle w:val="ListBullet"/>
      </w:pPr>
      <w:r w:rsidRPr="004F7C55">
        <w:t xml:space="preserve">Sector-wide indicators — </w:t>
      </w:r>
      <w:r w:rsidRPr="005E6746">
        <w:t>seven</w:t>
      </w:r>
      <w:r w:rsidRPr="004F7C55">
        <w:t xml:space="preserve"> sector-wide indicators relate to the overarching service sector objectives identified in the </w:t>
      </w:r>
      <w:proofErr w:type="spellStart"/>
      <w:r>
        <w:t>NHA</w:t>
      </w:r>
      <w:proofErr w:type="spellEnd"/>
      <w:r w:rsidRPr="004F7C55">
        <w:t>.</w:t>
      </w:r>
    </w:p>
    <w:p w:rsidR="002F6F98" w:rsidRDefault="002F6F98" w:rsidP="002F6F98">
      <w:pPr>
        <w:pStyle w:val="ListBullet"/>
      </w:pPr>
      <w:r>
        <w:t xml:space="preserve">Information from the service-specific </w:t>
      </w:r>
      <w:r w:rsidRPr="004F7C55">
        <w:t>performance indicator framework</w:t>
      </w:r>
      <w:r>
        <w:t xml:space="preserve">s that relate to health services. Discussed in more detail in chapters 10, 11 and 12, the service-specific frameworks provide comprehensive information on </w:t>
      </w:r>
      <w:r w:rsidRPr="004F7C55">
        <w:t xml:space="preserve">the equity, effectiveness and efficiency </w:t>
      </w:r>
      <w:r>
        <w:t>of these services.</w:t>
      </w:r>
    </w:p>
    <w:p w:rsidR="002F6F98" w:rsidRPr="00BB5583" w:rsidRDefault="002F6F98" w:rsidP="002F6F98">
      <w:pPr>
        <w:pStyle w:val="BodyText"/>
        <w:rPr>
          <w:rStyle w:val="DraftingNote"/>
        </w:rPr>
      </w:pPr>
      <w:r>
        <w:lastRenderedPageBreak/>
        <w:t xml:space="preserve">This sector overview provides an </w:t>
      </w:r>
      <w:r w:rsidRPr="00CF7D56">
        <w:t>overview</w:t>
      </w:r>
      <w:r w:rsidRPr="004F7C55">
        <w:t xml:space="preserve"> </w:t>
      </w:r>
      <w:r>
        <w:t xml:space="preserve">of relevant performance information. </w:t>
      </w:r>
      <w:r w:rsidRPr="004F7C55">
        <w:t xml:space="preserve">Chapters </w:t>
      </w:r>
      <w:r>
        <w:t xml:space="preserve">10, 11 and 12 </w:t>
      </w:r>
      <w:r w:rsidRPr="004F7C55">
        <w:t xml:space="preserve">and their associated attachment tables provide </w:t>
      </w:r>
      <w:r>
        <w:t xml:space="preserve">more detailed </w:t>
      </w:r>
      <w:r w:rsidRPr="004F7C55">
        <w:t>information</w:t>
      </w:r>
      <w:r w:rsidRPr="00FB2E43">
        <w:t>.</w:t>
      </w:r>
    </w:p>
    <w:p w:rsidR="00625223" w:rsidRDefault="00625223" w:rsidP="002F6F98">
      <w:pPr>
        <w:pStyle w:val="FigureTitle"/>
      </w:pPr>
      <w:r>
        <w:rPr>
          <w:b w:val="0"/>
        </w:rPr>
        <w:t xml:space="preserve">Figure </w:t>
      </w:r>
      <w:bookmarkStart w:id="18" w:name="OLE_LINK29"/>
      <w:proofErr w:type="spellStart"/>
      <w:r w:rsidR="00F156AA">
        <w:rPr>
          <w:b w:val="0"/>
        </w:rPr>
        <w:t>E.</w:t>
      </w:r>
      <w:r w:rsidR="00C01FBD">
        <w:rPr>
          <w:b w:val="0"/>
          <w:noProof/>
        </w:rPr>
        <w:t>3</w:t>
      </w:r>
      <w:bookmarkEnd w:id="18"/>
      <w:proofErr w:type="spellEnd"/>
      <w:r>
        <w:tab/>
      </w:r>
      <w:r w:rsidRPr="00766328">
        <w:rPr>
          <w:shd w:val="clear" w:color="auto" w:fill="FFFFFF" w:themeFill="background1"/>
        </w:rPr>
        <w:t xml:space="preserve">Health </w:t>
      </w:r>
      <w:r w:rsidR="00E275A8" w:rsidRPr="00766328">
        <w:rPr>
          <w:shd w:val="clear" w:color="auto" w:fill="FFFFFF" w:themeFill="background1"/>
        </w:rPr>
        <w:t>services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25223" w:rsidTr="00604029">
        <w:tc>
          <w:tcPr>
            <w:tcW w:w="8777" w:type="dxa"/>
          </w:tcPr>
          <w:p w:rsidR="00F745C4" w:rsidRPr="001532C5" w:rsidRDefault="0091658B" w:rsidP="00E86325">
            <w:pPr>
              <w:pStyle w:val="Figure"/>
              <w:keepNext w:val="0"/>
              <w:pBdr>
                <w:right w:val="single" w:sz="12" w:space="4" w:color="auto"/>
              </w:pBdr>
            </w:pPr>
            <w:r>
              <w:rPr>
                <w:noProof/>
              </w:rPr>
              <w:drawing>
                <wp:inline distT="0" distB="0" distL="0" distR="0" wp14:anchorId="4913824F" wp14:editId="0C7AF71C">
                  <wp:extent cx="5454015" cy="6809740"/>
                  <wp:effectExtent l="0" t="0" r="0" b="0"/>
                  <wp:docPr id="11" name="Picture 11" descr="Figure E.3 Health services sector performance indicator framework&#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4015" cy="6809740"/>
                          </a:xfrm>
                          <a:prstGeom prst="rect">
                            <a:avLst/>
                          </a:prstGeom>
                          <a:noFill/>
                          <a:ln>
                            <a:noFill/>
                          </a:ln>
                        </pic:spPr>
                      </pic:pic>
                    </a:graphicData>
                  </a:graphic>
                </wp:inline>
              </w:drawing>
            </w:r>
          </w:p>
        </w:tc>
      </w:tr>
    </w:tbl>
    <w:p w:rsidR="00DA05DA" w:rsidRPr="00DA05DA" w:rsidRDefault="00DA05DA" w:rsidP="00AD1D03">
      <w:pPr>
        <w:pStyle w:val="BodyText"/>
      </w:pPr>
      <w:r w:rsidRPr="00D76CC2">
        <w:lastRenderedPageBreak/>
        <w:t>Data quality information (</w:t>
      </w:r>
      <w:proofErr w:type="spellStart"/>
      <w:r w:rsidRPr="00D76CC2">
        <w:t>DQI</w:t>
      </w:r>
      <w:proofErr w:type="spellEnd"/>
      <w:r w:rsidRPr="00D76CC2">
        <w:t xml:space="preserve">) is being progressively introduced for all indicators in the Report. The purpose of </w:t>
      </w:r>
      <w:proofErr w:type="spellStart"/>
      <w:r w:rsidRPr="00D76CC2">
        <w:t>DQI</w:t>
      </w:r>
      <w:proofErr w:type="spellEnd"/>
      <w:r w:rsidRPr="00D76CC2">
        <w:t xml:space="preserve"> is to provide structured and consistent information about quality aspects of data </w:t>
      </w:r>
      <w:r w:rsidR="00B05E17">
        <w:t>used to report</w:t>
      </w:r>
      <w:r w:rsidRPr="00D76CC2">
        <w:t xml:space="preserve"> on performance indicators. </w:t>
      </w:r>
      <w:proofErr w:type="spellStart"/>
      <w:r w:rsidRPr="00D76CC2">
        <w:t>DQI</w:t>
      </w:r>
      <w:proofErr w:type="spellEnd"/>
      <w:r w:rsidRPr="00D76CC2">
        <w:t xml:space="preserve"> in this Report cover the seven dimensions in the </w:t>
      </w:r>
      <w:r w:rsidR="00433B56" w:rsidRPr="00433B56">
        <w:t xml:space="preserve">Australian Bureau of Statistics </w:t>
      </w:r>
      <w:r w:rsidR="00433B56">
        <w:t>(</w:t>
      </w:r>
      <w:r w:rsidRPr="00D76CC2">
        <w:t>ABS</w:t>
      </w:r>
      <w:r w:rsidR="00433B56">
        <w:t>)</w:t>
      </w:r>
      <w:r w:rsidRPr="00D76CC2">
        <w:t xml:space="preserve"> data quality framework (institutional environment, relevance, timeliness, accuracy, coherence, accessibility and interpretability) in addition to dimensions that define and describe performance indicators in a consistent manner, and </w:t>
      </w:r>
      <w:r w:rsidR="00B05E17">
        <w:t xml:space="preserve">note </w:t>
      </w:r>
      <w:r w:rsidRPr="00D76CC2">
        <w:t xml:space="preserve">key data gaps and issues identified by the Steering Committee. All </w:t>
      </w:r>
      <w:proofErr w:type="spellStart"/>
      <w:r w:rsidRPr="00D76CC2">
        <w:t>DQI</w:t>
      </w:r>
      <w:proofErr w:type="spellEnd"/>
      <w:r w:rsidRPr="00D76CC2">
        <w:t xml:space="preserve"> for the </w:t>
      </w:r>
      <w:r w:rsidRPr="00F16E35">
        <w:t>201</w:t>
      </w:r>
      <w:r w:rsidR="00F16E35" w:rsidRPr="00F16E35">
        <w:t>4</w:t>
      </w:r>
      <w:r w:rsidRPr="00F16E35">
        <w:t xml:space="preserve"> Report can be found at </w:t>
      </w:r>
      <w:proofErr w:type="spellStart"/>
      <w:r w:rsidRPr="00F16E35">
        <w:t>www.pc.gov.au</w:t>
      </w:r>
      <w:proofErr w:type="spellEnd"/>
      <w:r w:rsidRPr="00F16E35">
        <w:t>/</w:t>
      </w:r>
      <w:proofErr w:type="spellStart"/>
      <w:r w:rsidRPr="00F16E35">
        <w:t>gsp</w:t>
      </w:r>
      <w:proofErr w:type="spellEnd"/>
      <w:r w:rsidRPr="00F16E35">
        <w:t>/reports/</w:t>
      </w:r>
      <w:proofErr w:type="spellStart"/>
      <w:r w:rsidRPr="00F16E35">
        <w:t>rogs</w:t>
      </w:r>
      <w:proofErr w:type="spellEnd"/>
      <w:r w:rsidRPr="00F16E35">
        <w:t>/</w:t>
      </w:r>
      <w:r w:rsidR="00F16E35" w:rsidRPr="00F16E35">
        <w:t>2014</w:t>
      </w:r>
      <w:r w:rsidRPr="00D76CC2">
        <w:t>.</w:t>
      </w:r>
    </w:p>
    <w:p w:rsidR="000B7FAD" w:rsidRDefault="000B7FAD" w:rsidP="000B7FAD">
      <w:pPr>
        <w:pStyle w:val="Heading3"/>
      </w:pPr>
      <w:r>
        <w:t>Sector-wide performance indicators</w:t>
      </w:r>
    </w:p>
    <w:p w:rsidR="000B7FAD" w:rsidRDefault="000B7FAD" w:rsidP="000B7FAD">
      <w:pPr>
        <w:pStyle w:val="BodyText"/>
      </w:pPr>
      <w:r w:rsidRPr="00503BD1">
        <w:t xml:space="preserve">This section includes high level indicators of </w:t>
      </w:r>
      <w:r w:rsidRPr="00182BEE">
        <w:t xml:space="preserve">health </w:t>
      </w:r>
      <w:r w:rsidRPr="00503BD1">
        <w:t>outcomes. Many factors are likely to influence outcomes — not solely the performance of government services. However, these outcomes inform the development of appropriate policies and delivery of government services.</w:t>
      </w:r>
    </w:p>
    <w:p w:rsidR="00AA1E24" w:rsidRPr="007561FE" w:rsidRDefault="00914861" w:rsidP="00AA1E24">
      <w:pPr>
        <w:pStyle w:val="Heading4"/>
      </w:pPr>
      <w:r w:rsidRPr="007561FE">
        <w:t>Babies born of l</w:t>
      </w:r>
      <w:r w:rsidR="00AA1E24" w:rsidRPr="007561FE">
        <w:t>ow birth</w:t>
      </w:r>
      <w:r w:rsidRPr="007561FE">
        <w:t xml:space="preserve"> </w:t>
      </w:r>
      <w:r w:rsidR="00AA1E24" w:rsidRPr="007561FE">
        <w:t xml:space="preserve">weight </w:t>
      </w:r>
    </w:p>
    <w:p w:rsidR="00AA1E24" w:rsidRDefault="00AA1E24" w:rsidP="00AA1E24">
      <w:pPr>
        <w:pStyle w:val="BodyText"/>
      </w:pPr>
      <w:r>
        <w:t>‘</w:t>
      </w:r>
      <w:r w:rsidR="00914861">
        <w:t xml:space="preserve">Babies born of low </w:t>
      </w:r>
      <w:r>
        <w:t>birth</w:t>
      </w:r>
      <w:r w:rsidR="00914861">
        <w:t xml:space="preserve"> </w:t>
      </w:r>
      <w:r>
        <w:t xml:space="preserve">weight’ is an indicator of governments’ objective that </w:t>
      </w:r>
      <w:r w:rsidR="00AD6F4F">
        <w:t>Australians</w:t>
      </w:r>
      <w:r>
        <w:t xml:space="preserve"> are born and remain healthy (box</w:t>
      </w:r>
      <w:r w:rsidR="00440183">
        <w:t xml:space="preserve"> </w:t>
      </w:r>
      <w:proofErr w:type="spellStart"/>
      <w:r w:rsidR="00F156AA">
        <w:t>E.</w:t>
      </w:r>
      <w:r w:rsidR="00CD56E9">
        <w:t>2</w:t>
      </w:r>
      <w:proofErr w:type="spellEnd"/>
      <w:r>
        <w:t>).</w:t>
      </w:r>
      <w:r w:rsidRPr="00EC7F1B">
        <w:t xml:space="preserve"> </w:t>
      </w:r>
      <w:r w:rsidRPr="00595C97">
        <w:t>The birth</w:t>
      </w:r>
      <w:r w:rsidR="009573E4">
        <w:t xml:space="preserve"> </w:t>
      </w:r>
      <w:r w:rsidRPr="00595C97">
        <w:t>weight of a baby is an important indicator of its health status and future wellbeing.</w:t>
      </w:r>
      <w:r>
        <w:t xml:space="preserve"> Low birth</w:t>
      </w:r>
      <w:r w:rsidR="009573E4">
        <w:t xml:space="preserve"> </w:t>
      </w:r>
      <w:r>
        <w:t>weight babies have a greater risk of poor health and dying, require a longer period of hospitalisation after birth, and are more likely to develop significant disabilities (</w:t>
      </w:r>
      <w:r w:rsidRPr="006F007C">
        <w:t xml:space="preserve">Goldenberg &amp; </w:t>
      </w:r>
      <w:proofErr w:type="spellStart"/>
      <w:r w:rsidRPr="006F007C">
        <w:t>Culhane</w:t>
      </w:r>
      <w:proofErr w:type="spellEnd"/>
      <w:r w:rsidRPr="006F007C">
        <w:t> 2007).</w:t>
      </w:r>
    </w:p>
    <w:p w:rsidR="00AA1E24" w:rsidRDefault="00AA1E24" w:rsidP="00AA1E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A1E24" w:rsidTr="00AA1E24">
        <w:tc>
          <w:tcPr>
            <w:tcW w:w="8771" w:type="dxa"/>
            <w:tcBorders>
              <w:top w:val="single" w:sz="6" w:space="0" w:color="auto"/>
              <w:bottom w:val="nil"/>
            </w:tcBorders>
          </w:tcPr>
          <w:p w:rsidR="00AA1E24" w:rsidRDefault="00AA1E24" w:rsidP="00AA1E24">
            <w:pPr>
              <w:pStyle w:val="BoxTitle"/>
            </w:pPr>
            <w:r>
              <w:rPr>
                <w:b w:val="0"/>
              </w:rPr>
              <w:t xml:space="preserve">Box </w:t>
            </w:r>
            <w:bookmarkStart w:id="19" w:name="OLE_LINK22"/>
            <w:proofErr w:type="spellStart"/>
            <w:r w:rsidR="00F156AA">
              <w:rPr>
                <w:b w:val="0"/>
              </w:rPr>
              <w:t>E.</w:t>
            </w:r>
            <w:r w:rsidR="00C01FBD">
              <w:rPr>
                <w:b w:val="0"/>
                <w:noProof/>
              </w:rPr>
              <w:t>2</w:t>
            </w:r>
            <w:bookmarkEnd w:id="19"/>
            <w:proofErr w:type="spellEnd"/>
            <w:r>
              <w:tab/>
              <w:t>Low b</w:t>
            </w:r>
            <w:r w:rsidRPr="00595C97">
              <w:t>irth</w:t>
            </w:r>
            <w:r w:rsidR="009573E4">
              <w:t xml:space="preserve"> </w:t>
            </w:r>
            <w:r w:rsidRPr="00595C97">
              <w:t>weight of babies</w:t>
            </w:r>
          </w:p>
        </w:tc>
      </w:tr>
      <w:tr w:rsidR="00AA1E24" w:rsidTr="00AA1E24">
        <w:trPr>
          <w:cantSplit/>
        </w:trPr>
        <w:tc>
          <w:tcPr>
            <w:tcW w:w="8771" w:type="dxa"/>
            <w:tcBorders>
              <w:top w:val="nil"/>
              <w:left w:val="single" w:sz="6" w:space="0" w:color="auto"/>
              <w:bottom w:val="nil"/>
              <w:right w:val="single" w:sz="6" w:space="0" w:color="auto"/>
            </w:tcBorders>
          </w:tcPr>
          <w:p w:rsidR="00AA1E24" w:rsidRDefault="00AA1E24" w:rsidP="00AA1E24">
            <w:pPr>
              <w:pStyle w:val="Box"/>
            </w:pPr>
            <w:r w:rsidRPr="00595C97">
              <w:t>Babies’ birth</w:t>
            </w:r>
            <w:r w:rsidR="009573E4">
              <w:t xml:space="preserve"> </w:t>
            </w:r>
            <w:r w:rsidRPr="00595C97">
              <w:t>weight is defined as low if they weigh less than 2500 grams, very low if they weigh less than 1500 grams and extremely low if they weigh less than 1000 </w:t>
            </w:r>
            <w:r w:rsidRPr="006F007C">
              <w:t>grams (</w:t>
            </w:r>
            <w:proofErr w:type="spellStart"/>
            <w:r w:rsidR="00012F41" w:rsidRPr="006F007C">
              <w:t>AIHW</w:t>
            </w:r>
            <w:proofErr w:type="spellEnd"/>
            <w:r w:rsidR="00012F41" w:rsidRPr="006F007C">
              <w:t xml:space="preserve"> and </w:t>
            </w:r>
            <w:r w:rsidRPr="006F007C">
              <w:t>Li et al. 201</w:t>
            </w:r>
            <w:r w:rsidR="00012F41" w:rsidRPr="006F007C">
              <w:t>3</w:t>
            </w:r>
            <w:r w:rsidRPr="006F007C">
              <w:t>).</w:t>
            </w:r>
          </w:p>
          <w:p w:rsidR="00AA1E24" w:rsidRDefault="00AA1E24" w:rsidP="00AA1E24">
            <w:pPr>
              <w:pStyle w:val="Box"/>
            </w:pPr>
            <w:r>
              <w:t>A low or decreasing number of low birth</w:t>
            </w:r>
            <w:r w:rsidR="009573E4">
              <w:t xml:space="preserve"> </w:t>
            </w:r>
            <w:r>
              <w:t xml:space="preserve">weight babies is desirable. </w:t>
            </w:r>
          </w:p>
          <w:p w:rsidR="00AA1E24" w:rsidRDefault="00AA1E24" w:rsidP="00AA1E24">
            <w:pPr>
              <w:pStyle w:val="Box"/>
            </w:pPr>
            <w:r w:rsidRPr="00182BEE">
              <w:t xml:space="preserve">Factors external to the health system also have a strong influence on </w:t>
            </w:r>
            <w:r>
              <w:t>the birth</w:t>
            </w:r>
            <w:r w:rsidR="009573E4">
              <w:t xml:space="preserve"> </w:t>
            </w:r>
            <w:r>
              <w:t>weight of babies</w:t>
            </w:r>
            <w:r w:rsidRPr="00182BEE">
              <w:t>.</w:t>
            </w:r>
            <w:r>
              <w:t xml:space="preserve"> Some factors contributing to low birth</w:t>
            </w:r>
            <w:r w:rsidR="009573E4">
              <w:t xml:space="preserve"> </w:t>
            </w:r>
            <w:r>
              <w:t xml:space="preserve">weight include socioeconomic status, size of parents, age of mother, number of babies previously born, mother’s nutritional status, smoking and alcohol intake, and illness during pregnancy </w:t>
            </w:r>
            <w:r w:rsidRPr="00595C97">
              <w:t>(</w:t>
            </w:r>
            <w:r w:rsidRPr="001B2EB8">
              <w:t>Li</w:t>
            </w:r>
            <w:r>
              <w:t xml:space="preserve"> et al. </w:t>
            </w:r>
            <w:r w:rsidRPr="001B2EB8">
              <w:t>2011</w:t>
            </w:r>
            <w:r w:rsidRPr="00595C97">
              <w:t>).</w:t>
            </w:r>
          </w:p>
          <w:p w:rsidR="00470E04" w:rsidRDefault="00AA1E24" w:rsidP="00AA1E24">
            <w:pPr>
              <w:pStyle w:val="Box"/>
            </w:pPr>
            <w:r>
              <w:t>Data</w:t>
            </w:r>
            <w:r w:rsidR="00470E04">
              <w:t xml:space="preserve"> reported for this indicator are:</w:t>
            </w:r>
          </w:p>
          <w:p w:rsidR="00470E04" w:rsidRDefault="00470E04" w:rsidP="00470E04">
            <w:pPr>
              <w:pStyle w:val="BoxListBullet"/>
            </w:pPr>
            <w:r w:rsidRPr="00470E04">
              <w:t>comparable (subject to caveats) across jurisdictions and over time</w:t>
            </w:r>
          </w:p>
          <w:p w:rsidR="00AA1E24" w:rsidRDefault="00470E04" w:rsidP="00470E04">
            <w:pPr>
              <w:pStyle w:val="BoxListBullet"/>
            </w:pPr>
            <w:r w:rsidRPr="00470E04">
              <w:t xml:space="preserve">complete (subject to caveats) for the current reporting period. All required </w:t>
            </w:r>
            <w:r>
              <w:t>2011</w:t>
            </w:r>
            <w:r w:rsidRPr="00470E04">
              <w:t xml:space="preserve"> data are available for all jurisdictions</w:t>
            </w:r>
            <w:r>
              <w:t>.</w:t>
            </w:r>
          </w:p>
          <w:p w:rsidR="00AA1E24" w:rsidRDefault="00A54207" w:rsidP="00A54207">
            <w:pPr>
              <w:pStyle w:val="Box"/>
            </w:pPr>
            <w:r>
              <w:rPr>
                <w:rFonts w:cs="Arial"/>
                <w:szCs w:val="22"/>
              </w:rPr>
              <w:t>D</w:t>
            </w:r>
            <w:r w:rsidR="0093070A" w:rsidRPr="006D3128">
              <w:rPr>
                <w:rFonts w:cs="Arial"/>
                <w:szCs w:val="22"/>
              </w:rPr>
              <w:t xml:space="preserve">ata quality </w:t>
            </w:r>
            <w:r w:rsidRPr="006D3128">
              <w:rPr>
                <w:rFonts w:cs="Arial"/>
                <w:szCs w:val="22"/>
              </w:rPr>
              <w:t xml:space="preserve">Information </w:t>
            </w:r>
            <w:r w:rsidR="0093070A" w:rsidRPr="006D3128">
              <w:rPr>
                <w:rFonts w:cs="Arial"/>
                <w:szCs w:val="22"/>
              </w:rPr>
              <w:t xml:space="preserve">for </w:t>
            </w:r>
            <w:r>
              <w:rPr>
                <w:rFonts w:cs="Arial"/>
                <w:szCs w:val="22"/>
              </w:rPr>
              <w:t>this indicator</w:t>
            </w:r>
            <w:r w:rsidR="0093070A" w:rsidRPr="006D3128">
              <w:rPr>
                <w:rFonts w:cs="Arial"/>
                <w:szCs w:val="22"/>
              </w:rPr>
              <w:t xml:space="preserve"> is at </w:t>
            </w:r>
            <w:proofErr w:type="spellStart"/>
            <w:r w:rsidR="0093070A" w:rsidRPr="00A26107">
              <w:rPr>
                <w:rFonts w:cs="Arial"/>
                <w:szCs w:val="22"/>
              </w:rPr>
              <w:t>www.pc.gov.au</w:t>
            </w:r>
            <w:proofErr w:type="spellEnd"/>
            <w:r w:rsidR="0093070A" w:rsidRPr="00A26107">
              <w:rPr>
                <w:rFonts w:cs="Arial"/>
                <w:szCs w:val="22"/>
              </w:rPr>
              <w:t>/</w:t>
            </w:r>
            <w:proofErr w:type="spellStart"/>
            <w:r w:rsidR="0093070A" w:rsidRPr="00A26107">
              <w:rPr>
                <w:rFonts w:cs="Arial"/>
                <w:szCs w:val="22"/>
              </w:rPr>
              <w:t>gsp</w:t>
            </w:r>
            <w:proofErr w:type="spellEnd"/>
            <w:r w:rsidR="0093070A" w:rsidRPr="00A26107">
              <w:rPr>
                <w:rFonts w:cs="Arial"/>
                <w:szCs w:val="22"/>
              </w:rPr>
              <w:t>/reports/</w:t>
            </w:r>
            <w:proofErr w:type="spellStart"/>
            <w:r w:rsidR="0093070A" w:rsidRPr="00A26107">
              <w:rPr>
                <w:rFonts w:cs="Arial"/>
                <w:szCs w:val="22"/>
              </w:rPr>
              <w:t>rogs</w:t>
            </w:r>
            <w:proofErr w:type="spellEnd"/>
            <w:r w:rsidR="0093070A" w:rsidRPr="00A26107">
              <w:rPr>
                <w:rFonts w:cs="Arial"/>
                <w:szCs w:val="22"/>
              </w:rPr>
              <w:t>/201</w:t>
            </w:r>
            <w:r w:rsidR="007D73AF">
              <w:rPr>
                <w:rFonts w:cs="Arial"/>
                <w:szCs w:val="22"/>
              </w:rPr>
              <w:t>4</w:t>
            </w:r>
            <w:r w:rsidR="0093070A" w:rsidRPr="00A26107">
              <w:rPr>
                <w:rFonts w:cs="Arial"/>
                <w:szCs w:val="22"/>
              </w:rPr>
              <w:t>.</w:t>
            </w:r>
          </w:p>
        </w:tc>
      </w:tr>
      <w:tr w:rsidR="00AA1E24" w:rsidTr="00AA1E24">
        <w:trPr>
          <w:cantSplit/>
        </w:trPr>
        <w:tc>
          <w:tcPr>
            <w:tcW w:w="8771" w:type="dxa"/>
            <w:tcBorders>
              <w:top w:val="nil"/>
              <w:left w:val="single" w:sz="6" w:space="0" w:color="auto"/>
              <w:bottom w:val="single" w:sz="6" w:space="0" w:color="auto"/>
              <w:right w:val="single" w:sz="6" w:space="0" w:color="auto"/>
            </w:tcBorders>
          </w:tcPr>
          <w:p w:rsidR="00AA1E24" w:rsidRDefault="00AA1E24" w:rsidP="00AA1E24">
            <w:pPr>
              <w:pStyle w:val="Box"/>
              <w:spacing w:before="0" w:line="120" w:lineRule="exact"/>
            </w:pPr>
          </w:p>
        </w:tc>
      </w:tr>
      <w:tr w:rsidR="00AA1E24" w:rsidTr="00AA1E24">
        <w:tc>
          <w:tcPr>
            <w:tcW w:w="8771" w:type="dxa"/>
            <w:tcBorders>
              <w:top w:val="nil"/>
              <w:left w:val="nil"/>
              <w:bottom w:val="nil"/>
              <w:right w:val="nil"/>
            </w:tcBorders>
          </w:tcPr>
          <w:p w:rsidR="00AA1E24" w:rsidRDefault="00AA1E24" w:rsidP="00AA1E24">
            <w:pPr>
              <w:pStyle w:val="Box"/>
              <w:keepNext w:val="0"/>
              <w:spacing w:before="60" w:after="60" w:line="80" w:lineRule="exact"/>
              <w:rPr>
                <w:b/>
                <w:color w:val="FF00FF"/>
                <w:sz w:val="14"/>
              </w:rPr>
            </w:pPr>
          </w:p>
        </w:tc>
      </w:tr>
    </w:tbl>
    <w:p w:rsidR="002C0ED8" w:rsidRPr="003D789A" w:rsidRDefault="00AA1E24" w:rsidP="00E90284">
      <w:pPr>
        <w:pStyle w:val="BodyText"/>
        <w:rPr>
          <w:rStyle w:val="DraftingNote"/>
        </w:rPr>
      </w:pPr>
      <w:r w:rsidRPr="00E90284">
        <w:t>In 20</w:t>
      </w:r>
      <w:r w:rsidR="00E43B4C" w:rsidRPr="00E90284">
        <w:t>11</w:t>
      </w:r>
      <w:r w:rsidRPr="00E90284">
        <w:t>,</w:t>
      </w:r>
      <w:r w:rsidR="00582AF4" w:rsidRPr="00E90284">
        <w:t xml:space="preserve"> </w:t>
      </w:r>
      <w:r w:rsidR="00F033C5" w:rsidRPr="00E90284">
        <w:t>9</w:t>
      </w:r>
      <w:r w:rsidR="00E43B4C" w:rsidRPr="00E90284">
        <w:t>3</w:t>
      </w:r>
      <w:r w:rsidR="00F033C5" w:rsidRPr="00E90284">
        <w:t>.</w:t>
      </w:r>
      <w:r w:rsidR="00E43B4C" w:rsidRPr="00E90284">
        <w:t>7</w:t>
      </w:r>
      <w:r w:rsidRPr="00E90284">
        <w:t xml:space="preserve"> per cent of </w:t>
      </w:r>
      <w:proofErr w:type="spellStart"/>
      <w:r w:rsidRPr="00E90284">
        <w:t>liveborn</w:t>
      </w:r>
      <w:proofErr w:type="spellEnd"/>
      <w:r w:rsidRPr="00E90284">
        <w:t xml:space="preserve"> babies in Australia weighed 250</w:t>
      </w:r>
      <w:r w:rsidR="00937D37" w:rsidRPr="00E90284">
        <w:t xml:space="preserve">0 grams </w:t>
      </w:r>
      <w:r w:rsidR="00E43B4C" w:rsidRPr="00E90284">
        <w:t xml:space="preserve">or over </w:t>
      </w:r>
      <w:r w:rsidR="00937D37" w:rsidRPr="00E90284">
        <w:t>(</w:t>
      </w:r>
      <w:proofErr w:type="spellStart"/>
      <w:r w:rsidR="00012F41" w:rsidRPr="00E90284">
        <w:t>AIHW</w:t>
      </w:r>
      <w:proofErr w:type="spellEnd"/>
      <w:r w:rsidR="00012F41" w:rsidRPr="00E90284">
        <w:t xml:space="preserve"> and </w:t>
      </w:r>
      <w:r w:rsidR="00937D37" w:rsidRPr="00E90284">
        <w:t>Li et al. 201</w:t>
      </w:r>
      <w:r w:rsidR="00E43B4C" w:rsidRPr="00E90284">
        <w:t>3</w:t>
      </w:r>
      <w:r w:rsidRPr="00E90284">
        <w:t>). The average birth</w:t>
      </w:r>
      <w:r w:rsidR="009573E4" w:rsidRPr="00E90284">
        <w:t xml:space="preserve"> </w:t>
      </w:r>
      <w:r w:rsidRPr="00E90284">
        <w:t xml:space="preserve">weight for all live births was </w:t>
      </w:r>
      <w:r w:rsidR="00E43B4C" w:rsidRPr="00E90284">
        <w:t>3367</w:t>
      </w:r>
      <w:r w:rsidRPr="00E90284">
        <w:t> grams in 20</w:t>
      </w:r>
      <w:r w:rsidR="00105B26" w:rsidRPr="00E90284">
        <w:t>1</w:t>
      </w:r>
      <w:r w:rsidR="00E43B4C" w:rsidRPr="00E90284">
        <w:t>1</w:t>
      </w:r>
      <w:r w:rsidRPr="00E90284">
        <w:t xml:space="preserve"> (table </w:t>
      </w:r>
      <w:proofErr w:type="spellStart"/>
      <w:r w:rsidRPr="00E90284">
        <w:t>EA.</w:t>
      </w:r>
      <w:r w:rsidR="00464BAE" w:rsidRPr="00E90284">
        <w:t>8</w:t>
      </w:r>
      <w:proofErr w:type="spellEnd"/>
      <w:r w:rsidRPr="00E90284">
        <w:t>)</w:t>
      </w:r>
      <w:r w:rsidR="001A4466" w:rsidRPr="00E90284">
        <w:t xml:space="preserve">. In 2011, </w:t>
      </w:r>
      <w:r w:rsidR="00E43B4C" w:rsidRPr="00E90284">
        <w:t>6.3</w:t>
      </w:r>
      <w:r w:rsidR="001A4466" w:rsidRPr="00E90284">
        <w:t xml:space="preserve"> per cent of all </w:t>
      </w:r>
      <w:proofErr w:type="spellStart"/>
      <w:r w:rsidR="001A4466" w:rsidRPr="00E90284">
        <w:t>liveborn</w:t>
      </w:r>
      <w:proofErr w:type="spellEnd"/>
      <w:r w:rsidR="001A4466" w:rsidRPr="00E90284">
        <w:t xml:space="preserve"> babies in Australia weighed less than 2500 grams. This included 1.0 per cent of babies with a very low birth weight </w:t>
      </w:r>
      <w:r w:rsidR="00015F0F" w:rsidRPr="00E90284">
        <w:t xml:space="preserve">— </w:t>
      </w:r>
      <w:r w:rsidR="001A4466" w:rsidRPr="00E90284">
        <w:t>less than 1500 grams (table</w:t>
      </w:r>
      <w:r w:rsidR="001A4466" w:rsidRPr="008A4CDA">
        <w:t> </w:t>
      </w:r>
      <w:proofErr w:type="spellStart"/>
      <w:r w:rsidR="001A4466" w:rsidRPr="008A4CDA">
        <w:t>EA.</w:t>
      </w:r>
      <w:r w:rsidR="001A4466">
        <w:t>8</w:t>
      </w:r>
      <w:proofErr w:type="spellEnd"/>
      <w:r w:rsidR="001A4466" w:rsidRPr="008A4CDA">
        <w:t>).</w:t>
      </w:r>
    </w:p>
    <w:p w:rsidR="00A325D4" w:rsidRPr="00243CF9" w:rsidRDefault="00A325D4" w:rsidP="00A26107">
      <w:pPr>
        <w:pStyle w:val="BodyText"/>
      </w:pPr>
      <w:r w:rsidRPr="00766328">
        <w:t>Nationally, r</w:t>
      </w:r>
      <w:r w:rsidR="009E39A4" w:rsidRPr="00766328">
        <w:t>ates of low birth weight babies increase</w:t>
      </w:r>
      <w:r w:rsidR="00532773" w:rsidRPr="00766328">
        <w:t>d</w:t>
      </w:r>
      <w:r w:rsidR="009E39A4" w:rsidRPr="00766328">
        <w:t xml:space="preserve"> with remoteness, from </w:t>
      </w:r>
      <w:r w:rsidR="00350659" w:rsidRPr="00090886">
        <w:t>4.</w:t>
      </w:r>
      <w:r w:rsidR="00090886" w:rsidRPr="00090886">
        <w:t>6</w:t>
      </w:r>
      <w:r w:rsidR="00C11201" w:rsidRPr="00090886">
        <w:t> per </w:t>
      </w:r>
      <w:r w:rsidR="00532773" w:rsidRPr="00090886">
        <w:t>cent</w:t>
      </w:r>
      <w:r w:rsidR="009E39A4" w:rsidRPr="00090886">
        <w:t xml:space="preserve"> in major cities, rising to </w:t>
      </w:r>
      <w:r w:rsidR="00090886" w:rsidRPr="00090886">
        <w:t>5</w:t>
      </w:r>
      <w:r w:rsidR="00350659" w:rsidRPr="00090886">
        <w:t>.3</w:t>
      </w:r>
      <w:r w:rsidR="00532773" w:rsidRPr="00090886">
        <w:t xml:space="preserve"> per cent</w:t>
      </w:r>
      <w:r w:rsidR="009E39A4" w:rsidRPr="00090886">
        <w:t xml:space="preserve"> in outer regional areas, </w:t>
      </w:r>
      <w:r w:rsidR="00090886" w:rsidRPr="00090886">
        <w:t>and</w:t>
      </w:r>
      <w:r w:rsidR="009E39A4" w:rsidRPr="00090886">
        <w:t xml:space="preserve"> </w:t>
      </w:r>
      <w:r w:rsidR="00090886" w:rsidRPr="00090886">
        <w:t>9.3</w:t>
      </w:r>
      <w:r w:rsidR="00C11201" w:rsidRPr="00090886">
        <w:t> </w:t>
      </w:r>
      <w:r w:rsidR="00090886" w:rsidRPr="00090886">
        <w:t>per </w:t>
      </w:r>
      <w:r w:rsidR="00532773" w:rsidRPr="00090886">
        <w:t>cent</w:t>
      </w:r>
      <w:r w:rsidR="00350659" w:rsidRPr="00090886">
        <w:t xml:space="preserve"> in very remote areas </w:t>
      </w:r>
      <w:r w:rsidR="00090886" w:rsidRPr="00090886">
        <w:t>in 2011</w:t>
      </w:r>
      <w:r w:rsidRPr="00766328">
        <w:t xml:space="preserve"> </w:t>
      </w:r>
      <w:r w:rsidR="00350659" w:rsidRPr="00766328">
        <w:t>(table </w:t>
      </w:r>
      <w:proofErr w:type="spellStart"/>
      <w:r w:rsidR="00350659" w:rsidRPr="00766328">
        <w:t>EA.11</w:t>
      </w:r>
      <w:proofErr w:type="spellEnd"/>
      <w:r w:rsidR="009E39A4" w:rsidRPr="00766328">
        <w:t>)</w:t>
      </w:r>
      <w:r w:rsidR="00532773" w:rsidRPr="00766328">
        <w:t>.</w:t>
      </w:r>
    </w:p>
    <w:p w:rsidR="00AA1E24" w:rsidRPr="00A91EDC" w:rsidRDefault="00C11201" w:rsidP="00E90284">
      <w:pPr>
        <w:pStyle w:val="BodyText"/>
      </w:pPr>
      <w:r w:rsidRPr="00766328">
        <w:t>Nationally, t</w:t>
      </w:r>
      <w:r w:rsidR="00AA1E24" w:rsidRPr="00766328">
        <w:t xml:space="preserve">he </w:t>
      </w:r>
      <w:r w:rsidR="00AA1E24" w:rsidRPr="00E90284">
        <w:t>average birth</w:t>
      </w:r>
      <w:r w:rsidR="009573E4" w:rsidRPr="00E90284">
        <w:t xml:space="preserve"> </w:t>
      </w:r>
      <w:r w:rsidR="00AA1E24" w:rsidRPr="00E90284">
        <w:t xml:space="preserve">weight for </w:t>
      </w:r>
      <w:proofErr w:type="spellStart"/>
      <w:r w:rsidR="00AA1E24" w:rsidRPr="00E90284">
        <w:t>liveborn</w:t>
      </w:r>
      <w:proofErr w:type="spellEnd"/>
      <w:r w:rsidR="00AA1E24" w:rsidRPr="00E90284">
        <w:t xml:space="preserve"> babies of Indigenous mothers was</w:t>
      </w:r>
      <w:r w:rsidR="00582AF4" w:rsidRPr="00E90284">
        <w:t xml:space="preserve"> </w:t>
      </w:r>
      <w:r w:rsidR="006F654E" w:rsidRPr="00E90284">
        <w:t>3187</w:t>
      </w:r>
      <w:r w:rsidR="00350659" w:rsidRPr="00E90284">
        <w:t xml:space="preserve"> grams in </w:t>
      </w:r>
      <w:r w:rsidR="006F654E" w:rsidRPr="00E90284">
        <w:t>2011</w:t>
      </w:r>
      <w:r w:rsidR="00AA1E24" w:rsidRPr="00E90284">
        <w:t xml:space="preserve"> (table </w:t>
      </w:r>
      <w:proofErr w:type="spellStart"/>
      <w:r w:rsidR="00AA1E24" w:rsidRPr="00E90284">
        <w:t>EA.</w:t>
      </w:r>
      <w:r w:rsidR="003F5F53" w:rsidRPr="00E90284">
        <w:t>9</w:t>
      </w:r>
      <w:proofErr w:type="spellEnd"/>
      <w:r w:rsidR="00350659" w:rsidRPr="00E90284">
        <w:t xml:space="preserve">). </w:t>
      </w:r>
      <w:r w:rsidR="00AA1E24" w:rsidRPr="00E90284">
        <w:t>Among live</w:t>
      </w:r>
      <w:r w:rsidR="00275F70" w:rsidRPr="00E90284">
        <w:t>-born</w:t>
      </w:r>
      <w:r w:rsidR="00AA1E24" w:rsidRPr="00E90284">
        <w:t xml:space="preserve"> </w:t>
      </w:r>
      <w:r w:rsidR="00275F70" w:rsidRPr="00E90284">
        <w:t xml:space="preserve">singleton </w:t>
      </w:r>
      <w:r w:rsidR="00AA1E24" w:rsidRPr="00E90284">
        <w:t>babies born to Indigenous mothers in 20</w:t>
      </w:r>
      <w:r w:rsidR="009049DB" w:rsidRPr="00E90284">
        <w:t>1</w:t>
      </w:r>
      <w:r w:rsidR="00810A67" w:rsidRPr="00E90284">
        <w:t>1</w:t>
      </w:r>
      <w:r w:rsidR="00AA1E24" w:rsidRPr="00E90284">
        <w:t>, the proportion with low birth</w:t>
      </w:r>
      <w:r w:rsidR="009573E4" w:rsidRPr="00E90284">
        <w:t xml:space="preserve"> </w:t>
      </w:r>
      <w:r w:rsidR="00AA1E24" w:rsidRPr="00E90284">
        <w:t>weight was twice that of those born to non</w:t>
      </w:r>
      <w:r w:rsidR="00275F70" w:rsidRPr="00E90284">
        <w:noBreakHyphen/>
      </w:r>
      <w:r w:rsidR="00AA1E24" w:rsidRPr="00E90284">
        <w:t>Indigenous mothers (</w:t>
      </w:r>
      <w:r w:rsidR="00AA1E24" w:rsidRPr="00595C97">
        <w:t>figure </w:t>
      </w:r>
      <w:proofErr w:type="spellStart"/>
      <w:r w:rsidR="00F156AA">
        <w:t>E.4</w:t>
      </w:r>
      <w:proofErr w:type="spellEnd"/>
      <w:r w:rsidR="00D91529">
        <w:t>).</w:t>
      </w:r>
    </w:p>
    <w:p w:rsidR="00AA1E24" w:rsidRPr="00595C97" w:rsidRDefault="00AA1E24" w:rsidP="00766328">
      <w:pPr>
        <w:pStyle w:val="FigureTitle"/>
        <w:rPr>
          <w:bCs/>
        </w:rPr>
      </w:pPr>
      <w:r w:rsidRPr="00595C97">
        <w:rPr>
          <w:b w:val="0"/>
        </w:rPr>
        <w:lastRenderedPageBreak/>
        <w:t xml:space="preserve">Figure </w:t>
      </w:r>
      <w:bookmarkStart w:id="20" w:name="OLE_LINK14"/>
      <w:proofErr w:type="spellStart"/>
      <w:r w:rsidR="00F156AA">
        <w:rPr>
          <w:b w:val="0"/>
        </w:rPr>
        <w:t>E.</w:t>
      </w:r>
      <w:r w:rsidR="00C01FBD">
        <w:rPr>
          <w:b w:val="0"/>
          <w:noProof/>
        </w:rPr>
        <w:t>4</w:t>
      </w:r>
      <w:bookmarkEnd w:id="20"/>
      <w:proofErr w:type="spellEnd"/>
      <w:r w:rsidRPr="00595C97">
        <w:tab/>
      </w:r>
      <w:r w:rsidRPr="00595C97">
        <w:rPr>
          <w:bCs/>
        </w:rPr>
        <w:t xml:space="preserve">Proportion of live-born singleton babies of low </w:t>
      </w:r>
      <w:proofErr w:type="spellStart"/>
      <w:r w:rsidRPr="00595C97">
        <w:rPr>
          <w:bCs/>
        </w:rPr>
        <w:t>birthweight</w:t>
      </w:r>
      <w:proofErr w:type="spellEnd"/>
      <w:r w:rsidRPr="00595C97">
        <w:rPr>
          <w:bCs/>
        </w:rPr>
        <w:t>, by maternal Indigenous status</w:t>
      </w:r>
      <w:r w:rsidRPr="00810A67">
        <w:rPr>
          <w:bCs/>
        </w:rPr>
        <w:t xml:space="preserve">, </w:t>
      </w:r>
      <w:r w:rsidR="00810A67" w:rsidRPr="00810A67">
        <w:rPr>
          <w:bCs/>
        </w:rPr>
        <w:t>2011</w:t>
      </w:r>
      <w:r w:rsidR="00EF67B9" w:rsidRPr="00810A67">
        <w:rPr>
          <w:rStyle w:val="NoteLabel"/>
          <w:b/>
        </w:rPr>
        <w:t>a</w:t>
      </w:r>
      <w:r w:rsidRPr="00810A67">
        <w:rPr>
          <w:rStyle w:val="NoteLabel"/>
          <w:b/>
        </w:rPr>
        <w:t>,</w:t>
      </w:r>
      <w:r w:rsidRPr="00595C97">
        <w:t> </w:t>
      </w:r>
      <w:r w:rsidRPr="00595C97">
        <w:rPr>
          <w:rStyle w:val="NoteLabel"/>
          <w:b/>
        </w:rPr>
        <w:t>b,</w:t>
      </w:r>
      <w:r w:rsidRPr="00595C97">
        <w:t> </w:t>
      </w:r>
      <w:r w:rsidRPr="00595C97">
        <w:rPr>
          <w:rStyle w:val="NoteLabel"/>
          <w:b/>
        </w:rPr>
        <w:t>c,</w:t>
      </w:r>
      <w:r w:rsidRPr="00595C97">
        <w:t> </w:t>
      </w:r>
      <w:r w:rsidRPr="00595C97">
        <w:rPr>
          <w:rStyle w:val="NoteLabel"/>
          <w:b/>
        </w:rPr>
        <w:t>d</w:t>
      </w:r>
      <w:r w:rsidR="002F6F98">
        <w:rPr>
          <w:rStyle w:val="NoteLabel"/>
          <w:b/>
        </w:rPr>
        <w:t>,</w:t>
      </w:r>
      <w:r>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A1E24" w:rsidRPr="00595C97" w:rsidTr="005921C2">
        <w:tc>
          <w:tcPr>
            <w:tcW w:w="8777" w:type="dxa"/>
          </w:tcPr>
          <w:p w:rsidR="00927809" w:rsidRPr="00D3336B" w:rsidRDefault="0091658B" w:rsidP="00A26107">
            <w:pPr>
              <w:pStyle w:val="Figure"/>
              <w:pBdr>
                <w:right w:val="single" w:sz="12" w:space="4" w:color="auto"/>
              </w:pBdr>
            </w:pPr>
            <w:r>
              <w:rPr>
                <w:noProof/>
              </w:rPr>
              <w:drawing>
                <wp:inline distT="0" distB="0" distL="0" distR="0" wp14:anchorId="6466B421" wp14:editId="5319305A">
                  <wp:extent cx="5529580" cy="2797175"/>
                  <wp:effectExtent l="0" t="0" r="0" b="3175"/>
                  <wp:docPr id="12" name="Picture 12" descr="Figure E.4 Proportion of live-born singleton babies of low birthweight, by maternal Indigenous status,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9580" cy="2797175"/>
                          </a:xfrm>
                          <a:prstGeom prst="rect">
                            <a:avLst/>
                          </a:prstGeom>
                          <a:noFill/>
                          <a:ln>
                            <a:noFill/>
                          </a:ln>
                        </pic:spPr>
                      </pic:pic>
                    </a:graphicData>
                  </a:graphic>
                </wp:inline>
              </w:drawing>
            </w:r>
          </w:p>
        </w:tc>
      </w:tr>
    </w:tbl>
    <w:p w:rsidR="00AA1E24" w:rsidRPr="00131523" w:rsidRDefault="00AA1E24" w:rsidP="00766328">
      <w:pPr>
        <w:pStyle w:val="Note"/>
      </w:pPr>
      <w:r w:rsidRPr="00595C97">
        <w:rPr>
          <w:rStyle w:val="NoteLabel"/>
        </w:rPr>
        <w:t>a</w:t>
      </w:r>
      <w:r w:rsidRPr="00595C97">
        <w:sym w:font="Symbol" w:char="F020"/>
      </w:r>
      <w:r w:rsidRPr="00595C97">
        <w:t>Low birth</w:t>
      </w:r>
      <w:r w:rsidR="005A1BDF">
        <w:t xml:space="preserve"> </w:t>
      </w:r>
      <w:r w:rsidRPr="00595C97">
        <w:t xml:space="preserve">weight is defined as less than 2500 grams. </w:t>
      </w:r>
      <w:r w:rsidRPr="00595C97">
        <w:rPr>
          <w:rStyle w:val="NoteLabel"/>
        </w:rPr>
        <w:t>b</w:t>
      </w:r>
      <w:r w:rsidRPr="00595C97">
        <w:sym w:font="Symbol" w:char="F020"/>
      </w:r>
      <w:r w:rsidRPr="00595C97">
        <w:t xml:space="preserve">Disaggregation by State/Territory is by place of usual residence of the mother. </w:t>
      </w:r>
      <w:r w:rsidRPr="00595C97">
        <w:rPr>
          <w:rStyle w:val="NoteLabel"/>
        </w:rPr>
        <w:t>c</w:t>
      </w:r>
      <w:r w:rsidRPr="00595C97">
        <w:sym w:font="Symbol" w:char="F020"/>
      </w:r>
      <w:r w:rsidRPr="00595C97">
        <w:t xml:space="preserve">Data excludes Australian non-residents, residents of external territories and where State/Territory of residence was not stated. </w:t>
      </w:r>
      <w:r w:rsidRPr="00595C97">
        <w:rPr>
          <w:rStyle w:val="NoteLabel"/>
        </w:rPr>
        <w:t>d</w:t>
      </w:r>
      <w:r w:rsidRPr="00595C97">
        <w:sym w:font="Symbol" w:char="F020"/>
      </w:r>
      <w:r w:rsidRPr="00595C97">
        <w:t>Excludes stillbirths and multiple births. Births were included if they were at least 20 weeks gestation or at least 400 grams birth</w:t>
      </w:r>
      <w:r w:rsidR="005A1BDF">
        <w:t xml:space="preserve"> </w:t>
      </w:r>
      <w:r w:rsidRPr="00595C97">
        <w:t>weight.</w:t>
      </w:r>
      <w:r w:rsidRPr="00131523">
        <w:rPr>
          <w:rStyle w:val="NoteLabel"/>
        </w:rPr>
        <w:t xml:space="preserve"> </w:t>
      </w:r>
      <w:r>
        <w:rPr>
          <w:rStyle w:val="NoteLabel"/>
        </w:rPr>
        <w:t>e</w:t>
      </w:r>
      <w:r>
        <w:t> </w:t>
      </w:r>
      <w:r w:rsidRPr="00131523">
        <w:t>Birth</w:t>
      </w:r>
      <w:r w:rsidR="005A1BDF">
        <w:t xml:space="preserve"> </w:t>
      </w:r>
      <w:r w:rsidRPr="00131523">
        <w:t>weight data on babies born to Indigenous mothers residing in the ACT and Tasmania should be viewed with caution as they are based on small numbers of births.</w:t>
      </w:r>
    </w:p>
    <w:p w:rsidR="00AA1E24" w:rsidRDefault="00AA1E24" w:rsidP="00766328">
      <w:pPr>
        <w:pStyle w:val="Source"/>
      </w:pPr>
      <w:r w:rsidRPr="00595C97">
        <w:rPr>
          <w:i/>
        </w:rPr>
        <w:t>Source</w:t>
      </w:r>
      <w:r w:rsidRPr="00595C97">
        <w:t xml:space="preserve">: </w:t>
      </w:r>
      <w:proofErr w:type="spellStart"/>
      <w:r w:rsidRPr="00595C97">
        <w:t>AIHW</w:t>
      </w:r>
      <w:proofErr w:type="spellEnd"/>
      <w:r w:rsidRPr="00595C97">
        <w:t> (unpublished) National Perinatal Data Collection; table </w:t>
      </w:r>
      <w:proofErr w:type="spellStart"/>
      <w:r w:rsidRPr="00595C97">
        <w:t>EA.</w:t>
      </w:r>
      <w:r w:rsidR="00464BAE">
        <w:t>10</w:t>
      </w:r>
      <w:proofErr w:type="spellEnd"/>
      <w:r w:rsidRPr="00595C97">
        <w:t>.</w:t>
      </w:r>
    </w:p>
    <w:p w:rsidR="009A4A80" w:rsidRPr="00757824" w:rsidRDefault="0031630C" w:rsidP="009C386F">
      <w:pPr>
        <w:pStyle w:val="Heading4"/>
      </w:pPr>
      <w:r w:rsidRPr="00757824">
        <w:t xml:space="preserve">Prevalence of risk factors to the health of </w:t>
      </w:r>
      <w:r w:rsidR="00DD3D49" w:rsidRPr="00757824">
        <w:t>Australian</w:t>
      </w:r>
      <w:r w:rsidR="00914861" w:rsidRPr="00757824">
        <w:t>s</w:t>
      </w:r>
    </w:p>
    <w:p w:rsidR="003D3061" w:rsidRDefault="003D3061" w:rsidP="003D3061">
      <w:pPr>
        <w:pStyle w:val="BodyText"/>
      </w:pPr>
      <w:r>
        <w:t>‘</w:t>
      </w:r>
      <w:r w:rsidR="00393B6A">
        <w:t>Prevalence of risk factors to the health of Australians</w:t>
      </w:r>
      <w:r>
        <w:t xml:space="preserve">’ is an indicator of governments’ objective </w:t>
      </w:r>
      <w:r w:rsidR="009B7D28">
        <w:t xml:space="preserve">that </w:t>
      </w:r>
      <w:r w:rsidR="00FA00A8">
        <w:t xml:space="preserve">Australians </w:t>
      </w:r>
      <w:r w:rsidR="009B7D28">
        <w:t>are born and remain healthy</w:t>
      </w:r>
      <w:r>
        <w:t xml:space="preserve"> (box</w:t>
      </w:r>
      <w:r w:rsidR="00017265">
        <w:t> </w:t>
      </w:r>
      <w:proofErr w:type="spellStart"/>
      <w:r w:rsidR="00F156AA">
        <w:t>E.</w:t>
      </w:r>
      <w:r w:rsidR="00CD56E9">
        <w:t>3</w:t>
      </w:r>
      <w:proofErr w:type="spellEnd"/>
      <w:r>
        <w:t xml:space="preserve">). </w:t>
      </w:r>
    </w:p>
    <w:p w:rsidR="000D2D16" w:rsidRDefault="003D3061" w:rsidP="003D3061">
      <w:pPr>
        <w:pStyle w:val="BodyText"/>
      </w:pPr>
      <w:r>
        <w:t>A</w:t>
      </w:r>
      <w:r w:rsidRPr="00756D3E">
        <w:t xml:space="preserve"> number of behaviours </w:t>
      </w:r>
      <w:r>
        <w:t>create risks to health outcomes;</w:t>
      </w:r>
      <w:r w:rsidRPr="00756D3E">
        <w:t xml:space="preserve"> for example, </w:t>
      </w:r>
      <w:r w:rsidR="00E60CA8">
        <w:t xml:space="preserve">lack of </w:t>
      </w:r>
      <w:r w:rsidRPr="00756D3E">
        <w:t xml:space="preserve">exercise, smoking, </w:t>
      </w:r>
      <w:r w:rsidR="00E60CA8">
        <w:t xml:space="preserve">excessive </w:t>
      </w:r>
      <w:r w:rsidRPr="00756D3E">
        <w:t>alcohol consumption</w:t>
      </w:r>
      <w:r>
        <w:t>, sun e</w:t>
      </w:r>
      <w:r w:rsidRPr="00501274">
        <w:t>xposure</w:t>
      </w:r>
      <w:r w:rsidR="00E60CA8">
        <w:t xml:space="preserve"> and unhealthy </w:t>
      </w:r>
      <w:r w:rsidR="00E60CA8" w:rsidRPr="00756D3E">
        <w:t>dietary habits</w:t>
      </w:r>
      <w:r w:rsidRPr="00501274">
        <w:t xml:space="preserve">. </w:t>
      </w:r>
      <w:r w:rsidRPr="00756D3E">
        <w:t xml:space="preserve">Health services are concerned with promoting, restoring and maintaining a healthy society. An important part of this activity is reducing </w:t>
      </w:r>
      <w:r w:rsidRPr="00FF2895">
        <w:t>health risk factors through activities that raise awareness of health issues to reduce the risk and onset of illness and injury.</w:t>
      </w:r>
      <w:r w:rsidRPr="00501274">
        <w:t xml:space="preserve"> </w:t>
      </w:r>
    </w:p>
    <w:p w:rsidR="00E25A67" w:rsidRDefault="00E25A6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25A67">
        <w:tc>
          <w:tcPr>
            <w:tcW w:w="8771" w:type="dxa"/>
            <w:tcBorders>
              <w:top w:val="single" w:sz="6" w:space="0" w:color="auto"/>
              <w:bottom w:val="nil"/>
            </w:tcBorders>
          </w:tcPr>
          <w:p w:rsidR="00E25A67" w:rsidRDefault="00E25A67">
            <w:pPr>
              <w:pStyle w:val="BoxTitle"/>
            </w:pPr>
            <w:r>
              <w:rPr>
                <w:b w:val="0"/>
              </w:rPr>
              <w:t xml:space="preserve">Box </w:t>
            </w:r>
            <w:proofErr w:type="spellStart"/>
            <w:r w:rsidR="00F156AA">
              <w:rPr>
                <w:b w:val="0"/>
              </w:rPr>
              <w:t>E.</w:t>
            </w:r>
            <w:r w:rsidR="00C01FBD">
              <w:rPr>
                <w:b w:val="0"/>
                <w:noProof/>
              </w:rPr>
              <w:t>3</w:t>
            </w:r>
            <w:proofErr w:type="spellEnd"/>
            <w:r>
              <w:tab/>
            </w:r>
            <w:r w:rsidRPr="00E25A67">
              <w:t>Prevalence of risk factors to the health of Australians</w:t>
            </w:r>
          </w:p>
        </w:tc>
      </w:tr>
      <w:tr w:rsidR="00E25A67">
        <w:trPr>
          <w:cantSplit/>
        </w:trPr>
        <w:tc>
          <w:tcPr>
            <w:tcW w:w="8771" w:type="dxa"/>
            <w:tcBorders>
              <w:top w:val="nil"/>
              <w:left w:val="single" w:sz="6" w:space="0" w:color="auto"/>
              <w:bottom w:val="nil"/>
              <w:right w:val="single" w:sz="6" w:space="0" w:color="auto"/>
            </w:tcBorders>
          </w:tcPr>
          <w:p w:rsidR="00E25A67" w:rsidRDefault="00E25A67" w:rsidP="00E25A67">
            <w:pPr>
              <w:pStyle w:val="Box"/>
            </w:pPr>
            <w:r>
              <w:t>‘</w:t>
            </w:r>
            <w:r w:rsidRPr="00E64459">
              <w:t>Prevalence of risk factors to the health of Australians</w:t>
            </w:r>
            <w:r>
              <w:t>’ is defined by the following measures:</w:t>
            </w:r>
          </w:p>
          <w:p w:rsidR="00E25A67" w:rsidRDefault="00E25A67" w:rsidP="00E25A67">
            <w:pPr>
              <w:pStyle w:val="BoxListBullet"/>
            </w:pPr>
            <w:r w:rsidRPr="005431FE">
              <w:t>Prevalence of overweight and obesity</w:t>
            </w:r>
            <w:r>
              <w:t xml:space="preserve"> — the number of people with a Body Mass Index (BMI) in the categories of either overweight or obese, as a percentage of the population. </w:t>
            </w:r>
            <w:r w:rsidRPr="00756D3E">
              <w:t xml:space="preserve">BMI is calculated as weight (kg) divided by the square of height (m). BMI values are grouped according to World Health Organization and National Health and Medical Research Council guidelines. </w:t>
            </w:r>
          </w:p>
          <w:p w:rsidR="00E25A67" w:rsidRPr="006F007C" w:rsidRDefault="00E25A67" w:rsidP="00E25A67">
            <w:pPr>
              <w:pStyle w:val="BoxListBullet"/>
              <w:numPr>
                <w:ilvl w:val="0"/>
                <w:numId w:val="0"/>
              </w:numPr>
              <w:ind w:left="284"/>
            </w:pPr>
            <w:r w:rsidRPr="00756D3E">
              <w:t xml:space="preserve">Among adults, a BMI of 25 to less than 30 is considered overweight and a BMI of 30 and over is considered to </w:t>
            </w:r>
            <w:r w:rsidRPr="006F007C">
              <w:t xml:space="preserve">be obese (WHO 2000; </w:t>
            </w:r>
            <w:proofErr w:type="spellStart"/>
            <w:r w:rsidRPr="006F007C">
              <w:t>NHMRC</w:t>
            </w:r>
            <w:proofErr w:type="spellEnd"/>
            <w:r w:rsidRPr="006F007C">
              <w:t> 20</w:t>
            </w:r>
            <w:r w:rsidR="006E6966">
              <w:t>1</w:t>
            </w:r>
            <w:r w:rsidRPr="006F007C">
              <w:t xml:space="preserve">3). </w:t>
            </w:r>
          </w:p>
          <w:p w:rsidR="00E25A67" w:rsidRDefault="00E25A67" w:rsidP="00E25A67">
            <w:pPr>
              <w:pStyle w:val="BoxListBullet"/>
              <w:numPr>
                <w:ilvl w:val="0"/>
                <w:numId w:val="0"/>
              </w:numPr>
              <w:ind w:left="284"/>
            </w:pPr>
            <w:r w:rsidRPr="00083E29">
              <w:t xml:space="preserve">Children are defined as </w:t>
            </w:r>
            <w:r>
              <w:t>people</w:t>
            </w:r>
            <w:r w:rsidRPr="00083E29">
              <w:t xml:space="preserve"> aged 5–17 years. For children, obesity is defined as BMI (appropriate for age and sex) that is likely to be 30 or more at age 18 years</w:t>
            </w:r>
            <w:r>
              <w:t xml:space="preserve">. </w:t>
            </w:r>
          </w:p>
          <w:p w:rsidR="00E25A67" w:rsidRDefault="00E25A67" w:rsidP="00E25A67">
            <w:pPr>
              <w:pStyle w:val="BoxListBullet"/>
            </w:pPr>
            <w:r w:rsidRPr="00C25CB8">
              <w:t>Rates of current daily smokers</w:t>
            </w:r>
            <w:r>
              <w:t xml:space="preserve"> — number of people</w:t>
            </w:r>
            <w:r w:rsidRPr="00A81B70">
              <w:t xml:space="preserve"> aged 18 years or over who smoke tobacco every day</w:t>
            </w:r>
            <w:r>
              <w:t xml:space="preserve"> as a percentage of the population</w:t>
            </w:r>
            <w:r w:rsidRPr="00A81B70">
              <w:t xml:space="preserve"> aged 18 years or over</w:t>
            </w:r>
            <w:r>
              <w:t xml:space="preserve">. </w:t>
            </w:r>
          </w:p>
          <w:p w:rsidR="00E25A67" w:rsidRDefault="00E25A67" w:rsidP="00E25A67">
            <w:pPr>
              <w:pStyle w:val="BoxListBullet"/>
            </w:pPr>
            <w:r w:rsidRPr="00A91EDC">
              <w:t>Risk of alcohol related harm over a lifetime — people</w:t>
            </w:r>
            <w:r>
              <w:t xml:space="preserve"> aged 18 years or over assessed as having an alcohol consumption pattern that puts them at risk of long</w:t>
            </w:r>
            <w:r>
              <w:noBreakHyphen/>
              <w:t>term alcohol related harm, as a percentage of the population</w:t>
            </w:r>
            <w:r w:rsidRPr="00A81B70">
              <w:t xml:space="preserve"> aged 18 years or </w:t>
            </w:r>
            <w:r w:rsidRPr="00E24004">
              <w:t xml:space="preserve">over. </w:t>
            </w:r>
          </w:p>
          <w:p w:rsidR="00E25A67" w:rsidRPr="00E24004" w:rsidRDefault="00E25A67" w:rsidP="00E25A67">
            <w:pPr>
              <w:pStyle w:val="BoxListBullet"/>
              <w:numPr>
                <w:ilvl w:val="0"/>
                <w:numId w:val="0"/>
              </w:numPr>
              <w:ind w:left="284"/>
            </w:pPr>
            <w:r w:rsidRPr="004E0167">
              <w:t xml:space="preserve">‘Lifetime risk of alcohol related harm’ is defined according to the 2009 National Health and Medical Research Council guidelines: for males and females, no more than two standard drinks on any day. This has been </w:t>
            </w:r>
            <w:proofErr w:type="spellStart"/>
            <w:r w:rsidRPr="004E0167">
              <w:t>operationalised</w:t>
            </w:r>
            <w:proofErr w:type="spellEnd"/>
            <w:r w:rsidRPr="004E0167">
              <w:t xml:space="preserve"> as: for both males and females, an average of more than 2 standard drinks per day in the last week.</w:t>
            </w:r>
          </w:p>
          <w:p w:rsidR="00E25A67" w:rsidRPr="00756D3E" w:rsidRDefault="00E25A67" w:rsidP="00E25A67">
            <w:pPr>
              <w:pStyle w:val="Box"/>
            </w:pPr>
            <w:r>
              <w:t>Rates for all three measures are age standardised.</w:t>
            </w:r>
          </w:p>
          <w:p w:rsidR="00E25A67" w:rsidRDefault="00E25A67" w:rsidP="00E25A67">
            <w:pPr>
              <w:pStyle w:val="Box"/>
            </w:pPr>
            <w:r>
              <w:t>A low or decreasing rate is desirable for each health risk factor.</w:t>
            </w:r>
          </w:p>
          <w:p w:rsidR="00CD56E9" w:rsidRDefault="00CD56E9" w:rsidP="00CD56E9">
            <w:pPr>
              <w:pStyle w:val="Box"/>
            </w:pPr>
            <w:r>
              <w:t>Data reported for this indicator are:</w:t>
            </w:r>
          </w:p>
          <w:p w:rsidR="00CD56E9" w:rsidRDefault="00CD56E9" w:rsidP="00CD56E9">
            <w:pPr>
              <w:pStyle w:val="BoxListBullet"/>
            </w:pPr>
            <w:r w:rsidRPr="00A1733D">
              <w:t>comparable (subject to caveats) acr</w:t>
            </w:r>
            <w:r>
              <w:t>oss jurisdictions and over time</w:t>
            </w:r>
          </w:p>
          <w:p w:rsidR="00CD56E9" w:rsidRDefault="00CD56E9" w:rsidP="00CD56E9">
            <w:pPr>
              <w:pStyle w:val="BoxListBullet"/>
            </w:pPr>
            <w:r w:rsidRPr="00A1733D">
              <w:t xml:space="preserve">complete (subject to caveats) for the current reporting period. All required </w:t>
            </w:r>
            <w:r>
              <w:br/>
              <w:t>2011</w:t>
            </w:r>
            <w:r>
              <w:rPr>
                <w:rFonts w:cs="Arial"/>
              </w:rPr>
              <w:t>–</w:t>
            </w:r>
            <w:r>
              <w:t>2013</w:t>
            </w:r>
            <w:r w:rsidRPr="00A1733D">
              <w:t xml:space="preserve"> data are available for all jurisdictions</w:t>
            </w:r>
            <w:r>
              <w:t xml:space="preserve">. </w:t>
            </w:r>
          </w:p>
          <w:p w:rsidR="00E25A67" w:rsidRDefault="00E17F56" w:rsidP="00CD56E9">
            <w:pPr>
              <w:pStyle w:val="Box"/>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proofErr w:type="spellStart"/>
            <w:r w:rsidRPr="00A26107">
              <w:rPr>
                <w:rFonts w:cs="Arial"/>
                <w:szCs w:val="22"/>
              </w:rPr>
              <w:t>www.pc.gov.au</w:t>
            </w:r>
            <w:proofErr w:type="spellEnd"/>
            <w:r w:rsidRPr="00A26107">
              <w:rPr>
                <w:rFonts w:cs="Arial"/>
                <w:szCs w:val="22"/>
              </w:rPr>
              <w:t>/</w:t>
            </w:r>
            <w:proofErr w:type="spellStart"/>
            <w:r w:rsidRPr="00A26107">
              <w:rPr>
                <w:rFonts w:cs="Arial"/>
                <w:szCs w:val="22"/>
              </w:rPr>
              <w:t>gsp</w:t>
            </w:r>
            <w:proofErr w:type="spellEnd"/>
            <w:r w:rsidRPr="00A26107">
              <w:rPr>
                <w:rFonts w:cs="Arial"/>
                <w:szCs w:val="22"/>
              </w:rPr>
              <w:t>/reports/</w:t>
            </w:r>
            <w:proofErr w:type="spellStart"/>
            <w:r w:rsidRPr="00A26107">
              <w:rPr>
                <w:rFonts w:cs="Arial"/>
                <w:szCs w:val="22"/>
              </w:rPr>
              <w:t>rogs</w:t>
            </w:r>
            <w:proofErr w:type="spellEnd"/>
            <w:r w:rsidRPr="00A26107">
              <w:rPr>
                <w:rFonts w:cs="Arial"/>
                <w:szCs w:val="22"/>
              </w:rPr>
              <w:t>/201</w:t>
            </w:r>
            <w:r>
              <w:rPr>
                <w:rFonts w:cs="Arial"/>
                <w:szCs w:val="22"/>
              </w:rPr>
              <w:t>4</w:t>
            </w:r>
            <w:r w:rsidR="00CD56E9" w:rsidRPr="00A26107">
              <w:rPr>
                <w:rFonts w:cs="Arial"/>
                <w:szCs w:val="22"/>
              </w:rPr>
              <w:t>.</w:t>
            </w:r>
          </w:p>
        </w:tc>
      </w:tr>
      <w:tr w:rsidR="00E25A67">
        <w:trPr>
          <w:cantSplit/>
        </w:trPr>
        <w:tc>
          <w:tcPr>
            <w:tcW w:w="8771" w:type="dxa"/>
            <w:tcBorders>
              <w:top w:val="nil"/>
              <w:left w:val="single" w:sz="6" w:space="0" w:color="auto"/>
              <w:bottom w:val="single" w:sz="6" w:space="0" w:color="auto"/>
              <w:right w:val="single" w:sz="6" w:space="0" w:color="auto"/>
            </w:tcBorders>
          </w:tcPr>
          <w:p w:rsidR="00E25A67" w:rsidRDefault="00E25A67">
            <w:pPr>
              <w:pStyle w:val="Box"/>
              <w:spacing w:before="0" w:line="120" w:lineRule="exact"/>
            </w:pPr>
          </w:p>
        </w:tc>
      </w:tr>
      <w:tr w:rsidR="00E25A67" w:rsidRPr="000863A5">
        <w:tc>
          <w:tcPr>
            <w:tcW w:w="8771" w:type="dxa"/>
            <w:tcBorders>
              <w:top w:val="nil"/>
              <w:left w:val="nil"/>
              <w:bottom w:val="nil"/>
              <w:right w:val="nil"/>
            </w:tcBorders>
          </w:tcPr>
          <w:p w:rsidR="00E25A67" w:rsidRPr="000863A5" w:rsidRDefault="00E25A67" w:rsidP="003B2B84">
            <w:pPr>
              <w:pStyle w:val="Box"/>
              <w:keepNext w:val="0"/>
              <w:spacing w:before="60" w:after="60" w:line="80" w:lineRule="exact"/>
              <w:rPr>
                <w:b/>
                <w:sz w:val="14"/>
              </w:rPr>
            </w:pPr>
          </w:p>
        </w:tc>
      </w:tr>
    </w:tbl>
    <w:p w:rsidR="00F81A45" w:rsidRPr="00757824" w:rsidRDefault="004E0167" w:rsidP="00A26107">
      <w:pPr>
        <w:pStyle w:val="Heading5"/>
      </w:pPr>
      <w:r w:rsidRPr="00757824">
        <w:t xml:space="preserve">Prevalence of overweight and obesity </w:t>
      </w:r>
    </w:p>
    <w:p w:rsidR="00FE33B6" w:rsidRPr="00912B15" w:rsidRDefault="00F81A45" w:rsidP="00E37EE7">
      <w:pPr>
        <w:pStyle w:val="BodyText"/>
        <w:rPr>
          <w:rStyle w:val="DraftingNote"/>
        </w:rPr>
      </w:pPr>
      <w:r w:rsidRPr="00756D3E">
        <w:t xml:space="preserve">Being overweight or obese increases the risk of an individual developing, among other things, heart disease, stroke and Type 2 </w:t>
      </w:r>
      <w:r w:rsidRPr="00C956A8">
        <w:t>diabetes. In 20</w:t>
      </w:r>
      <w:r w:rsidR="00BB2111" w:rsidRPr="00C956A8">
        <w:t>11</w:t>
      </w:r>
      <w:r w:rsidRPr="00C956A8">
        <w:t>-</w:t>
      </w:r>
      <w:r w:rsidR="00BB2111" w:rsidRPr="00C956A8">
        <w:t>12</w:t>
      </w:r>
      <w:r w:rsidRPr="00C956A8">
        <w:t>, over a third of Australians’ measured BMI was in the overweight</w:t>
      </w:r>
      <w:r w:rsidRPr="00766328">
        <w:rPr>
          <w:shd w:val="clear" w:color="auto" w:fill="FFFFFF" w:themeFill="background1"/>
        </w:rPr>
        <w:t xml:space="preserve"> range and </w:t>
      </w:r>
      <w:r w:rsidR="0027682D" w:rsidRPr="00766328">
        <w:rPr>
          <w:shd w:val="clear" w:color="auto" w:fill="FFFFFF" w:themeFill="background1"/>
        </w:rPr>
        <w:t>over</w:t>
      </w:r>
      <w:r w:rsidRPr="00766328">
        <w:rPr>
          <w:shd w:val="clear" w:color="auto" w:fill="FFFFFF" w:themeFill="background1"/>
        </w:rPr>
        <w:t xml:space="preserve"> a quarter were obese </w:t>
      </w:r>
      <w:r w:rsidR="00EA4A4B">
        <w:rPr>
          <w:shd w:val="clear" w:color="auto" w:fill="FFFFFF" w:themeFill="background1"/>
        </w:rPr>
        <w:t xml:space="preserve">(figure </w:t>
      </w:r>
      <w:proofErr w:type="spellStart"/>
      <w:r w:rsidR="00EA4A4B">
        <w:rPr>
          <w:shd w:val="clear" w:color="auto" w:fill="FFFFFF" w:themeFill="background1"/>
        </w:rPr>
        <w:t>E.</w:t>
      </w:r>
      <w:r w:rsidR="00E563E8">
        <w:rPr>
          <w:shd w:val="clear" w:color="auto" w:fill="FFFFFF" w:themeFill="background1"/>
        </w:rPr>
        <w:t>5</w:t>
      </w:r>
      <w:proofErr w:type="spellEnd"/>
      <w:r w:rsidR="00EA4A4B">
        <w:rPr>
          <w:shd w:val="clear" w:color="auto" w:fill="FFFFFF" w:themeFill="background1"/>
        </w:rPr>
        <w:t xml:space="preserve">; </w:t>
      </w:r>
      <w:r w:rsidR="0027682D" w:rsidRPr="00766328">
        <w:rPr>
          <w:shd w:val="clear" w:color="auto" w:fill="FFFFFF" w:themeFill="background1"/>
        </w:rPr>
        <w:t>table</w:t>
      </w:r>
      <w:r w:rsidRPr="00766328">
        <w:rPr>
          <w:shd w:val="clear" w:color="auto" w:fill="FFFFFF" w:themeFill="background1"/>
        </w:rPr>
        <w:t> </w:t>
      </w:r>
      <w:proofErr w:type="spellStart"/>
      <w:r w:rsidR="0027682D" w:rsidRPr="00766328">
        <w:rPr>
          <w:shd w:val="clear" w:color="auto" w:fill="FFFFFF" w:themeFill="background1"/>
        </w:rPr>
        <w:t>EA.12</w:t>
      </w:r>
      <w:proofErr w:type="spellEnd"/>
      <w:r w:rsidR="00E960D9">
        <w:rPr>
          <w:shd w:val="clear" w:color="auto" w:fill="FFFFFF" w:themeFill="background1"/>
        </w:rPr>
        <w:t>).</w:t>
      </w:r>
    </w:p>
    <w:p w:rsidR="00E37EE7" w:rsidRPr="00E37EE7" w:rsidRDefault="00E37EE7" w:rsidP="00E37EE7">
      <w:pPr>
        <w:pStyle w:val="BodyText"/>
      </w:pPr>
      <w:r w:rsidRPr="00766328">
        <w:t xml:space="preserve">The percentage of adults who were overweight or obese tended to be higher in </w:t>
      </w:r>
      <w:r w:rsidRPr="00766328">
        <w:rPr>
          <w:shd w:val="clear" w:color="auto" w:fill="FFFFFF" w:themeFill="background1"/>
        </w:rPr>
        <w:t>remote (</w:t>
      </w:r>
      <w:r>
        <w:rPr>
          <w:shd w:val="clear" w:color="auto" w:fill="FFFFFF" w:themeFill="background1"/>
        </w:rPr>
        <w:t>70.1</w:t>
      </w:r>
      <w:r w:rsidRPr="00766328">
        <w:rPr>
          <w:shd w:val="clear" w:color="auto" w:fill="FFFFFF" w:themeFill="background1"/>
        </w:rPr>
        <w:t> per cent)</w:t>
      </w:r>
      <w:r w:rsidRPr="00766328">
        <w:t xml:space="preserve"> and outer regional </w:t>
      </w:r>
      <w:r w:rsidRPr="00766328">
        <w:rPr>
          <w:shd w:val="clear" w:color="auto" w:fill="FFFFFF" w:themeFill="background1"/>
        </w:rPr>
        <w:t>areas (</w:t>
      </w:r>
      <w:r w:rsidRPr="00C956A8">
        <w:rPr>
          <w:shd w:val="clear" w:color="auto" w:fill="FFFFFF" w:themeFill="background1"/>
        </w:rPr>
        <w:t>67.8</w:t>
      </w:r>
      <w:r>
        <w:rPr>
          <w:shd w:val="clear" w:color="auto" w:fill="FFFFFF" w:themeFill="background1"/>
        </w:rPr>
        <w:t xml:space="preserve"> </w:t>
      </w:r>
      <w:r w:rsidRPr="00766328">
        <w:rPr>
          <w:shd w:val="clear" w:color="auto" w:fill="FFFFFF" w:themeFill="background1"/>
        </w:rPr>
        <w:t>per cent),</w:t>
      </w:r>
      <w:r w:rsidRPr="00766328">
        <w:t xml:space="preserve"> than in major cities </w:t>
      </w:r>
      <w:r w:rsidRPr="00C956A8">
        <w:lastRenderedPageBreak/>
        <w:t>(60.9</w:t>
      </w:r>
      <w:r w:rsidRPr="00766328">
        <w:rPr>
          <w:shd w:val="clear" w:color="auto" w:fill="FFFFFF" w:themeFill="background1"/>
        </w:rPr>
        <w:t xml:space="preserve"> per cent) in </w:t>
      </w:r>
      <w:r w:rsidRPr="00C956A8">
        <w:t>2011-12</w:t>
      </w:r>
      <w:r w:rsidRPr="00766328">
        <w:t xml:space="preserve"> (table </w:t>
      </w:r>
      <w:proofErr w:type="spellStart"/>
      <w:r w:rsidRPr="00766328">
        <w:t>EA.13</w:t>
      </w:r>
      <w:proofErr w:type="spellEnd"/>
      <w:r w:rsidRPr="00766328">
        <w:t xml:space="preserve">). </w:t>
      </w:r>
      <w:r w:rsidRPr="00766328">
        <w:rPr>
          <w:shd w:val="clear" w:color="auto" w:fill="FFFFFF" w:themeFill="background1"/>
        </w:rPr>
        <w:t xml:space="preserve">The percentage of people who were overweight or obese increased </w:t>
      </w:r>
      <w:r w:rsidRPr="00C956A8">
        <w:t>from 2007-08 in</w:t>
      </w:r>
      <w:r w:rsidRPr="00766328">
        <w:rPr>
          <w:shd w:val="clear" w:color="auto" w:fill="FFFFFF" w:themeFill="background1"/>
        </w:rPr>
        <w:t xml:space="preserve"> all areas of Australia (table </w:t>
      </w:r>
      <w:proofErr w:type="spellStart"/>
      <w:r w:rsidRPr="00766328">
        <w:rPr>
          <w:shd w:val="clear" w:color="auto" w:fill="FFFFFF" w:themeFill="background1"/>
        </w:rPr>
        <w:t>EA.13</w:t>
      </w:r>
      <w:proofErr w:type="spellEnd"/>
      <w:r w:rsidRPr="00766328">
        <w:rPr>
          <w:shd w:val="clear" w:color="auto" w:fill="FFFFFF" w:themeFill="background1"/>
        </w:rPr>
        <w:t>).</w:t>
      </w:r>
    </w:p>
    <w:p w:rsidR="00F81A45" w:rsidRPr="00756D3E" w:rsidRDefault="00F81A45" w:rsidP="00766328">
      <w:pPr>
        <w:pStyle w:val="FigureTitle"/>
        <w:rPr>
          <w:bCs/>
        </w:rPr>
      </w:pPr>
      <w:r w:rsidRPr="00756D3E">
        <w:rPr>
          <w:b w:val="0"/>
        </w:rPr>
        <w:t xml:space="preserve">Figure </w:t>
      </w:r>
      <w:bookmarkStart w:id="21" w:name="OLE_LINK9"/>
      <w:proofErr w:type="spellStart"/>
      <w:r w:rsidR="00F156AA">
        <w:rPr>
          <w:b w:val="0"/>
        </w:rPr>
        <w:t>E.</w:t>
      </w:r>
      <w:r w:rsidR="00C01FBD">
        <w:rPr>
          <w:b w:val="0"/>
          <w:noProof/>
        </w:rPr>
        <w:t>5</w:t>
      </w:r>
      <w:bookmarkEnd w:id="21"/>
      <w:proofErr w:type="spellEnd"/>
      <w:r w:rsidRPr="00756D3E">
        <w:rPr>
          <w:b w:val="0"/>
        </w:rPr>
        <w:tab/>
      </w:r>
      <w:r w:rsidRPr="00756D3E">
        <w:rPr>
          <w:bCs/>
        </w:rPr>
        <w:t>Proportion</w:t>
      </w:r>
      <w:r w:rsidR="0027682D">
        <w:rPr>
          <w:bCs/>
        </w:rPr>
        <w:t xml:space="preserve"> of adults in BMI categories</w:t>
      </w:r>
      <w:r w:rsidR="00075EE2">
        <w:rPr>
          <w:bCs/>
        </w:rPr>
        <w:t>, 2011-12</w:t>
      </w:r>
      <w:r w:rsidRPr="00756D3E">
        <w:rPr>
          <w:rStyle w:val="NoteLabel"/>
          <w:b/>
        </w:rPr>
        <w:t>a, b, c, d</w:t>
      </w:r>
      <w:r w:rsidR="00AF6485">
        <w:rPr>
          <w:rStyle w:val="NoteLabel"/>
          <w:b/>
        </w:rPr>
        <w:t>, e</w:t>
      </w:r>
      <w:r w:rsidR="00DC293C">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81A45" w:rsidRPr="00756D3E" w:rsidTr="00F81A45">
        <w:tc>
          <w:tcPr>
            <w:tcW w:w="8777" w:type="dxa"/>
          </w:tcPr>
          <w:p w:rsidR="00F81A45" w:rsidRPr="005E5D0A" w:rsidRDefault="0091658B" w:rsidP="00C16544">
            <w:pPr>
              <w:pStyle w:val="Figure"/>
              <w:pBdr>
                <w:right w:val="single" w:sz="12" w:space="4" w:color="auto"/>
              </w:pBdr>
            </w:pPr>
            <w:r>
              <w:rPr>
                <w:noProof/>
              </w:rPr>
              <w:drawing>
                <wp:inline distT="0" distB="0" distL="0" distR="0" wp14:anchorId="0860C8C9" wp14:editId="04038391">
                  <wp:extent cx="5454015" cy="2700020"/>
                  <wp:effectExtent l="0" t="0" r="0" b="5080"/>
                  <wp:docPr id="13" name="Picture 13" descr="Figure E.5 Proportion of adults in BMI categori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4015" cy="2700020"/>
                          </a:xfrm>
                          <a:prstGeom prst="rect">
                            <a:avLst/>
                          </a:prstGeom>
                          <a:noFill/>
                          <a:ln>
                            <a:noFill/>
                          </a:ln>
                        </pic:spPr>
                      </pic:pic>
                    </a:graphicData>
                  </a:graphic>
                </wp:inline>
              </w:drawing>
            </w:r>
          </w:p>
        </w:tc>
      </w:tr>
    </w:tbl>
    <w:p w:rsidR="00F81A45" w:rsidRPr="00756D3E" w:rsidRDefault="00F81A45" w:rsidP="00E90284">
      <w:pPr>
        <w:pStyle w:val="Note"/>
        <w:keepNext/>
      </w:pPr>
      <w:r w:rsidRPr="00756D3E">
        <w:rPr>
          <w:rStyle w:val="NoteLabel"/>
        </w:rPr>
        <w:t>a</w:t>
      </w:r>
      <w:r w:rsidRPr="00756D3E">
        <w:sym w:font="Symbol" w:char="F020"/>
      </w:r>
      <w:r w:rsidRPr="00756D3E">
        <w:t xml:space="preserve">Adults are defined as </w:t>
      </w:r>
      <w:r>
        <w:t>people</w:t>
      </w:r>
      <w:r w:rsidRPr="00756D3E">
        <w:t xml:space="preserve"> aged 18 years and over. </w:t>
      </w:r>
      <w:r w:rsidRPr="00756D3E">
        <w:rPr>
          <w:rStyle w:val="NoteLabel"/>
        </w:rPr>
        <w:t>b</w:t>
      </w:r>
      <w:r w:rsidRPr="00756D3E">
        <w:sym w:font="Symbol" w:char="F020"/>
      </w:r>
      <w:r w:rsidRPr="00756D3E">
        <w:t xml:space="preserve">Obesity for adults is defined as BMI equal to or greater than 30. </w:t>
      </w:r>
      <w:r w:rsidRPr="00756D3E">
        <w:rPr>
          <w:rStyle w:val="NoteLabel"/>
        </w:rPr>
        <w:t>c</w:t>
      </w:r>
      <w:r w:rsidRPr="00756D3E">
        <w:sym w:font="Symbol" w:char="F020"/>
      </w:r>
      <w:r w:rsidRPr="00756D3E">
        <w:t xml:space="preserve">Measured </w:t>
      </w:r>
      <w:r>
        <w:t>people</w:t>
      </w:r>
      <w:r w:rsidRPr="00756D3E">
        <w:t xml:space="preserve"> only. </w:t>
      </w:r>
      <w:r w:rsidRPr="00756D3E">
        <w:rPr>
          <w:rStyle w:val="NoteLabel"/>
        </w:rPr>
        <w:t>d</w:t>
      </w:r>
      <w:r w:rsidRPr="00756D3E">
        <w:sym w:font="Symbol" w:char="F020"/>
      </w:r>
      <w:r w:rsidRPr="00756D3E">
        <w:t>Rates are age standardised by State and Territory, to the 2001 Estimated Resident Population.</w:t>
      </w:r>
      <w:r w:rsidR="00AF6485" w:rsidRPr="00AF6485">
        <w:rPr>
          <w:rStyle w:val="NoteLabel"/>
        </w:rPr>
        <w:t xml:space="preserve"> </w:t>
      </w:r>
      <w:r w:rsidR="00AF6485">
        <w:rPr>
          <w:rStyle w:val="NoteLabel"/>
        </w:rPr>
        <w:t>e</w:t>
      </w:r>
      <w:r w:rsidR="00AF6485" w:rsidRPr="00756D3E">
        <w:sym w:font="Symbol" w:char="F020"/>
      </w:r>
      <w:r w:rsidR="00AF6485" w:rsidRPr="00AF6485">
        <w:t>Data have been revised and</w:t>
      </w:r>
      <w:r w:rsidR="00AF6485">
        <w:t xml:space="preserve"> may</w:t>
      </w:r>
      <w:r w:rsidR="00AF6485" w:rsidRPr="00AF6485">
        <w:t xml:space="preserve"> differ </w:t>
      </w:r>
      <w:r w:rsidR="00AF6485">
        <w:t>from data published in the 2013 </w:t>
      </w:r>
      <w:r w:rsidR="00AF6485" w:rsidRPr="00AF6485">
        <w:t>Report.</w:t>
      </w:r>
      <w:r w:rsidR="00DC293C" w:rsidRPr="00DC293C">
        <w:rPr>
          <w:rStyle w:val="NoteLabel"/>
        </w:rPr>
        <w:t xml:space="preserve"> </w:t>
      </w:r>
      <w:r w:rsidR="00DC293C">
        <w:rPr>
          <w:rStyle w:val="NoteLabel"/>
        </w:rPr>
        <w:t>f</w:t>
      </w:r>
      <w:r w:rsidR="00DC293C" w:rsidRPr="00756D3E">
        <w:sym w:font="Symbol" w:char="F020"/>
      </w:r>
      <w:r w:rsidR="00DC293C" w:rsidRPr="00E90284">
        <w:t xml:space="preserve">Data for the NT should be used with care as exclusion of very remote areas from the Australian Health Survey translates to </w:t>
      </w:r>
      <w:r w:rsidR="0048795B" w:rsidRPr="00E90284">
        <w:t xml:space="preserve">the </w:t>
      </w:r>
      <w:r w:rsidR="00DC293C" w:rsidRPr="00E90284">
        <w:t>exclusion of around 23 per cent of the NT population.</w:t>
      </w:r>
    </w:p>
    <w:p w:rsidR="00F81A45" w:rsidRPr="00756D3E" w:rsidRDefault="00F81A45" w:rsidP="00766328">
      <w:pPr>
        <w:pStyle w:val="Source"/>
      </w:pPr>
      <w:r w:rsidRPr="00756D3E">
        <w:rPr>
          <w:i/>
        </w:rPr>
        <w:t>Source</w:t>
      </w:r>
      <w:r w:rsidRPr="00756D3E">
        <w:t xml:space="preserve">: ABS (unpublished), </w:t>
      </w:r>
      <w:r w:rsidR="0027682D">
        <w:rPr>
          <w:i/>
        </w:rPr>
        <w:t xml:space="preserve">Australian Health </w:t>
      </w:r>
      <w:r w:rsidR="0027682D" w:rsidRPr="002077CA">
        <w:rPr>
          <w:i/>
        </w:rPr>
        <w:t>Survey</w:t>
      </w:r>
      <w:r w:rsidR="0027682D">
        <w:t xml:space="preserve"> </w:t>
      </w:r>
      <w:r w:rsidR="0027682D">
        <w:rPr>
          <w:i/>
        </w:rPr>
        <w:t>2011</w:t>
      </w:r>
      <w:r w:rsidR="00AF6485">
        <w:rPr>
          <w:i/>
        </w:rPr>
        <w:t>–</w:t>
      </w:r>
      <w:r w:rsidR="0027682D">
        <w:rPr>
          <w:i/>
        </w:rPr>
        <w:t xml:space="preserve">13 </w:t>
      </w:r>
      <w:r w:rsidR="0027682D" w:rsidRPr="00CC501E">
        <w:t xml:space="preserve">(2011-12 </w:t>
      </w:r>
      <w:r w:rsidR="00EA4A4B" w:rsidRPr="00CC501E">
        <w:t>Core</w:t>
      </w:r>
      <w:r w:rsidR="0027682D" w:rsidRPr="00CC501E">
        <w:t xml:space="preserve"> component</w:t>
      </w:r>
      <w:r w:rsidR="00CC501E">
        <w:t>)</w:t>
      </w:r>
      <w:r w:rsidRPr="00BB3D41">
        <w:t>; table</w:t>
      </w:r>
      <w:r w:rsidRPr="00756D3E">
        <w:t xml:space="preserve"> </w:t>
      </w:r>
      <w:proofErr w:type="spellStart"/>
      <w:r w:rsidRPr="00756D3E">
        <w:t>EA.</w:t>
      </w:r>
      <w:r w:rsidR="0027682D">
        <w:t>1</w:t>
      </w:r>
      <w:r w:rsidR="009D44D0">
        <w:t>2</w:t>
      </w:r>
      <w:proofErr w:type="spellEnd"/>
      <w:r w:rsidRPr="00756D3E">
        <w:t>.</w:t>
      </w:r>
    </w:p>
    <w:p w:rsidR="00E87566" w:rsidRDefault="00F81A45" w:rsidP="00A26107">
      <w:pPr>
        <w:pStyle w:val="BodyText"/>
        <w:rPr>
          <w:shd w:val="clear" w:color="auto" w:fill="FFFFFF" w:themeFill="background1"/>
        </w:rPr>
      </w:pPr>
      <w:r w:rsidRPr="00756D3E">
        <w:t>The percentage of peop</w:t>
      </w:r>
      <w:r w:rsidRPr="00766328">
        <w:t xml:space="preserve">le who were </w:t>
      </w:r>
      <w:r w:rsidR="003A00F8" w:rsidRPr="00F93D48">
        <w:t xml:space="preserve">overweight or </w:t>
      </w:r>
      <w:r w:rsidRPr="00F93D48">
        <w:t>obese tended to be higher in older age groups, peaking at age</w:t>
      </w:r>
      <w:r w:rsidR="002A18DC" w:rsidRPr="00F93D48">
        <w:t xml:space="preserve"> 70–74</w:t>
      </w:r>
      <w:r w:rsidR="003A00F8" w:rsidRPr="00F93D48">
        <w:t xml:space="preserve"> </w:t>
      </w:r>
      <w:r w:rsidRPr="00F93D48">
        <w:t xml:space="preserve">for males </w:t>
      </w:r>
      <w:r w:rsidR="002A18DC" w:rsidRPr="00F93D48">
        <w:t xml:space="preserve">and females </w:t>
      </w:r>
      <w:r w:rsidRPr="00F93D48">
        <w:t>(</w:t>
      </w:r>
      <w:r w:rsidR="00F93D48" w:rsidRPr="00F93D48">
        <w:t>83.8</w:t>
      </w:r>
      <w:r w:rsidR="002A18DC" w:rsidRPr="00F93D48">
        <w:t> </w:t>
      </w:r>
      <w:r w:rsidRPr="00F93D48">
        <w:t xml:space="preserve">per cent and </w:t>
      </w:r>
      <w:r w:rsidR="00F93D48" w:rsidRPr="00F93D48">
        <w:t>74.0</w:t>
      </w:r>
      <w:r w:rsidRPr="00766328">
        <w:rPr>
          <w:shd w:val="clear" w:color="auto" w:fill="FFFFFF" w:themeFill="background1"/>
        </w:rPr>
        <w:t> per cent</w:t>
      </w:r>
      <w:r w:rsidR="002A18DC" w:rsidRPr="00766328">
        <w:rPr>
          <w:shd w:val="clear" w:color="auto" w:fill="FFFFFF" w:themeFill="background1"/>
        </w:rPr>
        <w:t xml:space="preserve"> respectively</w:t>
      </w:r>
      <w:r w:rsidRPr="00766328">
        <w:rPr>
          <w:shd w:val="clear" w:color="auto" w:fill="FFFFFF" w:themeFill="background1"/>
        </w:rPr>
        <w:t>)</w:t>
      </w:r>
      <w:r w:rsidR="002A18DC" w:rsidRPr="00766328">
        <w:rPr>
          <w:shd w:val="clear" w:color="auto" w:fill="FFFFFF" w:themeFill="background1"/>
        </w:rPr>
        <w:t xml:space="preserve"> </w:t>
      </w:r>
      <w:r w:rsidR="002A18DC" w:rsidRPr="00F93D48">
        <w:t>in 2011-12</w:t>
      </w:r>
      <w:r w:rsidRPr="00F93D48">
        <w:t xml:space="preserve">. </w:t>
      </w:r>
      <w:r w:rsidR="002A18DC" w:rsidRPr="00F93D48">
        <w:t>Overall, t</w:t>
      </w:r>
      <w:r w:rsidRPr="00F93D48">
        <w:t>he</w:t>
      </w:r>
      <w:r w:rsidRPr="00766328">
        <w:rPr>
          <w:shd w:val="clear" w:color="auto" w:fill="FFFFFF" w:themeFill="background1"/>
        </w:rPr>
        <w:t xml:space="preserve"> percentage of </w:t>
      </w:r>
      <w:r w:rsidR="002A18DC" w:rsidRPr="00766328">
        <w:rPr>
          <w:shd w:val="clear" w:color="auto" w:fill="FFFFFF" w:themeFill="background1"/>
        </w:rPr>
        <w:t xml:space="preserve">males and females that were </w:t>
      </w:r>
      <w:r w:rsidR="00E92EE0" w:rsidRPr="00766328">
        <w:rPr>
          <w:shd w:val="clear" w:color="auto" w:fill="FFFFFF" w:themeFill="background1"/>
        </w:rPr>
        <w:t xml:space="preserve">overweight or </w:t>
      </w:r>
      <w:r w:rsidRPr="00766328">
        <w:rPr>
          <w:shd w:val="clear" w:color="auto" w:fill="FFFFFF" w:themeFill="background1"/>
        </w:rPr>
        <w:t xml:space="preserve">obese </w:t>
      </w:r>
      <w:r w:rsidR="002A18DC" w:rsidRPr="00F93D48">
        <w:t xml:space="preserve">increased from 2007-08 </w:t>
      </w:r>
      <w:r w:rsidR="002A18DC" w:rsidRPr="00766328">
        <w:rPr>
          <w:shd w:val="clear" w:color="auto" w:fill="FFFFFF" w:themeFill="background1"/>
        </w:rPr>
        <w:t>(</w:t>
      </w:r>
      <w:r w:rsidR="005C1A44" w:rsidRPr="00766328">
        <w:rPr>
          <w:shd w:val="clear" w:color="auto" w:fill="FFFFFF" w:themeFill="background1"/>
        </w:rPr>
        <w:t xml:space="preserve">by </w:t>
      </w:r>
      <w:r w:rsidR="00F93D48" w:rsidRPr="00F93D48">
        <w:t>2.1</w:t>
      </w:r>
      <w:r w:rsidR="005C1A44" w:rsidRPr="00766328">
        <w:rPr>
          <w:shd w:val="clear" w:color="auto" w:fill="FFFFFF" w:themeFill="background1"/>
        </w:rPr>
        <w:t xml:space="preserve"> percentage points for </w:t>
      </w:r>
      <w:r w:rsidRPr="00766328">
        <w:rPr>
          <w:shd w:val="clear" w:color="auto" w:fill="FFFFFF" w:themeFill="background1"/>
        </w:rPr>
        <w:t xml:space="preserve">males </w:t>
      </w:r>
      <w:r w:rsidR="005C1A44" w:rsidRPr="00766328">
        <w:rPr>
          <w:shd w:val="clear" w:color="auto" w:fill="FFFFFF" w:themeFill="background1"/>
        </w:rPr>
        <w:t>and</w:t>
      </w:r>
      <w:r w:rsidR="00F93D48">
        <w:rPr>
          <w:shd w:val="clear" w:color="auto" w:fill="FFFFFF" w:themeFill="background1"/>
        </w:rPr>
        <w:t xml:space="preserve"> 0.9</w:t>
      </w:r>
      <w:r w:rsidR="005C1A44" w:rsidRPr="00766328">
        <w:rPr>
          <w:shd w:val="clear" w:color="auto" w:fill="FFFFFF" w:themeFill="background1"/>
        </w:rPr>
        <w:t> percentage points for females) although the change varied by age category</w:t>
      </w:r>
      <w:r w:rsidRPr="00766328">
        <w:rPr>
          <w:shd w:val="clear" w:color="auto" w:fill="FFFFFF" w:themeFill="background1"/>
        </w:rPr>
        <w:t xml:space="preserve"> (table </w:t>
      </w:r>
      <w:proofErr w:type="spellStart"/>
      <w:r w:rsidRPr="00766328">
        <w:rPr>
          <w:shd w:val="clear" w:color="auto" w:fill="FFFFFF" w:themeFill="background1"/>
        </w:rPr>
        <w:t>EA.</w:t>
      </w:r>
      <w:r w:rsidR="00757824" w:rsidRPr="00766328">
        <w:rPr>
          <w:shd w:val="clear" w:color="auto" w:fill="FFFFFF" w:themeFill="background1"/>
        </w:rPr>
        <w:t>1</w:t>
      </w:r>
      <w:r w:rsidR="005C1A44" w:rsidRPr="00766328">
        <w:rPr>
          <w:shd w:val="clear" w:color="auto" w:fill="FFFFFF" w:themeFill="background1"/>
        </w:rPr>
        <w:t>5</w:t>
      </w:r>
      <w:proofErr w:type="spellEnd"/>
      <w:r w:rsidRPr="00766328">
        <w:rPr>
          <w:shd w:val="clear" w:color="auto" w:fill="FFFFFF" w:themeFill="background1"/>
        </w:rPr>
        <w:t>).</w:t>
      </w:r>
      <w:r w:rsidR="00CF799E">
        <w:rPr>
          <w:shd w:val="clear" w:color="auto" w:fill="FFFFFF" w:themeFill="background1"/>
        </w:rPr>
        <w:t xml:space="preserve"> </w:t>
      </w:r>
    </w:p>
    <w:p w:rsidR="00E87566" w:rsidRDefault="00F81A45" w:rsidP="009758A7">
      <w:pPr>
        <w:pStyle w:val="BodyText"/>
      </w:pPr>
      <w:r w:rsidRPr="00756D3E">
        <w:t xml:space="preserve">Nationally, </w:t>
      </w:r>
      <w:r w:rsidR="00466E30">
        <w:t xml:space="preserve">the rate of overweight and obesity was </w:t>
      </w:r>
      <w:r w:rsidR="0036375F" w:rsidRPr="009758A7">
        <w:t>higher</w:t>
      </w:r>
      <w:r w:rsidR="00466E30">
        <w:t xml:space="preserve"> for</w:t>
      </w:r>
      <w:r w:rsidRPr="00756D3E">
        <w:t xml:space="preserve"> </w:t>
      </w:r>
      <w:r w:rsidR="00466E30" w:rsidRPr="00756D3E">
        <w:t xml:space="preserve">Indigenous </w:t>
      </w:r>
      <w:r w:rsidR="00466E30" w:rsidRPr="002152A0">
        <w:t xml:space="preserve">adults </w:t>
      </w:r>
      <w:r w:rsidRPr="002152A0">
        <w:t>(</w:t>
      </w:r>
      <w:r w:rsidR="0036375F" w:rsidRPr="009758A7">
        <w:t>71.4</w:t>
      </w:r>
      <w:r w:rsidRPr="009758A7">
        <w:t> per cent)</w:t>
      </w:r>
      <w:r w:rsidRPr="002152A0">
        <w:t xml:space="preserve"> </w:t>
      </w:r>
      <w:r w:rsidR="0036375F">
        <w:t>than</w:t>
      </w:r>
      <w:r w:rsidRPr="002152A0">
        <w:t xml:space="preserve"> </w:t>
      </w:r>
      <w:r w:rsidR="00466E30">
        <w:t xml:space="preserve">for </w:t>
      </w:r>
      <w:r w:rsidRPr="002152A0">
        <w:t>non</w:t>
      </w:r>
      <w:r w:rsidRPr="002152A0">
        <w:noBreakHyphen/>
        <w:t>Indigenous</w:t>
      </w:r>
      <w:r w:rsidR="00693E0D" w:rsidRPr="002152A0">
        <w:t xml:space="preserve"> </w:t>
      </w:r>
      <w:r w:rsidRPr="00E90284">
        <w:t>adults (</w:t>
      </w:r>
      <w:r w:rsidR="00466E30" w:rsidRPr="00E90284">
        <w:t xml:space="preserve">62.6 </w:t>
      </w:r>
      <w:r w:rsidRPr="00E90284">
        <w:t>per cent)</w:t>
      </w:r>
      <w:r w:rsidR="00924690" w:rsidRPr="00E90284">
        <w:t xml:space="preserve"> in </w:t>
      </w:r>
      <w:r w:rsidR="00466E30" w:rsidRPr="00E90284">
        <w:t>2011–13</w:t>
      </w:r>
      <w:r w:rsidRPr="00E90284">
        <w:t xml:space="preserve"> (table </w:t>
      </w:r>
      <w:proofErr w:type="spellStart"/>
      <w:r w:rsidRPr="00E90284">
        <w:t>EA.</w:t>
      </w:r>
      <w:r w:rsidR="00757824" w:rsidRPr="00E90284">
        <w:t>16</w:t>
      </w:r>
      <w:proofErr w:type="spellEnd"/>
      <w:r w:rsidR="002F4083" w:rsidRPr="00E90284">
        <w:t>).</w:t>
      </w:r>
      <w:r w:rsidR="00E87566" w:rsidRPr="00E90284">
        <w:t xml:space="preserve"> Data for the rate of overweight an</w:t>
      </w:r>
      <w:r w:rsidR="00E87566">
        <w:t>d</w:t>
      </w:r>
      <w:r w:rsidR="00E87566" w:rsidRPr="00F93D48">
        <w:t xml:space="preserve"> </w:t>
      </w:r>
      <w:r w:rsidR="00E87566">
        <w:t xml:space="preserve">obesity for children by Indigenous status are reported in table </w:t>
      </w:r>
      <w:proofErr w:type="spellStart"/>
      <w:r w:rsidR="00E87566">
        <w:t>EA.18</w:t>
      </w:r>
      <w:proofErr w:type="spellEnd"/>
      <w:r w:rsidR="00E87566">
        <w:t>.</w:t>
      </w:r>
    </w:p>
    <w:p w:rsidR="00F81A45" w:rsidRPr="009220BA" w:rsidRDefault="00F81A45" w:rsidP="002F4083">
      <w:pPr>
        <w:pStyle w:val="BodyText"/>
        <w:rPr>
          <w:rStyle w:val="DraftingNote"/>
        </w:rPr>
      </w:pPr>
    </w:p>
    <w:p w:rsidR="00F81A45" w:rsidRPr="00757824" w:rsidRDefault="00D03DC7" w:rsidP="00A26107">
      <w:pPr>
        <w:pStyle w:val="Heading5"/>
      </w:pPr>
      <w:r w:rsidRPr="00757824">
        <w:t>Rates of current daily smokers</w:t>
      </w:r>
    </w:p>
    <w:p w:rsidR="00F81A45" w:rsidRPr="00756D3E" w:rsidRDefault="00F81A45" w:rsidP="00A26107">
      <w:pPr>
        <w:pStyle w:val="BodyText"/>
      </w:pPr>
      <w:r w:rsidRPr="00756D3E">
        <w:t xml:space="preserve">Smoking is an important risk </w:t>
      </w:r>
      <w:r w:rsidRPr="006F007C">
        <w:t>factor for heart disease, stroke and lung cancer. These were the three leading causes of death in Australia in 20</w:t>
      </w:r>
      <w:r w:rsidR="001113A0" w:rsidRPr="006F007C">
        <w:t>11</w:t>
      </w:r>
      <w:r w:rsidRPr="006F007C">
        <w:t xml:space="preserve"> (ABS </w:t>
      </w:r>
      <w:proofErr w:type="spellStart"/>
      <w:r w:rsidRPr="006F007C">
        <w:t>201</w:t>
      </w:r>
      <w:r w:rsidR="001113A0" w:rsidRPr="006F007C">
        <w:t>3b</w:t>
      </w:r>
      <w:proofErr w:type="spellEnd"/>
      <w:r w:rsidRPr="006F007C">
        <w:t xml:space="preserve">). Smoking </w:t>
      </w:r>
      <w:r w:rsidRPr="006F007C">
        <w:lastRenderedPageBreak/>
        <w:t>is responsible for around 80 per cent of all lung cancer deaths and 20 per cent of all cancer deaths (</w:t>
      </w:r>
      <w:proofErr w:type="spellStart"/>
      <w:r w:rsidRPr="006F007C">
        <w:t>HealthInsite</w:t>
      </w:r>
      <w:proofErr w:type="spellEnd"/>
      <w:r w:rsidRPr="006F007C">
        <w:t xml:space="preserve"> 2011). </w:t>
      </w:r>
    </w:p>
    <w:p w:rsidR="00474AE7" w:rsidRDefault="0027682D" w:rsidP="00E90284">
      <w:pPr>
        <w:pStyle w:val="BodyText"/>
        <w:shd w:val="clear" w:color="auto" w:fill="FFFFFF" w:themeFill="background1"/>
      </w:pPr>
      <w:r>
        <w:t>The proportion of adult</w:t>
      </w:r>
      <w:r w:rsidR="006E0819">
        <w:t xml:space="preserve"> d</w:t>
      </w:r>
      <w:r w:rsidR="00F81A45">
        <w:t xml:space="preserve">aily smokers aged 18 years and over </w:t>
      </w:r>
      <w:r w:rsidR="00F81A45" w:rsidRPr="00756D3E">
        <w:t>accounted for</w:t>
      </w:r>
      <w:r w:rsidR="006E0819">
        <w:t xml:space="preserve"> </w:t>
      </w:r>
      <w:r w:rsidR="006E0819" w:rsidRPr="006A6E48">
        <w:t>16.</w:t>
      </w:r>
      <w:r w:rsidR="006A6E48" w:rsidRPr="006A6E48">
        <w:t>3</w:t>
      </w:r>
      <w:r w:rsidR="004F2748" w:rsidRPr="006A6E48">
        <w:t> </w:t>
      </w:r>
      <w:r w:rsidR="00F81A45" w:rsidRPr="006A6E48">
        <w:t>per cent of the population in 20</w:t>
      </w:r>
      <w:r w:rsidR="004F2748" w:rsidRPr="006A6E48">
        <w:t>1</w:t>
      </w:r>
      <w:r w:rsidR="00BE5BD9" w:rsidRPr="006A6E48">
        <w:t>1</w:t>
      </w:r>
      <w:r w:rsidR="00F81A45" w:rsidRPr="006A6E48">
        <w:t>-</w:t>
      </w:r>
      <w:r w:rsidR="004F2748" w:rsidRPr="006A6E48">
        <w:t>1</w:t>
      </w:r>
      <w:r w:rsidR="00BE5BD9" w:rsidRPr="006A6E48">
        <w:t>2</w:t>
      </w:r>
      <w:r w:rsidR="006E0819" w:rsidRPr="006A6E48">
        <w:t xml:space="preserve">, a decrease of </w:t>
      </w:r>
      <w:r w:rsidR="006A6E48" w:rsidRPr="006A6E48">
        <w:t>2.8</w:t>
      </w:r>
      <w:r w:rsidR="006E0819" w:rsidRPr="006A6E48">
        <w:t> percentage points from 2007</w:t>
      </w:r>
      <w:r w:rsidR="006E0819" w:rsidRPr="006A6E48">
        <w:noBreakHyphen/>
        <w:t>08</w:t>
      </w:r>
      <w:r w:rsidR="00474AE7">
        <w:t xml:space="preserve"> </w:t>
      </w:r>
      <w:r w:rsidR="00474AE7" w:rsidRPr="00756D3E">
        <w:t>(figure </w:t>
      </w:r>
      <w:proofErr w:type="spellStart"/>
      <w:r w:rsidR="00F156AA">
        <w:t>E.6</w:t>
      </w:r>
      <w:proofErr w:type="spellEnd"/>
      <w:r w:rsidR="00474AE7" w:rsidRPr="00756D3E">
        <w:t xml:space="preserve"> and table </w:t>
      </w:r>
      <w:proofErr w:type="spellStart"/>
      <w:r w:rsidR="00474AE7" w:rsidRPr="00756D3E">
        <w:t>EA.</w:t>
      </w:r>
      <w:r w:rsidR="00474AE7">
        <w:t>1</w:t>
      </w:r>
      <w:r w:rsidR="00CF799E">
        <w:t>9</w:t>
      </w:r>
      <w:proofErr w:type="spellEnd"/>
      <w:r w:rsidR="00474AE7" w:rsidRPr="00756D3E">
        <w:t>)</w:t>
      </w:r>
      <w:r w:rsidR="006D317F">
        <w:t>.</w:t>
      </w:r>
    </w:p>
    <w:p w:rsidR="00440023" w:rsidRDefault="007B5E74" w:rsidP="00E90284">
      <w:pPr>
        <w:pStyle w:val="BodyText"/>
        <w:shd w:val="clear" w:color="auto" w:fill="FFFFFF" w:themeFill="background1"/>
      </w:pPr>
      <w:r w:rsidRPr="00756D3E">
        <w:t xml:space="preserve">Nationally, </w:t>
      </w:r>
      <w:r>
        <w:t xml:space="preserve">people </w:t>
      </w:r>
      <w:r w:rsidRPr="00E90284">
        <w:t xml:space="preserve">from </w:t>
      </w:r>
      <w:r w:rsidR="006D317F" w:rsidRPr="00E90284">
        <w:t>more disadvantaged</w:t>
      </w:r>
      <w:r w:rsidRPr="00E90284">
        <w:t xml:space="preserve"> socioeconomic backgrounds have a higher propensity to smoke</w:t>
      </w:r>
      <w:r w:rsidR="00474AE7" w:rsidRPr="00E90284">
        <w:t xml:space="preserve"> (age standardised)</w:t>
      </w:r>
      <w:r w:rsidRPr="00E90284">
        <w:t>. In 2011-12, 24.</w:t>
      </w:r>
      <w:r w:rsidR="00D60A57" w:rsidRPr="00E90284">
        <w:t>3</w:t>
      </w:r>
      <w:r w:rsidRPr="00E90284">
        <w:t xml:space="preserve"> per cent </w:t>
      </w:r>
      <w:r w:rsidR="00474AE7" w:rsidRPr="00E90284">
        <w:t xml:space="preserve">of adults </w:t>
      </w:r>
      <w:r w:rsidR="00881D36" w:rsidRPr="00E90284">
        <w:br/>
      </w:r>
      <w:r w:rsidR="00474AE7" w:rsidRPr="00E90284">
        <w:t xml:space="preserve">living in areas from the first quintile of the </w:t>
      </w:r>
      <w:proofErr w:type="spellStart"/>
      <w:r w:rsidR="00984138" w:rsidRPr="00E90284">
        <w:t>SEIFA</w:t>
      </w:r>
      <w:proofErr w:type="spellEnd"/>
      <w:r w:rsidR="007D0526" w:rsidRPr="00E90284">
        <w:t xml:space="preserve"> — the areas of greatest  relative disadvantage —</w:t>
      </w:r>
      <w:r w:rsidR="00E960D9" w:rsidRPr="00E90284">
        <w:t xml:space="preserve"> </w:t>
      </w:r>
      <w:r w:rsidR="00984138" w:rsidRPr="00E90284">
        <w:t>were daily smokers,</w:t>
      </w:r>
      <w:r w:rsidR="00474AE7" w:rsidRPr="00E90284">
        <w:t xml:space="preserve"> </w:t>
      </w:r>
      <w:r w:rsidR="00984138" w:rsidRPr="00E90284">
        <w:t xml:space="preserve">compared with </w:t>
      </w:r>
      <w:r w:rsidR="00D60A57" w:rsidRPr="00E90284">
        <w:t>9.0</w:t>
      </w:r>
      <w:r w:rsidR="00984138" w:rsidRPr="00E90284">
        <w:t xml:space="preserve"> per cent from the fifth quintile</w:t>
      </w:r>
      <w:r w:rsidR="00474AE7" w:rsidRPr="00E90284">
        <w:t xml:space="preserve"> </w:t>
      </w:r>
      <w:r w:rsidR="007D0526" w:rsidRPr="00E90284">
        <w:t>— the areas of least relative disadvantage —</w:t>
      </w:r>
      <w:r w:rsidR="007D0526" w:rsidRPr="00756D3E">
        <w:t xml:space="preserve"> </w:t>
      </w:r>
      <w:r w:rsidR="00474AE7" w:rsidRPr="00756D3E">
        <w:t>(figure </w:t>
      </w:r>
      <w:proofErr w:type="spellStart"/>
      <w:r w:rsidR="00F156AA">
        <w:t>E.6</w:t>
      </w:r>
      <w:proofErr w:type="spellEnd"/>
      <w:r w:rsidR="00474AE7" w:rsidRPr="00756D3E">
        <w:t xml:space="preserve"> and table </w:t>
      </w:r>
      <w:proofErr w:type="spellStart"/>
      <w:r w:rsidR="00474AE7" w:rsidRPr="00756D3E">
        <w:t>EA.</w:t>
      </w:r>
      <w:r w:rsidR="00466E30">
        <w:t>20</w:t>
      </w:r>
      <w:proofErr w:type="spellEnd"/>
      <w:r w:rsidR="00474AE7" w:rsidRPr="00756D3E">
        <w:t>)</w:t>
      </w:r>
      <w:r w:rsidR="00474AE7">
        <w:t>.</w:t>
      </w:r>
    </w:p>
    <w:p w:rsidR="00440023" w:rsidRDefault="00474AE7" w:rsidP="00A26107">
      <w:pPr>
        <w:pStyle w:val="BodyText"/>
      </w:pPr>
      <w:r>
        <w:t xml:space="preserve">Adults from </w:t>
      </w:r>
      <w:r w:rsidR="00D65FB7">
        <w:t xml:space="preserve">more remote locations </w:t>
      </w:r>
      <w:r>
        <w:t xml:space="preserve">also </w:t>
      </w:r>
      <w:r w:rsidR="00D65FB7">
        <w:t>ha</w:t>
      </w:r>
      <w:r w:rsidR="00B20D9D">
        <w:t>d a</w:t>
      </w:r>
      <w:r w:rsidR="00D65FB7">
        <w:t xml:space="preserve"> higher propensity to smoke</w:t>
      </w:r>
      <w:r w:rsidR="00B20D9D">
        <w:t xml:space="preserve"> (age standardised)</w:t>
      </w:r>
      <w:r w:rsidR="00D65FB7">
        <w:t>.</w:t>
      </w:r>
      <w:r w:rsidR="00967A48" w:rsidRPr="00967A48">
        <w:t xml:space="preserve"> </w:t>
      </w:r>
      <w:r w:rsidR="00881D36" w:rsidRPr="00D60A57">
        <w:t xml:space="preserve">In 2011-12, </w:t>
      </w:r>
      <w:r w:rsidR="00881D36">
        <w:t>d</w:t>
      </w:r>
      <w:r w:rsidR="00967A48" w:rsidRPr="00756D3E">
        <w:t xml:space="preserve">aily smokers accounted </w:t>
      </w:r>
      <w:r w:rsidR="00967A48" w:rsidRPr="00881D36">
        <w:t>for</w:t>
      </w:r>
      <w:r w:rsidR="006E0819" w:rsidRPr="00881D36">
        <w:t xml:space="preserve"> 26.</w:t>
      </w:r>
      <w:r w:rsidR="00881D36" w:rsidRPr="00881D36">
        <w:t>1</w:t>
      </w:r>
      <w:r w:rsidR="00967A48" w:rsidRPr="00881D36">
        <w:t> per cent of the population in remote geographical areas, gradually decreasing as remoteness of residence decreases, accounting for</w:t>
      </w:r>
      <w:r w:rsidR="006E0819" w:rsidRPr="00881D36">
        <w:t xml:space="preserve"> 22.</w:t>
      </w:r>
      <w:r w:rsidR="00881D36" w:rsidRPr="00881D36">
        <w:t>6</w:t>
      </w:r>
      <w:r w:rsidR="00967A48" w:rsidRPr="00881D36">
        <w:t> per cent of the population in outer regional areas,</w:t>
      </w:r>
      <w:r w:rsidR="006E0819" w:rsidRPr="00881D36">
        <w:t xml:space="preserve"> 19.</w:t>
      </w:r>
      <w:r w:rsidR="00881D36" w:rsidRPr="00881D36">
        <w:t>5</w:t>
      </w:r>
      <w:r w:rsidR="00967A48" w:rsidRPr="00881D36">
        <w:t> per cent in inner regional areas and</w:t>
      </w:r>
      <w:r w:rsidR="006E0819" w:rsidRPr="00881D36">
        <w:t xml:space="preserve"> </w:t>
      </w:r>
      <w:r w:rsidR="00881D36" w:rsidRPr="00881D36">
        <w:t>14.7</w:t>
      </w:r>
      <w:r w:rsidR="00967A48" w:rsidRPr="00881D36">
        <w:t> </w:t>
      </w:r>
      <w:r w:rsidR="00967A48" w:rsidRPr="00766328">
        <w:rPr>
          <w:shd w:val="clear" w:color="auto" w:fill="FFFFFF" w:themeFill="background1"/>
        </w:rPr>
        <w:t>per cent</w:t>
      </w:r>
      <w:r w:rsidR="00967A48" w:rsidRPr="00756D3E">
        <w:t xml:space="preserve"> in major cities</w:t>
      </w:r>
      <w:r w:rsidR="00967A48">
        <w:t xml:space="preserve"> </w:t>
      </w:r>
      <w:r w:rsidR="00967A48" w:rsidRPr="00756D3E">
        <w:t>(table </w:t>
      </w:r>
      <w:proofErr w:type="spellStart"/>
      <w:r w:rsidR="00967A48" w:rsidRPr="00756D3E">
        <w:t>EA.</w:t>
      </w:r>
      <w:r w:rsidR="003F5F53">
        <w:t>1</w:t>
      </w:r>
      <w:r w:rsidR="00466E30">
        <w:t>9</w:t>
      </w:r>
      <w:proofErr w:type="spellEnd"/>
      <w:r w:rsidR="00967A48" w:rsidRPr="00756D3E">
        <w:t>)</w:t>
      </w:r>
      <w:r w:rsidR="00967A48">
        <w:t>.</w:t>
      </w:r>
    </w:p>
    <w:p w:rsidR="00CA03BF" w:rsidRDefault="00CA03BF" w:rsidP="00A26107">
      <w:pPr>
        <w:pStyle w:val="BodyText"/>
      </w:pPr>
      <w:r w:rsidRPr="00D70904">
        <w:t>Nationally, Indigenous Australians</w:t>
      </w:r>
      <w:r>
        <w:t xml:space="preserve"> had higher age</w:t>
      </w:r>
      <w:r>
        <w:noBreakHyphen/>
      </w:r>
      <w:r w:rsidRPr="00D70904">
        <w:t xml:space="preserve">standardised rates of daily </w:t>
      </w:r>
      <w:r w:rsidRPr="009758A7">
        <w:t>smoking (41.2 per cent) than non</w:t>
      </w:r>
      <w:r w:rsidRPr="009758A7">
        <w:noBreakHyphen/>
        <w:t xml:space="preserve">Indigenous Australians (16.0 per cent) in 2011–13 </w:t>
      </w:r>
      <w:r w:rsidRPr="00756D3E">
        <w:t>(table </w:t>
      </w:r>
      <w:proofErr w:type="spellStart"/>
      <w:r w:rsidRPr="00756D3E">
        <w:t>EA.</w:t>
      </w:r>
      <w:r>
        <w:t>21</w:t>
      </w:r>
      <w:proofErr w:type="spellEnd"/>
      <w:r w:rsidRPr="00756D3E">
        <w:t>).</w:t>
      </w:r>
    </w:p>
    <w:p w:rsidR="00060CFF" w:rsidRPr="00756D3E" w:rsidRDefault="00060CFF" w:rsidP="00766328">
      <w:pPr>
        <w:pStyle w:val="FigureTitle"/>
        <w:rPr>
          <w:rStyle w:val="NoteLabel"/>
          <w:b/>
        </w:rPr>
      </w:pPr>
      <w:r w:rsidRPr="00756D3E">
        <w:rPr>
          <w:b w:val="0"/>
        </w:rPr>
        <w:lastRenderedPageBreak/>
        <w:t xml:space="preserve">Figure </w:t>
      </w:r>
      <w:bookmarkStart w:id="22" w:name="OLE_LINK32"/>
      <w:proofErr w:type="spellStart"/>
      <w:r w:rsidR="00F156AA">
        <w:rPr>
          <w:b w:val="0"/>
        </w:rPr>
        <w:t>E.</w:t>
      </w:r>
      <w:r w:rsidR="00C01FBD">
        <w:rPr>
          <w:b w:val="0"/>
          <w:noProof/>
        </w:rPr>
        <w:t>6</w:t>
      </w:r>
      <w:bookmarkEnd w:id="22"/>
      <w:proofErr w:type="spellEnd"/>
      <w:r w:rsidRPr="00756D3E">
        <w:rPr>
          <w:b w:val="0"/>
        </w:rPr>
        <w:tab/>
      </w:r>
      <w:r w:rsidRPr="00B20D9D">
        <w:t>Proportion of adults who are daily smokers, by State and Territory</w:t>
      </w:r>
      <w:r w:rsidRPr="00756D3E">
        <w:rPr>
          <w:rStyle w:val="NoteLabel"/>
          <w:b/>
        </w:rPr>
        <w:t>a, b, c, d</w:t>
      </w:r>
      <w:r w:rsidR="009E7E9D">
        <w:rPr>
          <w:rStyle w:val="NoteLabel"/>
          <w:b/>
        </w:rPr>
        <w:t>, e</w:t>
      </w:r>
      <w:r w:rsidR="00DC293C">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60CFF" w:rsidRPr="00756D3E" w:rsidTr="00060CFF">
        <w:tc>
          <w:tcPr>
            <w:tcW w:w="8777" w:type="dxa"/>
          </w:tcPr>
          <w:p w:rsidR="00060CFF" w:rsidRPr="00AA58BE" w:rsidRDefault="0091658B" w:rsidP="00C16544">
            <w:pPr>
              <w:pStyle w:val="Figure"/>
              <w:pBdr>
                <w:right w:val="single" w:sz="12" w:space="4" w:color="auto"/>
              </w:pBdr>
            </w:pPr>
            <w:r>
              <w:rPr>
                <w:noProof/>
              </w:rPr>
              <w:drawing>
                <wp:inline distT="0" distB="0" distL="0" distR="0" wp14:anchorId="15DAFC2A" wp14:editId="0D088A5D">
                  <wp:extent cx="5281930" cy="2625090"/>
                  <wp:effectExtent l="0" t="0" r="0" b="3810"/>
                  <wp:docPr id="18" name="Picture 18" descr="Figure E.6 Proportion of adults who are daily smokers, by State and Territory&#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1930" cy="2625090"/>
                          </a:xfrm>
                          <a:prstGeom prst="rect">
                            <a:avLst/>
                          </a:prstGeom>
                          <a:noFill/>
                          <a:ln>
                            <a:noFill/>
                          </a:ln>
                        </pic:spPr>
                      </pic:pic>
                    </a:graphicData>
                  </a:graphic>
                </wp:inline>
              </w:drawing>
            </w:r>
          </w:p>
        </w:tc>
      </w:tr>
    </w:tbl>
    <w:p w:rsidR="00060CFF" w:rsidRPr="00756D3E" w:rsidRDefault="00060CFF" w:rsidP="00E90284">
      <w:pPr>
        <w:pStyle w:val="Note"/>
        <w:keepNext/>
      </w:pPr>
      <w:r w:rsidRPr="00756D3E">
        <w:rPr>
          <w:rStyle w:val="NoteLabel"/>
        </w:rPr>
        <w:t>a</w:t>
      </w:r>
      <w:r w:rsidRPr="00756D3E">
        <w:sym w:font="Symbol" w:char="F020"/>
      </w:r>
      <w:r>
        <w:t xml:space="preserve">Rates for total </w:t>
      </w:r>
      <w:r w:rsidR="009758A7">
        <w:t>are age</w:t>
      </w:r>
      <w:r w:rsidR="009758A7">
        <w:noBreakHyphen/>
      </w:r>
      <w:r>
        <w:t>standardised by State and Ter</w:t>
      </w:r>
      <w:r w:rsidR="00984138">
        <w:t>ritory</w:t>
      </w:r>
      <w:r>
        <w:t xml:space="preserve"> to the 2001 E</w:t>
      </w:r>
      <w:r w:rsidR="00984138">
        <w:t>stimated Resident Population (5 </w:t>
      </w:r>
      <w:r>
        <w:t>year ranges from 18 years).</w:t>
      </w:r>
      <w:r w:rsidRPr="00323850">
        <w:rPr>
          <w:rStyle w:val="NoteLabel"/>
        </w:rPr>
        <w:t xml:space="preserve"> </w:t>
      </w:r>
      <w:r>
        <w:rPr>
          <w:rStyle w:val="NoteLabel"/>
        </w:rPr>
        <w:t xml:space="preserve">b </w:t>
      </w:r>
      <w:r>
        <w:t xml:space="preserve">A lower </w:t>
      </w:r>
      <w:proofErr w:type="spellStart"/>
      <w:r>
        <w:t>SEIFA</w:t>
      </w:r>
      <w:proofErr w:type="spellEnd"/>
      <w:r>
        <w:t xml:space="preserve"> quintile indicates relatively greater disadvantage and a lack of advantage in general. A higher </w:t>
      </w:r>
      <w:proofErr w:type="spellStart"/>
      <w:r>
        <w:t>SEIFA</w:t>
      </w:r>
      <w:proofErr w:type="spellEnd"/>
      <w:r>
        <w:t xml:space="preserve"> quintile indicates a relative lack of disadvantage and greater advantage in general.</w:t>
      </w:r>
      <w:r w:rsidRPr="00323850">
        <w:rPr>
          <w:rStyle w:val="NoteLabel"/>
        </w:rPr>
        <w:t xml:space="preserve"> </w:t>
      </w:r>
      <w:r>
        <w:rPr>
          <w:rStyle w:val="NoteLabel"/>
        </w:rPr>
        <w:t>c</w:t>
      </w:r>
      <w:r>
        <w:tab/>
        <w:t xml:space="preserve"> Total includes persons for whom an Index of disadvantage of residence score was not known.</w:t>
      </w:r>
      <w:r w:rsidRPr="00756D3E">
        <w:t xml:space="preserve"> </w:t>
      </w:r>
      <w:r w:rsidRPr="00756D3E">
        <w:rPr>
          <w:rStyle w:val="NoteLabel"/>
        </w:rPr>
        <w:t>d</w:t>
      </w:r>
      <w:r w:rsidRPr="00756D3E">
        <w:sym w:font="Symbol" w:char="F020"/>
      </w:r>
      <w:r w:rsidRPr="00756D3E">
        <w:t xml:space="preserve">Estimates with </w:t>
      </w:r>
      <w:proofErr w:type="spellStart"/>
      <w:r w:rsidRPr="00756D3E">
        <w:t>RSEs</w:t>
      </w:r>
      <w:proofErr w:type="spellEnd"/>
      <w:r w:rsidRPr="00756D3E">
        <w:t xml:space="preserve"> between 25 per cent and 50 per cent should be used with caution. Estimates with </w:t>
      </w:r>
      <w:proofErr w:type="spellStart"/>
      <w:r w:rsidRPr="00756D3E">
        <w:t>RSEs</w:t>
      </w:r>
      <w:proofErr w:type="spellEnd"/>
      <w:r w:rsidRPr="00756D3E">
        <w:t xml:space="preserve"> greater than 50 per cent are considered too unreliable </w:t>
      </w:r>
      <w:r w:rsidRPr="00E90284">
        <w:t>for general use.</w:t>
      </w:r>
      <w:r w:rsidR="009E7E9D" w:rsidRPr="00E90284">
        <w:rPr>
          <w:rStyle w:val="NoteLabel"/>
        </w:rPr>
        <w:t xml:space="preserve"> e</w:t>
      </w:r>
      <w:r w:rsidR="009E7E9D" w:rsidRPr="00E90284">
        <w:sym w:font="Symbol" w:char="F020"/>
      </w:r>
      <w:r w:rsidR="009E7E9D" w:rsidRPr="00E90284">
        <w:t>Data f</w:t>
      </w:r>
      <w:r w:rsidR="00654EBA" w:rsidRPr="00E90284">
        <w:t>o</w:t>
      </w:r>
      <w:r w:rsidR="009E7E9D" w:rsidRPr="00E90284">
        <w:t>r 2011-12 have been revised and differ from data published in the 2013 Report.</w:t>
      </w:r>
      <w:r w:rsidR="00DC293C" w:rsidRPr="00E90284">
        <w:rPr>
          <w:rStyle w:val="NoteLabel"/>
        </w:rPr>
        <w:t xml:space="preserve"> f</w:t>
      </w:r>
      <w:r w:rsidR="00DC293C" w:rsidRPr="00E90284">
        <w:sym w:font="Symbol" w:char="F020"/>
      </w:r>
      <w:r w:rsidR="00DC293C" w:rsidRPr="00E90284">
        <w:t xml:space="preserve">Data for the NT should be used with care </w:t>
      </w:r>
      <w:r w:rsidR="00714B09" w:rsidRPr="00E90284">
        <w:br/>
      </w:r>
      <w:r w:rsidR="00DC293C" w:rsidRPr="00E90284">
        <w:t xml:space="preserve">as exclusion of very remote areas from the Australian Health Survey translates to </w:t>
      </w:r>
      <w:r w:rsidR="00D2738A" w:rsidRPr="00E90284">
        <w:t>the exclusion of around 23 per </w:t>
      </w:r>
      <w:r w:rsidR="00DC293C" w:rsidRPr="00E90284">
        <w:t>cent of the NT population.</w:t>
      </w:r>
      <w:r w:rsidR="00DC293C" w:rsidRPr="00E90284">
        <w:tab/>
      </w:r>
    </w:p>
    <w:p w:rsidR="00060CFF" w:rsidRPr="00756D3E" w:rsidRDefault="00060CFF" w:rsidP="00766328">
      <w:pPr>
        <w:pStyle w:val="Source"/>
      </w:pPr>
      <w:r w:rsidRPr="00756D3E">
        <w:rPr>
          <w:i/>
        </w:rPr>
        <w:t>Source</w:t>
      </w:r>
      <w:r w:rsidRPr="00756D3E">
        <w:t xml:space="preserve">: </w:t>
      </w:r>
      <w:r w:rsidR="004D1B70" w:rsidRPr="00756D3E">
        <w:t xml:space="preserve">ABS (unpublished), </w:t>
      </w:r>
      <w:r w:rsidR="004D1B70">
        <w:rPr>
          <w:i/>
        </w:rPr>
        <w:t xml:space="preserve">Australian Health </w:t>
      </w:r>
      <w:r w:rsidR="004D1B70" w:rsidRPr="0027682D">
        <w:t>Survey</w:t>
      </w:r>
      <w:r w:rsidR="004D1B70">
        <w:t xml:space="preserve"> </w:t>
      </w:r>
      <w:r w:rsidR="004D1B70">
        <w:rPr>
          <w:i/>
        </w:rPr>
        <w:t>2011-13</w:t>
      </w:r>
      <w:r w:rsidR="004D1B70" w:rsidRPr="009E7E9D">
        <w:t xml:space="preserve"> (2011-12 </w:t>
      </w:r>
      <w:r w:rsidR="009E7E9D" w:rsidRPr="009E7E9D">
        <w:t>Core</w:t>
      </w:r>
      <w:r w:rsidR="004D1B70" w:rsidRPr="009E7E9D">
        <w:t xml:space="preserve"> component)</w:t>
      </w:r>
      <w:r w:rsidR="004D1B70">
        <w:rPr>
          <w:i/>
        </w:rPr>
        <w:t xml:space="preserve">; </w:t>
      </w:r>
      <w:r w:rsidR="004D1B70" w:rsidRPr="00756D3E">
        <w:t>ABS (unpublished)</w:t>
      </w:r>
      <w:r w:rsidR="004D1B70">
        <w:t xml:space="preserve"> </w:t>
      </w:r>
      <w:r w:rsidR="004D1B70" w:rsidRPr="0027682D">
        <w:rPr>
          <w:i/>
        </w:rPr>
        <w:t>National</w:t>
      </w:r>
      <w:r w:rsidR="004D1B70" w:rsidRPr="00756D3E">
        <w:rPr>
          <w:i/>
        </w:rPr>
        <w:t xml:space="preserve"> Health Survey </w:t>
      </w:r>
      <w:r w:rsidR="004D1B70" w:rsidRPr="009E7E9D">
        <w:rPr>
          <w:i/>
        </w:rPr>
        <w:t>2007-08</w:t>
      </w:r>
      <w:r w:rsidRPr="009E7E9D">
        <w:t>;</w:t>
      </w:r>
      <w:r w:rsidRPr="00756D3E">
        <w:t xml:space="preserve"> table</w:t>
      </w:r>
      <w:r w:rsidR="00773968" w:rsidRPr="00773968">
        <w:t xml:space="preserve"> </w:t>
      </w:r>
      <w:proofErr w:type="spellStart"/>
      <w:r w:rsidR="00773968" w:rsidRPr="00756D3E">
        <w:t>EA.</w:t>
      </w:r>
      <w:r w:rsidR="00773968">
        <w:t>19</w:t>
      </w:r>
      <w:proofErr w:type="spellEnd"/>
      <w:r w:rsidR="00773968">
        <w:t>.</w:t>
      </w:r>
    </w:p>
    <w:p w:rsidR="00F81A45" w:rsidRPr="00CF2797" w:rsidRDefault="007B012B" w:rsidP="00A26107">
      <w:pPr>
        <w:pStyle w:val="Heading5"/>
      </w:pPr>
      <w:r w:rsidRPr="00CF2797">
        <w:t>Levels of risky alcohol consumption</w:t>
      </w:r>
    </w:p>
    <w:p w:rsidR="00F81A45" w:rsidRPr="006F007C" w:rsidRDefault="00190220" w:rsidP="00A26107">
      <w:pPr>
        <w:pStyle w:val="BodyText"/>
      </w:pPr>
      <w:r>
        <w:t xml:space="preserve">The </w:t>
      </w:r>
      <w:r w:rsidRPr="00190220">
        <w:t xml:space="preserve">National Health </w:t>
      </w:r>
      <w:r w:rsidR="008D395B" w:rsidRPr="00190220">
        <w:t xml:space="preserve">and </w:t>
      </w:r>
      <w:r w:rsidRPr="00190220">
        <w:t xml:space="preserve">Medical Research Council </w:t>
      </w:r>
      <w:r>
        <w:t>(</w:t>
      </w:r>
      <w:proofErr w:type="spellStart"/>
      <w:r>
        <w:t>NHMRC</w:t>
      </w:r>
      <w:proofErr w:type="spellEnd"/>
      <w:r>
        <w:t xml:space="preserve">) reports that </w:t>
      </w:r>
      <w:r w:rsidRPr="00182BEE">
        <w:t xml:space="preserve">excessive </w:t>
      </w:r>
      <w:r w:rsidR="00F81A45" w:rsidRPr="00182BEE">
        <w:t xml:space="preserve">long term alcohol consumption increases the risk of heart disease, </w:t>
      </w:r>
      <w:r>
        <w:t>diabetes,</w:t>
      </w:r>
      <w:r w:rsidR="00F81A45" w:rsidRPr="00182BEE">
        <w:t xml:space="preserve"> liver cirrhosis and some types of cancers. </w:t>
      </w:r>
      <w:r w:rsidR="008D395B">
        <w:t>I</w:t>
      </w:r>
      <w:r w:rsidR="00F81A45" w:rsidRPr="00182BEE">
        <w:t>t can contribute to injury and death through accidents, violence, suicide and homicide</w:t>
      </w:r>
      <w:r w:rsidR="00F81A45">
        <w:t>,</w:t>
      </w:r>
      <w:r w:rsidR="00F81A45" w:rsidRPr="00182BEE">
        <w:t xml:space="preserve"> and also to financial problems, family breakdown, </w:t>
      </w:r>
      <w:r w:rsidR="00F81A45">
        <w:t xml:space="preserve">and </w:t>
      </w:r>
      <w:r w:rsidR="00F81A45" w:rsidRPr="00182BEE">
        <w:t xml:space="preserve">child abuse and </w:t>
      </w:r>
      <w:r w:rsidR="00F81A45" w:rsidRPr="006F007C">
        <w:t>neglect</w:t>
      </w:r>
      <w:r w:rsidR="00C17EA3" w:rsidRPr="006F007C">
        <w:t xml:space="preserve"> (</w:t>
      </w:r>
      <w:proofErr w:type="spellStart"/>
      <w:r w:rsidR="00C17EA3" w:rsidRPr="006F007C">
        <w:t>NHMRC</w:t>
      </w:r>
      <w:proofErr w:type="spellEnd"/>
      <w:r w:rsidR="00C17EA3" w:rsidRPr="006F007C">
        <w:t> 2009)</w:t>
      </w:r>
      <w:r w:rsidR="00F81A45" w:rsidRPr="006F007C">
        <w:t>.</w:t>
      </w:r>
    </w:p>
    <w:p w:rsidR="007360CA" w:rsidRDefault="00CF2797" w:rsidP="00A26107">
      <w:pPr>
        <w:pStyle w:val="BodyText"/>
      </w:pPr>
      <w:r w:rsidRPr="006F007C">
        <w:t>R</w:t>
      </w:r>
      <w:r w:rsidR="00DA7D6C" w:rsidRPr="006F007C">
        <w:t xml:space="preserve">ates are based on the 2009 </w:t>
      </w:r>
      <w:proofErr w:type="spellStart"/>
      <w:r w:rsidR="00DA7D6C" w:rsidRPr="006F007C">
        <w:t>NHMRC</w:t>
      </w:r>
      <w:proofErr w:type="spellEnd"/>
      <w:r w:rsidR="00DA7D6C" w:rsidRPr="006F007C">
        <w:t xml:space="preserve"> guidelines for reducing risks from drinking alcohol (</w:t>
      </w:r>
      <w:proofErr w:type="spellStart"/>
      <w:r w:rsidR="00DA7D6C" w:rsidRPr="006F007C">
        <w:t>NHMRC</w:t>
      </w:r>
      <w:proofErr w:type="spellEnd"/>
      <w:r w:rsidR="00DA7D6C" w:rsidRPr="006F007C">
        <w:t> 2009)</w:t>
      </w:r>
      <w:r w:rsidR="00474AE7" w:rsidRPr="006F007C">
        <w:t xml:space="preserve">. </w:t>
      </w:r>
      <w:r w:rsidR="00337AC0" w:rsidRPr="006F007C">
        <w:rPr>
          <w:shd w:val="clear" w:color="auto" w:fill="FFFFFF" w:themeFill="background1"/>
        </w:rPr>
        <w:t>Across Australia</w:t>
      </w:r>
      <w:r w:rsidR="00337AC0" w:rsidRPr="006F007C">
        <w:t xml:space="preserve">, </w:t>
      </w:r>
      <w:r w:rsidR="00474AE7" w:rsidRPr="006F007C">
        <w:t>19.4</w:t>
      </w:r>
      <w:r w:rsidR="008D2DF3" w:rsidRPr="006F007C">
        <w:t> </w:t>
      </w:r>
      <w:r w:rsidR="00F81A45" w:rsidRPr="006F007C">
        <w:t>per </w:t>
      </w:r>
      <w:r w:rsidR="00F81A45" w:rsidRPr="00D70904">
        <w:t xml:space="preserve">cent of adults were at </w:t>
      </w:r>
      <w:r w:rsidR="008A242E" w:rsidRPr="00D70904">
        <w:rPr>
          <w:lang w:val="en-US"/>
        </w:rPr>
        <w:t>risk of alcohol related harm over a lifetime</w:t>
      </w:r>
      <w:r w:rsidR="00F81A45" w:rsidRPr="00D70904">
        <w:t xml:space="preserve"> in 20</w:t>
      </w:r>
      <w:r w:rsidR="008D2DF3" w:rsidRPr="00D70904">
        <w:t>11</w:t>
      </w:r>
      <w:r w:rsidR="00F81A45" w:rsidRPr="00D70904">
        <w:t>-</w:t>
      </w:r>
      <w:r w:rsidR="008D2DF3" w:rsidRPr="00D70904">
        <w:t>12</w:t>
      </w:r>
      <w:r w:rsidR="0088289C" w:rsidRPr="00D70904">
        <w:t>,</w:t>
      </w:r>
      <w:r w:rsidR="0088289C">
        <w:t xml:space="preserve"> although t</w:t>
      </w:r>
      <w:r w:rsidR="00F81A45" w:rsidRPr="00182BEE">
        <w:t>he age standardised rates varied among jurisdictions (table </w:t>
      </w:r>
      <w:proofErr w:type="spellStart"/>
      <w:r w:rsidR="00F81A45" w:rsidRPr="00182BEE">
        <w:t>EA.</w:t>
      </w:r>
      <w:r w:rsidR="00773968">
        <w:t>2</w:t>
      </w:r>
      <w:r w:rsidR="00466E30">
        <w:t>2</w:t>
      </w:r>
      <w:proofErr w:type="spellEnd"/>
      <w:r w:rsidR="00F81A45" w:rsidRPr="00182BEE">
        <w:t xml:space="preserve">). </w:t>
      </w:r>
      <w:r w:rsidR="00FC24D9">
        <w:t>Ad</w:t>
      </w:r>
      <w:r w:rsidR="007360CA" w:rsidRPr="00182BEE">
        <w:t xml:space="preserve">ults </w:t>
      </w:r>
      <w:r w:rsidR="007360CA" w:rsidRPr="00D70904">
        <w:t xml:space="preserve">who are at </w:t>
      </w:r>
      <w:r w:rsidR="008A242E" w:rsidRPr="00D70904">
        <w:rPr>
          <w:lang w:val="en-US"/>
        </w:rPr>
        <w:t>risk of alcohol related harm over a lifetime</w:t>
      </w:r>
      <w:r w:rsidR="008A242E" w:rsidRPr="00D70904">
        <w:t xml:space="preserve"> </w:t>
      </w:r>
      <w:r w:rsidR="007360CA" w:rsidRPr="00D70904">
        <w:t>gradually decreased as remoteness of residence decreased in 20</w:t>
      </w:r>
      <w:r w:rsidR="00BF1E92" w:rsidRPr="00D70904">
        <w:t>11</w:t>
      </w:r>
      <w:r w:rsidR="00E17DC7" w:rsidRPr="00D70904">
        <w:noBreakHyphen/>
      </w:r>
      <w:r w:rsidR="00BF1E92" w:rsidRPr="00D70904">
        <w:t>12</w:t>
      </w:r>
      <w:r w:rsidR="00E17DC7" w:rsidRPr="00D70904">
        <w:t xml:space="preserve"> (</w:t>
      </w:r>
      <w:r w:rsidR="0066004B" w:rsidRPr="00D70904">
        <w:t xml:space="preserve">figure </w:t>
      </w:r>
      <w:proofErr w:type="spellStart"/>
      <w:r w:rsidR="0066004B" w:rsidRPr="00D70904">
        <w:t>E.7</w:t>
      </w:r>
      <w:proofErr w:type="spellEnd"/>
      <w:r w:rsidR="00E17DC7" w:rsidRPr="00D70904">
        <w:t xml:space="preserve">). </w:t>
      </w:r>
      <w:r w:rsidR="007E07E5" w:rsidRPr="00D70904">
        <w:t>There is no statistically significant</w:t>
      </w:r>
      <w:r w:rsidR="007E07E5">
        <w:t xml:space="preserve"> differ</w:t>
      </w:r>
      <w:r w:rsidR="009722F7">
        <w:t>ence between socio</w:t>
      </w:r>
      <w:r w:rsidR="007E07E5">
        <w:t xml:space="preserve">economic categories </w:t>
      </w:r>
      <w:r w:rsidR="00BE74CE">
        <w:t xml:space="preserve">of the proportion of </w:t>
      </w:r>
      <w:r w:rsidR="00BE74CE" w:rsidRPr="00C44CB2">
        <w:t xml:space="preserve">Australians at </w:t>
      </w:r>
      <w:r w:rsidR="008A242E" w:rsidRPr="00C44CB2">
        <w:rPr>
          <w:lang w:val="en-US"/>
        </w:rPr>
        <w:t>risk of alcohol related harm over a lifetime</w:t>
      </w:r>
      <w:r w:rsidR="008A242E" w:rsidRPr="00C44CB2">
        <w:t xml:space="preserve"> </w:t>
      </w:r>
      <w:r w:rsidR="007360CA" w:rsidRPr="00C44CB2">
        <w:t>(</w:t>
      </w:r>
      <w:r w:rsidR="007360CA" w:rsidRPr="00182BEE">
        <w:t>table </w:t>
      </w:r>
      <w:proofErr w:type="spellStart"/>
      <w:r w:rsidR="007360CA" w:rsidRPr="00182BEE">
        <w:t>EA.</w:t>
      </w:r>
      <w:r w:rsidR="003F5F53">
        <w:t>2</w:t>
      </w:r>
      <w:r w:rsidR="00466E30">
        <w:t>3</w:t>
      </w:r>
      <w:proofErr w:type="spellEnd"/>
      <w:r w:rsidR="007360CA" w:rsidRPr="00182BEE">
        <w:t>).</w:t>
      </w:r>
    </w:p>
    <w:p w:rsidR="00D137FE" w:rsidRPr="00D137FE" w:rsidRDefault="00D137FE" w:rsidP="00766328">
      <w:pPr>
        <w:pStyle w:val="FigureTitle"/>
        <w:rPr>
          <w:vertAlign w:val="superscript"/>
        </w:rPr>
      </w:pPr>
      <w:r>
        <w:rPr>
          <w:b w:val="0"/>
        </w:rPr>
        <w:lastRenderedPageBreak/>
        <w:t xml:space="preserve">Figure </w:t>
      </w:r>
      <w:proofErr w:type="spellStart"/>
      <w:r w:rsidR="00F156AA">
        <w:rPr>
          <w:b w:val="0"/>
        </w:rPr>
        <w:t>E.</w:t>
      </w:r>
      <w:r w:rsidR="00C01FBD">
        <w:rPr>
          <w:b w:val="0"/>
          <w:noProof/>
        </w:rPr>
        <w:t>7</w:t>
      </w:r>
      <w:proofErr w:type="spellEnd"/>
      <w:r>
        <w:tab/>
      </w:r>
      <w:r w:rsidRPr="00D137FE">
        <w:t xml:space="preserve">Proportion of adults at </w:t>
      </w:r>
      <w:r w:rsidR="008A242E" w:rsidRPr="008A242E">
        <w:rPr>
          <w:lang w:val="en-US"/>
        </w:rPr>
        <w:t>risk of alcohol related harm over a lifetime</w:t>
      </w:r>
      <w:r w:rsidRPr="00D137FE">
        <w:t>, by remoteness</w:t>
      </w:r>
      <w:r w:rsidR="00874D7E" w:rsidRPr="00CE5389">
        <w:t>, 2011-</w:t>
      </w:r>
      <w:proofErr w:type="spellStart"/>
      <w:r w:rsidR="00874D7E" w:rsidRPr="00CE5389">
        <w:t>12</w:t>
      </w:r>
      <w:r w:rsidRPr="00CE5389">
        <w:rPr>
          <w:vertAlign w:val="superscript"/>
        </w:rPr>
        <w:t>a</w:t>
      </w:r>
      <w:proofErr w:type="spellEnd"/>
      <w:r w:rsidRPr="00CE5389">
        <w:rPr>
          <w:vertAlign w:val="superscript"/>
        </w:rPr>
        <w:t>, b,</w:t>
      </w:r>
      <w:r>
        <w:rPr>
          <w:vertAlign w:val="superscript"/>
        </w:rPr>
        <w:t xml:space="preserve"> c</w:t>
      </w:r>
      <w:r w:rsidR="005E2824">
        <w:rPr>
          <w:vertAlign w:val="superscript"/>
        </w:rPr>
        <w:t>, d</w:t>
      </w:r>
      <w:r w:rsidR="006F412A">
        <w:rPr>
          <w:vertAlign w:val="superscript"/>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137FE" w:rsidRPr="00D137FE">
        <w:tc>
          <w:tcPr>
            <w:tcW w:w="8777" w:type="dxa"/>
          </w:tcPr>
          <w:p w:rsidR="00B14819" w:rsidRPr="00D137FE" w:rsidRDefault="001645A9" w:rsidP="00927809">
            <w:pPr>
              <w:pStyle w:val="Figure"/>
            </w:pPr>
            <w:r>
              <w:rPr>
                <w:noProof/>
              </w:rPr>
              <w:drawing>
                <wp:inline distT="0" distB="0" distL="0" distR="0" wp14:anchorId="1BB0C09E" wp14:editId="66DA3507">
                  <wp:extent cx="5454015" cy="2700020"/>
                  <wp:effectExtent l="0" t="0" r="0" b="5080"/>
                  <wp:docPr id="19" name="Picture 19" descr="Figure E.7 Proportion of adults at risk of alcohol related harm over a lifetime, by remotenes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4015" cy="2700020"/>
                          </a:xfrm>
                          <a:prstGeom prst="rect">
                            <a:avLst/>
                          </a:prstGeom>
                          <a:noFill/>
                          <a:ln>
                            <a:noFill/>
                          </a:ln>
                        </pic:spPr>
                      </pic:pic>
                    </a:graphicData>
                  </a:graphic>
                </wp:inline>
              </w:drawing>
            </w:r>
          </w:p>
        </w:tc>
      </w:tr>
    </w:tbl>
    <w:p w:rsidR="00D137FE" w:rsidRDefault="00D137FE" w:rsidP="00766328">
      <w:pPr>
        <w:pStyle w:val="Note"/>
      </w:pPr>
      <w:r>
        <w:rPr>
          <w:rStyle w:val="NoteLabel"/>
        </w:rPr>
        <w:t>a</w:t>
      </w:r>
      <w:r>
        <w:t xml:space="preserve"> Rates are based on the 2009 </w:t>
      </w:r>
      <w:proofErr w:type="spellStart"/>
      <w:r>
        <w:t>NHMRC</w:t>
      </w:r>
      <w:proofErr w:type="spellEnd"/>
      <w:r>
        <w:t xml:space="preserve"> guidelines and can be used for the purposes of comparisons over time. </w:t>
      </w:r>
      <w:r>
        <w:rPr>
          <w:rStyle w:val="NoteLabel"/>
        </w:rPr>
        <w:t>b</w:t>
      </w:r>
      <w:r>
        <w:t> Rates are age stan</w:t>
      </w:r>
      <w:r w:rsidR="004D1B70">
        <w:t>dardised by State and Territory</w:t>
      </w:r>
      <w:r>
        <w:t xml:space="preserve"> to the 2001 Estimated Resident Population (5 year ranges from 18 years). </w:t>
      </w:r>
      <w:r w:rsidR="005E2824" w:rsidRPr="00A0144A">
        <w:rPr>
          <w:rStyle w:val="NoteLabel"/>
        </w:rPr>
        <w:t>c</w:t>
      </w:r>
      <w:r w:rsidR="005E2824" w:rsidRPr="00A0144A">
        <w:t xml:space="preserve"> </w:t>
      </w:r>
      <w:r w:rsidR="005E2824" w:rsidRPr="00757E81">
        <w:t xml:space="preserve">There are no major cities in Tasmania; no outer regional or remote </w:t>
      </w:r>
      <w:r w:rsidR="005E2824" w:rsidRPr="00E90284">
        <w:t xml:space="preserve">areas in the ACT; no major cities or inner regional areas in the NT. </w:t>
      </w:r>
      <w:r w:rsidR="005E2824" w:rsidRPr="00E90284">
        <w:rPr>
          <w:rStyle w:val="NoteLabel"/>
        </w:rPr>
        <w:t>d</w:t>
      </w:r>
      <w:r w:rsidRPr="00E90284">
        <w:t> Very remote data were not collected.</w:t>
      </w:r>
      <w:r w:rsidR="00D53A34" w:rsidRPr="00E90284">
        <w:rPr>
          <w:color w:val="FF0000"/>
        </w:rPr>
        <w:t xml:space="preserve"> </w:t>
      </w:r>
      <w:r w:rsidR="006F412A" w:rsidRPr="00E90284">
        <w:rPr>
          <w:rStyle w:val="NoteLabel"/>
        </w:rPr>
        <w:t>e</w:t>
      </w:r>
      <w:r w:rsidR="00DC293C" w:rsidRPr="00E90284">
        <w:sym w:font="Symbol" w:char="F020"/>
      </w:r>
      <w:r w:rsidR="00DC293C" w:rsidRPr="00E90284">
        <w:t xml:space="preserve"> Data for the NT should be used with care as exclusion of very remote areas from the Australian Health Survey translates to </w:t>
      </w:r>
      <w:r w:rsidR="00CD26BE" w:rsidRPr="00E90284">
        <w:t xml:space="preserve">the </w:t>
      </w:r>
      <w:r w:rsidR="00DC293C" w:rsidRPr="00E90284">
        <w:t>exclusion of around 23 per cent of the NT population.</w:t>
      </w:r>
    </w:p>
    <w:p w:rsidR="00D137FE" w:rsidRDefault="00D137FE" w:rsidP="00766328">
      <w:pPr>
        <w:pStyle w:val="Source"/>
      </w:pPr>
      <w:r>
        <w:rPr>
          <w:i/>
        </w:rPr>
        <w:t>Source</w:t>
      </w:r>
      <w:r w:rsidRPr="00167F06">
        <w:t xml:space="preserve">: </w:t>
      </w:r>
      <w:r w:rsidRPr="00D137FE">
        <w:t>ABS (unpublished</w:t>
      </w:r>
      <w:r w:rsidRPr="0079595C">
        <w:rPr>
          <w:i/>
        </w:rPr>
        <w:t>) Australian Health Survey 2011</w:t>
      </w:r>
      <w:r w:rsidRPr="00CE5389">
        <w:rPr>
          <w:i/>
        </w:rPr>
        <w:t xml:space="preserve">-13 </w:t>
      </w:r>
      <w:r w:rsidRPr="00CE5389">
        <w:t xml:space="preserve">(2011-12 </w:t>
      </w:r>
      <w:r w:rsidR="005E063B" w:rsidRPr="005E063B">
        <w:t>(National Health Survey (</w:t>
      </w:r>
      <w:proofErr w:type="spellStart"/>
      <w:r w:rsidR="005E063B" w:rsidRPr="005E063B">
        <w:t>NHS</w:t>
      </w:r>
      <w:proofErr w:type="spellEnd"/>
      <w:r w:rsidR="005E063B" w:rsidRPr="005E063B">
        <w:t>)</w:t>
      </w:r>
      <w:r w:rsidRPr="00CE5389">
        <w:t xml:space="preserve"> component); ABS (unpublished) </w:t>
      </w:r>
      <w:r w:rsidRPr="00CE5389">
        <w:rPr>
          <w:i/>
        </w:rPr>
        <w:t>National Health Survey 2007-08</w:t>
      </w:r>
      <w:r w:rsidR="00874D7E" w:rsidRPr="00CE5389">
        <w:t>;</w:t>
      </w:r>
      <w:r w:rsidR="00874D7E">
        <w:t xml:space="preserve"> table </w:t>
      </w:r>
      <w:proofErr w:type="spellStart"/>
      <w:r w:rsidR="00874D7E">
        <w:t>EA.2</w:t>
      </w:r>
      <w:r w:rsidR="00466E30">
        <w:t>2</w:t>
      </w:r>
      <w:proofErr w:type="spellEnd"/>
      <w:r w:rsidR="00874D7E">
        <w:t>.</w:t>
      </w:r>
    </w:p>
    <w:p w:rsidR="00F81A45" w:rsidRPr="002D6A10" w:rsidRDefault="00F81A45" w:rsidP="009758A7">
      <w:pPr>
        <w:pStyle w:val="BodyText"/>
        <w:rPr>
          <w:rStyle w:val="DraftingNote"/>
        </w:rPr>
      </w:pPr>
      <w:r w:rsidRPr="00182BEE">
        <w:t xml:space="preserve">Nationally, the age standardised </w:t>
      </w:r>
      <w:r w:rsidRPr="00893797">
        <w:t xml:space="preserve">proportion of adults at </w:t>
      </w:r>
      <w:r w:rsidR="008A242E" w:rsidRPr="00893797">
        <w:rPr>
          <w:lang w:val="en-US"/>
        </w:rPr>
        <w:t>risk of alcohol related harm over a lifetime</w:t>
      </w:r>
      <w:r w:rsidRPr="00182BEE">
        <w:t xml:space="preserve"> </w:t>
      </w:r>
      <w:r w:rsidR="007360CA" w:rsidRPr="00E90284">
        <w:t>(200</w:t>
      </w:r>
      <w:r w:rsidR="001E5FCA" w:rsidRPr="00E90284">
        <w:t>9</w:t>
      </w:r>
      <w:r w:rsidR="007360CA" w:rsidRPr="00E90284">
        <w:t xml:space="preserve"> </w:t>
      </w:r>
      <w:proofErr w:type="spellStart"/>
      <w:r w:rsidR="007360CA" w:rsidRPr="00E90284">
        <w:t>NHMRC</w:t>
      </w:r>
      <w:proofErr w:type="spellEnd"/>
      <w:r w:rsidR="007360CA" w:rsidRPr="00E90284">
        <w:t xml:space="preserve"> guidelines) </w:t>
      </w:r>
      <w:r w:rsidRPr="00E90284">
        <w:t xml:space="preserve">was </w:t>
      </w:r>
      <w:r w:rsidR="00390BF1" w:rsidRPr="009758A7">
        <w:t>similar</w:t>
      </w:r>
      <w:r w:rsidRPr="00E90284">
        <w:t xml:space="preserve"> for </w:t>
      </w:r>
      <w:r w:rsidR="00550FB3" w:rsidRPr="00E90284">
        <w:t>Indigenous Australians</w:t>
      </w:r>
      <w:r w:rsidRPr="00E90284">
        <w:t xml:space="preserve"> </w:t>
      </w:r>
      <w:r w:rsidR="00390BF1">
        <w:t>(</w:t>
      </w:r>
      <w:r w:rsidR="00390BF1" w:rsidRPr="009758A7">
        <w:t>19.2</w:t>
      </w:r>
      <w:r w:rsidRPr="009758A7">
        <w:t> per cent</w:t>
      </w:r>
      <w:r w:rsidRPr="00E90284">
        <w:t xml:space="preserve">) </w:t>
      </w:r>
      <w:r w:rsidR="00390BF1">
        <w:t>and</w:t>
      </w:r>
      <w:r w:rsidRPr="00E90284">
        <w:t xml:space="preserve"> non</w:t>
      </w:r>
      <w:r w:rsidRPr="00E90284">
        <w:noBreakHyphen/>
      </w:r>
      <w:r w:rsidR="00550FB3" w:rsidRPr="00E90284">
        <w:t>Indigenous Australians</w:t>
      </w:r>
      <w:r w:rsidRPr="00E90284">
        <w:t xml:space="preserve"> (1</w:t>
      </w:r>
      <w:r w:rsidR="001E5FCA" w:rsidRPr="00E90284">
        <w:t>9</w:t>
      </w:r>
      <w:r w:rsidRPr="00E90284">
        <w:t>.5 per cent) in 20</w:t>
      </w:r>
      <w:r w:rsidR="001E5FCA" w:rsidRPr="00E90284">
        <w:t>11–13</w:t>
      </w:r>
      <w:r w:rsidR="00F671A6" w:rsidRPr="00E90284">
        <w:t xml:space="preserve">, </w:t>
      </w:r>
      <w:r w:rsidR="00ED5ED2" w:rsidRPr="00E90284">
        <w:t>although results</w:t>
      </w:r>
      <w:r w:rsidR="0079595C" w:rsidRPr="00E90284">
        <w:t xml:space="preserve"> varie</w:t>
      </w:r>
      <w:r w:rsidR="0079595C">
        <w:t>d across</w:t>
      </w:r>
      <w:r w:rsidR="00F671A6">
        <w:t xml:space="preserve"> jurisdiction</w:t>
      </w:r>
      <w:r w:rsidR="0079595C">
        <w:t>s</w:t>
      </w:r>
      <w:r w:rsidR="00CF2797">
        <w:t xml:space="preserve"> </w:t>
      </w:r>
      <w:r w:rsidRPr="00182BEE">
        <w:t xml:space="preserve">(table  </w:t>
      </w:r>
      <w:proofErr w:type="spellStart"/>
      <w:r w:rsidRPr="00182BEE">
        <w:t>EA.</w:t>
      </w:r>
      <w:r w:rsidR="003F5F53">
        <w:t>2</w:t>
      </w:r>
      <w:r w:rsidR="00466E30">
        <w:t>4</w:t>
      </w:r>
      <w:proofErr w:type="spellEnd"/>
      <w:r w:rsidR="00546018">
        <w:t>).</w:t>
      </w:r>
    </w:p>
    <w:p w:rsidR="005B15D5" w:rsidRDefault="00CF2797" w:rsidP="00CF2797">
      <w:pPr>
        <w:pStyle w:val="Heading4"/>
        <w:spacing w:before="360"/>
      </w:pPr>
      <w:r>
        <w:t xml:space="preserve">Selected </w:t>
      </w:r>
      <w:r w:rsidRPr="00757824">
        <w:t xml:space="preserve">potentially </w:t>
      </w:r>
      <w:r w:rsidR="005B15D5" w:rsidRPr="00757824">
        <w:t>preventable disease</w:t>
      </w:r>
      <w:r>
        <w:t>s</w:t>
      </w:r>
      <w:r w:rsidR="005B15D5" w:rsidRPr="00757824">
        <w:t xml:space="preserve"> </w:t>
      </w:r>
    </w:p>
    <w:p w:rsidR="00F83A64" w:rsidRDefault="00FA69C0" w:rsidP="00CF2797">
      <w:pPr>
        <w:pStyle w:val="BodyText"/>
      </w:pPr>
      <w:r w:rsidRPr="00A2654C">
        <w:t>‘</w:t>
      </w:r>
      <w:r w:rsidR="0012233D">
        <w:t>Selected p</w:t>
      </w:r>
      <w:r w:rsidRPr="00A2654C">
        <w:t>otentially preventable disease</w:t>
      </w:r>
      <w:r w:rsidR="00CF2797">
        <w:t>s</w:t>
      </w:r>
      <w:r w:rsidRPr="00A2654C">
        <w:t>’ is an indicator of governments’ objective that</w:t>
      </w:r>
      <w:r w:rsidR="009B7D28">
        <w:t xml:space="preserve"> </w:t>
      </w:r>
      <w:r w:rsidR="00FA00A8">
        <w:t>Australians are born and remain healthy</w:t>
      </w:r>
      <w:r w:rsidR="00834A6C">
        <w:t xml:space="preserve"> (</w:t>
      </w:r>
      <w:r w:rsidR="00834A6C" w:rsidRPr="00834A6C">
        <w:t xml:space="preserve">box </w:t>
      </w:r>
      <w:proofErr w:type="spellStart"/>
      <w:r w:rsidR="00F156AA">
        <w:t>E.</w:t>
      </w:r>
      <w:r w:rsidR="00F26397">
        <w:t>4</w:t>
      </w:r>
      <w:proofErr w:type="spellEnd"/>
      <w:r w:rsidR="00834A6C">
        <w:t>)</w:t>
      </w:r>
      <w:r w:rsidR="009B7D28">
        <w:t>.</w:t>
      </w:r>
    </w:p>
    <w:p w:rsidR="009B7D28" w:rsidRPr="00F83A64" w:rsidRDefault="00355B8F" w:rsidP="00CF2797">
      <w:pPr>
        <w:pStyle w:val="BodyText"/>
      </w:pPr>
      <w:r>
        <w:t>Selected p</w:t>
      </w:r>
      <w:r w:rsidRPr="00A2654C">
        <w:t xml:space="preserve">otentially preventable </w:t>
      </w:r>
      <w:r w:rsidRPr="00355B8F">
        <w:t>diseases</w:t>
      </w:r>
      <w:r>
        <w:t xml:space="preserve"> are diseases that can potentially be prevented through reducing</w:t>
      </w:r>
      <w:r w:rsidRPr="009C0312">
        <w:t xml:space="preserve"> health risk factors</w:t>
      </w:r>
      <w:r>
        <w:t xml:space="preserve"> such as obesity, smoking and harmful drinking. </w:t>
      </w:r>
      <w:r w:rsidR="00F83A64">
        <w:t xml:space="preserve">Note that a similarly named indicator ‘selected potentially preventable hospitalisations’ is reported in chapter 11 Primary and community health. Selected potentially preventable </w:t>
      </w:r>
      <w:r w:rsidR="00F83A64" w:rsidRPr="00F83A64">
        <w:rPr>
          <w:i/>
        </w:rPr>
        <w:t>hospitalisations</w:t>
      </w:r>
      <w:r w:rsidR="00F83A64">
        <w:t xml:space="preserve"> are </w:t>
      </w:r>
      <w:r w:rsidR="00F83A64" w:rsidRPr="00F83A64">
        <w:t>hospital admissions</w:t>
      </w:r>
      <w:r w:rsidR="009C0312">
        <w:t xml:space="preserve"> </w:t>
      </w:r>
      <w:r w:rsidR="00F83A64" w:rsidRPr="00F83A64">
        <w:t xml:space="preserve">that </w:t>
      </w:r>
      <w:r w:rsidR="009C0312">
        <w:t xml:space="preserve">could potentially be reduced </w:t>
      </w:r>
      <w:r w:rsidR="00F83A64" w:rsidRPr="00F83A64">
        <w:t xml:space="preserve">by </w:t>
      </w:r>
      <w:r w:rsidR="009C0312">
        <w:t xml:space="preserve">more </w:t>
      </w:r>
      <w:r w:rsidR="00F83A64" w:rsidRPr="00F83A64">
        <w:t xml:space="preserve">effective management of illness and injury in the primary </w:t>
      </w:r>
      <w:r w:rsidR="009C0312">
        <w:t>and community healthcare sector.</w:t>
      </w:r>
    </w:p>
    <w:p w:rsidR="007B012B" w:rsidRPr="007B012B" w:rsidRDefault="007B012B" w:rsidP="00CF2797">
      <w:pPr>
        <w:pStyle w:val="BoxSpace"/>
        <w:rPr>
          <w:color w:val="FF000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B012B" w:rsidRPr="0067725B" w:rsidTr="007B012B">
        <w:tc>
          <w:tcPr>
            <w:tcW w:w="8771" w:type="dxa"/>
            <w:tcBorders>
              <w:top w:val="single" w:sz="6" w:space="0" w:color="auto"/>
              <w:bottom w:val="nil"/>
            </w:tcBorders>
          </w:tcPr>
          <w:p w:rsidR="007B012B" w:rsidRPr="0067725B" w:rsidRDefault="007B012B" w:rsidP="00CF2797">
            <w:pPr>
              <w:pStyle w:val="BoxTitle"/>
            </w:pPr>
            <w:r w:rsidRPr="0067725B">
              <w:rPr>
                <w:b w:val="0"/>
              </w:rPr>
              <w:t xml:space="preserve">Box </w:t>
            </w:r>
            <w:bookmarkStart w:id="23" w:name="OLE_LINK16"/>
            <w:proofErr w:type="spellStart"/>
            <w:r w:rsidR="00F156AA">
              <w:rPr>
                <w:b w:val="0"/>
              </w:rPr>
              <w:t>E.</w:t>
            </w:r>
            <w:r w:rsidR="00C01FBD">
              <w:rPr>
                <w:b w:val="0"/>
                <w:noProof/>
              </w:rPr>
              <w:t>4</w:t>
            </w:r>
            <w:bookmarkEnd w:id="23"/>
            <w:proofErr w:type="spellEnd"/>
            <w:r w:rsidRPr="0067725B">
              <w:tab/>
            </w:r>
            <w:r w:rsidR="00CF2797">
              <w:t xml:space="preserve">Selected </w:t>
            </w:r>
            <w:r w:rsidR="00CF2797" w:rsidRPr="0067725B">
              <w:t xml:space="preserve">potentially </w:t>
            </w:r>
            <w:r w:rsidR="00AA431C" w:rsidRPr="0067725B">
              <w:t>preventable diseases</w:t>
            </w:r>
          </w:p>
        </w:tc>
      </w:tr>
      <w:tr w:rsidR="007B012B" w:rsidRPr="0067725B" w:rsidTr="007B012B">
        <w:trPr>
          <w:cantSplit/>
        </w:trPr>
        <w:tc>
          <w:tcPr>
            <w:tcW w:w="8771" w:type="dxa"/>
            <w:tcBorders>
              <w:top w:val="nil"/>
              <w:left w:val="single" w:sz="6" w:space="0" w:color="auto"/>
              <w:bottom w:val="nil"/>
              <w:right w:val="single" w:sz="6" w:space="0" w:color="auto"/>
            </w:tcBorders>
          </w:tcPr>
          <w:p w:rsidR="007B012B" w:rsidRPr="0067725B" w:rsidRDefault="007B012B" w:rsidP="00CF2797">
            <w:pPr>
              <w:pStyle w:val="Box"/>
            </w:pPr>
            <w:r w:rsidRPr="0067725B">
              <w:t>‘</w:t>
            </w:r>
            <w:r w:rsidR="00CF2797">
              <w:t xml:space="preserve">Selected </w:t>
            </w:r>
            <w:r w:rsidR="00CF2797" w:rsidRPr="0067725B">
              <w:t xml:space="preserve">potentially </w:t>
            </w:r>
            <w:r w:rsidR="00AA431C" w:rsidRPr="0067725B">
              <w:t>preventable diseases</w:t>
            </w:r>
            <w:r w:rsidRPr="0067725B">
              <w:t>’ is defined by the following measures:</w:t>
            </w:r>
          </w:p>
          <w:p w:rsidR="008D5FB8" w:rsidRDefault="00CE5A3F" w:rsidP="00CF2797">
            <w:pPr>
              <w:pStyle w:val="BoxListBullet"/>
            </w:pPr>
            <w:r w:rsidRPr="0067725B">
              <w:t>Incidence of selected cancers</w:t>
            </w:r>
            <w:r w:rsidR="00F20B36">
              <w:t xml:space="preserve"> </w:t>
            </w:r>
            <w:r w:rsidR="00DA0B0B">
              <w:t xml:space="preserve">— </w:t>
            </w:r>
            <w:r w:rsidR="00CF2797">
              <w:t>i</w:t>
            </w:r>
            <w:r w:rsidR="00DA0B0B">
              <w:t>ncidence of selected canc</w:t>
            </w:r>
            <w:r w:rsidR="00EE6F07">
              <w:t>ers of public health importance.</w:t>
            </w:r>
          </w:p>
          <w:p w:rsidR="008D5FB8" w:rsidRDefault="00DA0B0B" w:rsidP="00CF2797">
            <w:pPr>
              <w:pStyle w:val="BoxListBullet2"/>
            </w:pPr>
            <w:r>
              <w:t>For melanoma, lung and bowel cancer, the measure is defined as</w:t>
            </w:r>
            <w:r w:rsidR="008D5FB8">
              <w:t xml:space="preserve"> the </w:t>
            </w:r>
            <w:r>
              <w:t>number of new cases in the reported year</w:t>
            </w:r>
            <w:r w:rsidR="008D5FB8">
              <w:t xml:space="preserve"> </w:t>
            </w:r>
            <w:r>
              <w:t>expressed as a</w:t>
            </w:r>
            <w:r w:rsidR="00EE6F07">
              <w:t xml:space="preserve"> directly age standardised rate.</w:t>
            </w:r>
          </w:p>
          <w:p w:rsidR="00DA0B0B" w:rsidRDefault="00DA0B0B" w:rsidP="00CF2797">
            <w:pPr>
              <w:pStyle w:val="BoxListBullet2"/>
            </w:pPr>
            <w:r>
              <w:t>For breast and cervical cancer in females, the measure is defined as</w:t>
            </w:r>
            <w:r w:rsidR="008D5FB8">
              <w:t xml:space="preserve"> the</w:t>
            </w:r>
            <w:r>
              <w:t xml:space="preserve"> number of new cases in women in the reported year</w:t>
            </w:r>
            <w:r w:rsidR="009264AF">
              <w:t xml:space="preserve"> </w:t>
            </w:r>
            <w:r>
              <w:t xml:space="preserve">expressed as </w:t>
            </w:r>
            <w:r w:rsidR="00CF2797">
              <w:t>a directly age standardised rate</w:t>
            </w:r>
            <w:r w:rsidR="00EE6F07">
              <w:t>.</w:t>
            </w:r>
          </w:p>
          <w:p w:rsidR="009F7D75" w:rsidRDefault="009F7D75" w:rsidP="00E90284">
            <w:pPr>
              <w:pStyle w:val="BoxListBullet2"/>
            </w:pPr>
            <w:r>
              <w:t xml:space="preserve">Data </w:t>
            </w:r>
            <w:r w:rsidR="00806823" w:rsidRPr="00806823">
              <w:t xml:space="preserve">reported </w:t>
            </w:r>
            <w:r>
              <w:t>for this measure are:</w:t>
            </w:r>
          </w:p>
          <w:p w:rsidR="00DA0B0B" w:rsidRDefault="00806823" w:rsidP="00E90284">
            <w:pPr>
              <w:pStyle w:val="BoxListBullet3"/>
            </w:pPr>
            <w:r w:rsidRPr="00806823">
              <w:t xml:space="preserve">comparable (subject to caveats) </w:t>
            </w:r>
            <w:r>
              <w:t>across</w:t>
            </w:r>
            <w:r w:rsidRPr="00806823">
              <w:t xml:space="preserve"> jurisdictions</w:t>
            </w:r>
            <w:r>
              <w:t xml:space="preserve"> and</w:t>
            </w:r>
            <w:r w:rsidRPr="00806823">
              <w:t xml:space="preserve"> over time </w:t>
            </w:r>
            <w:r w:rsidR="00A01729">
              <w:t>except</w:t>
            </w:r>
            <w:r>
              <w:t xml:space="preserve"> for</w:t>
            </w:r>
            <w:r w:rsidRPr="00806823">
              <w:t xml:space="preserve"> </w:t>
            </w:r>
            <w:r>
              <w:t xml:space="preserve">NSW </w:t>
            </w:r>
            <w:r w:rsidR="00A01729">
              <w:t>and</w:t>
            </w:r>
            <w:r>
              <w:t xml:space="preserve"> the ACT, for which 2010 data are estimated</w:t>
            </w:r>
          </w:p>
          <w:p w:rsidR="00806823" w:rsidRDefault="00806823" w:rsidP="00E90284">
            <w:pPr>
              <w:pStyle w:val="BoxListBullet3"/>
            </w:pPr>
            <w:r w:rsidRPr="00806823">
              <w:t xml:space="preserve">incomplete for the current reporting period. </w:t>
            </w:r>
            <w:r>
              <w:t>D</w:t>
            </w:r>
            <w:r w:rsidRPr="00806823">
              <w:t xml:space="preserve">ata </w:t>
            </w:r>
            <w:r>
              <w:t xml:space="preserve">for 2010 </w:t>
            </w:r>
            <w:r w:rsidRPr="00806823">
              <w:t>were not available for</w:t>
            </w:r>
            <w:r>
              <w:t xml:space="preserve"> NSW or the ACT and estimates are reported for these jurisdictions.</w:t>
            </w:r>
          </w:p>
          <w:p w:rsidR="00587029" w:rsidRDefault="00CE5A3F" w:rsidP="00353AD3">
            <w:pPr>
              <w:pStyle w:val="BoxListBullet"/>
            </w:pPr>
            <w:r w:rsidRPr="0067725B">
              <w:t>Incidence of heart attacks</w:t>
            </w:r>
            <w:r w:rsidR="00587029" w:rsidRPr="0067725B">
              <w:t xml:space="preserve"> — </w:t>
            </w:r>
            <w:r w:rsidR="00353AD3" w:rsidRPr="00353AD3">
              <w:t xml:space="preserve">the number of deaths recorded as acute coronary heart disease deaths plus the number of non-fatal hospitalisations for acute myocardial infarction or unstable angina not ending in a transfer to another acute hospital, </w:t>
            </w:r>
            <w:r w:rsidR="009301E5">
              <w:t xml:space="preserve">expressed </w:t>
            </w:r>
            <w:r w:rsidR="00353AD3" w:rsidRPr="00353AD3">
              <w:t xml:space="preserve">as a </w:t>
            </w:r>
            <w:r w:rsidR="009301E5">
              <w:t>directly age-standardised rate</w:t>
            </w:r>
            <w:r w:rsidR="00587029" w:rsidRPr="0067725B">
              <w:t>.</w:t>
            </w:r>
          </w:p>
          <w:p w:rsidR="00622635" w:rsidRDefault="00806823" w:rsidP="008651C5">
            <w:pPr>
              <w:pStyle w:val="BoxListBullet2"/>
            </w:pPr>
            <w:r>
              <w:t xml:space="preserve">Data </w:t>
            </w:r>
            <w:r w:rsidRPr="00806823">
              <w:t xml:space="preserve">reported </w:t>
            </w:r>
            <w:r>
              <w:t>for this measure are</w:t>
            </w:r>
            <w:r w:rsidR="00622635">
              <w:t>:</w:t>
            </w:r>
          </w:p>
          <w:p w:rsidR="00806823" w:rsidRDefault="008B65DC" w:rsidP="008651C5">
            <w:pPr>
              <w:pStyle w:val="BoxListBullet3"/>
            </w:pPr>
            <w:r>
              <w:t>comparable</w:t>
            </w:r>
            <w:r w:rsidR="00806823">
              <w:t xml:space="preserve"> </w:t>
            </w:r>
            <w:r w:rsidR="00622635">
              <w:t xml:space="preserve">(subject to caveats) </w:t>
            </w:r>
            <w:r w:rsidR="00806823">
              <w:t>over time</w:t>
            </w:r>
            <w:r w:rsidR="00622635">
              <w:t xml:space="preserve"> at the national level</w:t>
            </w:r>
          </w:p>
          <w:p w:rsidR="00622635" w:rsidRDefault="000F6D9D" w:rsidP="008651C5">
            <w:pPr>
              <w:pStyle w:val="BoxListBullet3"/>
            </w:pPr>
            <w:r>
              <w:t>in</w:t>
            </w:r>
            <w:r w:rsidR="00622635">
              <w:t xml:space="preserve">complete </w:t>
            </w:r>
            <w:r>
              <w:t xml:space="preserve">for the current reporting period. Data are </w:t>
            </w:r>
            <w:r w:rsidR="00622635">
              <w:t xml:space="preserve">not </w:t>
            </w:r>
            <w:r w:rsidR="00A572D1">
              <w:t xml:space="preserve">currently </w:t>
            </w:r>
            <w:r w:rsidR="00622635">
              <w:t xml:space="preserve">available by State and Territory. </w:t>
            </w:r>
          </w:p>
          <w:p w:rsidR="00CE5A3F" w:rsidRDefault="00CE5A3F" w:rsidP="00CF2797">
            <w:pPr>
              <w:pStyle w:val="BoxListBullet"/>
            </w:pPr>
            <w:r w:rsidRPr="0067725B">
              <w:t xml:space="preserve">Prevalence of type 2 diabetes </w:t>
            </w:r>
            <w:r w:rsidR="00780D90">
              <w:t>—</w:t>
            </w:r>
            <w:r w:rsidR="00780D90" w:rsidRPr="0067725B">
              <w:t xml:space="preserve"> the number of </w:t>
            </w:r>
            <w:r w:rsidR="00780D90">
              <w:t xml:space="preserve">people </w:t>
            </w:r>
            <w:r w:rsidR="00780D90" w:rsidRPr="0067725B">
              <w:t xml:space="preserve">recorded as </w:t>
            </w:r>
            <w:r w:rsidR="00780D90">
              <w:t xml:space="preserve">having Type 2 diabetes </w:t>
            </w:r>
            <w:r w:rsidR="00780D90" w:rsidRPr="008651C5">
              <w:t xml:space="preserve">as a percentage of the </w:t>
            </w:r>
            <w:r w:rsidR="002C196C" w:rsidRPr="008651C5">
              <w:t xml:space="preserve">total </w:t>
            </w:r>
            <w:r w:rsidR="00780D90" w:rsidRPr="008651C5">
              <w:t>population</w:t>
            </w:r>
            <w:r w:rsidR="002C196C" w:rsidRPr="008651C5">
              <w:t xml:space="preserve"> aged 18 years or over</w:t>
            </w:r>
            <w:r w:rsidR="00DD0893">
              <w:t>.</w:t>
            </w:r>
          </w:p>
          <w:p w:rsidR="00806823" w:rsidRDefault="00806823" w:rsidP="00E90284">
            <w:pPr>
              <w:pStyle w:val="BoxListBullet2"/>
            </w:pPr>
            <w:r>
              <w:t xml:space="preserve">Data </w:t>
            </w:r>
            <w:r w:rsidRPr="00806823">
              <w:t xml:space="preserve">reported </w:t>
            </w:r>
            <w:r>
              <w:t>for this measure are:</w:t>
            </w:r>
          </w:p>
          <w:p w:rsidR="009B1E33" w:rsidRDefault="00806823" w:rsidP="00E90284">
            <w:pPr>
              <w:pStyle w:val="BoxListBullet3"/>
            </w:pPr>
            <w:r w:rsidRPr="00806823">
              <w:t xml:space="preserve">comparable </w:t>
            </w:r>
            <w:r>
              <w:t>across</w:t>
            </w:r>
            <w:r w:rsidRPr="00806823">
              <w:t xml:space="preserve"> jurisdictions</w:t>
            </w:r>
            <w:r>
              <w:t xml:space="preserve"> </w:t>
            </w:r>
            <w:r w:rsidR="009B1E33">
              <w:t>except</w:t>
            </w:r>
            <w:r w:rsidR="004C3DEA">
              <w:t xml:space="preserve"> for</w:t>
            </w:r>
            <w:r w:rsidR="009B1E33">
              <w:t xml:space="preserve"> the NT where people in very remote areas, for which data are not available, comprise around 23 per cent of the population (see caveats in attachment tables)</w:t>
            </w:r>
            <w:r w:rsidR="004C3DEA">
              <w:t xml:space="preserve"> but are </w:t>
            </w:r>
            <w:r w:rsidR="009B1E33">
              <w:t xml:space="preserve">not comparable over time </w:t>
            </w:r>
          </w:p>
          <w:p w:rsidR="00806823" w:rsidRPr="0067725B" w:rsidRDefault="00806823" w:rsidP="00E90284">
            <w:pPr>
              <w:pStyle w:val="BoxListBullet3"/>
            </w:pPr>
            <w:r w:rsidRPr="00806823">
              <w:t>complete for the current reporting period</w:t>
            </w:r>
            <w:r w:rsidR="009B1E33">
              <w:t xml:space="preserve"> except for the NT</w:t>
            </w:r>
            <w:r w:rsidRPr="00806823">
              <w:t xml:space="preserve">. </w:t>
            </w:r>
            <w:r>
              <w:t xml:space="preserve">All required </w:t>
            </w:r>
            <w:r w:rsidRPr="009F7D75">
              <w:t>2011</w:t>
            </w:r>
            <w:r w:rsidR="009B1E33">
              <w:t xml:space="preserve">–13 </w:t>
            </w:r>
            <w:r w:rsidRPr="009F7D75">
              <w:t xml:space="preserve">data </w:t>
            </w:r>
            <w:r>
              <w:t>are reported for all jurisdictions</w:t>
            </w:r>
            <w:r w:rsidR="009B1E33">
              <w:t xml:space="preserve"> except the NT</w:t>
            </w:r>
            <w:r>
              <w:t>.</w:t>
            </w:r>
          </w:p>
          <w:p w:rsidR="007B012B" w:rsidRDefault="007B012B" w:rsidP="00CF2797">
            <w:pPr>
              <w:pStyle w:val="Box"/>
            </w:pPr>
            <w:r w:rsidRPr="0067725B">
              <w:t xml:space="preserve">A low or decreasing rate is desirable for each </w:t>
            </w:r>
            <w:r w:rsidR="000C384A">
              <w:t>incidence/prevalence rate</w:t>
            </w:r>
            <w:r w:rsidRPr="0067725B">
              <w:t>.</w:t>
            </w:r>
          </w:p>
          <w:p w:rsidR="00B71D36" w:rsidRDefault="00B71D36" w:rsidP="00CF2797">
            <w:pPr>
              <w:pStyle w:val="Box"/>
            </w:pPr>
            <w:r w:rsidRPr="00B71D36">
              <w:t>Incidence is defined as the number of new cases in the reported year and is expressed as a rate of the relevant population.</w:t>
            </w:r>
          </w:p>
          <w:p w:rsidR="00300C7C" w:rsidRDefault="00FF2633" w:rsidP="00CF2797">
            <w:pPr>
              <w:pStyle w:val="Box"/>
            </w:pPr>
            <w:r w:rsidRPr="00E90284">
              <w:t>Prevalence is defined as the proportion of the population suffering from a disorder</w:t>
            </w:r>
            <w:r w:rsidRPr="00FF2633">
              <w:t>.</w:t>
            </w:r>
          </w:p>
          <w:p w:rsidR="007B012B" w:rsidRPr="004D1B70" w:rsidRDefault="00E17F56" w:rsidP="009B1E33">
            <w:pPr>
              <w:pStyle w:val="Box"/>
              <w:rPr>
                <w:color w:val="0000FF" w:themeColor="hyperlink"/>
                <w:u w:val="single"/>
              </w:rPr>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proofErr w:type="spellStart"/>
            <w:r w:rsidRPr="00A26107">
              <w:rPr>
                <w:rFonts w:cs="Arial"/>
                <w:szCs w:val="22"/>
              </w:rPr>
              <w:t>www.pc.gov.au</w:t>
            </w:r>
            <w:proofErr w:type="spellEnd"/>
            <w:r w:rsidRPr="00A26107">
              <w:rPr>
                <w:rFonts w:cs="Arial"/>
                <w:szCs w:val="22"/>
              </w:rPr>
              <w:t>/</w:t>
            </w:r>
            <w:proofErr w:type="spellStart"/>
            <w:r w:rsidRPr="00A26107">
              <w:rPr>
                <w:rFonts w:cs="Arial"/>
                <w:szCs w:val="22"/>
              </w:rPr>
              <w:t>gsp</w:t>
            </w:r>
            <w:proofErr w:type="spellEnd"/>
            <w:r w:rsidRPr="00A26107">
              <w:rPr>
                <w:rFonts w:cs="Arial"/>
                <w:szCs w:val="22"/>
              </w:rPr>
              <w:t>/reports/</w:t>
            </w:r>
            <w:proofErr w:type="spellStart"/>
            <w:r w:rsidRPr="00A26107">
              <w:rPr>
                <w:rFonts w:cs="Arial"/>
                <w:szCs w:val="22"/>
              </w:rPr>
              <w:t>rogs</w:t>
            </w:r>
            <w:proofErr w:type="spellEnd"/>
            <w:r w:rsidRPr="00A26107">
              <w:rPr>
                <w:rFonts w:cs="Arial"/>
                <w:szCs w:val="22"/>
              </w:rPr>
              <w:t>/201</w:t>
            </w:r>
            <w:r>
              <w:rPr>
                <w:rFonts w:cs="Arial"/>
                <w:szCs w:val="22"/>
              </w:rPr>
              <w:t>4</w:t>
            </w:r>
            <w:r w:rsidR="004D1B70" w:rsidRPr="00A26107">
              <w:t>.</w:t>
            </w:r>
          </w:p>
        </w:tc>
      </w:tr>
      <w:tr w:rsidR="007B012B" w:rsidRPr="0067725B" w:rsidTr="007B012B">
        <w:trPr>
          <w:cantSplit/>
        </w:trPr>
        <w:tc>
          <w:tcPr>
            <w:tcW w:w="8771" w:type="dxa"/>
            <w:tcBorders>
              <w:top w:val="nil"/>
              <w:left w:val="single" w:sz="6" w:space="0" w:color="auto"/>
              <w:bottom w:val="single" w:sz="6" w:space="0" w:color="auto"/>
              <w:right w:val="single" w:sz="6" w:space="0" w:color="auto"/>
            </w:tcBorders>
          </w:tcPr>
          <w:p w:rsidR="007B012B" w:rsidRPr="0067725B" w:rsidRDefault="007B012B" w:rsidP="00CF2797">
            <w:pPr>
              <w:pStyle w:val="Box"/>
              <w:spacing w:before="0" w:line="120" w:lineRule="exact"/>
            </w:pPr>
          </w:p>
        </w:tc>
      </w:tr>
      <w:tr w:rsidR="007B012B" w:rsidRPr="0067725B" w:rsidTr="007B012B">
        <w:tc>
          <w:tcPr>
            <w:tcW w:w="8771" w:type="dxa"/>
            <w:tcBorders>
              <w:top w:val="nil"/>
              <w:left w:val="nil"/>
              <w:bottom w:val="nil"/>
              <w:right w:val="nil"/>
            </w:tcBorders>
          </w:tcPr>
          <w:p w:rsidR="007B012B" w:rsidRPr="0067725B" w:rsidRDefault="007B012B" w:rsidP="00CF2797">
            <w:pPr>
              <w:pStyle w:val="Box"/>
              <w:keepNext w:val="0"/>
              <w:spacing w:before="60" w:after="60" w:line="80" w:lineRule="exact"/>
              <w:rPr>
                <w:b/>
                <w:sz w:val="14"/>
              </w:rPr>
            </w:pPr>
          </w:p>
        </w:tc>
      </w:tr>
    </w:tbl>
    <w:p w:rsidR="008D395B" w:rsidRPr="006F007C" w:rsidRDefault="008D395B" w:rsidP="008D395B">
      <w:pPr>
        <w:pStyle w:val="ListBullet"/>
        <w:numPr>
          <w:ilvl w:val="0"/>
          <w:numId w:val="0"/>
        </w:numPr>
      </w:pPr>
      <w:r>
        <w:t xml:space="preserve">As well as addressing health risk factors, well-planned disease prevention and early intervention programs help prevent a number of diseases (or more successfully treat </w:t>
      </w:r>
      <w:r w:rsidR="00F40CFD">
        <w:t xml:space="preserve">diseases </w:t>
      </w:r>
      <w:r>
        <w:t xml:space="preserve">through early identification). A number of programs form an important </w:t>
      </w:r>
      <w:r>
        <w:lastRenderedPageBreak/>
        <w:t xml:space="preserve">element of preventing disease and improving the health of </w:t>
      </w:r>
      <w:r w:rsidRPr="006F007C">
        <w:t>Australians (</w:t>
      </w:r>
      <w:proofErr w:type="spellStart"/>
      <w:r w:rsidRPr="006F007C">
        <w:rPr>
          <w:iCs/>
        </w:rPr>
        <w:t>NPHT</w:t>
      </w:r>
      <w:proofErr w:type="spellEnd"/>
      <w:r w:rsidRPr="006F007C">
        <w:rPr>
          <w:iCs/>
        </w:rPr>
        <w:t xml:space="preserve"> 2009), </w:t>
      </w:r>
      <w:r w:rsidRPr="006F007C">
        <w:t>such as:</w:t>
      </w:r>
    </w:p>
    <w:p w:rsidR="008D395B" w:rsidRDefault="008D395B" w:rsidP="008D395B">
      <w:pPr>
        <w:pStyle w:val="ListBullet"/>
      </w:pPr>
      <w:r>
        <w:t>immunisation</w:t>
      </w:r>
    </w:p>
    <w:p w:rsidR="008D395B" w:rsidRDefault="008D395B" w:rsidP="008D395B">
      <w:pPr>
        <w:pStyle w:val="ListBullet"/>
      </w:pPr>
      <w:r>
        <w:t>cancer screening and early treatment</w:t>
      </w:r>
    </w:p>
    <w:p w:rsidR="008D395B" w:rsidRPr="00766328" w:rsidRDefault="008D395B" w:rsidP="008D395B">
      <w:pPr>
        <w:pStyle w:val="ListBullet"/>
      </w:pPr>
      <w:r w:rsidRPr="00766328">
        <w:t>early detection and intervention</w:t>
      </w:r>
    </w:p>
    <w:p w:rsidR="008D395B" w:rsidRDefault="008D395B" w:rsidP="008D395B">
      <w:pPr>
        <w:pStyle w:val="ListBullet"/>
      </w:pPr>
      <w:r>
        <w:t>individual disease risk assessments and early intervention for biomedical risk factors such as: high blood pressure, high blood cholesterol, or impaired glucose tolerance</w:t>
      </w:r>
    </w:p>
    <w:p w:rsidR="008D395B" w:rsidRDefault="008D395B" w:rsidP="008D395B">
      <w:pPr>
        <w:pStyle w:val="ListBullet"/>
      </w:pPr>
      <w:r>
        <w:t>childhood infectious diseases control</w:t>
      </w:r>
    </w:p>
    <w:p w:rsidR="008D395B" w:rsidRDefault="008D395B" w:rsidP="00CA40E7">
      <w:pPr>
        <w:pStyle w:val="ListBullet"/>
      </w:pPr>
      <w:r>
        <w:t xml:space="preserve">sexually </w:t>
      </w:r>
      <w:r w:rsidR="00F83A64">
        <w:t>transmitted infections control.</w:t>
      </w:r>
    </w:p>
    <w:p w:rsidR="00F20B36" w:rsidRPr="00754CB8" w:rsidRDefault="00F20B36" w:rsidP="00F96A38">
      <w:pPr>
        <w:pStyle w:val="Heading5"/>
        <w:rPr>
          <w:color w:val="FF0000"/>
        </w:rPr>
      </w:pPr>
      <w:r w:rsidRPr="005D28A3">
        <w:t xml:space="preserve">Incidence of selected cancers </w:t>
      </w:r>
    </w:p>
    <w:p w:rsidR="00475C8F" w:rsidRDefault="00E64413" w:rsidP="00A26107">
      <w:pPr>
        <w:pStyle w:val="BodyText"/>
        <w:rPr>
          <w:lang w:val="en"/>
        </w:rPr>
      </w:pPr>
      <w:r>
        <w:rPr>
          <w:lang w:val="en"/>
        </w:rPr>
        <w:t xml:space="preserve">Health service </w:t>
      </w:r>
      <w:r w:rsidRPr="007E5EC5">
        <w:rPr>
          <w:lang w:val="en"/>
        </w:rPr>
        <w:t>ef</w:t>
      </w:r>
      <w:r>
        <w:rPr>
          <w:lang w:val="en"/>
        </w:rPr>
        <w:t xml:space="preserve">forts </w:t>
      </w:r>
      <w:r w:rsidR="00475C8F">
        <w:rPr>
          <w:lang w:val="en"/>
        </w:rPr>
        <w:t xml:space="preserve">to control cancer </w:t>
      </w:r>
      <w:r w:rsidR="00475C8F" w:rsidRPr="006F007C">
        <w:rPr>
          <w:lang w:val="en"/>
        </w:rPr>
        <w:t>involve</w:t>
      </w:r>
      <w:r w:rsidR="00D97E41" w:rsidRPr="006F007C">
        <w:rPr>
          <w:lang w:val="en"/>
        </w:rPr>
        <w:t xml:space="preserve"> (</w:t>
      </w:r>
      <w:proofErr w:type="spellStart"/>
      <w:r w:rsidR="00D97E41" w:rsidRPr="006F007C">
        <w:rPr>
          <w:lang w:val="en"/>
        </w:rPr>
        <w:t>AIHW</w:t>
      </w:r>
      <w:proofErr w:type="spellEnd"/>
      <w:r w:rsidR="00D97E41" w:rsidRPr="006F007C">
        <w:rPr>
          <w:lang w:val="en"/>
        </w:rPr>
        <w:t> </w:t>
      </w:r>
      <w:proofErr w:type="spellStart"/>
      <w:r w:rsidR="00D97E41" w:rsidRPr="006F007C">
        <w:rPr>
          <w:lang w:val="en"/>
        </w:rPr>
        <w:t>201</w:t>
      </w:r>
      <w:r w:rsidR="00937324" w:rsidRPr="006F007C">
        <w:rPr>
          <w:lang w:val="en"/>
        </w:rPr>
        <w:t>3c</w:t>
      </w:r>
      <w:proofErr w:type="spellEnd"/>
      <w:r w:rsidR="00D97E41" w:rsidRPr="006F007C">
        <w:rPr>
          <w:lang w:val="en"/>
        </w:rPr>
        <w:t>)</w:t>
      </w:r>
      <w:r w:rsidR="00475C8F" w:rsidRPr="006F007C">
        <w:rPr>
          <w:lang w:val="en"/>
        </w:rPr>
        <w:t>:</w:t>
      </w:r>
    </w:p>
    <w:p w:rsidR="00D97E41" w:rsidRDefault="00985178" w:rsidP="00A26107">
      <w:pPr>
        <w:pStyle w:val="ListBullet"/>
        <w:rPr>
          <w:lang w:val="en"/>
        </w:rPr>
      </w:pPr>
      <w:r w:rsidRPr="00D97E41">
        <w:rPr>
          <w:i/>
          <w:lang w:val="en"/>
        </w:rPr>
        <w:t>public health programs</w:t>
      </w:r>
      <w:r w:rsidRPr="00D97E41">
        <w:rPr>
          <w:lang w:val="en"/>
        </w:rPr>
        <w:t xml:space="preserve"> — programs to reduce the major risk factors; tobacco consumption, poor diet, insufficient physical activity, being overweight or obese, unsafe alcohol use, infectious diseases and exposure to ultraviolet radiation</w:t>
      </w:r>
    </w:p>
    <w:p w:rsidR="007E5EC5" w:rsidRPr="00D97E41" w:rsidRDefault="00266E0A" w:rsidP="00A26107">
      <w:pPr>
        <w:pStyle w:val="ListBullet"/>
        <w:rPr>
          <w:lang w:val="en"/>
        </w:rPr>
      </w:pPr>
      <w:r w:rsidRPr="00D97E41">
        <w:rPr>
          <w:i/>
          <w:lang w:val="en"/>
        </w:rPr>
        <w:t xml:space="preserve">early </w:t>
      </w:r>
      <w:r w:rsidR="007E5EC5" w:rsidRPr="00D97E41">
        <w:rPr>
          <w:i/>
          <w:lang w:val="en"/>
        </w:rPr>
        <w:t>detection</w:t>
      </w:r>
      <w:r w:rsidR="007E5EC5" w:rsidRPr="00D97E41">
        <w:rPr>
          <w:lang w:val="en"/>
        </w:rPr>
        <w:t xml:space="preserve"> </w:t>
      </w:r>
      <w:r w:rsidR="00D97E41">
        <w:rPr>
          <w:lang w:val="en"/>
        </w:rPr>
        <w:t xml:space="preserve">— </w:t>
      </w:r>
      <w:r w:rsidR="007E5EC5" w:rsidRPr="00D97E41">
        <w:rPr>
          <w:lang w:val="en"/>
        </w:rPr>
        <w:t xml:space="preserve">screening programs for cancers in Australia have contributed to substantial declines in associated mortality. Screening can also help prevent the development of cancer if changes can be </w:t>
      </w:r>
      <w:r w:rsidR="005D6175">
        <w:rPr>
          <w:lang w:val="en"/>
        </w:rPr>
        <w:t>found before they become cancer</w:t>
      </w:r>
    </w:p>
    <w:p w:rsidR="00CF2797" w:rsidRDefault="00CF2797" w:rsidP="00A26107">
      <w:pPr>
        <w:pStyle w:val="ListBullet"/>
        <w:rPr>
          <w:lang w:val="en"/>
        </w:rPr>
      </w:pPr>
      <w:r w:rsidRPr="00E64413">
        <w:rPr>
          <w:i/>
          <w:lang w:val="en"/>
        </w:rPr>
        <w:t>research support</w:t>
      </w:r>
      <w:r>
        <w:rPr>
          <w:i/>
          <w:lang w:val="en"/>
        </w:rPr>
        <w:t xml:space="preserve"> </w:t>
      </w:r>
      <w:r>
        <w:rPr>
          <w:lang w:val="en"/>
        </w:rPr>
        <w:t xml:space="preserve">— such as </w:t>
      </w:r>
      <w:r w:rsidRPr="007E5EC5">
        <w:rPr>
          <w:lang w:val="en"/>
        </w:rPr>
        <w:t>provided through the National Health and Medical Research Council</w:t>
      </w:r>
      <w:r w:rsidR="00266E0A">
        <w:rPr>
          <w:lang w:val="en"/>
        </w:rPr>
        <w:t>.</w:t>
      </w:r>
    </w:p>
    <w:p w:rsidR="00677478" w:rsidRPr="00677478" w:rsidRDefault="00072C3A" w:rsidP="00A26107">
      <w:pPr>
        <w:pStyle w:val="BodyText"/>
        <w:rPr>
          <w:rStyle w:val="DraftingNote"/>
          <w:b w:val="0"/>
          <w:color w:val="auto"/>
          <w:sz w:val="26"/>
          <w:u w:val="none"/>
          <w:shd w:val="clear" w:color="auto" w:fill="FFFFFF" w:themeFill="background1"/>
        </w:rPr>
      </w:pPr>
      <w:r w:rsidRPr="00754CB8">
        <w:rPr>
          <w:rStyle w:val="DraftingNote"/>
          <w:b w:val="0"/>
          <w:color w:val="auto"/>
          <w:sz w:val="26"/>
          <w:u w:val="none"/>
        </w:rPr>
        <w:t>Nationally, the age standardised rate of lung cancer was</w:t>
      </w:r>
      <w:r w:rsidR="002F5C83" w:rsidRPr="00754CB8">
        <w:rPr>
          <w:rStyle w:val="DraftingNote"/>
          <w:b w:val="0"/>
          <w:color w:val="auto"/>
          <w:sz w:val="26"/>
          <w:u w:val="none"/>
        </w:rPr>
        <w:t xml:space="preserve"> </w:t>
      </w:r>
      <w:r w:rsidR="00754CB8" w:rsidRPr="00754CB8">
        <w:rPr>
          <w:rStyle w:val="DraftingNote"/>
          <w:b w:val="0"/>
          <w:color w:val="auto"/>
          <w:sz w:val="26"/>
          <w:u w:val="none"/>
        </w:rPr>
        <w:t>42</w:t>
      </w:r>
      <w:r w:rsidR="002F5C83" w:rsidRPr="00754CB8">
        <w:rPr>
          <w:rStyle w:val="DraftingNote"/>
          <w:b w:val="0"/>
          <w:color w:val="auto"/>
          <w:sz w:val="26"/>
          <w:u w:val="none"/>
        </w:rPr>
        <w:t>.</w:t>
      </w:r>
      <w:r w:rsidR="00754CB8" w:rsidRPr="00754CB8">
        <w:rPr>
          <w:rStyle w:val="DraftingNote"/>
          <w:b w:val="0"/>
          <w:color w:val="auto"/>
          <w:sz w:val="26"/>
          <w:u w:val="none"/>
        </w:rPr>
        <w:t>8</w:t>
      </w:r>
      <w:r w:rsidR="002C31C9" w:rsidRPr="00754CB8">
        <w:rPr>
          <w:rStyle w:val="DraftingNote"/>
          <w:b w:val="0"/>
          <w:sz w:val="26"/>
          <w:u w:val="none"/>
        </w:rPr>
        <w:t xml:space="preserve"> </w:t>
      </w:r>
      <w:r w:rsidRPr="00754CB8">
        <w:rPr>
          <w:rStyle w:val="DraftingNote"/>
          <w:b w:val="0"/>
          <w:color w:val="auto"/>
          <w:sz w:val="26"/>
          <w:u w:val="none"/>
        </w:rPr>
        <w:t>new cases per 100</w:t>
      </w:r>
      <w:r w:rsidR="002C31C9" w:rsidRPr="00754CB8">
        <w:rPr>
          <w:rStyle w:val="DraftingNote"/>
          <w:b w:val="0"/>
          <w:color w:val="auto"/>
          <w:sz w:val="26"/>
          <w:u w:val="none"/>
        </w:rPr>
        <w:t> </w:t>
      </w:r>
      <w:r w:rsidRPr="00754CB8">
        <w:rPr>
          <w:rStyle w:val="DraftingNote"/>
          <w:b w:val="0"/>
          <w:color w:val="auto"/>
          <w:sz w:val="26"/>
          <w:u w:val="none"/>
        </w:rPr>
        <w:t>000 people in 20</w:t>
      </w:r>
      <w:r w:rsidR="00754CB8" w:rsidRPr="00754CB8">
        <w:rPr>
          <w:rStyle w:val="DraftingNote"/>
          <w:b w:val="0"/>
          <w:color w:val="auto"/>
          <w:sz w:val="26"/>
          <w:u w:val="none"/>
        </w:rPr>
        <w:t>1</w:t>
      </w:r>
      <w:r w:rsidRPr="00754CB8">
        <w:rPr>
          <w:rStyle w:val="DraftingNote"/>
          <w:b w:val="0"/>
          <w:color w:val="auto"/>
          <w:sz w:val="26"/>
          <w:u w:val="none"/>
        </w:rPr>
        <w:t>0. Bowel cancer, which has been linked to diet, occurred at a rate of</w:t>
      </w:r>
      <w:r w:rsidR="002F5C83" w:rsidRPr="00754CB8">
        <w:rPr>
          <w:rStyle w:val="DraftingNote"/>
          <w:b w:val="0"/>
          <w:color w:val="auto"/>
          <w:sz w:val="26"/>
          <w:u w:val="none"/>
        </w:rPr>
        <w:t xml:space="preserve"> 61.</w:t>
      </w:r>
      <w:r w:rsidR="00754CB8" w:rsidRPr="00754CB8">
        <w:rPr>
          <w:rStyle w:val="DraftingNote"/>
          <w:b w:val="0"/>
          <w:color w:val="auto"/>
          <w:sz w:val="26"/>
          <w:u w:val="none"/>
        </w:rPr>
        <w:t>8</w:t>
      </w:r>
      <w:r w:rsidR="002F5C83" w:rsidRPr="00754CB8">
        <w:rPr>
          <w:rStyle w:val="DraftingNote"/>
          <w:b w:val="0"/>
          <w:color w:val="auto"/>
          <w:sz w:val="26"/>
          <w:u w:val="none"/>
        </w:rPr>
        <w:t> </w:t>
      </w:r>
      <w:r w:rsidRPr="00754CB8">
        <w:rPr>
          <w:rStyle w:val="DraftingNote"/>
          <w:b w:val="0"/>
          <w:color w:val="auto"/>
          <w:sz w:val="26"/>
          <w:u w:val="none"/>
        </w:rPr>
        <w:t>new cases per 100</w:t>
      </w:r>
      <w:r w:rsidR="002C31C9" w:rsidRPr="00754CB8">
        <w:rPr>
          <w:rStyle w:val="DraftingNote"/>
          <w:b w:val="0"/>
          <w:color w:val="auto"/>
          <w:sz w:val="26"/>
          <w:u w:val="none"/>
        </w:rPr>
        <w:t> </w:t>
      </w:r>
      <w:r w:rsidRPr="00754CB8">
        <w:rPr>
          <w:rStyle w:val="DraftingNote"/>
          <w:b w:val="0"/>
          <w:color w:val="auto"/>
          <w:sz w:val="26"/>
          <w:u w:val="none"/>
        </w:rPr>
        <w:t>000 people in 20</w:t>
      </w:r>
      <w:r w:rsidR="00754CB8" w:rsidRPr="00754CB8">
        <w:rPr>
          <w:rStyle w:val="DraftingNote"/>
          <w:b w:val="0"/>
          <w:color w:val="auto"/>
          <w:sz w:val="26"/>
          <w:u w:val="none"/>
        </w:rPr>
        <w:t>1</w:t>
      </w:r>
      <w:r w:rsidRPr="00754CB8">
        <w:rPr>
          <w:rStyle w:val="DraftingNote"/>
          <w:b w:val="0"/>
          <w:color w:val="auto"/>
          <w:sz w:val="26"/>
          <w:u w:val="none"/>
        </w:rPr>
        <w:t>0</w:t>
      </w:r>
      <w:r w:rsidR="00C351FF" w:rsidRPr="00754CB8">
        <w:rPr>
          <w:rStyle w:val="DraftingNote"/>
          <w:b w:val="0"/>
          <w:color w:val="auto"/>
          <w:sz w:val="26"/>
          <w:u w:val="none"/>
        </w:rPr>
        <w:t xml:space="preserve"> (table </w:t>
      </w:r>
      <w:proofErr w:type="spellStart"/>
      <w:r w:rsidR="00C351FF" w:rsidRPr="00754CB8">
        <w:rPr>
          <w:rStyle w:val="DraftingNote"/>
          <w:b w:val="0"/>
          <w:color w:val="auto"/>
          <w:sz w:val="26"/>
          <w:u w:val="none"/>
        </w:rPr>
        <w:t>EA.2</w:t>
      </w:r>
      <w:r w:rsidR="00773968">
        <w:rPr>
          <w:rStyle w:val="DraftingNote"/>
          <w:b w:val="0"/>
          <w:color w:val="auto"/>
          <w:sz w:val="26"/>
          <w:u w:val="none"/>
        </w:rPr>
        <w:t>4</w:t>
      </w:r>
      <w:proofErr w:type="spellEnd"/>
      <w:r w:rsidR="00C351FF" w:rsidRPr="00754CB8">
        <w:rPr>
          <w:rStyle w:val="DraftingNote"/>
          <w:b w:val="0"/>
          <w:color w:val="auto"/>
          <w:sz w:val="26"/>
          <w:u w:val="none"/>
        </w:rPr>
        <w:t>)</w:t>
      </w:r>
      <w:r w:rsidRPr="00754CB8">
        <w:rPr>
          <w:rStyle w:val="DraftingNote"/>
          <w:b w:val="0"/>
          <w:color w:val="auto"/>
          <w:sz w:val="26"/>
          <w:u w:val="none"/>
        </w:rPr>
        <w:t>. Other cancers such as melanoma are also preventable. The incidence of these cancers for 20</w:t>
      </w:r>
      <w:r w:rsidR="00754CB8" w:rsidRPr="00754CB8">
        <w:rPr>
          <w:rStyle w:val="DraftingNote"/>
          <w:b w:val="0"/>
          <w:color w:val="auto"/>
          <w:sz w:val="26"/>
          <w:u w:val="none"/>
        </w:rPr>
        <w:t>1</w:t>
      </w:r>
      <w:r w:rsidRPr="00754CB8">
        <w:rPr>
          <w:rStyle w:val="DraftingNote"/>
          <w:b w:val="0"/>
          <w:color w:val="auto"/>
          <w:sz w:val="26"/>
          <w:u w:val="none"/>
        </w:rPr>
        <w:t>0, along with breast and cervical cancer, are reported in</w:t>
      </w:r>
      <w:r w:rsidR="004F004E" w:rsidRPr="00754CB8">
        <w:rPr>
          <w:rStyle w:val="DraftingNote"/>
          <w:b w:val="0"/>
          <w:color w:val="auto"/>
          <w:sz w:val="26"/>
          <w:u w:val="none"/>
        </w:rPr>
        <w:t xml:space="preserve"> figure</w:t>
      </w:r>
      <w:r w:rsidR="004F004E">
        <w:rPr>
          <w:rStyle w:val="DraftingNote"/>
          <w:b w:val="0"/>
          <w:color w:val="auto"/>
          <w:sz w:val="26"/>
          <w:u w:val="none"/>
        </w:rPr>
        <w:t xml:space="preserve"> </w:t>
      </w:r>
      <w:proofErr w:type="spellStart"/>
      <w:r w:rsidR="004F004E">
        <w:rPr>
          <w:rStyle w:val="DraftingNote"/>
          <w:b w:val="0"/>
          <w:color w:val="auto"/>
          <w:sz w:val="26"/>
          <w:u w:val="none"/>
        </w:rPr>
        <w:t>E.8</w:t>
      </w:r>
      <w:proofErr w:type="spellEnd"/>
      <w:r w:rsidR="004F004E">
        <w:rPr>
          <w:rStyle w:val="DraftingNote"/>
          <w:b w:val="0"/>
          <w:color w:val="auto"/>
          <w:sz w:val="26"/>
          <w:u w:val="none"/>
        </w:rPr>
        <w:t xml:space="preserve">. </w:t>
      </w:r>
      <w:r w:rsidR="00A2207D" w:rsidRPr="00766328">
        <w:rPr>
          <w:rStyle w:val="DraftingNote"/>
          <w:b w:val="0"/>
          <w:color w:val="auto"/>
          <w:sz w:val="26"/>
          <w:u w:val="none"/>
          <w:shd w:val="clear" w:color="auto" w:fill="FFFFFF" w:themeFill="background1"/>
        </w:rPr>
        <w:t>T</w:t>
      </w:r>
      <w:r w:rsidRPr="00766328">
        <w:rPr>
          <w:rStyle w:val="DraftingNote"/>
          <w:b w:val="0"/>
          <w:color w:val="auto"/>
          <w:sz w:val="26"/>
          <w:u w:val="none"/>
          <w:shd w:val="clear" w:color="auto" w:fill="FFFFFF" w:themeFill="background1"/>
        </w:rPr>
        <w:t xml:space="preserve">ables </w:t>
      </w:r>
      <w:proofErr w:type="spellStart"/>
      <w:r w:rsidRPr="00766328">
        <w:rPr>
          <w:rStyle w:val="DraftingNote"/>
          <w:b w:val="0"/>
          <w:color w:val="auto"/>
          <w:sz w:val="26"/>
          <w:u w:val="none"/>
          <w:shd w:val="clear" w:color="auto" w:fill="FFFFFF" w:themeFill="background1"/>
        </w:rPr>
        <w:t>EA.</w:t>
      </w:r>
      <w:r w:rsidR="005D28A3" w:rsidRPr="00766328">
        <w:rPr>
          <w:rStyle w:val="DraftingNote"/>
          <w:b w:val="0"/>
          <w:color w:val="auto"/>
          <w:sz w:val="26"/>
          <w:u w:val="none"/>
          <w:shd w:val="clear" w:color="auto" w:fill="FFFFFF" w:themeFill="background1"/>
        </w:rPr>
        <w:t>2</w:t>
      </w:r>
      <w:r w:rsidR="00CB590D">
        <w:rPr>
          <w:rStyle w:val="DraftingNote"/>
          <w:b w:val="0"/>
          <w:color w:val="auto"/>
          <w:sz w:val="26"/>
          <w:u w:val="none"/>
          <w:shd w:val="clear" w:color="auto" w:fill="FFFFFF" w:themeFill="background1"/>
        </w:rPr>
        <w:t>6</w:t>
      </w:r>
      <w:proofErr w:type="spellEnd"/>
      <w:r w:rsidRPr="00766328">
        <w:rPr>
          <w:rStyle w:val="DraftingNote"/>
          <w:b w:val="0"/>
          <w:color w:val="auto"/>
          <w:sz w:val="26"/>
          <w:u w:val="none"/>
          <w:shd w:val="clear" w:color="auto" w:fill="FFFFFF" w:themeFill="background1"/>
        </w:rPr>
        <w:t>–</w:t>
      </w:r>
      <w:r w:rsidR="005D28A3" w:rsidRPr="00766328">
        <w:rPr>
          <w:rStyle w:val="DraftingNote"/>
          <w:b w:val="0"/>
          <w:color w:val="auto"/>
          <w:sz w:val="26"/>
          <w:u w:val="none"/>
          <w:shd w:val="clear" w:color="auto" w:fill="FFFFFF" w:themeFill="background1"/>
        </w:rPr>
        <w:t>2</w:t>
      </w:r>
      <w:r w:rsidR="00CB590D">
        <w:rPr>
          <w:rStyle w:val="DraftingNote"/>
          <w:b w:val="0"/>
          <w:color w:val="auto"/>
          <w:sz w:val="26"/>
          <w:u w:val="none"/>
          <w:shd w:val="clear" w:color="auto" w:fill="FFFFFF" w:themeFill="background1"/>
        </w:rPr>
        <w:t>8</w:t>
      </w:r>
      <w:r w:rsidR="00A2207D" w:rsidRPr="00766328">
        <w:rPr>
          <w:rStyle w:val="DraftingNote"/>
          <w:b w:val="0"/>
          <w:color w:val="auto"/>
          <w:sz w:val="26"/>
          <w:u w:val="none"/>
          <w:shd w:val="clear" w:color="auto" w:fill="FFFFFF" w:themeFill="background1"/>
        </w:rPr>
        <w:t xml:space="preserve"> report </w:t>
      </w:r>
      <w:r w:rsidR="00531752" w:rsidRPr="00766328">
        <w:rPr>
          <w:rStyle w:val="DraftingNote"/>
          <w:b w:val="0"/>
          <w:color w:val="auto"/>
          <w:sz w:val="26"/>
          <w:u w:val="none"/>
          <w:shd w:val="clear" w:color="auto" w:fill="FFFFFF" w:themeFill="background1"/>
        </w:rPr>
        <w:t xml:space="preserve">the </w:t>
      </w:r>
      <w:r w:rsidR="00A2207D" w:rsidRPr="00766328">
        <w:rPr>
          <w:rStyle w:val="DraftingNote"/>
          <w:b w:val="0"/>
          <w:color w:val="auto"/>
          <w:sz w:val="26"/>
          <w:u w:val="none"/>
          <w:shd w:val="clear" w:color="auto" w:fill="FFFFFF" w:themeFill="background1"/>
        </w:rPr>
        <w:t xml:space="preserve">incidence </w:t>
      </w:r>
      <w:r w:rsidR="004F004E" w:rsidRPr="00766328">
        <w:rPr>
          <w:rStyle w:val="DraftingNote"/>
          <w:b w:val="0"/>
          <w:color w:val="auto"/>
          <w:sz w:val="26"/>
          <w:u w:val="none"/>
          <w:shd w:val="clear" w:color="auto" w:fill="FFFFFF" w:themeFill="background1"/>
        </w:rPr>
        <w:t>of</w:t>
      </w:r>
      <w:r w:rsidR="00A2207D" w:rsidRPr="00766328">
        <w:rPr>
          <w:rStyle w:val="DraftingNote"/>
          <w:b w:val="0"/>
          <w:color w:val="auto"/>
          <w:sz w:val="26"/>
          <w:u w:val="none"/>
          <w:shd w:val="clear" w:color="auto" w:fill="FFFFFF" w:themeFill="background1"/>
        </w:rPr>
        <w:t xml:space="preserve"> the</w:t>
      </w:r>
      <w:r w:rsidR="00531752" w:rsidRPr="00766328">
        <w:rPr>
          <w:rStyle w:val="DraftingNote"/>
          <w:b w:val="0"/>
          <w:color w:val="auto"/>
          <w:sz w:val="26"/>
          <w:u w:val="none"/>
          <w:shd w:val="clear" w:color="auto" w:fill="FFFFFF" w:themeFill="background1"/>
        </w:rPr>
        <w:t xml:space="preserve"> selected</w:t>
      </w:r>
      <w:r w:rsidR="00A2207D" w:rsidRPr="00766328">
        <w:rPr>
          <w:rStyle w:val="DraftingNote"/>
          <w:b w:val="0"/>
          <w:color w:val="auto"/>
          <w:sz w:val="26"/>
          <w:u w:val="none"/>
          <w:shd w:val="clear" w:color="auto" w:fill="FFFFFF" w:themeFill="background1"/>
        </w:rPr>
        <w:t xml:space="preserve"> cancers by remoteness, </w:t>
      </w:r>
      <w:proofErr w:type="spellStart"/>
      <w:r w:rsidR="00A2207D" w:rsidRPr="00766328">
        <w:rPr>
          <w:rStyle w:val="DraftingNote"/>
          <w:b w:val="0"/>
          <w:color w:val="auto"/>
          <w:sz w:val="26"/>
          <w:u w:val="none"/>
          <w:shd w:val="clear" w:color="auto" w:fill="FFFFFF" w:themeFill="background1"/>
        </w:rPr>
        <w:t>SEIFA</w:t>
      </w:r>
      <w:proofErr w:type="spellEnd"/>
      <w:r w:rsidR="00A2207D" w:rsidRPr="00766328">
        <w:rPr>
          <w:rStyle w:val="DraftingNote"/>
          <w:b w:val="0"/>
          <w:color w:val="auto"/>
          <w:sz w:val="26"/>
          <w:u w:val="none"/>
          <w:shd w:val="clear" w:color="auto" w:fill="FFFFFF" w:themeFill="background1"/>
        </w:rPr>
        <w:t xml:space="preserve"> </w:t>
      </w:r>
      <w:proofErr w:type="spellStart"/>
      <w:r w:rsidR="004F004E" w:rsidRPr="00766328">
        <w:rPr>
          <w:rStyle w:val="DraftingNote"/>
          <w:b w:val="0"/>
          <w:color w:val="auto"/>
          <w:sz w:val="26"/>
          <w:u w:val="none"/>
          <w:shd w:val="clear" w:color="auto" w:fill="FFFFFF" w:themeFill="background1"/>
        </w:rPr>
        <w:t>IRSD</w:t>
      </w:r>
      <w:proofErr w:type="spellEnd"/>
      <w:r w:rsidR="004F004E" w:rsidRPr="00766328">
        <w:rPr>
          <w:rStyle w:val="DraftingNote"/>
          <w:b w:val="0"/>
          <w:color w:val="auto"/>
          <w:sz w:val="26"/>
          <w:u w:val="none"/>
          <w:shd w:val="clear" w:color="auto" w:fill="FFFFFF" w:themeFill="background1"/>
        </w:rPr>
        <w:t xml:space="preserve"> </w:t>
      </w:r>
      <w:r w:rsidR="002402F6">
        <w:rPr>
          <w:rStyle w:val="DraftingNote"/>
          <w:b w:val="0"/>
          <w:color w:val="auto"/>
          <w:sz w:val="26"/>
          <w:u w:val="none"/>
          <w:shd w:val="clear" w:color="auto" w:fill="FFFFFF" w:themeFill="background1"/>
        </w:rPr>
        <w:t>quintiles and Indigenous status.</w:t>
      </w:r>
    </w:p>
    <w:p w:rsidR="002F5C83" w:rsidRDefault="002F5C83" w:rsidP="00766328">
      <w:pPr>
        <w:pStyle w:val="FigureTitle"/>
      </w:pPr>
      <w:r>
        <w:rPr>
          <w:b w:val="0"/>
        </w:rPr>
        <w:lastRenderedPageBreak/>
        <w:t xml:space="preserve">Figure </w:t>
      </w:r>
      <w:proofErr w:type="spellStart"/>
      <w:r w:rsidR="00F156AA">
        <w:rPr>
          <w:b w:val="0"/>
        </w:rPr>
        <w:t>E.</w:t>
      </w:r>
      <w:r w:rsidR="00C01FBD">
        <w:rPr>
          <w:b w:val="0"/>
          <w:noProof/>
        </w:rPr>
        <w:t>8</w:t>
      </w:r>
      <w:proofErr w:type="spellEnd"/>
      <w:r>
        <w:tab/>
        <w:t>Incidence of selected cancers, per 100 00</w:t>
      </w:r>
      <w:r w:rsidR="00874D7E">
        <w:t>0</w:t>
      </w:r>
      <w:r w:rsidR="00874D7E" w:rsidRPr="00874D7E">
        <w:t xml:space="preserve"> </w:t>
      </w:r>
      <w:r w:rsidR="00874D7E">
        <w:t xml:space="preserve">people, </w:t>
      </w:r>
      <w:r w:rsidR="00874D7E" w:rsidRPr="00754CB8">
        <w:t>20</w:t>
      </w:r>
      <w:r w:rsidR="00754CB8" w:rsidRPr="00754CB8">
        <w:t>1</w:t>
      </w:r>
      <w:r w:rsidR="00874D7E" w:rsidRPr="00754CB8">
        <w:t>0</w:t>
      </w:r>
      <w:r w:rsidR="00874D7E" w:rsidRPr="00754CB8">
        <w:rPr>
          <w:rStyle w:val="NoteLabel"/>
          <w:b/>
        </w:rPr>
        <w:t xml:space="preserve">a, </w:t>
      </w:r>
      <w:r w:rsidR="00754CB8">
        <w:rPr>
          <w:rStyle w:val="NoteLabel"/>
          <w:b/>
        </w:rPr>
        <w:t>b</w:t>
      </w:r>
      <w:r w:rsidR="00650FDF">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F5C83">
        <w:tc>
          <w:tcPr>
            <w:tcW w:w="8777" w:type="dxa"/>
          </w:tcPr>
          <w:p w:rsidR="00B14819" w:rsidRDefault="00AB193A" w:rsidP="008F1AAB">
            <w:pPr>
              <w:pStyle w:val="Figure"/>
              <w:pBdr>
                <w:right w:val="single" w:sz="12" w:space="4" w:color="auto"/>
              </w:pBdr>
            </w:pPr>
            <w:r>
              <w:rPr>
                <w:noProof/>
              </w:rPr>
              <w:drawing>
                <wp:inline distT="0" distB="0" distL="0" distR="0" wp14:anchorId="5C314042" wp14:editId="687B0156">
                  <wp:extent cx="5421630" cy="2700020"/>
                  <wp:effectExtent l="0" t="0" r="7620" b="5080"/>
                  <wp:docPr id="1" name="Picture 1" descr="Figure E.8 Incidence of selected cancers, per 100 000 people, 20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21630" cy="2700020"/>
                          </a:xfrm>
                          <a:prstGeom prst="rect">
                            <a:avLst/>
                          </a:prstGeom>
                          <a:noFill/>
                          <a:ln>
                            <a:noFill/>
                          </a:ln>
                        </pic:spPr>
                      </pic:pic>
                    </a:graphicData>
                  </a:graphic>
                </wp:inline>
              </w:drawing>
            </w:r>
          </w:p>
        </w:tc>
      </w:tr>
    </w:tbl>
    <w:p w:rsidR="002F5C83" w:rsidRPr="00B62545" w:rsidRDefault="002F5C83" w:rsidP="00E90284">
      <w:pPr>
        <w:pStyle w:val="Note"/>
      </w:pPr>
      <w:r>
        <w:rPr>
          <w:rStyle w:val="NoteLabel"/>
        </w:rPr>
        <w:t>a</w:t>
      </w:r>
      <w:r w:rsidR="00EF5826">
        <w:t> </w:t>
      </w:r>
      <w:r w:rsidR="00EF5826" w:rsidRPr="00B62545">
        <w:t>Age</w:t>
      </w:r>
      <w:r w:rsidR="00EF5826" w:rsidRPr="00B62545">
        <w:noBreakHyphen/>
        <w:t>standardised to the Australia</w:t>
      </w:r>
      <w:r w:rsidR="004D1B70" w:rsidRPr="00B62545">
        <w:t>n population as at 30 June 2001</w:t>
      </w:r>
      <w:r w:rsidR="00EF5826" w:rsidRPr="00B62545">
        <w:t xml:space="preserve"> u</w:t>
      </w:r>
      <w:r w:rsidR="005D6175" w:rsidRPr="00B62545">
        <w:t>sing five-year age groups to 84 </w:t>
      </w:r>
      <w:r w:rsidR="00EF5826" w:rsidRPr="00B62545">
        <w:t>years, and expressed per 100 000 persons</w:t>
      </w:r>
      <w:r w:rsidR="002A6046" w:rsidRPr="00B62545">
        <w:t xml:space="preserve"> (</w:t>
      </w:r>
      <w:r w:rsidR="00EF5826" w:rsidRPr="00B62545">
        <w:t>per 100 000 females</w:t>
      </w:r>
      <w:r w:rsidR="002A6046" w:rsidRPr="00B62545">
        <w:t xml:space="preserve"> for female breast cancer and cervical cancer)</w:t>
      </w:r>
      <w:r w:rsidR="00EF5826" w:rsidRPr="00B62545">
        <w:t>.</w:t>
      </w:r>
      <w:r w:rsidR="004922ED" w:rsidRPr="00B62545">
        <w:t xml:space="preserve"> </w:t>
      </w:r>
      <w:r w:rsidR="00B62545">
        <w:br/>
      </w:r>
      <w:r w:rsidR="00B62545">
        <w:rPr>
          <w:rStyle w:val="NoteLabel"/>
        </w:rPr>
        <w:t xml:space="preserve">b </w:t>
      </w:r>
      <w:r w:rsidR="004922ED" w:rsidRPr="00B62545">
        <w:t>Due to the low incidence of cancers in some jurisdictions, comparisons across time and between jurisdictions should be made with caution.</w:t>
      </w:r>
      <w:r w:rsidR="00231960" w:rsidRPr="00B62545">
        <w:t xml:space="preserve"> </w:t>
      </w:r>
      <w:r w:rsidR="00272BB3">
        <w:rPr>
          <w:rStyle w:val="NoteLabel"/>
        </w:rPr>
        <w:t>c</w:t>
      </w:r>
      <w:r w:rsidR="00272BB3" w:rsidRPr="00E90284">
        <w:t xml:space="preserve"> Data for NSW and the ACT are based on projections rather than actual cancer incidence</w:t>
      </w:r>
      <w:r w:rsidR="002402F6" w:rsidRPr="00E90284">
        <w:t xml:space="preserve"> and are not comparable with data for other jurisdictions</w:t>
      </w:r>
      <w:r w:rsidR="00272BB3" w:rsidRPr="00E90284">
        <w:t>.</w:t>
      </w:r>
    </w:p>
    <w:p w:rsidR="002F5C83" w:rsidRDefault="005A5161" w:rsidP="00766328">
      <w:pPr>
        <w:pStyle w:val="Source"/>
      </w:pPr>
      <w:r>
        <w:rPr>
          <w:i/>
        </w:rPr>
        <w:t>S</w:t>
      </w:r>
      <w:r w:rsidR="002F5C83">
        <w:rPr>
          <w:i/>
        </w:rPr>
        <w:t>ource</w:t>
      </w:r>
      <w:r w:rsidR="002F5C83" w:rsidRPr="00167F06">
        <w:t xml:space="preserve">: </w:t>
      </w:r>
      <w:proofErr w:type="spellStart"/>
      <w:r w:rsidRPr="005A5161">
        <w:t>AIHW</w:t>
      </w:r>
      <w:proofErr w:type="spellEnd"/>
      <w:r w:rsidRPr="005A5161">
        <w:t xml:space="preserve"> (unpublished) Australian Cancer Database; ABS (unpublished) Estimated Resident Population, 30 June </w:t>
      </w:r>
      <w:r w:rsidRPr="00754CB8">
        <w:t>20</w:t>
      </w:r>
      <w:r w:rsidR="00754CB8" w:rsidRPr="00754CB8">
        <w:t>1</w:t>
      </w:r>
      <w:r w:rsidRPr="00754CB8">
        <w:t>0</w:t>
      </w:r>
      <w:r w:rsidR="00337AC0">
        <w:t xml:space="preserve">; table </w:t>
      </w:r>
      <w:proofErr w:type="spellStart"/>
      <w:r w:rsidR="00337AC0">
        <w:t>EA.2</w:t>
      </w:r>
      <w:r w:rsidR="00CB590D">
        <w:t>5</w:t>
      </w:r>
      <w:proofErr w:type="spellEnd"/>
      <w:r w:rsidR="00337AC0">
        <w:t>.</w:t>
      </w:r>
    </w:p>
    <w:p w:rsidR="00F20B36" w:rsidRPr="00B042AA" w:rsidRDefault="00F20B36" w:rsidP="00CF2797">
      <w:pPr>
        <w:pStyle w:val="Heading5"/>
      </w:pPr>
      <w:r w:rsidRPr="00B042AA">
        <w:t xml:space="preserve">Incidence of heart attacks </w:t>
      </w:r>
    </w:p>
    <w:p w:rsidR="00D04AB3" w:rsidRPr="006F007C" w:rsidRDefault="00CA3F3A" w:rsidP="00CF2797">
      <w:pPr>
        <w:pStyle w:val="BodyText"/>
        <w:rPr>
          <w:lang w:val="en"/>
        </w:rPr>
      </w:pPr>
      <w:r w:rsidRPr="00CA3F3A">
        <w:rPr>
          <w:lang w:val="en"/>
        </w:rPr>
        <w:t xml:space="preserve">Cardiovascular disease is the largest cause of premature death in Australia. Although death rates for cardiovascular disease have declined considerably in recent decades, it continues to be one </w:t>
      </w:r>
      <w:r w:rsidRPr="006F007C">
        <w:rPr>
          <w:lang w:val="en"/>
        </w:rPr>
        <w:t>of the biggest health problems requiring attention in Australia</w:t>
      </w:r>
      <w:r w:rsidR="00CA42FA" w:rsidRPr="006F007C">
        <w:rPr>
          <w:lang w:val="en"/>
        </w:rPr>
        <w:t xml:space="preserve"> (</w:t>
      </w:r>
      <w:proofErr w:type="spellStart"/>
      <w:r w:rsidR="00CA42FA" w:rsidRPr="006F007C">
        <w:rPr>
          <w:lang w:val="en"/>
        </w:rPr>
        <w:t>AIHW</w:t>
      </w:r>
      <w:proofErr w:type="spellEnd"/>
      <w:r w:rsidR="00CA42FA" w:rsidRPr="006F007C">
        <w:rPr>
          <w:lang w:val="en"/>
        </w:rPr>
        <w:t xml:space="preserve"> </w:t>
      </w:r>
      <w:proofErr w:type="spellStart"/>
      <w:r w:rsidR="00CA42FA" w:rsidRPr="006F007C">
        <w:rPr>
          <w:lang w:val="en"/>
        </w:rPr>
        <w:t>201</w:t>
      </w:r>
      <w:r w:rsidR="00937324" w:rsidRPr="006F007C">
        <w:rPr>
          <w:lang w:val="en"/>
        </w:rPr>
        <w:t>3c</w:t>
      </w:r>
      <w:proofErr w:type="spellEnd"/>
      <w:r w:rsidR="00CA42FA" w:rsidRPr="006F007C">
        <w:rPr>
          <w:lang w:val="en"/>
        </w:rPr>
        <w:t>)</w:t>
      </w:r>
      <w:r w:rsidRPr="006F007C">
        <w:rPr>
          <w:lang w:val="en"/>
        </w:rPr>
        <w:t>.</w:t>
      </w:r>
    </w:p>
    <w:p w:rsidR="00BC7415" w:rsidRPr="00CA42FA" w:rsidRDefault="00BC7415" w:rsidP="00BC7415">
      <w:pPr>
        <w:pStyle w:val="BodyText"/>
        <w:rPr>
          <w:lang w:val="en"/>
        </w:rPr>
      </w:pPr>
      <w:r w:rsidRPr="006F007C">
        <w:rPr>
          <w:lang w:val="en"/>
        </w:rPr>
        <w:t>The major, preventable risk factors for cardiovascular disease are: tobacco smoking; high blood pressure; high blood cholesterol</w:t>
      </w:r>
      <w:r>
        <w:rPr>
          <w:lang w:val="en"/>
        </w:rPr>
        <w:t xml:space="preserve">; </w:t>
      </w:r>
      <w:r w:rsidRPr="00CA42FA">
        <w:rPr>
          <w:lang w:val="en"/>
        </w:rPr>
        <w:t>insufficient physical activity</w:t>
      </w:r>
      <w:r>
        <w:rPr>
          <w:lang w:val="en"/>
        </w:rPr>
        <w:t xml:space="preserve">; </w:t>
      </w:r>
      <w:r w:rsidRPr="00CA42FA">
        <w:rPr>
          <w:lang w:val="en"/>
        </w:rPr>
        <w:t>overweight and obesity</w:t>
      </w:r>
      <w:r>
        <w:rPr>
          <w:lang w:val="en"/>
        </w:rPr>
        <w:t xml:space="preserve">; </w:t>
      </w:r>
      <w:r w:rsidRPr="00CA42FA">
        <w:rPr>
          <w:lang w:val="en"/>
        </w:rPr>
        <w:t>poor nutrition</w:t>
      </w:r>
      <w:r>
        <w:rPr>
          <w:lang w:val="en"/>
        </w:rPr>
        <w:t xml:space="preserve">; and </w:t>
      </w:r>
      <w:r w:rsidRPr="00CA42FA">
        <w:rPr>
          <w:lang w:val="en"/>
        </w:rPr>
        <w:t>diabetes.</w:t>
      </w:r>
    </w:p>
    <w:p w:rsidR="00BC7415" w:rsidRDefault="00BC7415" w:rsidP="00766328">
      <w:pPr>
        <w:pStyle w:val="BodyText"/>
        <w:shd w:val="clear" w:color="auto" w:fill="FFFFFF" w:themeFill="background1"/>
        <w:rPr>
          <w:rStyle w:val="DraftingNote"/>
          <w:b w:val="0"/>
          <w:color w:val="auto"/>
          <w:sz w:val="26"/>
          <w:u w:val="none"/>
        </w:rPr>
      </w:pPr>
      <w:r w:rsidRPr="004B0653">
        <w:rPr>
          <w:rStyle w:val="DraftingNote"/>
          <w:b w:val="0"/>
          <w:color w:val="auto"/>
          <w:sz w:val="26"/>
          <w:u w:val="none"/>
        </w:rPr>
        <w:t xml:space="preserve">Nationally, the rate of heart attacks was </w:t>
      </w:r>
      <w:r w:rsidR="00BD5738">
        <w:rPr>
          <w:rStyle w:val="DraftingNote"/>
          <w:b w:val="0"/>
          <w:color w:val="auto"/>
          <w:sz w:val="26"/>
          <w:u w:val="none"/>
        </w:rPr>
        <w:t xml:space="preserve">427 </w:t>
      </w:r>
      <w:r w:rsidRPr="004B0653">
        <w:rPr>
          <w:rStyle w:val="DraftingNote"/>
          <w:b w:val="0"/>
          <w:color w:val="auto"/>
          <w:sz w:val="26"/>
          <w:u w:val="none"/>
        </w:rPr>
        <w:t xml:space="preserve">new cases per 100 000 people in </w:t>
      </w:r>
      <w:r w:rsidRPr="00BD5738">
        <w:rPr>
          <w:rStyle w:val="DraftingNote"/>
          <w:b w:val="0"/>
          <w:color w:val="auto"/>
          <w:sz w:val="26"/>
          <w:u w:val="none"/>
        </w:rPr>
        <w:t>201</w:t>
      </w:r>
      <w:r w:rsidR="00BD5738" w:rsidRPr="00BD5738">
        <w:rPr>
          <w:rStyle w:val="DraftingNote"/>
          <w:b w:val="0"/>
          <w:color w:val="auto"/>
          <w:sz w:val="26"/>
          <w:u w:val="none"/>
        </w:rPr>
        <w:t>1</w:t>
      </w:r>
      <w:r w:rsidR="004B4CE0">
        <w:rPr>
          <w:rStyle w:val="DraftingNote"/>
          <w:b w:val="0"/>
          <w:color w:val="auto"/>
          <w:sz w:val="26"/>
          <w:u w:val="none"/>
        </w:rPr>
        <w:t xml:space="preserve"> (table </w:t>
      </w:r>
      <w:proofErr w:type="spellStart"/>
      <w:r w:rsidR="004B4CE0">
        <w:rPr>
          <w:rStyle w:val="DraftingNote"/>
          <w:b w:val="0"/>
          <w:color w:val="auto"/>
          <w:sz w:val="26"/>
          <w:u w:val="none"/>
        </w:rPr>
        <w:t>EA.30</w:t>
      </w:r>
      <w:proofErr w:type="spellEnd"/>
      <w:r w:rsidRPr="004B0653">
        <w:rPr>
          <w:rStyle w:val="DraftingNote"/>
          <w:b w:val="0"/>
          <w:color w:val="auto"/>
          <w:sz w:val="26"/>
          <w:u w:val="none"/>
        </w:rPr>
        <w:t>). The</w:t>
      </w:r>
      <w:r w:rsidRPr="00072C3A">
        <w:rPr>
          <w:rStyle w:val="DraftingNote"/>
          <w:b w:val="0"/>
          <w:color w:val="auto"/>
          <w:sz w:val="26"/>
          <w:u w:val="none"/>
        </w:rPr>
        <w:t xml:space="preserve"> incidence of</w:t>
      </w:r>
      <w:r>
        <w:rPr>
          <w:rStyle w:val="DraftingNote"/>
          <w:b w:val="0"/>
          <w:color w:val="auto"/>
          <w:sz w:val="26"/>
          <w:u w:val="none"/>
        </w:rPr>
        <w:t xml:space="preserve"> heart attacks was greater for Indigenous Australians (</w:t>
      </w:r>
      <w:r w:rsidRPr="00072C3A">
        <w:rPr>
          <w:rStyle w:val="DraftingNote"/>
          <w:b w:val="0"/>
          <w:color w:val="auto"/>
          <w:sz w:val="26"/>
          <w:u w:val="none"/>
        </w:rPr>
        <w:t>table</w:t>
      </w:r>
      <w:r>
        <w:rPr>
          <w:rStyle w:val="DraftingNote"/>
          <w:b w:val="0"/>
          <w:color w:val="auto"/>
          <w:sz w:val="26"/>
          <w:u w:val="none"/>
        </w:rPr>
        <w:t> </w:t>
      </w:r>
      <w:proofErr w:type="spellStart"/>
      <w:r w:rsidRPr="00072C3A">
        <w:rPr>
          <w:rStyle w:val="DraftingNote"/>
          <w:b w:val="0"/>
          <w:color w:val="auto"/>
          <w:sz w:val="26"/>
          <w:u w:val="none"/>
        </w:rPr>
        <w:t>EA.</w:t>
      </w:r>
      <w:r w:rsidR="009E6B28">
        <w:rPr>
          <w:rStyle w:val="DraftingNote"/>
          <w:b w:val="0"/>
          <w:color w:val="auto"/>
          <w:sz w:val="26"/>
          <w:u w:val="none"/>
        </w:rPr>
        <w:t>2</w:t>
      </w:r>
      <w:r w:rsidR="004B4CE0">
        <w:rPr>
          <w:rStyle w:val="DraftingNote"/>
          <w:b w:val="0"/>
          <w:color w:val="auto"/>
          <w:sz w:val="26"/>
          <w:u w:val="none"/>
        </w:rPr>
        <w:t>9</w:t>
      </w:r>
      <w:proofErr w:type="spellEnd"/>
      <w:r w:rsidR="009E6B28">
        <w:rPr>
          <w:rStyle w:val="DraftingNote"/>
          <w:b w:val="0"/>
          <w:color w:val="auto"/>
          <w:sz w:val="26"/>
          <w:u w:val="none"/>
        </w:rPr>
        <w:t>).</w:t>
      </w:r>
      <w:r w:rsidR="00907A8E">
        <w:rPr>
          <w:rStyle w:val="DraftingNote"/>
          <w:b w:val="0"/>
          <w:color w:val="auto"/>
          <w:sz w:val="26"/>
          <w:u w:val="none"/>
        </w:rPr>
        <w:t xml:space="preserve"> Caution should be taken in interpreting these data as they have been estimated using an algorithm that is under </w:t>
      </w:r>
      <w:proofErr w:type="spellStart"/>
      <w:r w:rsidR="00907A8E">
        <w:rPr>
          <w:rStyle w:val="DraftingNote"/>
          <w:b w:val="0"/>
          <w:color w:val="auto"/>
          <w:sz w:val="26"/>
          <w:u w:val="none"/>
        </w:rPr>
        <w:t>AIHW</w:t>
      </w:r>
      <w:proofErr w:type="spellEnd"/>
      <w:r w:rsidR="00907A8E">
        <w:rPr>
          <w:rStyle w:val="DraftingNote"/>
          <w:b w:val="0"/>
          <w:color w:val="auto"/>
          <w:sz w:val="26"/>
          <w:u w:val="none"/>
        </w:rPr>
        <w:t xml:space="preserve"> development. It should be considered an interim measure until current validation work is complete.</w:t>
      </w:r>
    </w:p>
    <w:p w:rsidR="005D28A3" w:rsidRPr="005D28A3" w:rsidRDefault="005D28A3" w:rsidP="00CF2797">
      <w:pPr>
        <w:pStyle w:val="Heading5"/>
      </w:pPr>
      <w:r w:rsidRPr="005D28A3">
        <w:lastRenderedPageBreak/>
        <w:t xml:space="preserve">Prevalence of type 2 diabetes </w:t>
      </w:r>
    </w:p>
    <w:p w:rsidR="005D28A3" w:rsidRDefault="005D28A3" w:rsidP="00CF2797">
      <w:pPr>
        <w:pStyle w:val="BodyText"/>
      </w:pPr>
      <w:r w:rsidRPr="00525DDC">
        <w:t>Diabetes mellitus is a chronic condition in which the body makes too little of the hormone insulin or cannot use it properly</w:t>
      </w:r>
      <w:r>
        <w:t xml:space="preserve">. </w:t>
      </w:r>
      <w:r w:rsidRPr="00525DDC">
        <w:t xml:space="preserve">Type 2 diabetes is the most common form of diabetes, occurring mostly in people aged 50 </w:t>
      </w:r>
      <w:r w:rsidRPr="006F007C">
        <w:t>years and over, and accounting for 85-90</w:t>
      </w:r>
      <w:r w:rsidR="00834A6C" w:rsidRPr="006F007C">
        <w:t> per cent</w:t>
      </w:r>
      <w:r w:rsidRPr="006F007C">
        <w:t xml:space="preserve"> of all cases </w:t>
      </w:r>
      <w:r w:rsidR="007E5B3A" w:rsidRPr="006F007C">
        <w:t xml:space="preserve">of diabetes mellitus </w:t>
      </w:r>
      <w:r w:rsidRPr="006F007C">
        <w:t>(</w:t>
      </w:r>
      <w:proofErr w:type="spellStart"/>
      <w:r w:rsidRPr="006F007C">
        <w:t>AIHW</w:t>
      </w:r>
      <w:proofErr w:type="spellEnd"/>
      <w:r w:rsidRPr="006F007C">
        <w:t> </w:t>
      </w:r>
      <w:proofErr w:type="spellStart"/>
      <w:r w:rsidRPr="006F007C">
        <w:t>201</w:t>
      </w:r>
      <w:r w:rsidR="00937324" w:rsidRPr="006F007C">
        <w:t>3c</w:t>
      </w:r>
      <w:proofErr w:type="spellEnd"/>
      <w:r w:rsidRPr="006F007C">
        <w:t>).</w:t>
      </w:r>
    </w:p>
    <w:p w:rsidR="005D28A3" w:rsidRDefault="005D28A3" w:rsidP="00CF2797">
      <w:pPr>
        <w:pStyle w:val="BodyText"/>
      </w:pPr>
      <w:r w:rsidRPr="00D04AB3">
        <w:t>Diabetes mellitus and its complications contribute significantly to ill health, disability, poor quality of life and premature death. It also increases the risk of a variety of complications including end-stage kidney disease, coronary heart disease, stroke and other vascular diseases.</w:t>
      </w:r>
      <w:r w:rsidR="00BD4651">
        <w:t xml:space="preserve"> </w:t>
      </w:r>
      <w:r w:rsidRPr="00F56570">
        <w:t xml:space="preserve">Type 2 diabetes is more common in people who do insufficient physical activity and are overweight or obese. It is strongly associated with high blood pressure, high cholesterol and excess weight carried around the </w:t>
      </w:r>
      <w:r w:rsidRPr="006F007C">
        <w:t>waist (Better Health Channel 201</w:t>
      </w:r>
      <w:r w:rsidR="00937324" w:rsidRPr="006F007C">
        <w:t>3</w:t>
      </w:r>
      <w:r w:rsidRPr="006F007C">
        <w:t xml:space="preserve">). Thus, early intervention and treatment programs have the potential to reduce the cases </w:t>
      </w:r>
      <w:r>
        <w:t>and severity of the disease.</w:t>
      </w:r>
    </w:p>
    <w:p w:rsidR="001A285B" w:rsidRDefault="0032063A" w:rsidP="0058729A">
      <w:pPr>
        <w:pStyle w:val="BodyText"/>
        <w:rPr>
          <w:shd w:val="clear" w:color="auto" w:fill="B6DDE8" w:themeFill="accent5" w:themeFillTint="66"/>
        </w:rPr>
      </w:pPr>
      <w:r w:rsidRPr="0058729A">
        <w:t xml:space="preserve">Prevalence of type 2 diabetes is derived using a combination of fasting blood glucose and self-reported information on diabetes diagnosis and medication use. </w:t>
      </w:r>
      <w:r w:rsidR="001A285B" w:rsidRPr="0058729A">
        <w:t xml:space="preserve">Data include all newly diagnosed diabetes cases as the vast majority can be assumed to be type 2 diabetes. See </w:t>
      </w:r>
      <w:proofErr w:type="spellStart"/>
      <w:r w:rsidR="001A285B" w:rsidRPr="0058729A">
        <w:t>DQI</w:t>
      </w:r>
      <w:proofErr w:type="spellEnd"/>
      <w:r w:rsidR="001A285B" w:rsidRPr="0058729A">
        <w:t xml:space="preserve"> for </w:t>
      </w:r>
      <w:r w:rsidR="00E03910" w:rsidRPr="0058729A">
        <w:t>further detail</w:t>
      </w:r>
      <w:r w:rsidR="001A285B" w:rsidRPr="0058729A">
        <w:t>.</w:t>
      </w:r>
    </w:p>
    <w:p w:rsidR="0093336E" w:rsidRDefault="005B3C5C" w:rsidP="0058729A">
      <w:pPr>
        <w:pStyle w:val="BodyText"/>
        <w:rPr>
          <w:shd w:val="clear" w:color="auto" w:fill="CCC0D9" w:themeFill="accent4" w:themeFillTint="66"/>
        </w:rPr>
      </w:pPr>
      <w:r w:rsidRPr="0058729A">
        <w:t xml:space="preserve">Nationally, </w:t>
      </w:r>
      <w:r w:rsidR="00816014" w:rsidRPr="0058729A">
        <w:t xml:space="preserve">an estimated </w:t>
      </w:r>
      <w:r w:rsidR="001A285B" w:rsidRPr="0058729A">
        <w:t>4.3 </w:t>
      </w:r>
      <w:r w:rsidRPr="0058729A">
        <w:t>per cent of people aged 18 years or over had type 2 diabetes in 2011</w:t>
      </w:r>
      <w:r w:rsidRPr="0058729A">
        <w:noBreakHyphen/>
        <w:t>12</w:t>
      </w:r>
      <w:r w:rsidRPr="00E90284">
        <w:t xml:space="preserve"> (</w:t>
      </w:r>
      <w:r w:rsidR="0093336E" w:rsidRPr="00E90284">
        <w:t>table</w:t>
      </w:r>
      <w:r w:rsidR="001A285B">
        <w:t> </w:t>
      </w:r>
      <w:proofErr w:type="spellStart"/>
      <w:r w:rsidR="0093336E" w:rsidRPr="00E90284">
        <w:t>EA.3</w:t>
      </w:r>
      <w:r w:rsidR="004B4CE0" w:rsidRPr="00E90284">
        <w:t>1</w:t>
      </w:r>
      <w:proofErr w:type="spellEnd"/>
      <w:r w:rsidRPr="00E90284">
        <w:t>)</w:t>
      </w:r>
      <w:r w:rsidR="0093336E" w:rsidRPr="00E90284">
        <w:t>.</w:t>
      </w:r>
    </w:p>
    <w:p w:rsidR="00FA69C0" w:rsidRPr="005D28A3" w:rsidRDefault="00FA69C0" w:rsidP="00FA69C0">
      <w:pPr>
        <w:pStyle w:val="Heading4"/>
        <w:spacing w:before="360"/>
      </w:pPr>
      <w:r w:rsidRPr="005D28A3">
        <w:t>Potentially avoidable deaths</w:t>
      </w:r>
    </w:p>
    <w:p w:rsidR="00FA69C0" w:rsidRPr="006D2A63" w:rsidRDefault="00FA69C0" w:rsidP="00FA69C0">
      <w:pPr>
        <w:pStyle w:val="BodyText"/>
      </w:pPr>
      <w:r w:rsidRPr="006D2A63">
        <w:t xml:space="preserve">‘Potentially avoidable deaths’ is an indicator of governments’ objective that </w:t>
      </w:r>
      <w:r w:rsidR="00AD6F4F">
        <w:t xml:space="preserve">Australians are born and remain healthy </w:t>
      </w:r>
      <w:r w:rsidRPr="00B05605">
        <w:t>(box</w:t>
      </w:r>
      <w:r w:rsidR="00F72A36" w:rsidRPr="00B05605">
        <w:t xml:space="preserve"> </w:t>
      </w:r>
      <w:proofErr w:type="spellStart"/>
      <w:r w:rsidR="008F264E" w:rsidRPr="00B05605">
        <w:t>E.</w:t>
      </w:r>
      <w:r w:rsidR="006353F0">
        <w:t>5</w:t>
      </w:r>
      <w:proofErr w:type="spellEnd"/>
      <w:r w:rsidRPr="00B05605">
        <w:t>).</w:t>
      </w:r>
      <w:r w:rsidRPr="008F264E">
        <w:t xml:space="preserve"> Avoidable deaths</w:t>
      </w:r>
      <w:r w:rsidRPr="006D2A63">
        <w:t xml:space="preserve"> reflect the effectiveness of current and past preventative health activities.</w:t>
      </w:r>
    </w:p>
    <w:p w:rsidR="00FA69C0" w:rsidRPr="006D2A63" w:rsidRDefault="00FA69C0" w:rsidP="00FA69C0">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69C0" w:rsidRPr="006D2A63" w:rsidTr="00FA69C0">
        <w:tc>
          <w:tcPr>
            <w:tcW w:w="8771" w:type="dxa"/>
            <w:tcBorders>
              <w:top w:val="single" w:sz="6" w:space="0" w:color="auto"/>
              <w:bottom w:val="nil"/>
            </w:tcBorders>
          </w:tcPr>
          <w:p w:rsidR="00FA69C0" w:rsidRPr="006D2A63" w:rsidRDefault="00FA69C0" w:rsidP="00FA69C0">
            <w:pPr>
              <w:pStyle w:val="BoxTitle"/>
            </w:pPr>
            <w:r w:rsidRPr="006D2A63">
              <w:rPr>
                <w:b w:val="0"/>
              </w:rPr>
              <w:t xml:space="preserve">Box </w:t>
            </w:r>
            <w:bookmarkStart w:id="24" w:name="OLE_LINK21"/>
            <w:proofErr w:type="spellStart"/>
            <w:r w:rsidR="00F156AA">
              <w:rPr>
                <w:b w:val="0"/>
              </w:rPr>
              <w:t>E.</w:t>
            </w:r>
            <w:r w:rsidR="00C01FBD">
              <w:rPr>
                <w:b w:val="0"/>
                <w:noProof/>
              </w:rPr>
              <w:t>5</w:t>
            </w:r>
            <w:bookmarkEnd w:id="24"/>
            <w:proofErr w:type="spellEnd"/>
            <w:r w:rsidRPr="006D2A63">
              <w:tab/>
              <w:t>Potentially avoidable deaths</w:t>
            </w:r>
          </w:p>
        </w:tc>
      </w:tr>
      <w:tr w:rsidR="00FA69C0" w:rsidRPr="006D2A63" w:rsidTr="00FA69C0">
        <w:trPr>
          <w:cantSplit/>
        </w:trPr>
        <w:tc>
          <w:tcPr>
            <w:tcW w:w="8771" w:type="dxa"/>
            <w:tcBorders>
              <w:top w:val="nil"/>
              <w:left w:val="single" w:sz="6" w:space="0" w:color="auto"/>
              <w:bottom w:val="nil"/>
              <w:right w:val="single" w:sz="6" w:space="0" w:color="auto"/>
            </w:tcBorders>
          </w:tcPr>
          <w:p w:rsidR="00FA69C0" w:rsidRPr="006D2A63" w:rsidRDefault="00FA69C0" w:rsidP="00FA69C0">
            <w:pPr>
              <w:pStyle w:val="Box"/>
            </w:pPr>
            <w:r w:rsidRPr="006D2A63">
              <w:t>‘Potentially avoidable deaths’ is defined as potentially preventable deaths (deaths amenable to screening and primary prevention, such as immunisation) and deaths from potentially treatable conditions (deaths amenable to therapeutic interventions) for those aged less than 75 years per 100 000 people aged less than 75 years.</w:t>
            </w:r>
          </w:p>
          <w:p w:rsidR="00FA69C0" w:rsidRPr="006D2A63" w:rsidRDefault="00FA69C0" w:rsidP="00FA69C0">
            <w:pPr>
              <w:pStyle w:val="Box"/>
            </w:pPr>
            <w:r w:rsidRPr="006D2A63">
              <w:t xml:space="preserve">A low or decreasing potentially avoidable death rate is desirable. </w:t>
            </w:r>
          </w:p>
          <w:p w:rsidR="00FA69C0" w:rsidRPr="006D2A63" w:rsidRDefault="00FA69C0" w:rsidP="00FA69C0">
            <w:pPr>
              <w:pStyle w:val="Box"/>
            </w:pPr>
            <w:r w:rsidRPr="006D2A63">
              <w:t>Most components of the health system can influence potentially avoidable death rates, although there can be decades between the action and the effect. Factors external to the health system also have a strong influence on potentially avoidable death rates.</w:t>
            </w:r>
          </w:p>
          <w:p w:rsidR="00174D64" w:rsidRDefault="00FA69C0" w:rsidP="00FA69C0">
            <w:pPr>
              <w:pStyle w:val="Box"/>
            </w:pPr>
            <w:r w:rsidRPr="006D2A63">
              <w:t>Data reported for this indicator are</w:t>
            </w:r>
            <w:r w:rsidR="00174D64">
              <w:t>:</w:t>
            </w:r>
          </w:p>
          <w:p w:rsidR="00174D64" w:rsidRDefault="00174D64" w:rsidP="00174D64">
            <w:pPr>
              <w:pStyle w:val="BoxListBullet"/>
            </w:pPr>
            <w:r w:rsidRPr="006D2A63">
              <w:t>comparable</w:t>
            </w:r>
            <w:r w:rsidRPr="00174D64">
              <w:t xml:space="preserve"> (subject to caveats) acr</w:t>
            </w:r>
            <w:r>
              <w:t>oss jurisdictions and over time</w:t>
            </w:r>
          </w:p>
          <w:p w:rsidR="00FA69C0" w:rsidRPr="006D2A63" w:rsidRDefault="00174D64" w:rsidP="00174D64">
            <w:pPr>
              <w:pStyle w:val="BoxListBullet"/>
            </w:pPr>
            <w:r w:rsidRPr="00174D64">
              <w:t xml:space="preserve">complete (subject to caveats) for the current reporting period. All required </w:t>
            </w:r>
            <w:r w:rsidR="004C05A5">
              <w:br/>
              <w:t>2007</w:t>
            </w:r>
            <w:r w:rsidR="004C05A5">
              <w:rPr>
                <w:rFonts w:cs="Arial"/>
              </w:rPr>
              <w:t>–</w:t>
            </w:r>
            <w:r w:rsidR="004C05A5">
              <w:t>2011</w:t>
            </w:r>
            <w:r w:rsidRPr="00174D64">
              <w:t xml:space="preserve"> data are available for all jurisdictions</w:t>
            </w:r>
            <w:r w:rsidR="00FA69C0" w:rsidRPr="006D2A63">
              <w:t xml:space="preserve">. </w:t>
            </w:r>
          </w:p>
          <w:p w:rsidR="00FA69C0" w:rsidRPr="006D2A63" w:rsidRDefault="00554FAC" w:rsidP="00554FAC">
            <w:pPr>
              <w:pStyle w:val="Box"/>
            </w:pPr>
            <w:r>
              <w:t>Data quality i</w:t>
            </w:r>
            <w:r w:rsidR="00FE0CA6" w:rsidRPr="00D76CC2">
              <w:t xml:space="preserve">nformation </w:t>
            </w:r>
            <w:r>
              <w:t>for this indicator</w:t>
            </w:r>
            <w:r w:rsidR="00FE0CA6" w:rsidRPr="00D76CC2">
              <w:t xml:space="preserve"> is at </w:t>
            </w:r>
            <w:proofErr w:type="spellStart"/>
            <w:r w:rsidR="00FE0CA6" w:rsidRPr="00A26107">
              <w:t>www.pc.gov.au</w:t>
            </w:r>
            <w:proofErr w:type="spellEnd"/>
            <w:r w:rsidR="00FE0CA6" w:rsidRPr="00A26107">
              <w:t>/</w:t>
            </w:r>
            <w:proofErr w:type="spellStart"/>
            <w:r w:rsidR="00FE0CA6" w:rsidRPr="00A26107">
              <w:t>gsp</w:t>
            </w:r>
            <w:proofErr w:type="spellEnd"/>
            <w:r w:rsidR="00FE0CA6" w:rsidRPr="00A26107">
              <w:t>/reports/</w:t>
            </w:r>
            <w:proofErr w:type="spellStart"/>
            <w:r w:rsidR="00FE0CA6" w:rsidRPr="00A26107">
              <w:t>rogs</w:t>
            </w:r>
            <w:proofErr w:type="spellEnd"/>
            <w:r w:rsidR="00FE0CA6" w:rsidRPr="00A26107">
              <w:t>/201</w:t>
            </w:r>
            <w:r w:rsidR="004C0089">
              <w:t>4</w:t>
            </w:r>
            <w:r w:rsidR="00FE0CA6" w:rsidRPr="00A26107">
              <w:t>.</w:t>
            </w:r>
          </w:p>
        </w:tc>
      </w:tr>
      <w:tr w:rsidR="00FA69C0" w:rsidRPr="006D2A63" w:rsidTr="00FA69C0">
        <w:trPr>
          <w:cantSplit/>
        </w:trPr>
        <w:tc>
          <w:tcPr>
            <w:tcW w:w="8771" w:type="dxa"/>
            <w:tcBorders>
              <w:top w:val="nil"/>
              <w:left w:val="single" w:sz="6" w:space="0" w:color="auto"/>
              <w:bottom w:val="single" w:sz="6" w:space="0" w:color="auto"/>
              <w:right w:val="single" w:sz="6" w:space="0" w:color="auto"/>
            </w:tcBorders>
          </w:tcPr>
          <w:p w:rsidR="00FA69C0" w:rsidRPr="006D2A63" w:rsidRDefault="00FA69C0" w:rsidP="00FA69C0">
            <w:pPr>
              <w:pStyle w:val="Box"/>
              <w:keepNext w:val="0"/>
              <w:spacing w:before="0" w:line="120" w:lineRule="exact"/>
            </w:pPr>
          </w:p>
        </w:tc>
      </w:tr>
    </w:tbl>
    <w:p w:rsidR="00FA27FF" w:rsidRPr="00135652" w:rsidRDefault="00550FB3" w:rsidP="00FA69C0">
      <w:pPr>
        <w:pStyle w:val="BodyText"/>
        <w:rPr>
          <w:rStyle w:val="DraftingNote"/>
          <w:b w:val="0"/>
          <w:color w:val="auto"/>
          <w:sz w:val="26"/>
          <w:u w:val="none"/>
        </w:rPr>
      </w:pPr>
      <w:r>
        <w:t>Indigenous Australians</w:t>
      </w:r>
      <w:r w:rsidR="00FA69C0" w:rsidRPr="006D2A63">
        <w:t xml:space="preserve"> had significantly </w:t>
      </w:r>
      <w:r w:rsidR="00FA69C0" w:rsidRPr="008F264E">
        <w:t>higher</w:t>
      </w:r>
      <w:r w:rsidR="00FA69C0" w:rsidRPr="006D2A63">
        <w:t xml:space="preserve"> death rates from potentially avoidable deaths (preventable and treatable) over </w:t>
      </w:r>
      <w:r w:rsidR="00FA69C0" w:rsidRPr="008F264E">
        <w:t>the period 200</w:t>
      </w:r>
      <w:r w:rsidR="008F264E" w:rsidRPr="008F264E">
        <w:t>7</w:t>
      </w:r>
      <w:r w:rsidR="00FA69C0" w:rsidRPr="008F264E">
        <w:t>–20</w:t>
      </w:r>
      <w:r w:rsidR="008F264E" w:rsidRPr="008F264E">
        <w:t>11</w:t>
      </w:r>
      <w:r w:rsidR="00FA69C0" w:rsidRPr="008F264E">
        <w:t>, comprising</w:t>
      </w:r>
      <w:r w:rsidR="00FA69C0" w:rsidRPr="006D2A63">
        <w:t xml:space="preserve"> </w:t>
      </w:r>
      <w:r w:rsidR="00FA69C0" w:rsidRPr="008F264E">
        <w:t>higher</w:t>
      </w:r>
      <w:r w:rsidR="00FA69C0" w:rsidRPr="006D2A63">
        <w:t xml:space="preserve"> potentially preventable deaths per 100 000 people and </w:t>
      </w:r>
      <w:r w:rsidR="00FA69C0" w:rsidRPr="008F264E">
        <w:t>higher</w:t>
      </w:r>
      <w:r w:rsidR="00FA69C0" w:rsidRPr="006D2A63">
        <w:t xml:space="preserve"> treatable deaths per 100 000 people (figure </w:t>
      </w:r>
      <w:proofErr w:type="spellStart"/>
      <w:r w:rsidR="00F156AA">
        <w:t>E.9</w:t>
      </w:r>
      <w:proofErr w:type="spellEnd"/>
      <w:r w:rsidR="005D28A3">
        <w:t xml:space="preserve"> </w:t>
      </w:r>
      <w:r w:rsidR="00FA69C0" w:rsidRPr="006D2A63">
        <w:t>and table </w:t>
      </w:r>
      <w:proofErr w:type="spellStart"/>
      <w:r w:rsidR="00FA69C0" w:rsidRPr="006D2A63">
        <w:t>EA.</w:t>
      </w:r>
      <w:r w:rsidR="005D28A3">
        <w:t>3</w:t>
      </w:r>
      <w:r w:rsidR="004B4CE0">
        <w:t>3</w:t>
      </w:r>
      <w:proofErr w:type="spellEnd"/>
      <w:r w:rsidR="00FA69C0" w:rsidRPr="006D2A63">
        <w:t xml:space="preserve">). Single year data </w:t>
      </w:r>
      <w:r w:rsidR="007F6342">
        <w:t xml:space="preserve">for all Australians </w:t>
      </w:r>
      <w:r w:rsidR="00FA69C0" w:rsidRPr="006D2A63">
        <w:t>are presented in table </w:t>
      </w:r>
      <w:proofErr w:type="spellStart"/>
      <w:r w:rsidR="00FA69C0" w:rsidRPr="006D2A63">
        <w:t>EA.</w:t>
      </w:r>
      <w:r w:rsidR="004B4CE0">
        <w:t>32</w:t>
      </w:r>
      <w:proofErr w:type="spellEnd"/>
      <w:r w:rsidR="00FA69C0" w:rsidRPr="006D2A63">
        <w:t>.</w:t>
      </w:r>
    </w:p>
    <w:p w:rsidR="00FA69C0" w:rsidRPr="003A35E2" w:rsidRDefault="00FA69C0" w:rsidP="00FA69C0">
      <w:pPr>
        <w:pStyle w:val="FigureTitle"/>
        <w:rPr>
          <w:position w:val="6"/>
          <w:sz w:val="18"/>
        </w:rPr>
      </w:pPr>
      <w:r w:rsidRPr="003A35E2">
        <w:rPr>
          <w:b w:val="0"/>
        </w:rPr>
        <w:lastRenderedPageBreak/>
        <w:t xml:space="preserve">Figure </w:t>
      </w:r>
      <w:bookmarkStart w:id="25" w:name="OLE_LINK4"/>
      <w:proofErr w:type="spellStart"/>
      <w:r w:rsidR="00F156AA">
        <w:rPr>
          <w:b w:val="0"/>
        </w:rPr>
        <w:t>E.</w:t>
      </w:r>
      <w:r w:rsidR="00C01FBD">
        <w:rPr>
          <w:b w:val="0"/>
          <w:noProof/>
        </w:rPr>
        <w:t>9</w:t>
      </w:r>
      <w:bookmarkEnd w:id="25"/>
      <w:proofErr w:type="spellEnd"/>
      <w:r w:rsidRPr="003A35E2">
        <w:tab/>
        <w:t>Age standardised mortality rates of potentially avoidable deaths, under 75 years</w:t>
      </w:r>
      <w:r w:rsidRPr="00D47641">
        <w:t>, 200</w:t>
      </w:r>
      <w:r w:rsidR="00D47641" w:rsidRPr="00D47641">
        <w:t>7</w:t>
      </w:r>
      <w:r w:rsidRPr="00D47641">
        <w:t>–</w:t>
      </w:r>
      <w:r w:rsidR="00FE0CA6" w:rsidRPr="00D47641">
        <w:t>20</w:t>
      </w:r>
      <w:r w:rsidR="003B313B" w:rsidRPr="00D47641">
        <w:t>1</w:t>
      </w:r>
      <w:r w:rsidR="00D47641" w:rsidRPr="00D47641">
        <w:t>1</w:t>
      </w:r>
      <w:r w:rsidRPr="00D47641">
        <w:rPr>
          <w:rStyle w:val="NoteLabel"/>
          <w:b/>
        </w:rPr>
        <w:t>a,</w:t>
      </w:r>
      <w:r w:rsidRPr="00D47641">
        <w:t> </w:t>
      </w:r>
      <w:r w:rsidRPr="00D47641">
        <w:rPr>
          <w:rStyle w:val="NoteLabel"/>
          <w:b/>
        </w:rPr>
        <w:t>b,</w:t>
      </w:r>
      <w:r w:rsidRPr="003A35E2">
        <w:t> </w:t>
      </w:r>
      <w:r w:rsidRPr="003A35E2">
        <w:rPr>
          <w:rStyle w:val="NoteLabel"/>
          <w:b/>
        </w:rPr>
        <w:t>c,</w:t>
      </w:r>
      <w:r w:rsidRPr="003A35E2">
        <w:t> </w:t>
      </w:r>
      <w:r w:rsidRPr="003A35E2">
        <w:rPr>
          <w:rStyle w:val="NoteLabel"/>
          <w:b/>
        </w:rPr>
        <w:t>d,</w:t>
      </w:r>
      <w:r w:rsidRPr="003A35E2">
        <w:t> </w:t>
      </w:r>
      <w:r w:rsidRPr="003A35E2">
        <w:rPr>
          <w:rStyle w:val="NoteLabel"/>
          <w:b/>
        </w:rPr>
        <w:t>e,</w:t>
      </w:r>
      <w:r w:rsidRPr="003A35E2">
        <w:t> </w:t>
      </w:r>
      <w:r w:rsidRPr="003A35E2">
        <w:rPr>
          <w:rStyle w:val="NoteLabel"/>
          <w:b/>
        </w:rPr>
        <w:t>f, g</w:t>
      </w:r>
      <w:r w:rsidR="003B313B">
        <w:rPr>
          <w:rStyle w:val="NoteLabel"/>
          <w:b/>
        </w:rPr>
        <w:t>, h</w:t>
      </w:r>
      <w:r w:rsidR="00802CB9">
        <w:rPr>
          <w:rStyle w:val="NoteLabel"/>
          <w:b/>
        </w:rPr>
        <w:t xml:space="preserve">, </w:t>
      </w:r>
      <w:proofErr w:type="spellStart"/>
      <w:r w:rsidR="00802CB9">
        <w:rPr>
          <w:rStyle w:val="NoteLabel"/>
          <w:b/>
        </w:rPr>
        <w:t>i</w:t>
      </w:r>
      <w:proofErr w:type="spellEnd"/>
      <w:r w:rsidR="00802CB9">
        <w:rPr>
          <w:rStyle w:val="NoteLabel"/>
          <w:b/>
        </w:rPr>
        <w:t>, j</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A69C0" w:rsidRPr="003A35E2" w:rsidTr="007F5973">
        <w:trPr>
          <w:trHeight w:val="4806"/>
        </w:trPr>
        <w:tc>
          <w:tcPr>
            <w:tcW w:w="8777" w:type="dxa"/>
            <w:tcBorders>
              <w:top w:val="single" w:sz="6" w:space="0" w:color="auto"/>
              <w:bottom w:val="single" w:sz="4" w:space="0" w:color="auto"/>
            </w:tcBorders>
          </w:tcPr>
          <w:p w:rsidR="00C01FBD" w:rsidRDefault="00C01FBD" w:rsidP="00F72A36">
            <w:pPr>
              <w:pStyle w:val="Figure"/>
              <w:spacing w:before="0"/>
              <w:rPr>
                <w:noProof/>
              </w:rPr>
            </w:pPr>
            <w:r>
              <w:rPr>
                <w:noProof/>
              </w:rPr>
              <w:drawing>
                <wp:inline distT="0" distB="0" distL="0" distR="0" wp14:anchorId="51EF2685" wp14:editId="5EA593D5">
                  <wp:extent cx="5384800" cy="304800"/>
                  <wp:effectExtent l="0" t="0" r="6350" b="0"/>
                  <wp:docPr id="15" name="Picture 15" descr="Legend to Figure E.9&#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4800" cy="304800"/>
                          </a:xfrm>
                          <a:prstGeom prst="rect">
                            <a:avLst/>
                          </a:prstGeom>
                          <a:noFill/>
                          <a:ln>
                            <a:noFill/>
                          </a:ln>
                        </pic:spPr>
                      </pic:pic>
                    </a:graphicData>
                  </a:graphic>
                </wp:inline>
              </w:drawing>
            </w:r>
            <w:r w:rsidR="007F5973">
              <w:rPr>
                <w:noProof/>
              </w:rPr>
              <w:t xml:space="preserve"> </w:t>
            </w:r>
          </w:p>
          <w:p w:rsidR="00FA69C0" w:rsidRPr="00E83DA8" w:rsidRDefault="008B6E94" w:rsidP="00F72A36">
            <w:pPr>
              <w:pStyle w:val="Figure"/>
              <w:spacing w:before="0"/>
            </w:pPr>
            <w:r>
              <w:rPr>
                <w:noProof/>
              </w:rPr>
              <w:drawing>
                <wp:inline distT="0" distB="0" distL="0" distR="0" wp14:anchorId="11253237" wp14:editId="5B0427AB">
                  <wp:extent cx="5419725" cy="1581150"/>
                  <wp:effectExtent l="0" t="0" r="9525" b="0"/>
                  <wp:docPr id="5" name="Picture 5" descr="Figure E.9 Age standardised mortality rates of potentially avoidable deaths, under 75 years, 2007–2011, by Indigenous status - potentially preventable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9725" cy="1581150"/>
                          </a:xfrm>
                          <a:prstGeom prst="rect">
                            <a:avLst/>
                          </a:prstGeom>
                          <a:noFill/>
                          <a:ln>
                            <a:noFill/>
                          </a:ln>
                        </pic:spPr>
                      </pic:pic>
                    </a:graphicData>
                  </a:graphic>
                </wp:inline>
              </w:drawing>
            </w:r>
            <w:r>
              <w:rPr>
                <w:noProof/>
              </w:rPr>
              <w:drawing>
                <wp:inline distT="0" distB="0" distL="0" distR="0" wp14:anchorId="4972B418" wp14:editId="5073E8EA">
                  <wp:extent cx="5410200" cy="1571625"/>
                  <wp:effectExtent l="0" t="0" r="0" b="9525"/>
                  <wp:docPr id="4" name="Picture 4" descr="Figure E.9 Age standardised mortality rates of potentially avoidable deaths, under 75 years, 2007–2011, by Indigenous status - potentially treatable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0200" cy="1571625"/>
                          </a:xfrm>
                          <a:prstGeom prst="rect">
                            <a:avLst/>
                          </a:prstGeom>
                          <a:noFill/>
                          <a:ln>
                            <a:noFill/>
                          </a:ln>
                        </pic:spPr>
                      </pic:pic>
                    </a:graphicData>
                  </a:graphic>
                </wp:inline>
              </w:drawing>
            </w:r>
            <w:r>
              <w:rPr>
                <w:noProof/>
              </w:rPr>
              <w:drawing>
                <wp:inline distT="0" distB="0" distL="0" distR="0" wp14:anchorId="09BB3DF1" wp14:editId="6F43ED5C">
                  <wp:extent cx="5372100" cy="1609725"/>
                  <wp:effectExtent l="0" t="0" r="0" b="9525"/>
                  <wp:docPr id="3" name="Picture 3" descr="Figure E.9 Age standardised mortality rates of potentially avoidable deaths, under 75 years, 2007–2011, by Indigenous status - all potentially avoidable death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72100" cy="1609725"/>
                          </a:xfrm>
                          <a:prstGeom prst="rect">
                            <a:avLst/>
                          </a:prstGeom>
                          <a:noFill/>
                          <a:ln>
                            <a:noFill/>
                          </a:ln>
                        </pic:spPr>
                      </pic:pic>
                    </a:graphicData>
                  </a:graphic>
                </wp:inline>
              </w:drawing>
            </w:r>
          </w:p>
        </w:tc>
      </w:tr>
    </w:tbl>
    <w:p w:rsidR="00FA69C0" w:rsidRPr="003A35E2" w:rsidRDefault="00FA69C0" w:rsidP="00E90284">
      <w:pPr>
        <w:pStyle w:val="Note"/>
        <w:tabs>
          <w:tab w:val="left" w:pos="5670"/>
        </w:tabs>
      </w:pPr>
      <w:r w:rsidRPr="003A35E2">
        <w:rPr>
          <w:rStyle w:val="NoteLabel"/>
        </w:rPr>
        <w:t>a</w:t>
      </w:r>
      <w:r w:rsidR="008B01DF">
        <w:t xml:space="preserve"> </w:t>
      </w:r>
      <w:proofErr w:type="spellStart"/>
      <w:r w:rsidR="00CE11D9" w:rsidRPr="00CE11D9">
        <w:rPr>
          <w:snapToGrid w:val="0"/>
          <w:lang w:val="en-US"/>
        </w:rPr>
        <w:t>Standardised</w:t>
      </w:r>
      <w:proofErr w:type="spellEnd"/>
      <w:r w:rsidR="00CE11D9" w:rsidRPr="00CE11D9">
        <w:rPr>
          <w:snapToGrid w:val="0"/>
          <w:lang w:val="en-US"/>
        </w:rPr>
        <w:t xml:space="preserve"> death rates calculated using the direct method, age-</w:t>
      </w:r>
      <w:proofErr w:type="spellStart"/>
      <w:r w:rsidR="00CE11D9" w:rsidRPr="00CE11D9">
        <w:rPr>
          <w:snapToGrid w:val="0"/>
          <w:lang w:val="en-US"/>
        </w:rPr>
        <w:t>standardised</w:t>
      </w:r>
      <w:proofErr w:type="spellEnd"/>
      <w:r w:rsidR="00CE11D9" w:rsidRPr="00CE11D9">
        <w:rPr>
          <w:snapToGrid w:val="0"/>
          <w:lang w:val="en-US"/>
        </w:rPr>
        <w:t xml:space="preserve"> by 5 year age groups to less than 75 years.</w:t>
      </w:r>
      <w:r w:rsidRPr="003A35E2">
        <w:rPr>
          <w:snapToGrid w:val="0"/>
          <w:lang w:val="en-US"/>
        </w:rPr>
        <w:t xml:space="preserve"> </w:t>
      </w:r>
      <w:r w:rsidRPr="00E90284">
        <w:rPr>
          <w:rStyle w:val="NoteLabel"/>
        </w:rPr>
        <w:t>b</w:t>
      </w:r>
      <w:r w:rsidRPr="00E90284">
        <w:sym w:font="Symbol" w:char="F020"/>
      </w:r>
      <w:r w:rsidR="00802CB9" w:rsidRPr="00E90284">
        <w:t xml:space="preserve">Excludes deaths where Indigenous status was not provided. </w:t>
      </w:r>
      <w:r w:rsidR="00802CB9" w:rsidRPr="00E90284">
        <w:rPr>
          <w:rStyle w:val="NoteLabel"/>
        </w:rPr>
        <w:t>c</w:t>
      </w:r>
      <w:r w:rsidR="00802CB9" w:rsidRPr="00E90284">
        <w:sym w:font="Symbol" w:char="F020"/>
      </w:r>
      <w:r w:rsidR="00993BE5" w:rsidRPr="00E90284">
        <w:t>A</w:t>
      </w:r>
      <w:r w:rsidR="00993BE5" w:rsidRPr="00993BE5">
        <w:t xml:space="preserve">voidable mortality </w:t>
      </w:r>
      <w:r w:rsidR="00802CB9">
        <w:t xml:space="preserve">is </w:t>
      </w:r>
      <w:r w:rsidR="00993BE5" w:rsidRPr="00993BE5">
        <w:t xml:space="preserve">defined as mortality before the age of 75 years, from conditions which are potentially avoidable within the </w:t>
      </w:r>
      <w:r w:rsidR="00802CB9">
        <w:t>existing</w:t>
      </w:r>
      <w:r w:rsidR="00993BE5" w:rsidRPr="00993BE5">
        <w:t xml:space="preserve"> health system.</w:t>
      </w:r>
      <w:r w:rsidR="00993BE5" w:rsidRPr="003A35E2">
        <w:t xml:space="preserve"> </w:t>
      </w:r>
      <w:r w:rsidR="00802CB9">
        <w:rPr>
          <w:rStyle w:val="NoteLabel"/>
        </w:rPr>
        <w:t>d</w:t>
      </w:r>
      <w:r w:rsidR="00993BE5" w:rsidRPr="003A35E2">
        <w:sym w:font="Symbol" w:char="F020"/>
      </w:r>
      <w:r w:rsidR="00993BE5" w:rsidRPr="00993BE5">
        <w:t xml:space="preserve">Data based on </w:t>
      </w:r>
      <w:r w:rsidR="00802CB9" w:rsidRPr="00993BE5">
        <w:t>year</w:t>
      </w:r>
      <w:r w:rsidR="00802CB9">
        <w:t xml:space="preserve"> of registration</w:t>
      </w:r>
      <w:r w:rsidR="00993BE5" w:rsidRPr="00993BE5">
        <w:t xml:space="preserve">. See </w:t>
      </w:r>
      <w:proofErr w:type="spellStart"/>
      <w:r w:rsidR="00802CB9">
        <w:t>DQI</w:t>
      </w:r>
      <w:proofErr w:type="spellEnd"/>
      <w:r w:rsidR="00993BE5" w:rsidRPr="00993BE5">
        <w:t xml:space="preserve"> for more </w:t>
      </w:r>
      <w:r w:rsidR="00802CB9">
        <w:t>information</w:t>
      </w:r>
      <w:r w:rsidR="00993BE5" w:rsidRPr="00993BE5">
        <w:t>.</w:t>
      </w:r>
      <w:r w:rsidR="00993BE5" w:rsidRPr="003A35E2">
        <w:t xml:space="preserve"> </w:t>
      </w:r>
      <w:r w:rsidR="00802CB9">
        <w:rPr>
          <w:rStyle w:val="NoteLabel"/>
        </w:rPr>
        <w:t>e</w:t>
      </w:r>
      <w:r w:rsidR="00993BE5" w:rsidRPr="003A35E2">
        <w:sym w:font="Symbol" w:char="F020"/>
      </w:r>
      <w:r w:rsidR="00993BE5" w:rsidRPr="00993BE5">
        <w:t>Data are reported by jurisdiction of residence for NSW, Queensland, WA, SA and the NT only. Only these five states and territories have evidence of a sufficient level of Indigenous identification and sufficient numbers of Indigenous deaths to support mortality analysis.</w:t>
      </w:r>
      <w:r w:rsidR="006F4E24" w:rsidRPr="003A35E2">
        <w:t xml:space="preserve"> </w:t>
      </w:r>
      <w:r w:rsidR="00802CB9">
        <w:rPr>
          <w:rStyle w:val="NoteLabel"/>
        </w:rPr>
        <w:t>f</w:t>
      </w:r>
      <w:r w:rsidR="006F4E24" w:rsidRPr="00993BE5">
        <w:rPr>
          <w:color w:val="FF0000"/>
        </w:rPr>
        <w:sym w:font="Symbol" w:char="F020"/>
      </w:r>
      <w:r w:rsidR="006F4E24" w:rsidRPr="006F4E24">
        <w:t xml:space="preserve">Care should be taken when interpreting deaths data for Queensland as they are affected by recent changes in the timeliness of birth and death registrations. Queensland deaths data for 2010 have been adjusted to minimise the impact of late registration of deaths on mortality indicators. See </w:t>
      </w:r>
      <w:proofErr w:type="spellStart"/>
      <w:r w:rsidR="00802CB9">
        <w:t>DQI</w:t>
      </w:r>
      <w:proofErr w:type="spellEnd"/>
      <w:r w:rsidR="006F4E24" w:rsidRPr="000D009F">
        <w:t xml:space="preserve"> for more </w:t>
      </w:r>
      <w:r w:rsidR="00802CB9">
        <w:t>information</w:t>
      </w:r>
      <w:r w:rsidR="006F4E24" w:rsidRPr="00E90284">
        <w:t>.</w:t>
      </w:r>
      <w:r w:rsidR="000D009F" w:rsidRPr="00E90284">
        <w:t xml:space="preserve"> </w:t>
      </w:r>
      <w:r w:rsidR="00802CB9" w:rsidRPr="00E90284">
        <w:rPr>
          <w:rStyle w:val="NoteLabel"/>
        </w:rPr>
        <w:t>g</w:t>
      </w:r>
      <w:r w:rsidR="00802CB9" w:rsidRPr="00E90284">
        <w:sym w:font="Symbol" w:char="F020"/>
      </w:r>
      <w:r w:rsidR="00802CB9" w:rsidRPr="00E90284">
        <w:t xml:space="preserve">For WA, Indigenous deaths data for 2007, 2008 and 2009 have been </w:t>
      </w:r>
      <w:r w:rsidR="002F0332" w:rsidRPr="00E90284">
        <w:t>revised</w:t>
      </w:r>
      <w:r w:rsidR="00802CB9" w:rsidRPr="00E90284">
        <w:t xml:space="preserve">. See </w:t>
      </w:r>
      <w:proofErr w:type="spellStart"/>
      <w:r w:rsidR="00802CB9" w:rsidRPr="00E90284">
        <w:t>DQI</w:t>
      </w:r>
      <w:proofErr w:type="spellEnd"/>
      <w:r w:rsidR="00802CB9" w:rsidRPr="00E90284">
        <w:t xml:space="preserve"> for more information. </w:t>
      </w:r>
      <w:r w:rsidR="00802CB9" w:rsidRPr="00E90284">
        <w:rPr>
          <w:rStyle w:val="NoteLabel"/>
        </w:rPr>
        <w:t>h</w:t>
      </w:r>
      <w:r w:rsidR="000D009F" w:rsidRPr="00E90284">
        <w:sym w:font="Symbol" w:char="F020"/>
      </w:r>
      <w:r w:rsidR="000D009F" w:rsidRPr="00E90284">
        <w:t>Total includes data for NSW, Queensland, WA, SA and the NT only.</w:t>
      </w:r>
      <w:r w:rsidR="00CA68D3" w:rsidRPr="00E90284">
        <w:rPr>
          <w:rStyle w:val="NoteLabel"/>
        </w:rPr>
        <w:t xml:space="preserve"> </w:t>
      </w:r>
      <w:proofErr w:type="spellStart"/>
      <w:r w:rsidR="00802CB9" w:rsidRPr="00E90284">
        <w:rPr>
          <w:rStyle w:val="NoteLabel"/>
        </w:rPr>
        <w:t>i</w:t>
      </w:r>
      <w:proofErr w:type="spellEnd"/>
      <w:r w:rsidR="00CA68D3" w:rsidRPr="00E90284">
        <w:sym w:font="Symbol" w:char="F020"/>
      </w:r>
      <w:r w:rsidRPr="00E90284">
        <w:sym w:font="Symbol" w:char="F020"/>
      </w:r>
      <w:r w:rsidRPr="00E90284">
        <w:t>Preventable deaths are those which are</w:t>
      </w:r>
      <w:r w:rsidRPr="00115A38">
        <w:t xml:space="preserve"> amenable to screening and primary prevention such as immunisation, and reflect the effectiveness of the current preventative health activities of the health sector. </w:t>
      </w:r>
      <w:r w:rsidR="00802CB9">
        <w:rPr>
          <w:rStyle w:val="NoteLabel"/>
        </w:rPr>
        <w:t>j</w:t>
      </w:r>
      <w:r w:rsidRPr="00802CB9">
        <w:sym w:font="Symbol" w:char="F020"/>
      </w:r>
      <w:r w:rsidRPr="00802CB9">
        <w:t>Deaths from potentially treatable conditions are those which are amenable to therapeutic interventions, and reflect the safety and quality of the current treatment system.</w:t>
      </w:r>
      <w:r w:rsidRPr="00115A38">
        <w:t xml:space="preserve"> </w:t>
      </w:r>
    </w:p>
    <w:p w:rsidR="00FA69C0" w:rsidRPr="003A35E2" w:rsidRDefault="00FA69C0" w:rsidP="00E65360">
      <w:pPr>
        <w:pStyle w:val="Source"/>
        <w:spacing w:before="60" w:after="80" w:line="200" w:lineRule="exact"/>
      </w:pPr>
      <w:r w:rsidRPr="00766328">
        <w:rPr>
          <w:i/>
        </w:rPr>
        <w:t>Source</w:t>
      </w:r>
      <w:r w:rsidRPr="00766328">
        <w:t xml:space="preserve">: ABS (unpublished) </w:t>
      </w:r>
      <w:r w:rsidRPr="00766328">
        <w:rPr>
          <w:i/>
        </w:rPr>
        <w:t>C</w:t>
      </w:r>
      <w:r w:rsidR="009724A8" w:rsidRPr="00766328">
        <w:rPr>
          <w:i/>
        </w:rPr>
        <w:t>auses of Deaths, Australia, 201</w:t>
      </w:r>
      <w:r w:rsidR="00EF75E1">
        <w:rPr>
          <w:i/>
        </w:rPr>
        <w:t>1</w:t>
      </w:r>
      <w:r w:rsidRPr="00766328">
        <w:t>, Cat. no. 3303.0; table </w:t>
      </w:r>
      <w:proofErr w:type="spellStart"/>
      <w:r w:rsidRPr="00766328">
        <w:t>EA.</w:t>
      </w:r>
      <w:r w:rsidR="0093336E">
        <w:t>3</w:t>
      </w:r>
      <w:r w:rsidR="004B4CE0">
        <w:t>3</w:t>
      </w:r>
      <w:proofErr w:type="spellEnd"/>
      <w:r w:rsidRPr="00766328">
        <w:t>.</w:t>
      </w:r>
    </w:p>
    <w:p w:rsidR="00B85EEF" w:rsidRPr="005D28A3" w:rsidRDefault="002A5E59" w:rsidP="00B85EEF">
      <w:pPr>
        <w:pStyle w:val="Heading4"/>
        <w:spacing w:before="360"/>
      </w:pPr>
      <w:r w:rsidRPr="005D28A3">
        <w:lastRenderedPageBreak/>
        <w:t>The mortality and life expectancy of Australians</w:t>
      </w:r>
    </w:p>
    <w:p w:rsidR="00B85EEF" w:rsidRDefault="00B85EEF" w:rsidP="002A5E59">
      <w:pPr>
        <w:pStyle w:val="BodyText"/>
      </w:pPr>
      <w:r w:rsidRPr="00A2654C">
        <w:t>‘</w:t>
      </w:r>
      <w:r w:rsidR="002A5E59" w:rsidRPr="002A5E59">
        <w:t>The mortality and life expectancy of Australians</w:t>
      </w:r>
      <w:r w:rsidRPr="00A2654C">
        <w:t>’ is an indicator of governments’ objective that</w:t>
      </w:r>
      <w:r>
        <w:t xml:space="preserve"> Australians are born and remain healthy</w:t>
      </w:r>
      <w:r w:rsidR="002536EF">
        <w:t xml:space="preserve"> (box </w:t>
      </w:r>
      <w:proofErr w:type="spellStart"/>
      <w:r w:rsidR="00F156AA">
        <w:t>E.</w:t>
      </w:r>
      <w:r w:rsidR="006353F0">
        <w:t>6</w:t>
      </w:r>
      <w:proofErr w:type="spellEnd"/>
      <w:r w:rsidR="002536EF">
        <w:t>)</w:t>
      </w:r>
      <w:r>
        <w:t xml:space="preserve">. </w:t>
      </w:r>
    </w:p>
    <w:p w:rsidR="00F162A4" w:rsidRDefault="00BF337D" w:rsidP="002A5E59">
      <w:pPr>
        <w:pStyle w:val="BodyText"/>
      </w:pPr>
      <w:r>
        <w:t>Comparing mortality and life expectancy data across populations</w:t>
      </w:r>
      <w:r w:rsidRPr="00F162A4">
        <w:t xml:space="preserve">, including cause, age, sex, population group and geographical distribution, provide important insights into the overall health of </w:t>
      </w:r>
      <w:r w:rsidRPr="006F007C">
        <w:t>Australians (</w:t>
      </w:r>
      <w:proofErr w:type="spellStart"/>
      <w:r w:rsidRPr="006F007C">
        <w:t>AIHW</w:t>
      </w:r>
      <w:proofErr w:type="spellEnd"/>
      <w:r w:rsidRPr="006F007C">
        <w:t xml:space="preserve"> </w:t>
      </w:r>
      <w:proofErr w:type="spellStart"/>
      <w:r w:rsidRPr="006F007C">
        <w:t>201</w:t>
      </w:r>
      <w:r w:rsidR="00937324" w:rsidRPr="006F007C">
        <w:t>3</w:t>
      </w:r>
      <w:r w:rsidR="00486BE1" w:rsidRPr="006F007C">
        <w:t>d</w:t>
      </w:r>
      <w:proofErr w:type="spellEnd"/>
      <w:r w:rsidRPr="006F007C">
        <w:t xml:space="preserve">). Trends </w:t>
      </w:r>
      <w:r w:rsidRPr="00F162A4">
        <w:t xml:space="preserve">over time </w:t>
      </w:r>
      <w:r>
        <w:t xml:space="preserve">in </w:t>
      </w:r>
      <w:r w:rsidRPr="00F162A4">
        <w:t>mortality</w:t>
      </w:r>
      <w:r>
        <w:t xml:space="preserve"> </w:t>
      </w:r>
      <w:r w:rsidR="00F162A4">
        <w:t xml:space="preserve">and </w:t>
      </w:r>
      <w:r w:rsidR="00F162A4" w:rsidRPr="00F162A4">
        <w:t>life expectancy data can signal changes in the health status of the population, as well as provide a baseline indicator for the effe</w:t>
      </w:r>
      <w:r w:rsidR="00E17F56">
        <w:t>ctiveness of the health system.</w:t>
      </w:r>
    </w:p>
    <w:p w:rsidR="00E25A67" w:rsidRDefault="00E25A6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25A67">
        <w:tc>
          <w:tcPr>
            <w:tcW w:w="8771" w:type="dxa"/>
            <w:tcBorders>
              <w:top w:val="single" w:sz="6" w:space="0" w:color="auto"/>
              <w:bottom w:val="nil"/>
            </w:tcBorders>
          </w:tcPr>
          <w:p w:rsidR="00E25A67" w:rsidRDefault="00E25A67">
            <w:pPr>
              <w:pStyle w:val="BoxTitle"/>
            </w:pPr>
            <w:r>
              <w:rPr>
                <w:b w:val="0"/>
              </w:rPr>
              <w:t xml:space="preserve">Box </w:t>
            </w:r>
            <w:proofErr w:type="spellStart"/>
            <w:r w:rsidR="0046661A" w:rsidRPr="0046661A">
              <w:rPr>
                <w:b w:val="0"/>
              </w:rPr>
              <w:t>E.6</w:t>
            </w:r>
            <w:proofErr w:type="spellEnd"/>
            <w:r>
              <w:tab/>
            </w:r>
            <w:r w:rsidR="0011433C" w:rsidRPr="0011433C">
              <w:t>The mortality and life expectancy of Australians</w:t>
            </w:r>
          </w:p>
        </w:tc>
      </w:tr>
      <w:tr w:rsidR="00E25A67">
        <w:trPr>
          <w:cantSplit/>
        </w:trPr>
        <w:tc>
          <w:tcPr>
            <w:tcW w:w="8771" w:type="dxa"/>
            <w:tcBorders>
              <w:top w:val="nil"/>
              <w:left w:val="single" w:sz="6" w:space="0" w:color="auto"/>
              <w:bottom w:val="nil"/>
              <w:right w:val="single" w:sz="6" w:space="0" w:color="auto"/>
            </w:tcBorders>
          </w:tcPr>
          <w:p w:rsidR="00CD6C62" w:rsidRPr="0067725B" w:rsidRDefault="00CD6C62" w:rsidP="00CD6C62">
            <w:pPr>
              <w:pStyle w:val="Box"/>
            </w:pPr>
            <w:r>
              <w:t>‘</w:t>
            </w:r>
            <w:r w:rsidRPr="002A5E59">
              <w:t>The mortality and life expectancy of Australians</w:t>
            </w:r>
            <w:r w:rsidRPr="0067725B">
              <w:t>’ is defined by the following measures:</w:t>
            </w:r>
          </w:p>
          <w:p w:rsidR="00CD6C62" w:rsidRDefault="00CD6C62" w:rsidP="00CD6C62">
            <w:pPr>
              <w:pStyle w:val="BoxListBullet"/>
            </w:pPr>
            <w:r>
              <w:t>‘</w:t>
            </w:r>
            <w:r w:rsidRPr="006309DE">
              <w:t xml:space="preserve">Life expectancy’ </w:t>
            </w:r>
            <w:r>
              <w:t xml:space="preserve">— </w:t>
            </w:r>
            <w:r w:rsidRPr="006309DE">
              <w:t>the average number of additional years a person of a given age and sex might expect to live if the age-specific death rates of the given period continued throughout his/her lifetime.</w:t>
            </w:r>
          </w:p>
          <w:p w:rsidR="00CD6C62" w:rsidRDefault="00CD6C62" w:rsidP="00CD6C62">
            <w:pPr>
              <w:pStyle w:val="BoxListBullet"/>
              <w:numPr>
                <w:ilvl w:val="0"/>
                <w:numId w:val="0"/>
              </w:numPr>
              <w:ind w:left="284"/>
            </w:pPr>
            <w:r>
              <w:t>A high or increasing life expectancy is desirable.</w:t>
            </w:r>
          </w:p>
          <w:p w:rsidR="00CD6C62" w:rsidRDefault="00CD6C62" w:rsidP="00CD6C62">
            <w:pPr>
              <w:pStyle w:val="BoxListBullet"/>
            </w:pPr>
            <w:r>
              <w:t>‘M</w:t>
            </w:r>
            <w:r w:rsidRPr="00906E67">
              <w:t>edian age at death</w:t>
            </w:r>
            <w:r>
              <w:t xml:space="preserve">’ — </w:t>
            </w:r>
            <w:r w:rsidRPr="00906E67">
              <w:t>the age at which exactly half the deaths registered (or occurring) in a given time period were deaths of people above that age and half were deaths below that age.</w:t>
            </w:r>
          </w:p>
          <w:p w:rsidR="00CD6C62" w:rsidRDefault="00CD6C62" w:rsidP="00CD6C62">
            <w:pPr>
              <w:pStyle w:val="BoxListBullet"/>
              <w:numPr>
                <w:ilvl w:val="0"/>
                <w:numId w:val="0"/>
              </w:numPr>
              <w:ind w:left="284"/>
            </w:pPr>
            <w:r>
              <w:t>A high or increasing m</w:t>
            </w:r>
            <w:r w:rsidRPr="00906E67">
              <w:t>edian age at death</w:t>
            </w:r>
            <w:r>
              <w:t xml:space="preserve"> is desirable.</w:t>
            </w:r>
          </w:p>
          <w:p w:rsidR="00CD6C62" w:rsidRDefault="00CD6C62" w:rsidP="00CD6C62">
            <w:pPr>
              <w:pStyle w:val="BoxListBullet"/>
            </w:pPr>
            <w:r>
              <w:t xml:space="preserve">‘Mortality rates’ — the </w:t>
            </w:r>
            <w:r w:rsidRPr="001F4FBB">
              <w:rPr>
                <w:lang w:val="en"/>
              </w:rPr>
              <w:t xml:space="preserve">number of </w:t>
            </w:r>
            <w:r>
              <w:rPr>
                <w:lang w:val="en"/>
              </w:rPr>
              <w:t xml:space="preserve">registered </w:t>
            </w:r>
            <w:r w:rsidRPr="001F4FBB">
              <w:rPr>
                <w:lang w:val="en"/>
              </w:rPr>
              <w:t xml:space="preserve">deaths </w:t>
            </w:r>
            <w:r>
              <w:rPr>
                <w:lang w:val="en"/>
              </w:rPr>
              <w:t>compared to the total population (expressed as a rate)</w:t>
            </w:r>
            <w:r>
              <w:t>. Rates are provided for:</w:t>
            </w:r>
          </w:p>
          <w:p w:rsidR="00CD6C62" w:rsidRDefault="00CD6C62" w:rsidP="00CD6C62">
            <w:pPr>
              <w:pStyle w:val="BoxListBullet2"/>
            </w:pPr>
            <w:r>
              <w:t>Australian mortality rate — age standardised mortality per 1000 people</w:t>
            </w:r>
          </w:p>
          <w:p w:rsidR="00CD6C62" w:rsidRDefault="00CD6C62" w:rsidP="00CD6C62">
            <w:pPr>
              <w:pStyle w:val="BoxListBullet2"/>
            </w:pPr>
            <w:r>
              <w:t>i</w:t>
            </w:r>
            <w:r w:rsidRPr="00182BEE">
              <w:t xml:space="preserve">nfant </w:t>
            </w:r>
            <w:r>
              <w:t xml:space="preserve">and child </w:t>
            </w:r>
            <w:r w:rsidRPr="00182BEE">
              <w:t>mortality rate</w:t>
            </w:r>
            <w:r>
              <w:t xml:space="preserve">s — </w:t>
            </w:r>
            <w:r w:rsidRPr="00182BEE">
              <w:t xml:space="preserve">the number of deaths of children under </w:t>
            </w:r>
            <w:r>
              <w:t>one</w:t>
            </w:r>
            <w:r w:rsidRPr="00182BEE">
              <w:t> year of age in a calendar year per 10</w:t>
            </w:r>
            <w:r>
              <w:t xml:space="preserve">00 live births in the same year (infant mortality rate) and </w:t>
            </w:r>
            <w:r w:rsidRPr="00182BEE">
              <w:t>the number of deaths of children between one and four years of age in a calendar year per 100 000 children</w:t>
            </w:r>
            <w:r>
              <w:t xml:space="preserve"> (child mortality rate)</w:t>
            </w:r>
          </w:p>
          <w:p w:rsidR="00CD6C62" w:rsidRPr="0067725B" w:rsidRDefault="00CD6C62" w:rsidP="00CD6C62">
            <w:pPr>
              <w:pStyle w:val="BoxListBullet2"/>
            </w:pPr>
            <w:r>
              <w:t>m</w:t>
            </w:r>
            <w:r w:rsidRPr="00906E67">
              <w:t>ortality rates by major cause of death</w:t>
            </w:r>
            <w:r>
              <w:t xml:space="preserve"> — age standardised</w:t>
            </w:r>
            <w:r w:rsidRPr="00906E67">
              <w:t xml:space="preserve"> </w:t>
            </w:r>
            <w:r>
              <w:t>deaths, by cause of death compared to the total population (expressed as a rate).</w:t>
            </w:r>
          </w:p>
          <w:p w:rsidR="00CD6C62" w:rsidRDefault="00CD6C62" w:rsidP="00CD6C62">
            <w:pPr>
              <w:pStyle w:val="BoxListBullet"/>
              <w:numPr>
                <w:ilvl w:val="0"/>
                <w:numId w:val="0"/>
              </w:numPr>
              <w:ind w:left="284"/>
            </w:pPr>
            <w:r>
              <w:t>A low or decreasing mortality rate is desirable.</w:t>
            </w:r>
          </w:p>
          <w:p w:rsidR="00CD6C62" w:rsidRDefault="00CD6C62" w:rsidP="00CD6C62">
            <w:pPr>
              <w:pStyle w:val="Box"/>
            </w:pPr>
            <w:r w:rsidRPr="00182BEE">
              <w:t xml:space="preserve">Most components of the health system can influence </w:t>
            </w:r>
            <w:r>
              <w:t>the mortality and life expectancy of Australians</w:t>
            </w:r>
            <w:r w:rsidRPr="00182BEE">
              <w:t xml:space="preserve">, although there </w:t>
            </w:r>
            <w:r>
              <w:t>can</w:t>
            </w:r>
            <w:r w:rsidRPr="00182BEE">
              <w:t xml:space="preserve"> be decades between the action and the effect. Factors external to the health system also have a strong influence.</w:t>
            </w:r>
          </w:p>
          <w:p w:rsidR="00E25A67" w:rsidRDefault="00E25A67" w:rsidP="00E25A67">
            <w:pPr>
              <w:pStyle w:val="Box"/>
            </w:pPr>
            <w:r w:rsidRPr="0067725B">
              <w:t>Data reported for this indicator are</w:t>
            </w:r>
            <w:r>
              <w:t>:</w:t>
            </w:r>
          </w:p>
          <w:p w:rsidR="00E25A67" w:rsidRDefault="00E25A67" w:rsidP="0046661A">
            <w:pPr>
              <w:pStyle w:val="BoxListBullet"/>
              <w:spacing w:line="240" w:lineRule="atLeast"/>
            </w:pPr>
            <w:r w:rsidRPr="007C48D6">
              <w:t>comparable (subject to caveats) across jurisdictions and over time</w:t>
            </w:r>
            <w:r>
              <w:t xml:space="preserve"> except for median age at death</w:t>
            </w:r>
          </w:p>
          <w:p w:rsidR="00E25A67" w:rsidRPr="0067725B" w:rsidRDefault="00E25A67" w:rsidP="003057D7">
            <w:pPr>
              <w:pStyle w:val="BoxListBullet"/>
            </w:pPr>
            <w:r w:rsidRPr="007C48D6">
              <w:t xml:space="preserve">complete (subject to caveats) for the current reporting period. All required </w:t>
            </w:r>
            <w:r>
              <w:br/>
              <w:t>2010</w:t>
            </w:r>
            <w:r>
              <w:rPr>
                <w:rFonts w:cs="Arial"/>
              </w:rPr>
              <w:t>–</w:t>
            </w:r>
            <w:r>
              <w:t>2012</w:t>
            </w:r>
            <w:r w:rsidRPr="007C48D6">
              <w:t xml:space="preserve"> data </w:t>
            </w:r>
            <w:r>
              <w:t xml:space="preserve">for life expectancy, 2012 data for median age at death and </w:t>
            </w:r>
            <w:r>
              <w:br/>
              <w:t xml:space="preserve">2012 data for mortality rates </w:t>
            </w:r>
            <w:r w:rsidRPr="007C48D6">
              <w:t>are available for all jurisdictions</w:t>
            </w:r>
            <w:r w:rsidRPr="0067725B">
              <w:t xml:space="preserve">. </w:t>
            </w:r>
          </w:p>
          <w:p w:rsidR="00E25A67" w:rsidRDefault="00E17F56" w:rsidP="00A54207">
            <w:pPr>
              <w:pStyle w:val="Box"/>
              <w:spacing w:line="240" w:lineRule="atLeast"/>
            </w:pPr>
            <w:r>
              <w:rPr>
                <w:rFonts w:cs="Arial"/>
                <w:szCs w:val="22"/>
              </w:rPr>
              <w:t>D</w:t>
            </w:r>
            <w:r w:rsidRPr="006D3128">
              <w:rPr>
                <w:rFonts w:cs="Arial"/>
                <w:szCs w:val="22"/>
              </w:rPr>
              <w:t xml:space="preserve">ata quality Information for </w:t>
            </w:r>
            <w:r>
              <w:rPr>
                <w:rFonts w:cs="Arial"/>
                <w:szCs w:val="22"/>
              </w:rPr>
              <w:t>this indicator</w:t>
            </w:r>
            <w:r w:rsidRPr="006D3128">
              <w:rPr>
                <w:rFonts w:cs="Arial"/>
                <w:szCs w:val="22"/>
              </w:rPr>
              <w:t xml:space="preserve"> is at </w:t>
            </w:r>
            <w:proofErr w:type="spellStart"/>
            <w:r w:rsidRPr="00A26107">
              <w:rPr>
                <w:rFonts w:cs="Arial"/>
                <w:szCs w:val="22"/>
              </w:rPr>
              <w:t>www.pc.gov.au</w:t>
            </w:r>
            <w:proofErr w:type="spellEnd"/>
            <w:r w:rsidRPr="00A26107">
              <w:rPr>
                <w:rFonts w:cs="Arial"/>
                <w:szCs w:val="22"/>
              </w:rPr>
              <w:t>/</w:t>
            </w:r>
            <w:proofErr w:type="spellStart"/>
            <w:r w:rsidRPr="00A26107">
              <w:rPr>
                <w:rFonts w:cs="Arial"/>
                <w:szCs w:val="22"/>
              </w:rPr>
              <w:t>gsp</w:t>
            </w:r>
            <w:proofErr w:type="spellEnd"/>
            <w:r w:rsidRPr="00A26107">
              <w:rPr>
                <w:rFonts w:cs="Arial"/>
                <w:szCs w:val="22"/>
              </w:rPr>
              <w:t>/reports/</w:t>
            </w:r>
            <w:proofErr w:type="spellStart"/>
            <w:r w:rsidRPr="00A26107">
              <w:rPr>
                <w:rFonts w:cs="Arial"/>
                <w:szCs w:val="22"/>
              </w:rPr>
              <w:t>rogs</w:t>
            </w:r>
            <w:proofErr w:type="spellEnd"/>
            <w:r w:rsidRPr="00A26107">
              <w:rPr>
                <w:rFonts w:cs="Arial"/>
                <w:szCs w:val="22"/>
              </w:rPr>
              <w:t>/201</w:t>
            </w:r>
            <w:r>
              <w:rPr>
                <w:rFonts w:cs="Arial"/>
                <w:szCs w:val="22"/>
              </w:rPr>
              <w:t>4</w:t>
            </w:r>
            <w:r w:rsidR="00E25A67" w:rsidRPr="00A26107">
              <w:t>.</w:t>
            </w:r>
          </w:p>
        </w:tc>
      </w:tr>
      <w:tr w:rsidR="00E25A67">
        <w:trPr>
          <w:cantSplit/>
        </w:trPr>
        <w:tc>
          <w:tcPr>
            <w:tcW w:w="8771" w:type="dxa"/>
            <w:tcBorders>
              <w:top w:val="nil"/>
              <w:left w:val="single" w:sz="6" w:space="0" w:color="auto"/>
              <w:bottom w:val="single" w:sz="6" w:space="0" w:color="auto"/>
              <w:right w:val="single" w:sz="6" w:space="0" w:color="auto"/>
            </w:tcBorders>
          </w:tcPr>
          <w:p w:rsidR="00E25A67" w:rsidRDefault="00E25A67">
            <w:pPr>
              <w:pStyle w:val="Box"/>
              <w:spacing w:before="0" w:line="120" w:lineRule="exact"/>
            </w:pPr>
          </w:p>
        </w:tc>
      </w:tr>
      <w:tr w:rsidR="00E25A67" w:rsidRPr="000863A5" w:rsidTr="00CD6C62">
        <w:trPr>
          <w:trHeight w:val="57"/>
        </w:trPr>
        <w:tc>
          <w:tcPr>
            <w:tcW w:w="8771" w:type="dxa"/>
            <w:tcBorders>
              <w:top w:val="nil"/>
              <w:left w:val="nil"/>
              <w:bottom w:val="nil"/>
              <w:right w:val="nil"/>
            </w:tcBorders>
          </w:tcPr>
          <w:p w:rsidR="00E25A67" w:rsidRPr="000863A5" w:rsidRDefault="00E25A67" w:rsidP="003057D7">
            <w:pPr>
              <w:pStyle w:val="Box"/>
              <w:keepNext w:val="0"/>
              <w:spacing w:before="0" w:line="80" w:lineRule="exact"/>
              <w:rPr>
                <w:b/>
                <w:sz w:val="14"/>
              </w:rPr>
            </w:pPr>
          </w:p>
        </w:tc>
      </w:tr>
    </w:tbl>
    <w:p w:rsidR="00FA386F" w:rsidRPr="00B042AA" w:rsidRDefault="00FA386F" w:rsidP="002D71C7">
      <w:pPr>
        <w:pStyle w:val="Heading5"/>
        <w:rPr>
          <w:rStyle w:val="DraftingNote"/>
          <w:color w:val="auto"/>
        </w:rPr>
      </w:pPr>
      <w:r w:rsidRPr="00B042AA">
        <w:lastRenderedPageBreak/>
        <w:t>Life expectancy</w:t>
      </w:r>
    </w:p>
    <w:p w:rsidR="00FA386F" w:rsidRDefault="00FA386F" w:rsidP="00E90284">
      <w:pPr>
        <w:pStyle w:val="BodyText"/>
      </w:pPr>
      <w:r w:rsidRPr="00906E67">
        <w:t>The life expectancy of Australians improved dramatically during the twentieth century and so far during the twenty</w:t>
      </w:r>
      <w:r w:rsidRPr="00906E67">
        <w:noBreakHyphen/>
        <w:t xml:space="preserve">first century. The average life expectancy at birth in </w:t>
      </w:r>
      <w:r w:rsidRPr="00733C73">
        <w:t>the period 1901–1910 was 55.2 years for males and 58.8 </w:t>
      </w:r>
      <w:r w:rsidRPr="00E90284">
        <w:t xml:space="preserve">years for females (ABS </w:t>
      </w:r>
      <w:proofErr w:type="spellStart"/>
      <w:r w:rsidRPr="00E90284">
        <w:t>201</w:t>
      </w:r>
      <w:r w:rsidR="00937324" w:rsidRPr="00E90284">
        <w:t>3c</w:t>
      </w:r>
      <w:proofErr w:type="spellEnd"/>
      <w:r w:rsidRPr="00E90284">
        <w:t xml:space="preserve">). It has risen steadily in each decade since, reaching </w:t>
      </w:r>
      <w:r w:rsidR="00F033C5" w:rsidRPr="00E90284">
        <w:t>79.</w:t>
      </w:r>
      <w:r w:rsidR="00733C73" w:rsidRPr="00E90284">
        <w:t>9</w:t>
      </w:r>
      <w:r w:rsidRPr="00E90284">
        <w:t xml:space="preserve"> years for males and </w:t>
      </w:r>
      <w:r w:rsidR="00F033C5" w:rsidRPr="00E90284">
        <w:t>84.</w:t>
      </w:r>
      <w:r w:rsidR="00733C73" w:rsidRPr="00E90284">
        <w:t>3</w:t>
      </w:r>
      <w:r w:rsidRPr="00E90284">
        <w:t> years for females in 20</w:t>
      </w:r>
      <w:r w:rsidR="00733C73" w:rsidRPr="00E90284">
        <w:t>1</w:t>
      </w:r>
      <w:r w:rsidRPr="00E90284">
        <w:t>0–201</w:t>
      </w:r>
      <w:r w:rsidR="00733C73" w:rsidRPr="00E90284">
        <w:t>2</w:t>
      </w:r>
      <w:r w:rsidRPr="00E90284">
        <w:t xml:space="preserve"> (f</w:t>
      </w:r>
      <w:r w:rsidRPr="00766328">
        <w:rPr>
          <w:shd w:val="clear" w:color="auto" w:fill="FFFFFF" w:themeFill="background1"/>
        </w:rPr>
        <w:t>igure </w:t>
      </w:r>
      <w:proofErr w:type="spellStart"/>
      <w:r w:rsidR="00F156AA" w:rsidRPr="00F156AA">
        <w:rPr>
          <w:shd w:val="clear" w:color="auto" w:fill="FFFFFF" w:themeFill="background1"/>
        </w:rPr>
        <w:t>E.10</w:t>
      </w:r>
      <w:proofErr w:type="spellEnd"/>
      <w:r w:rsidRPr="00766328">
        <w:rPr>
          <w:shd w:val="clear" w:color="auto" w:fill="FFFFFF" w:themeFill="background1"/>
        </w:rPr>
        <w:t>).</w:t>
      </w:r>
    </w:p>
    <w:p w:rsidR="00314F37" w:rsidRPr="00906E67" w:rsidRDefault="00314F37" w:rsidP="00E90284">
      <w:pPr>
        <w:pStyle w:val="FigureTitle"/>
      </w:pPr>
      <w:r w:rsidRPr="00906E67">
        <w:rPr>
          <w:b w:val="0"/>
        </w:rPr>
        <w:t xml:space="preserve">Figure </w:t>
      </w:r>
      <w:bookmarkStart w:id="26" w:name="OLE_LINK30"/>
      <w:proofErr w:type="spellStart"/>
      <w:r w:rsidR="00F156AA">
        <w:rPr>
          <w:b w:val="0"/>
        </w:rPr>
        <w:t>E.</w:t>
      </w:r>
      <w:r w:rsidR="00C01FBD">
        <w:rPr>
          <w:b w:val="0"/>
          <w:noProof/>
        </w:rPr>
        <w:t>10</w:t>
      </w:r>
      <w:bookmarkEnd w:id="26"/>
      <w:proofErr w:type="spellEnd"/>
      <w:r w:rsidRPr="00906E67">
        <w:tab/>
        <w:t xml:space="preserve">All Australians average life expectancy at birth, </w:t>
      </w:r>
      <w:r w:rsidRPr="00E90284">
        <w:t>20</w:t>
      </w:r>
      <w:r w:rsidR="00733C73" w:rsidRPr="00E90284">
        <w:t>10</w:t>
      </w:r>
      <w:r w:rsidR="002F0332" w:rsidRPr="00E90284">
        <w:rPr>
          <w:rFonts w:cs="Arial"/>
        </w:rPr>
        <w:t>–</w:t>
      </w:r>
      <w:r w:rsidRPr="00E90284">
        <w:t>201</w:t>
      </w:r>
      <w:r w:rsidR="00733C73" w:rsidRPr="00E90284">
        <w:t>2</w:t>
      </w:r>
      <w:r w:rsidRPr="00E9028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14F37" w:rsidRPr="00906E67" w:rsidTr="002112B6">
        <w:tc>
          <w:tcPr>
            <w:tcW w:w="8777" w:type="dxa"/>
          </w:tcPr>
          <w:p w:rsidR="00314F37" w:rsidRPr="005E5D0A" w:rsidRDefault="00AB193A" w:rsidP="004A316B">
            <w:pPr>
              <w:pStyle w:val="Figure"/>
              <w:pBdr>
                <w:right w:val="single" w:sz="12" w:space="4" w:color="auto"/>
              </w:pBdr>
            </w:pPr>
            <w:r>
              <w:rPr>
                <w:noProof/>
              </w:rPr>
              <w:drawing>
                <wp:inline distT="0" distB="0" distL="0" distR="0" wp14:anchorId="1BF5E613" wp14:editId="43881FEC">
                  <wp:extent cx="5389880" cy="2872105"/>
                  <wp:effectExtent l="0" t="0" r="1270" b="4445"/>
                  <wp:docPr id="17" name="Picture 17" descr="Figure E.10 All Australians average life expectancy at birth, 2010–20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314F37" w:rsidRPr="00906E67" w:rsidRDefault="00314F37" w:rsidP="00766328">
      <w:pPr>
        <w:pStyle w:val="Note"/>
        <w:keepNext/>
      </w:pPr>
      <w:r w:rsidRPr="00906E67">
        <w:rPr>
          <w:rStyle w:val="NoteLabel"/>
        </w:rPr>
        <w:t>a</w:t>
      </w:r>
      <w:r w:rsidRPr="00906E67">
        <w:sym w:font="Symbol" w:char="F020"/>
      </w:r>
      <w:r w:rsidR="005D6175">
        <w:t>Data</w:t>
      </w:r>
      <w:r w:rsidRPr="00906E67">
        <w:t xml:space="preserve"> for Australia include 'other territories'.</w:t>
      </w:r>
    </w:p>
    <w:p w:rsidR="00314F37" w:rsidRPr="00906E67" w:rsidRDefault="00314F37" w:rsidP="00766328">
      <w:pPr>
        <w:pStyle w:val="Source"/>
      </w:pPr>
      <w:r w:rsidRPr="00906E67">
        <w:rPr>
          <w:i/>
        </w:rPr>
        <w:t>Source</w:t>
      </w:r>
      <w:r w:rsidR="00D95479">
        <w:t>: ABS (</w:t>
      </w:r>
      <w:r w:rsidR="00D95479" w:rsidRPr="004F4EE3">
        <w:t>201</w:t>
      </w:r>
      <w:r w:rsidR="004F4EE3" w:rsidRPr="004F4EE3">
        <w:t>3</w:t>
      </w:r>
      <w:r w:rsidRPr="00906E67">
        <w:t xml:space="preserve">) </w:t>
      </w:r>
      <w:r w:rsidRPr="00906E67">
        <w:rPr>
          <w:i/>
        </w:rPr>
        <w:t>Deaths, Australia, </w:t>
      </w:r>
      <w:r w:rsidRPr="00906E67">
        <w:t>20</w:t>
      </w:r>
      <w:r w:rsidR="004F4EE3">
        <w:t>1</w:t>
      </w:r>
      <w:r w:rsidRPr="00906E67">
        <w:t>0</w:t>
      </w:r>
      <w:r w:rsidR="00D95479">
        <w:t>-201</w:t>
      </w:r>
      <w:r w:rsidR="004F4EE3">
        <w:t>2</w:t>
      </w:r>
      <w:r w:rsidRPr="00906E67">
        <w:t>, Cat. no. 3302, Canberra; table </w:t>
      </w:r>
      <w:proofErr w:type="spellStart"/>
      <w:r w:rsidRPr="00906E67">
        <w:t>EA.</w:t>
      </w:r>
      <w:r w:rsidR="00CB42A7">
        <w:t>3</w:t>
      </w:r>
      <w:r w:rsidR="004B4CE0">
        <w:t>4</w:t>
      </w:r>
      <w:proofErr w:type="spellEnd"/>
      <w:r w:rsidRPr="00906E67">
        <w:t>.</w:t>
      </w:r>
    </w:p>
    <w:p w:rsidR="00FA386F" w:rsidRPr="00906E67" w:rsidRDefault="00FA386F" w:rsidP="00E90284">
      <w:pPr>
        <w:pStyle w:val="BodyText"/>
      </w:pPr>
      <w:r w:rsidRPr="00906E67">
        <w:t>The life expectancies of Indigenous Australians are considerably lower than those of non</w:t>
      </w:r>
      <w:r w:rsidRPr="00906E67">
        <w:noBreakHyphen/>
        <w:t>Indigenous Australians. ABS estimates indicate a life expectancy at birth of</w:t>
      </w:r>
      <w:r w:rsidR="004F4EE3">
        <w:t xml:space="preserve"> </w:t>
      </w:r>
      <w:r w:rsidR="004F4EE3" w:rsidRPr="00E90284">
        <w:t>69.1 </w:t>
      </w:r>
      <w:r w:rsidRPr="00E90284">
        <w:t xml:space="preserve">years for Indigenous males and </w:t>
      </w:r>
      <w:r w:rsidR="004F4EE3" w:rsidRPr="00E90284">
        <w:t>73.7</w:t>
      </w:r>
      <w:r w:rsidR="00C80D11" w:rsidRPr="00E90284">
        <w:t> </w:t>
      </w:r>
      <w:r w:rsidRPr="00E90284">
        <w:t>years for Indigenous females born from 20</w:t>
      </w:r>
      <w:r w:rsidR="004F4EE3" w:rsidRPr="00E90284">
        <w:t>1</w:t>
      </w:r>
      <w:r w:rsidRPr="00E90284">
        <w:t>0 to 20</w:t>
      </w:r>
      <w:r w:rsidR="004F4EE3" w:rsidRPr="00E90284">
        <w:t>12</w:t>
      </w:r>
      <w:r w:rsidRPr="00E90284">
        <w:t>. In the same time period, life expectancy at birth for non-Indigenous males was</w:t>
      </w:r>
      <w:r w:rsidR="004F4EE3" w:rsidRPr="00E90284">
        <w:t xml:space="preserve"> 79.7</w:t>
      </w:r>
      <w:r w:rsidRPr="00E90284">
        <w:t xml:space="preserve"> years</w:t>
      </w:r>
      <w:r>
        <w:t xml:space="preserve"> </w:t>
      </w:r>
      <w:r w:rsidRPr="00906E67">
        <w:t>and for non</w:t>
      </w:r>
      <w:r>
        <w:noBreakHyphen/>
      </w:r>
      <w:r w:rsidRPr="00906E67">
        <w:t>Indigenous females was</w:t>
      </w:r>
      <w:r w:rsidR="004F4EE3">
        <w:t xml:space="preserve"> 83.1</w:t>
      </w:r>
      <w:r w:rsidRPr="00906E67">
        <w:t xml:space="preserve"> years (</w:t>
      </w:r>
      <w:r w:rsidR="0017703F" w:rsidRPr="00906E67">
        <w:t>table </w:t>
      </w:r>
      <w:proofErr w:type="spellStart"/>
      <w:r w:rsidR="0017703F" w:rsidRPr="00906E67">
        <w:t>EA.</w:t>
      </w:r>
      <w:r w:rsidR="004B4CE0">
        <w:t>35</w:t>
      </w:r>
      <w:proofErr w:type="spellEnd"/>
      <w:r w:rsidR="0017703F">
        <w:t>). Life expectancy at birth by Indigenous status and sex for NSW, Queensland, WA and the NT are presented in f</w:t>
      </w:r>
      <w:r w:rsidRPr="00906E67">
        <w:t>igure </w:t>
      </w:r>
      <w:proofErr w:type="spellStart"/>
      <w:r w:rsidR="00F156AA">
        <w:t>E.11</w:t>
      </w:r>
      <w:proofErr w:type="spellEnd"/>
      <w:r w:rsidRPr="00906E67">
        <w:t>.</w:t>
      </w:r>
    </w:p>
    <w:p w:rsidR="00FA386F" w:rsidRPr="00906E67" w:rsidRDefault="00FA386F" w:rsidP="00E90284">
      <w:pPr>
        <w:pStyle w:val="FigureTitle"/>
        <w:rPr>
          <w:bCs/>
        </w:rPr>
      </w:pPr>
      <w:r w:rsidRPr="00906E67">
        <w:rPr>
          <w:b w:val="0"/>
        </w:rPr>
        <w:lastRenderedPageBreak/>
        <w:t xml:space="preserve">Figure </w:t>
      </w:r>
      <w:bookmarkStart w:id="27" w:name="OLE_LINK20"/>
      <w:proofErr w:type="spellStart"/>
      <w:r w:rsidR="00F156AA">
        <w:rPr>
          <w:b w:val="0"/>
        </w:rPr>
        <w:t>E.</w:t>
      </w:r>
      <w:r w:rsidR="00C01FBD">
        <w:rPr>
          <w:b w:val="0"/>
          <w:noProof/>
        </w:rPr>
        <w:t>11</w:t>
      </w:r>
      <w:bookmarkEnd w:id="27"/>
      <w:proofErr w:type="spellEnd"/>
      <w:r w:rsidRPr="00906E67">
        <w:rPr>
          <w:b w:val="0"/>
        </w:rPr>
        <w:tab/>
      </w:r>
      <w:r w:rsidRPr="00906E67">
        <w:rPr>
          <w:bCs/>
        </w:rPr>
        <w:t>Estimated life expectancies at birth, by Indigenous status and sex,</w:t>
      </w:r>
      <w:r w:rsidR="00CD4328">
        <w:rPr>
          <w:bCs/>
        </w:rPr>
        <w:t xml:space="preserve"> </w:t>
      </w:r>
      <w:r w:rsidR="00CD4328" w:rsidRPr="00E90284">
        <w:rPr>
          <w:bCs/>
        </w:rPr>
        <w:t>2010</w:t>
      </w:r>
      <w:r w:rsidRPr="00E90284">
        <w:rPr>
          <w:bCs/>
        </w:rPr>
        <w:t>–20</w:t>
      </w:r>
      <w:r w:rsidR="00CD4328" w:rsidRPr="00E90284">
        <w:rPr>
          <w:bCs/>
        </w:rPr>
        <w:t>12</w:t>
      </w:r>
      <w:r w:rsidRPr="00906E67">
        <w:rPr>
          <w:bCs/>
        </w:rPr>
        <w:t xml:space="preserve"> (years)</w:t>
      </w:r>
      <w:r w:rsidRPr="00906E67">
        <w:rPr>
          <w:rStyle w:val="NoteLabel"/>
          <w:b/>
        </w:rPr>
        <w:t>a,</w:t>
      </w:r>
      <w:r w:rsidRPr="00906E67">
        <w:t> </w:t>
      </w:r>
      <w:r w:rsidR="00C5077A">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A386F" w:rsidRPr="00906E67" w:rsidTr="00FA386F">
        <w:tc>
          <w:tcPr>
            <w:tcW w:w="8777" w:type="dxa"/>
          </w:tcPr>
          <w:p w:rsidR="00FA386F" w:rsidRPr="005E5D0A" w:rsidRDefault="00AB193A" w:rsidP="001C10E7">
            <w:pPr>
              <w:pStyle w:val="Figure"/>
            </w:pPr>
            <w:bookmarkStart w:id="28" w:name="OLE_LINK5"/>
            <w:r>
              <w:rPr>
                <w:noProof/>
              </w:rPr>
              <w:drawing>
                <wp:inline distT="0" distB="0" distL="0" distR="0" wp14:anchorId="583D8357" wp14:editId="4AE47BF1">
                  <wp:extent cx="5389880" cy="2786380"/>
                  <wp:effectExtent l="0" t="0" r="1270" b="0"/>
                  <wp:docPr id="20" name="Picture 20" descr="Figure E.11 Estimated life expectancies at birth, by Indigenous status and sex, 2010–2012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b="3027"/>
                          <a:stretch>
                            <a:fillRect/>
                          </a:stretch>
                        </pic:blipFill>
                        <pic:spPr bwMode="auto">
                          <a:xfrm>
                            <a:off x="0" y="0"/>
                            <a:ext cx="5389880" cy="2786380"/>
                          </a:xfrm>
                          <a:prstGeom prst="rect">
                            <a:avLst/>
                          </a:prstGeom>
                          <a:noFill/>
                          <a:ln>
                            <a:noFill/>
                          </a:ln>
                        </pic:spPr>
                      </pic:pic>
                    </a:graphicData>
                  </a:graphic>
                </wp:inline>
              </w:drawing>
            </w:r>
          </w:p>
        </w:tc>
      </w:tr>
    </w:tbl>
    <w:p w:rsidR="00FA386F" w:rsidRPr="00906E67" w:rsidRDefault="00FA386F" w:rsidP="00CD4328">
      <w:pPr>
        <w:pStyle w:val="Note"/>
        <w:keepNext/>
        <w:rPr>
          <w:snapToGrid w:val="0"/>
          <w:lang w:val="en-US"/>
        </w:rPr>
      </w:pPr>
      <w:proofErr w:type="spellStart"/>
      <w:r w:rsidRPr="00906E67">
        <w:rPr>
          <w:rStyle w:val="NoteLabel"/>
        </w:rPr>
        <w:t>a</w:t>
      </w:r>
      <w:proofErr w:type="spellEnd"/>
      <w:r w:rsidRPr="00906E67">
        <w:sym w:font="Symbol" w:char="F020"/>
      </w:r>
      <w:r w:rsidRPr="00906E67">
        <w:t xml:space="preserve">Indigenous estimates of life expectancy are not available for Victoria, SA, Tasmania or the ACT due to the small number of Indigenous deaths in these jurisdictions. </w:t>
      </w:r>
      <w:r w:rsidRPr="00906E67">
        <w:rPr>
          <w:rStyle w:val="NoteLabel"/>
        </w:rPr>
        <w:t>b</w:t>
      </w:r>
      <w:r w:rsidRPr="00906E67">
        <w:sym w:font="Symbol" w:char="F020"/>
      </w:r>
      <w:r w:rsidRPr="00906E67">
        <w:rPr>
          <w:snapToGrid w:val="0"/>
          <w:lang w:val="en-US"/>
        </w:rPr>
        <w:t>Life tables are constructed separately for Males and Females.</w:t>
      </w:r>
    </w:p>
    <w:p w:rsidR="00FA386F" w:rsidRPr="00906E67" w:rsidRDefault="00FA386F" w:rsidP="00163D7E">
      <w:pPr>
        <w:pStyle w:val="Source"/>
        <w:spacing w:before="0" w:after="80"/>
      </w:pPr>
      <w:r w:rsidRPr="00906E67">
        <w:rPr>
          <w:i/>
        </w:rPr>
        <w:t>Source</w:t>
      </w:r>
      <w:r w:rsidRPr="00906E67">
        <w:t xml:space="preserve">: </w:t>
      </w:r>
      <w:bookmarkEnd w:id="28"/>
      <w:r>
        <w:t>ABS (</w:t>
      </w:r>
      <w:r w:rsidRPr="00B249FC">
        <w:t>20</w:t>
      </w:r>
      <w:r w:rsidR="00B249FC" w:rsidRPr="00B249FC">
        <w:t>13</w:t>
      </w:r>
      <w:r>
        <w:t>)</w:t>
      </w:r>
      <w:r w:rsidRPr="00906E67">
        <w:t xml:space="preserve"> </w:t>
      </w:r>
      <w:r w:rsidRPr="00906E67">
        <w:rPr>
          <w:i/>
        </w:rPr>
        <w:t>Life Tables for Aboriginal and Torres Strait Islander Australians 20</w:t>
      </w:r>
      <w:r w:rsidR="00B249FC">
        <w:rPr>
          <w:i/>
        </w:rPr>
        <w:t>10</w:t>
      </w:r>
      <w:r w:rsidRPr="00906E67">
        <w:rPr>
          <w:i/>
        </w:rPr>
        <w:t>–20</w:t>
      </w:r>
      <w:r w:rsidR="00B249FC">
        <w:rPr>
          <w:i/>
        </w:rPr>
        <w:t>12</w:t>
      </w:r>
      <w:r w:rsidRPr="00906E67">
        <w:t xml:space="preserve">, </w:t>
      </w:r>
      <w:r w:rsidR="002D5AAD">
        <w:br/>
      </w:r>
      <w:r w:rsidRPr="00906E67">
        <w:t>Cat. no. 3302, Canberra; table </w:t>
      </w:r>
      <w:proofErr w:type="spellStart"/>
      <w:r w:rsidRPr="00906E67">
        <w:t>EA.</w:t>
      </w:r>
      <w:r w:rsidR="00664D8C">
        <w:t>3</w:t>
      </w:r>
      <w:r w:rsidR="004B4CE0">
        <w:t>5</w:t>
      </w:r>
      <w:proofErr w:type="spellEnd"/>
      <w:r w:rsidRPr="00906E67">
        <w:t>.</w:t>
      </w:r>
    </w:p>
    <w:p w:rsidR="00FA386F" w:rsidRPr="00B042AA" w:rsidRDefault="00FA386F" w:rsidP="00C716F3">
      <w:pPr>
        <w:pStyle w:val="Heading5"/>
        <w:spacing w:before="360"/>
      </w:pPr>
      <w:r w:rsidRPr="00B042AA">
        <w:t>Median age at death</w:t>
      </w:r>
    </w:p>
    <w:p w:rsidR="00D24636" w:rsidRDefault="00D24636" w:rsidP="00E90284">
      <w:pPr>
        <w:pStyle w:val="BodyText"/>
      </w:pPr>
      <w:r w:rsidRPr="00906E67">
        <w:t xml:space="preserve">The median age at death </w:t>
      </w:r>
      <w:r w:rsidRPr="00E90284">
        <w:t>in 201</w:t>
      </w:r>
      <w:r w:rsidR="00FD5F56" w:rsidRPr="00E90284">
        <w:t>2</w:t>
      </w:r>
      <w:r w:rsidRPr="00E90284">
        <w:t xml:space="preserve"> was </w:t>
      </w:r>
      <w:r w:rsidR="00F033C5" w:rsidRPr="00E90284">
        <w:t>78.</w:t>
      </w:r>
      <w:r w:rsidR="00FD5F56" w:rsidRPr="00E90284">
        <w:t>9</w:t>
      </w:r>
      <w:r w:rsidRPr="00E90284">
        <w:t xml:space="preserve"> years of age for Australian males and </w:t>
      </w:r>
      <w:r w:rsidR="00F033C5" w:rsidRPr="00E90284">
        <w:t>84.</w:t>
      </w:r>
      <w:r w:rsidR="00FD5F56" w:rsidRPr="00E90284">
        <w:t>7</w:t>
      </w:r>
      <w:r w:rsidRPr="00E90284">
        <w:t> years o</w:t>
      </w:r>
      <w:r w:rsidRPr="009015E7">
        <w:t>f age for Australian females</w:t>
      </w:r>
      <w:r w:rsidRPr="00686BAE">
        <w:t xml:space="preserve"> (table </w:t>
      </w:r>
      <w:proofErr w:type="spellStart"/>
      <w:r w:rsidRPr="00686BAE">
        <w:t>EA.</w:t>
      </w:r>
      <w:r w:rsidR="00CB42A7">
        <w:t>3</w:t>
      </w:r>
      <w:r w:rsidR="00720555">
        <w:t>6</w:t>
      </w:r>
      <w:proofErr w:type="spellEnd"/>
      <w:r w:rsidRPr="00686BAE">
        <w:t>).</w:t>
      </w:r>
    </w:p>
    <w:p w:rsidR="00FA386F" w:rsidRPr="00D167E0" w:rsidRDefault="00FA386F" w:rsidP="002D71C7">
      <w:pPr>
        <w:pStyle w:val="BodyText"/>
        <w:rPr>
          <w:rStyle w:val="DraftingNote"/>
        </w:rPr>
      </w:pPr>
      <w:r w:rsidRPr="00906E67">
        <w:t>Comparisons of the median age at death for Indigenous and non</w:t>
      </w:r>
      <w:r w:rsidRPr="00906E67">
        <w:noBreakHyphen/>
      </w:r>
      <w:r w:rsidR="00550FB3">
        <w:t>Indigenous Australians</w:t>
      </w:r>
      <w:r w:rsidRPr="00906E67">
        <w:t xml:space="preserve"> are affected by different age structures in the populations and by differences in the extent of identification of Indigenous deaths across jurisdictions and across age groups. Identification of Indigenous status for infant deaths is high, but falls significantly in older age groups. The median age of death for </w:t>
      </w:r>
      <w:r w:rsidR="00550FB3">
        <w:t>Indigenous Australians</w:t>
      </w:r>
      <w:r w:rsidRPr="00906E67">
        <w:t xml:space="preserve"> is, therefore, likely to be an underestimate.</w:t>
      </w:r>
    </w:p>
    <w:p w:rsidR="00FA386F" w:rsidRPr="006F007C" w:rsidRDefault="00FA386F" w:rsidP="002D71C7">
      <w:pPr>
        <w:pStyle w:val="BodyText"/>
      </w:pPr>
      <w:r>
        <w:t xml:space="preserve">Caution should be taken when </w:t>
      </w:r>
      <w:r w:rsidRPr="00DA270D">
        <w:t xml:space="preserve">comparing </w:t>
      </w:r>
      <w:r>
        <w:t xml:space="preserve">median </w:t>
      </w:r>
      <w:r w:rsidRPr="00DA270D">
        <w:t xml:space="preserve">age at death </w:t>
      </w:r>
      <w:r w:rsidRPr="006F007C">
        <w:t xml:space="preserve">between Indigenous and non-Indigenous populations. </w:t>
      </w:r>
      <w:proofErr w:type="spellStart"/>
      <w:r w:rsidRPr="006F007C">
        <w:t>Coory</w:t>
      </w:r>
      <w:proofErr w:type="spellEnd"/>
      <w:r w:rsidRPr="006F007C">
        <w:t xml:space="preserve"> and Baade (2003) note that:</w:t>
      </w:r>
    </w:p>
    <w:p w:rsidR="00163D7E" w:rsidRDefault="00FA386F" w:rsidP="00C716F3">
      <w:pPr>
        <w:pStyle w:val="ListBullet"/>
      </w:pPr>
      <w:r w:rsidRPr="006F007C">
        <w:t xml:space="preserve">the relationship between a change in median age at death </w:t>
      </w:r>
      <w:r w:rsidRPr="00DA270D">
        <w:t xml:space="preserve">and a change in death rate depends upon the baseline death rate. So comparison of trends in median age at death for </w:t>
      </w:r>
      <w:r>
        <w:t>Indigenous and</w:t>
      </w:r>
      <w:r w:rsidRPr="00DA270D">
        <w:t xml:space="preserve"> non-</w:t>
      </w:r>
      <w:r w:rsidR="00550FB3">
        <w:t>Indigenous Australians</w:t>
      </w:r>
      <w:r w:rsidRPr="00DA270D">
        <w:t xml:space="preserve"> is difficult to interpret</w:t>
      </w:r>
    </w:p>
    <w:p w:rsidR="00FA386F" w:rsidRDefault="00FA386F" w:rsidP="002D71C7">
      <w:pPr>
        <w:pStyle w:val="ListBullet"/>
      </w:pPr>
      <w:r>
        <w:t>c</w:t>
      </w:r>
      <w:r w:rsidRPr="00DA270D">
        <w:t>hanges in the median age at death of public health importance might be difficult to distinguish from statistical noise.</w:t>
      </w:r>
    </w:p>
    <w:p w:rsidR="00FA386F" w:rsidRPr="00DA270D" w:rsidRDefault="00FA386F" w:rsidP="00E90284">
      <w:pPr>
        <w:pStyle w:val="BodyText"/>
      </w:pPr>
      <w:r w:rsidRPr="00686BAE">
        <w:lastRenderedPageBreak/>
        <w:t xml:space="preserve">In the jurisdictions for which data were available for </w:t>
      </w:r>
      <w:r w:rsidR="00550FB3">
        <w:t>Indigenous Australians</w:t>
      </w:r>
      <w:r w:rsidRPr="00686BAE">
        <w:t xml:space="preserve">, </w:t>
      </w:r>
      <w:r w:rsidRPr="002D71C7">
        <w:t xml:space="preserve">the median age at death for </w:t>
      </w:r>
      <w:r w:rsidRPr="00766328">
        <w:rPr>
          <w:shd w:val="clear" w:color="auto" w:fill="FFFFFF" w:themeFill="background1"/>
        </w:rPr>
        <w:t xml:space="preserve">male Indigenous Australians </w:t>
      </w:r>
      <w:r w:rsidRPr="00E90284">
        <w:t xml:space="preserve">was </w:t>
      </w:r>
      <w:r w:rsidR="00F033C5" w:rsidRPr="00E90284">
        <w:t>55.</w:t>
      </w:r>
      <w:r w:rsidR="00FD5F56" w:rsidRPr="00E90284">
        <w:t>0</w:t>
      </w:r>
      <w:r w:rsidR="0018200D" w:rsidRPr="00E90284">
        <w:t> </w:t>
      </w:r>
      <w:r w:rsidRPr="00E90284">
        <w:t xml:space="preserve">years of age. The median age at death for female Indigenous Australians was </w:t>
      </w:r>
      <w:r w:rsidR="00FD5F56" w:rsidRPr="00E90284">
        <w:t>61</w:t>
      </w:r>
      <w:r w:rsidR="00F033C5" w:rsidRPr="00E90284">
        <w:t>.</w:t>
      </w:r>
      <w:r w:rsidR="00FD5F56" w:rsidRPr="00E90284">
        <w:t>3</w:t>
      </w:r>
      <w:r w:rsidR="0018200D" w:rsidRPr="00E90284">
        <w:t> </w:t>
      </w:r>
      <w:r w:rsidRPr="00766328">
        <w:rPr>
          <w:shd w:val="clear" w:color="auto" w:fill="FFFFFF" w:themeFill="background1"/>
        </w:rPr>
        <w:t>years</w:t>
      </w:r>
      <w:r w:rsidRPr="00686BAE">
        <w:t xml:space="preserve"> of age</w:t>
      </w:r>
      <w:r w:rsidRPr="00906E67">
        <w:t xml:space="preserve"> (figure </w:t>
      </w:r>
      <w:proofErr w:type="spellStart"/>
      <w:r w:rsidR="00F156AA">
        <w:t>E.12</w:t>
      </w:r>
      <w:proofErr w:type="spellEnd"/>
      <w:r w:rsidRPr="00906E67">
        <w:t xml:space="preserve"> and table </w:t>
      </w:r>
      <w:proofErr w:type="spellStart"/>
      <w:r w:rsidRPr="00906E67">
        <w:t>EA.</w:t>
      </w:r>
      <w:r w:rsidR="00CB42A7">
        <w:t>3</w:t>
      </w:r>
      <w:r w:rsidR="00720555">
        <w:t>7</w:t>
      </w:r>
      <w:proofErr w:type="spellEnd"/>
      <w:r w:rsidRPr="00906E67">
        <w:t>).</w:t>
      </w:r>
    </w:p>
    <w:p w:rsidR="00FA386F" w:rsidRPr="00427C1B" w:rsidRDefault="00FA386F" w:rsidP="00C716F3">
      <w:pPr>
        <w:pStyle w:val="FigureTitle"/>
        <w:spacing w:before="280"/>
        <w:rPr>
          <w:rStyle w:val="DraftingNote"/>
          <w:color w:val="auto"/>
          <w:position w:val="6"/>
          <w:sz w:val="18"/>
          <w:u w:val="none"/>
        </w:rPr>
      </w:pPr>
      <w:r w:rsidRPr="00427C1B">
        <w:rPr>
          <w:b w:val="0"/>
        </w:rPr>
        <w:t xml:space="preserve">Figure </w:t>
      </w:r>
      <w:bookmarkStart w:id="29" w:name="OLE_LINK70"/>
      <w:proofErr w:type="spellStart"/>
      <w:r w:rsidR="00F156AA">
        <w:rPr>
          <w:b w:val="0"/>
        </w:rPr>
        <w:t>E.</w:t>
      </w:r>
      <w:r w:rsidR="00C01FBD">
        <w:rPr>
          <w:b w:val="0"/>
          <w:noProof/>
        </w:rPr>
        <w:t>12</w:t>
      </w:r>
      <w:bookmarkEnd w:id="29"/>
      <w:proofErr w:type="spellEnd"/>
      <w:r w:rsidRPr="00427C1B">
        <w:tab/>
        <w:t>Median age at death, by sex and Indigenous status</w:t>
      </w:r>
      <w:r w:rsidRPr="00E90284">
        <w:t>, 201</w:t>
      </w:r>
      <w:r w:rsidR="00FD5F56" w:rsidRPr="00E90284">
        <w:t>2</w:t>
      </w:r>
      <w:r w:rsidRPr="00E90284">
        <w:rPr>
          <w:rStyle w:val="NoteLabel"/>
          <w:b/>
        </w:rPr>
        <w:t>a</w:t>
      </w:r>
      <w:r w:rsidRPr="00427C1B">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A386F" w:rsidRPr="00427C1B" w:rsidTr="00FA386F">
        <w:tc>
          <w:tcPr>
            <w:tcW w:w="8777" w:type="dxa"/>
          </w:tcPr>
          <w:p w:rsidR="00FA386F" w:rsidRPr="00427C1B" w:rsidRDefault="00AB193A" w:rsidP="004A316B">
            <w:pPr>
              <w:pStyle w:val="Figure"/>
              <w:pBdr>
                <w:right w:val="single" w:sz="12" w:space="4" w:color="auto"/>
              </w:pBdr>
            </w:pPr>
            <w:r>
              <w:rPr>
                <w:noProof/>
              </w:rPr>
              <w:drawing>
                <wp:inline distT="0" distB="0" distL="0" distR="0" wp14:anchorId="3A73B680" wp14:editId="042D2033">
                  <wp:extent cx="5389880" cy="2818765"/>
                  <wp:effectExtent l="0" t="0" r="1270" b="635"/>
                  <wp:docPr id="21" name="Picture 21" descr="Figure E.12 Median age at death, by sex and Indigenous status,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b="1944"/>
                          <a:stretch>
                            <a:fillRect/>
                          </a:stretch>
                        </pic:blipFill>
                        <pic:spPr bwMode="auto">
                          <a:xfrm>
                            <a:off x="0" y="0"/>
                            <a:ext cx="5389880" cy="2818765"/>
                          </a:xfrm>
                          <a:prstGeom prst="rect">
                            <a:avLst/>
                          </a:prstGeom>
                          <a:noFill/>
                          <a:ln>
                            <a:noFill/>
                          </a:ln>
                        </pic:spPr>
                      </pic:pic>
                    </a:graphicData>
                  </a:graphic>
                </wp:inline>
              </w:drawing>
            </w:r>
          </w:p>
        </w:tc>
      </w:tr>
    </w:tbl>
    <w:p w:rsidR="00FA386F" w:rsidRPr="00427C1B" w:rsidRDefault="00FA386F" w:rsidP="00766328">
      <w:pPr>
        <w:pStyle w:val="Note"/>
        <w:rPr>
          <w:snapToGrid w:val="0"/>
          <w:lang w:val="en-US"/>
        </w:rPr>
      </w:pPr>
      <w:r w:rsidRPr="00427C1B">
        <w:rPr>
          <w:rStyle w:val="NoteLabel"/>
        </w:rPr>
        <w:t>a</w:t>
      </w:r>
      <w:r w:rsidRPr="00427C1B">
        <w:sym w:font="Symbol" w:char="F020"/>
      </w:r>
      <w:r w:rsidRPr="007B34A5">
        <w:rPr>
          <w:snapToGrid w:val="0"/>
          <w:lang w:val="en-US"/>
        </w:rPr>
        <w:t>Vic</w:t>
      </w:r>
      <w:r w:rsidR="00FE0CA6">
        <w:rPr>
          <w:snapToGrid w:val="0"/>
          <w:lang w:val="en-US"/>
        </w:rPr>
        <w:t>toria</w:t>
      </w:r>
      <w:r w:rsidRPr="007B34A5">
        <w:rPr>
          <w:snapToGrid w:val="0"/>
          <w:lang w:val="en-US"/>
        </w:rPr>
        <w:t>, Tas</w:t>
      </w:r>
      <w:r w:rsidR="00FE0CA6">
        <w:rPr>
          <w:snapToGrid w:val="0"/>
          <w:lang w:val="en-US"/>
        </w:rPr>
        <w:t>mania</w:t>
      </w:r>
      <w:r w:rsidRPr="007B34A5">
        <w:rPr>
          <w:snapToGrid w:val="0"/>
          <w:lang w:val="en-US"/>
        </w:rPr>
        <w:t xml:space="preserve"> and the ACT are excluded due to small numbers of registered Indigenous deaths.</w:t>
      </w:r>
      <w:r w:rsidRPr="00427C1B">
        <w:rPr>
          <w:snapToGrid w:val="0"/>
          <w:lang w:val="en-US"/>
        </w:rPr>
        <w:t xml:space="preserve"> </w:t>
      </w:r>
      <w:r w:rsidRPr="00427C1B">
        <w:rPr>
          <w:rStyle w:val="NoteLabel"/>
        </w:rPr>
        <w:t>b</w:t>
      </w:r>
      <w:r w:rsidRPr="00427C1B">
        <w:sym w:font="Symbol" w:char="F020"/>
      </w:r>
      <w:r w:rsidRPr="00427C1B">
        <w:rPr>
          <w:snapToGrid w:val="0"/>
          <w:lang w:val="en-US"/>
        </w:rPr>
        <w:t>The accuracy of Indigenous mortality data is variable as a result of varying rates of coverage across jurisdictions and age groups, and of changes in the estimated Indigenous population caused by changing rates of identification in the Census and births data.</w:t>
      </w:r>
    </w:p>
    <w:p w:rsidR="00FA386F" w:rsidRPr="00ED1646" w:rsidRDefault="00FA386F" w:rsidP="00CD2EAE">
      <w:pPr>
        <w:pStyle w:val="Source"/>
        <w:spacing w:before="60" w:after="80" w:line="200" w:lineRule="exact"/>
      </w:pPr>
      <w:r w:rsidRPr="00ED1646">
        <w:rPr>
          <w:i/>
        </w:rPr>
        <w:t>Source</w:t>
      </w:r>
      <w:r w:rsidRPr="00ED1646">
        <w:t>: ABS (</w:t>
      </w:r>
      <w:r w:rsidRPr="00FD5F56">
        <w:t>201</w:t>
      </w:r>
      <w:r w:rsidR="00FD5F56" w:rsidRPr="00FD5F56">
        <w:t>3</w:t>
      </w:r>
      <w:r w:rsidRPr="00ED1646">
        <w:t xml:space="preserve">) </w:t>
      </w:r>
      <w:r w:rsidRPr="00ED1646">
        <w:rPr>
          <w:i/>
        </w:rPr>
        <w:t>Deaths</w:t>
      </w:r>
      <w:r w:rsidR="003C218F">
        <w:rPr>
          <w:i/>
        </w:rPr>
        <w:t>,</w:t>
      </w:r>
      <w:r w:rsidRPr="00ED1646">
        <w:rPr>
          <w:i/>
        </w:rPr>
        <w:t xml:space="preserve"> Australia, </w:t>
      </w:r>
      <w:r w:rsidRPr="00FD5F56">
        <w:rPr>
          <w:i/>
        </w:rPr>
        <w:t>201</w:t>
      </w:r>
      <w:r w:rsidR="00FD5F56" w:rsidRPr="00FD5F56">
        <w:rPr>
          <w:i/>
        </w:rPr>
        <w:t>2</w:t>
      </w:r>
      <w:r w:rsidRPr="00FD5F56">
        <w:t>,</w:t>
      </w:r>
      <w:r w:rsidRPr="00ED1646">
        <w:t xml:space="preserve"> Cat. no. 3302.0, Canberra; table </w:t>
      </w:r>
      <w:proofErr w:type="spellStart"/>
      <w:r w:rsidRPr="00ED1646">
        <w:t>EA.</w:t>
      </w:r>
      <w:r w:rsidR="00CB42A7">
        <w:t>3</w:t>
      </w:r>
      <w:r w:rsidR="00720555">
        <w:t>7</w:t>
      </w:r>
      <w:proofErr w:type="spellEnd"/>
      <w:r w:rsidRPr="00ED1646">
        <w:t>.</w:t>
      </w:r>
    </w:p>
    <w:p w:rsidR="00622285" w:rsidRDefault="00622285" w:rsidP="00C716F3">
      <w:pPr>
        <w:pStyle w:val="Heading5"/>
        <w:spacing w:before="420"/>
      </w:pPr>
      <w:r w:rsidRPr="00182BEE">
        <w:t>Mortality</w:t>
      </w:r>
      <w:r w:rsidRPr="00182BEE">
        <w:rPr>
          <w:b/>
        </w:rPr>
        <w:t xml:space="preserve"> </w:t>
      </w:r>
      <w:r w:rsidRPr="00182BEE">
        <w:t>rates</w:t>
      </w:r>
    </w:p>
    <w:p w:rsidR="00622285" w:rsidRPr="006F007C" w:rsidRDefault="00622285" w:rsidP="00E90284">
      <w:pPr>
        <w:pStyle w:val="BodyText"/>
      </w:pPr>
      <w:r w:rsidRPr="00182BEE">
        <w:t>Th</w:t>
      </w:r>
      <w:r w:rsidRPr="00E90284">
        <w:t xml:space="preserve">ere were </w:t>
      </w:r>
      <w:r w:rsidR="00DA7520" w:rsidRPr="00E90284">
        <w:t>147</w:t>
      </w:r>
      <w:r w:rsidR="009015E7" w:rsidRPr="00E90284">
        <w:t> </w:t>
      </w:r>
      <w:r w:rsidR="00DA7520" w:rsidRPr="00E90284">
        <w:t>098</w:t>
      </w:r>
      <w:r w:rsidR="000E5BFE" w:rsidRPr="00E90284">
        <w:t> </w:t>
      </w:r>
      <w:r w:rsidRPr="00E90284">
        <w:t xml:space="preserve">deaths in Australia in </w:t>
      </w:r>
      <w:r w:rsidR="00902A96" w:rsidRPr="00E90284">
        <w:t>20</w:t>
      </w:r>
      <w:r w:rsidR="00575516" w:rsidRPr="00E90284">
        <w:t>1</w:t>
      </w:r>
      <w:r w:rsidR="00DA7520" w:rsidRPr="00E90284">
        <w:t>2</w:t>
      </w:r>
      <w:r w:rsidRPr="00E90284">
        <w:t xml:space="preserve"> (</w:t>
      </w:r>
      <w:r w:rsidR="009C0C4F" w:rsidRPr="00E90284">
        <w:t xml:space="preserve">ABS </w:t>
      </w:r>
      <w:proofErr w:type="spellStart"/>
      <w:r w:rsidR="009C0C4F" w:rsidRPr="00E90284">
        <w:t>201</w:t>
      </w:r>
      <w:r w:rsidR="00DA7520" w:rsidRPr="00E90284">
        <w:t>3</w:t>
      </w:r>
      <w:r w:rsidR="00937324" w:rsidRPr="00E90284">
        <w:t>c</w:t>
      </w:r>
      <w:proofErr w:type="spellEnd"/>
      <w:r w:rsidR="009C0C4F" w:rsidRPr="00E90284">
        <w:t>)</w:t>
      </w:r>
      <w:r w:rsidR="0066273F" w:rsidRPr="00E90284">
        <w:t>,</w:t>
      </w:r>
      <w:r w:rsidRPr="00E90284">
        <w:t xml:space="preserve"> which translated into an age</w:t>
      </w:r>
      <w:r w:rsidR="003647CE" w:rsidRPr="00E90284">
        <w:t xml:space="preserve"> </w:t>
      </w:r>
      <w:r w:rsidRPr="00E90284">
        <w:t>standardised mortality rate of</w:t>
      </w:r>
      <w:r w:rsidR="009E48DF" w:rsidRPr="00E90284">
        <w:t xml:space="preserve"> </w:t>
      </w:r>
      <w:r w:rsidR="00F033C5" w:rsidRPr="00E90284">
        <w:t>5</w:t>
      </w:r>
      <w:r w:rsidR="003B73AA" w:rsidRPr="00E90284">
        <w:t>53</w:t>
      </w:r>
      <w:r w:rsidR="00F033C5" w:rsidRPr="00E90284">
        <w:t>.</w:t>
      </w:r>
      <w:r w:rsidR="003B73AA" w:rsidRPr="00E90284">
        <w:t>6</w:t>
      </w:r>
      <w:r w:rsidR="00C2028A" w:rsidRPr="00E90284">
        <w:t> </w:t>
      </w:r>
      <w:r w:rsidR="001162B8" w:rsidRPr="00E90284">
        <w:t xml:space="preserve">deaths </w:t>
      </w:r>
      <w:r w:rsidRPr="006F007C">
        <w:rPr>
          <w:shd w:val="clear" w:color="auto" w:fill="FFFFFF" w:themeFill="background1"/>
        </w:rPr>
        <w:t>per 1</w:t>
      </w:r>
      <w:r w:rsidR="003B73AA" w:rsidRPr="006F007C">
        <w:rPr>
          <w:shd w:val="clear" w:color="auto" w:fill="FFFFFF" w:themeFill="background1"/>
        </w:rPr>
        <w:t>00 </w:t>
      </w:r>
      <w:r w:rsidRPr="006F007C">
        <w:rPr>
          <w:shd w:val="clear" w:color="auto" w:fill="FFFFFF" w:themeFill="background1"/>
        </w:rPr>
        <w:t>000</w:t>
      </w:r>
      <w:r w:rsidR="000E5BFE" w:rsidRPr="006F007C">
        <w:rPr>
          <w:shd w:val="clear" w:color="auto" w:fill="FFFFFF" w:themeFill="background1"/>
        </w:rPr>
        <w:t> </w:t>
      </w:r>
      <w:r w:rsidRPr="006F007C">
        <w:rPr>
          <w:shd w:val="clear" w:color="auto" w:fill="FFFFFF" w:themeFill="background1"/>
        </w:rPr>
        <w:t>people</w:t>
      </w:r>
      <w:r w:rsidRPr="006F007C">
        <w:t xml:space="preserve"> (figure</w:t>
      </w:r>
      <w:r w:rsidR="0089377B" w:rsidRPr="006F007C">
        <w:t> </w:t>
      </w:r>
      <w:proofErr w:type="spellStart"/>
      <w:r w:rsidR="00F156AA" w:rsidRPr="006F007C">
        <w:t>E.13</w:t>
      </w:r>
      <w:proofErr w:type="spellEnd"/>
      <w:r w:rsidRPr="006F007C">
        <w:t xml:space="preserve">). </w:t>
      </w:r>
      <w:r w:rsidR="002F2423" w:rsidRPr="006F007C">
        <w:t xml:space="preserve">Death </w:t>
      </w:r>
      <w:r w:rsidR="00A143BA" w:rsidRPr="006F007C">
        <w:t>rates over the last 20</w:t>
      </w:r>
      <w:r w:rsidR="000E5BFE" w:rsidRPr="006F007C">
        <w:t> </w:t>
      </w:r>
      <w:r w:rsidR="00A143BA" w:rsidRPr="006F007C">
        <w:t>years have declined for all states and territories</w:t>
      </w:r>
      <w:r w:rsidR="00E236D4" w:rsidRPr="006F007C">
        <w:t xml:space="preserve"> </w:t>
      </w:r>
      <w:r w:rsidR="00A143BA" w:rsidRPr="006F007C">
        <w:t>(</w:t>
      </w:r>
      <w:r w:rsidR="009C0C4F" w:rsidRPr="006F007C">
        <w:t>ABS</w:t>
      </w:r>
      <w:r w:rsidR="009E48DF" w:rsidRPr="006F007C">
        <w:t> </w:t>
      </w:r>
      <w:proofErr w:type="spellStart"/>
      <w:r w:rsidR="00DA7520" w:rsidRPr="006F007C">
        <w:rPr>
          <w:shd w:val="clear" w:color="auto" w:fill="FFFFFF" w:themeFill="background1"/>
        </w:rPr>
        <w:t>2013</w:t>
      </w:r>
      <w:r w:rsidR="00937324" w:rsidRPr="006F007C">
        <w:rPr>
          <w:shd w:val="clear" w:color="auto" w:fill="FFFFFF" w:themeFill="background1"/>
        </w:rPr>
        <w:t>c</w:t>
      </w:r>
      <w:proofErr w:type="spellEnd"/>
      <w:r w:rsidR="009C0C4F" w:rsidRPr="006F007C">
        <w:t>)</w:t>
      </w:r>
      <w:r w:rsidR="00A072EA" w:rsidRPr="006F007C">
        <w:t>.</w:t>
      </w:r>
    </w:p>
    <w:p w:rsidR="00FE33B6" w:rsidRPr="00B042AA" w:rsidRDefault="00B05E17" w:rsidP="002D71C7">
      <w:pPr>
        <w:pStyle w:val="Heading5"/>
      </w:pPr>
      <w:r>
        <w:t xml:space="preserve">Mortality rates — </w:t>
      </w:r>
      <w:r w:rsidR="00FE33B6" w:rsidRPr="00B042AA">
        <w:t xml:space="preserve">Infant and child </w:t>
      </w:r>
    </w:p>
    <w:p w:rsidR="00C716F3" w:rsidRDefault="00FE33B6" w:rsidP="00E90284">
      <w:pPr>
        <w:pStyle w:val="BodyText"/>
      </w:pPr>
      <w:r w:rsidRPr="00E90284">
        <w:t xml:space="preserve">The </w:t>
      </w:r>
      <w:r w:rsidR="0068577F" w:rsidRPr="00E90284">
        <w:t xml:space="preserve">annual </w:t>
      </w:r>
      <w:r w:rsidRPr="00E90284">
        <w:t xml:space="preserve">infant mortality rate in Australia declined from an average of </w:t>
      </w:r>
      <w:r w:rsidR="00AD2767" w:rsidRPr="00E90284">
        <w:t>4.8</w:t>
      </w:r>
      <w:r w:rsidRPr="00E90284">
        <w:t xml:space="preserve"> deaths per 1000 live births </w:t>
      </w:r>
      <w:r w:rsidR="00AD2767" w:rsidRPr="00E90284">
        <w:t xml:space="preserve">in </w:t>
      </w:r>
      <w:r w:rsidRPr="00E90284">
        <w:t>200</w:t>
      </w:r>
      <w:r w:rsidR="00AF38A6" w:rsidRPr="00E90284">
        <w:t>3</w:t>
      </w:r>
      <w:r w:rsidRPr="00E90284">
        <w:t xml:space="preserve"> to </w:t>
      </w:r>
      <w:r w:rsidR="00AF38A6" w:rsidRPr="00E90284">
        <w:t>3.</w:t>
      </w:r>
      <w:r w:rsidR="00AD2767" w:rsidRPr="00E90284">
        <w:t>3</w:t>
      </w:r>
      <w:r w:rsidRPr="00E90284">
        <w:t xml:space="preserve"> deaths per 1000 live births </w:t>
      </w:r>
      <w:r w:rsidR="00AD2767" w:rsidRPr="00E90284">
        <w:t xml:space="preserve">in </w:t>
      </w:r>
      <w:r w:rsidRPr="00E90284">
        <w:t>201</w:t>
      </w:r>
      <w:r w:rsidR="00AF38A6" w:rsidRPr="00E90284">
        <w:t>2</w:t>
      </w:r>
      <w:r w:rsidRPr="00E90284">
        <w:t xml:space="preserve"> </w:t>
      </w:r>
      <w:r w:rsidRPr="00182BEE">
        <w:t>(</w:t>
      </w:r>
      <w:r w:rsidR="000117FA">
        <w:t>tabl</w:t>
      </w:r>
      <w:r w:rsidR="000117FA" w:rsidRPr="00182BEE">
        <w:t>e </w:t>
      </w:r>
      <w:proofErr w:type="spellStart"/>
      <w:r w:rsidR="000117FA" w:rsidRPr="00182BEE">
        <w:t>EA.</w:t>
      </w:r>
      <w:r w:rsidR="00720555">
        <w:t>42</w:t>
      </w:r>
      <w:proofErr w:type="spellEnd"/>
      <w:r w:rsidR="000117FA">
        <w:t xml:space="preserve"> and </w:t>
      </w:r>
      <w:r w:rsidRPr="00182BEE">
        <w:t>figure </w:t>
      </w:r>
      <w:proofErr w:type="spellStart"/>
      <w:r w:rsidR="00F156AA">
        <w:t>E.14</w:t>
      </w:r>
      <w:proofErr w:type="spellEnd"/>
      <w:r w:rsidRPr="00182BEE">
        <w:t>).</w:t>
      </w:r>
    </w:p>
    <w:p w:rsidR="00526AFC" w:rsidRDefault="00526AFC" w:rsidP="00E90284">
      <w:pPr>
        <w:pStyle w:val="BodyText"/>
      </w:pPr>
      <w:r w:rsidRPr="00182BEE">
        <w:t xml:space="preserve">The Australian </w:t>
      </w:r>
      <w:r>
        <w:t>infant and</w:t>
      </w:r>
      <w:r w:rsidRPr="00182BEE">
        <w:t xml:space="preserve"> </w:t>
      </w:r>
      <w:r>
        <w:t xml:space="preserve">child combined </w:t>
      </w:r>
      <w:r w:rsidRPr="00182BEE">
        <w:t xml:space="preserve">mortality rate was </w:t>
      </w:r>
      <w:r w:rsidRPr="00E90284">
        <w:t>9</w:t>
      </w:r>
      <w:r w:rsidR="00AB5BF7" w:rsidRPr="00E90284">
        <w:t>1.5</w:t>
      </w:r>
      <w:r w:rsidRPr="00E90284">
        <w:t xml:space="preserve"> deaths per 100 000 population in 2010–2012 (children aged 0 to 4 years). Of the total deaths for this age group, 84.5 per cent were infant deaths (</w:t>
      </w:r>
      <w:r w:rsidRPr="00D02A99">
        <w:t>table </w:t>
      </w:r>
      <w:proofErr w:type="spellStart"/>
      <w:r w:rsidRPr="00D02A99">
        <w:t>EA.</w:t>
      </w:r>
      <w:r w:rsidR="00720555">
        <w:t>43</w:t>
      </w:r>
      <w:proofErr w:type="spellEnd"/>
      <w:r w:rsidRPr="00D02A99">
        <w:t xml:space="preserve">). </w:t>
      </w:r>
    </w:p>
    <w:p w:rsidR="00134013" w:rsidRPr="00182BEE" w:rsidRDefault="00134013" w:rsidP="008B11E3">
      <w:pPr>
        <w:pStyle w:val="FigureTitle"/>
      </w:pPr>
      <w:r w:rsidRPr="00182BEE">
        <w:rPr>
          <w:b w:val="0"/>
        </w:rPr>
        <w:lastRenderedPageBreak/>
        <w:t xml:space="preserve">Figure </w:t>
      </w:r>
      <w:bookmarkStart w:id="30" w:name="OLE_LINK17"/>
      <w:proofErr w:type="spellStart"/>
      <w:r w:rsidR="00F156AA">
        <w:rPr>
          <w:b w:val="0"/>
        </w:rPr>
        <w:t>E.</w:t>
      </w:r>
      <w:r w:rsidR="00C01FBD">
        <w:rPr>
          <w:b w:val="0"/>
          <w:noProof/>
        </w:rPr>
        <w:t>13</w:t>
      </w:r>
      <w:bookmarkEnd w:id="30"/>
      <w:proofErr w:type="spellEnd"/>
      <w:r w:rsidRPr="00182BEE">
        <w:rPr>
          <w:b w:val="0"/>
        </w:rPr>
        <w:tab/>
      </w:r>
      <w:r w:rsidRPr="00182BEE">
        <w:t>Mortality rates, age standardised</w:t>
      </w:r>
      <w:r w:rsidR="005775EC">
        <w:rPr>
          <w:rFonts w:ascii="Helvetica" w:hAnsi="Helvetica"/>
          <w:position w:val="6"/>
          <w:sz w:val="18"/>
          <w:szCs w:val="18"/>
        </w:rPr>
        <w:t>a, b, c</w:t>
      </w:r>
      <w:r w:rsidR="00566556">
        <w:rPr>
          <w:rFonts w:ascii="Helvetica" w:hAnsi="Helvetica"/>
          <w:position w:val="6"/>
          <w:sz w:val="18"/>
          <w:szCs w:val="18"/>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34013" w:rsidRPr="00182BEE" w:rsidTr="00134013">
        <w:tc>
          <w:tcPr>
            <w:tcW w:w="8777" w:type="dxa"/>
          </w:tcPr>
          <w:p w:rsidR="00134013" w:rsidRPr="00182BEE" w:rsidRDefault="00AB193A" w:rsidP="004A316B">
            <w:pPr>
              <w:pStyle w:val="Figure"/>
              <w:pBdr>
                <w:right w:val="single" w:sz="12" w:space="4" w:color="auto"/>
              </w:pBdr>
            </w:pPr>
            <w:r>
              <w:rPr>
                <w:noProof/>
              </w:rPr>
              <w:drawing>
                <wp:inline distT="0" distB="0" distL="0" distR="0" wp14:anchorId="5238F3E2" wp14:editId="6DF0F725">
                  <wp:extent cx="5389880" cy="2689225"/>
                  <wp:effectExtent l="0" t="0" r="1270" b="0"/>
                  <wp:docPr id="22" name="Picture 22" descr="Figure E.13 Mortality rates, age standardised&#10;&#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9880" cy="2689225"/>
                          </a:xfrm>
                          <a:prstGeom prst="rect">
                            <a:avLst/>
                          </a:prstGeom>
                          <a:noFill/>
                          <a:ln>
                            <a:noFill/>
                          </a:ln>
                        </pic:spPr>
                      </pic:pic>
                    </a:graphicData>
                  </a:graphic>
                </wp:inline>
              </w:drawing>
            </w:r>
          </w:p>
        </w:tc>
      </w:tr>
    </w:tbl>
    <w:p w:rsidR="00134013" w:rsidRPr="00182BEE" w:rsidRDefault="00134013" w:rsidP="008B11E3">
      <w:pPr>
        <w:pStyle w:val="Note"/>
      </w:pPr>
      <w:r w:rsidRPr="00182BEE">
        <w:rPr>
          <w:rStyle w:val="NoteLabel"/>
        </w:rPr>
        <w:t>a</w:t>
      </w:r>
      <w:r w:rsidRPr="00182BEE">
        <w:sym w:font="Symbol" w:char="F020"/>
      </w:r>
      <w:r w:rsidRPr="00182BEE">
        <w:t xml:space="preserve">Deaths are based on year of registration of death. </w:t>
      </w:r>
      <w:r w:rsidRPr="00182BEE">
        <w:rPr>
          <w:rStyle w:val="NoteLabel"/>
        </w:rPr>
        <w:t>b</w:t>
      </w:r>
      <w:r w:rsidRPr="00182BEE">
        <w:sym w:font="Symbol" w:char="F020"/>
      </w:r>
      <w:r w:rsidRPr="00182BEE">
        <w:t>Deaths per 1</w:t>
      </w:r>
      <w:r w:rsidR="0089320A">
        <w:t>00 </w:t>
      </w:r>
      <w:r w:rsidRPr="00182BEE">
        <w:t xml:space="preserve">000 standard population. Standardised death rates use total </w:t>
      </w:r>
      <w:r>
        <w:t>people</w:t>
      </w:r>
      <w:r w:rsidRPr="00182BEE">
        <w:t xml:space="preserve"> in the 2001 Australian population as the standard population. </w:t>
      </w:r>
      <w:r w:rsidR="005775EC" w:rsidRPr="00182BEE">
        <w:rPr>
          <w:rStyle w:val="NoteLabel"/>
        </w:rPr>
        <w:t>c</w:t>
      </w:r>
      <w:r w:rsidR="005775EC" w:rsidRPr="00182BEE">
        <w:sym w:font="Symbol" w:char="F020"/>
      </w:r>
      <w:r w:rsidR="005775EC" w:rsidRPr="005775EC">
        <w:t xml:space="preserve">Rates may differ from previous reports as they have been revised using </w:t>
      </w:r>
      <w:proofErr w:type="spellStart"/>
      <w:r w:rsidR="005775EC" w:rsidRPr="005775EC">
        <w:t>ERPs</w:t>
      </w:r>
      <w:proofErr w:type="spellEnd"/>
      <w:r w:rsidR="005775EC" w:rsidRPr="005775EC">
        <w:t xml:space="preserve"> based on the 2011 Census. Rates are not comparable with rates for Indigenous and non-Indigenous Australians which use </w:t>
      </w:r>
      <w:proofErr w:type="spellStart"/>
      <w:r w:rsidR="005775EC" w:rsidRPr="005775EC">
        <w:t>ERPs</w:t>
      </w:r>
      <w:proofErr w:type="spellEnd"/>
      <w:r w:rsidR="005775EC" w:rsidRPr="005775EC">
        <w:t xml:space="preserve"> based on the 2006 Census.</w:t>
      </w:r>
      <w:r w:rsidR="005775EC">
        <w:rPr>
          <w:rStyle w:val="NoteLabel"/>
        </w:rPr>
        <w:t>d</w:t>
      </w:r>
      <w:r w:rsidRPr="00182BEE">
        <w:sym w:font="Symbol" w:char="F020"/>
      </w:r>
      <w:r w:rsidRPr="00182BEE">
        <w:t>Australian totals includes all states and territories.</w:t>
      </w:r>
    </w:p>
    <w:p w:rsidR="00134013" w:rsidRPr="00182BEE" w:rsidRDefault="00134013" w:rsidP="00CD2EAE">
      <w:pPr>
        <w:pStyle w:val="Source"/>
      </w:pPr>
      <w:r w:rsidRPr="00182BEE">
        <w:rPr>
          <w:i/>
        </w:rPr>
        <w:t>Source</w:t>
      </w:r>
      <w:r w:rsidRPr="00182BEE">
        <w:t>: ABS (</w:t>
      </w:r>
      <w:r w:rsidRPr="00742C38">
        <w:t>201</w:t>
      </w:r>
      <w:r w:rsidR="00742C38" w:rsidRPr="00742C38">
        <w:t>3</w:t>
      </w:r>
      <w:r w:rsidRPr="00182BEE">
        <w:t xml:space="preserve">) </w:t>
      </w:r>
      <w:r w:rsidR="001D631F" w:rsidRPr="00AF38A6">
        <w:rPr>
          <w:i/>
        </w:rPr>
        <w:t>Deaths</w:t>
      </w:r>
      <w:r w:rsidR="001D631F">
        <w:rPr>
          <w:i/>
        </w:rPr>
        <w:t>,</w:t>
      </w:r>
      <w:r w:rsidR="001D631F" w:rsidRPr="00AF38A6">
        <w:rPr>
          <w:i/>
        </w:rPr>
        <w:t xml:space="preserve"> Australia, 201</w:t>
      </w:r>
      <w:r w:rsidR="001D631F">
        <w:rPr>
          <w:i/>
        </w:rPr>
        <w:t>2</w:t>
      </w:r>
      <w:r w:rsidRPr="00182BEE">
        <w:t xml:space="preserve">, Cat. no. 3302.0, </w:t>
      </w:r>
      <w:proofErr w:type="spellStart"/>
      <w:r w:rsidRPr="00182BEE">
        <w:t>AusInfo</w:t>
      </w:r>
      <w:proofErr w:type="spellEnd"/>
      <w:r w:rsidRPr="00182BEE">
        <w:t>, Canberra; table </w:t>
      </w:r>
      <w:proofErr w:type="spellStart"/>
      <w:r w:rsidRPr="00182BEE">
        <w:t>EA.</w:t>
      </w:r>
      <w:r w:rsidR="00CB42A7">
        <w:t>3</w:t>
      </w:r>
      <w:r w:rsidR="00720555">
        <w:t>8</w:t>
      </w:r>
      <w:proofErr w:type="spellEnd"/>
      <w:r w:rsidRPr="00182BEE">
        <w:t>.</w:t>
      </w:r>
    </w:p>
    <w:p w:rsidR="0070772B" w:rsidRPr="00182BEE" w:rsidRDefault="0070772B" w:rsidP="008B11E3">
      <w:pPr>
        <w:pStyle w:val="FigureTitle"/>
      </w:pPr>
      <w:r w:rsidRPr="00182BEE">
        <w:rPr>
          <w:b w:val="0"/>
        </w:rPr>
        <w:t xml:space="preserve">Figure </w:t>
      </w:r>
      <w:bookmarkStart w:id="31" w:name="OLE_LINK19"/>
      <w:proofErr w:type="spellStart"/>
      <w:r w:rsidR="00F156AA">
        <w:rPr>
          <w:b w:val="0"/>
        </w:rPr>
        <w:t>E.</w:t>
      </w:r>
      <w:r w:rsidR="00C01FBD">
        <w:rPr>
          <w:b w:val="0"/>
          <w:noProof/>
        </w:rPr>
        <w:t>14</w:t>
      </w:r>
      <w:bookmarkEnd w:id="31"/>
      <w:proofErr w:type="spellEnd"/>
      <w:r w:rsidRPr="00182BEE">
        <w:tab/>
        <w:t>Infant mortality rate</w:t>
      </w:r>
      <w:r w:rsidRPr="00182BEE">
        <w:rPr>
          <w:rStyle w:val="NoteLabel"/>
          <w:b/>
        </w:rPr>
        <w:t>a,</w:t>
      </w:r>
      <w:r w:rsidRPr="00182BEE">
        <w:t> </w:t>
      </w:r>
      <w:r w:rsidRPr="00182BEE">
        <w:rPr>
          <w:rStyle w:val="NoteLabel"/>
          <w:b/>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0772B" w:rsidRPr="00182BEE" w:rsidTr="0070772B">
        <w:tc>
          <w:tcPr>
            <w:tcW w:w="8777" w:type="dxa"/>
          </w:tcPr>
          <w:p w:rsidR="0070772B" w:rsidRPr="00182BEE" w:rsidRDefault="00AB193A" w:rsidP="004A316B">
            <w:pPr>
              <w:pStyle w:val="Figure"/>
              <w:pBdr>
                <w:right w:val="single" w:sz="12" w:space="4" w:color="auto"/>
              </w:pBdr>
            </w:pPr>
            <w:r>
              <w:rPr>
                <w:noProof/>
              </w:rPr>
              <w:drawing>
                <wp:inline distT="0" distB="0" distL="0" distR="0" wp14:anchorId="504642AC" wp14:editId="3278A078">
                  <wp:extent cx="5368290" cy="2689225"/>
                  <wp:effectExtent l="0" t="0" r="3810" b="0"/>
                  <wp:docPr id="23" name="Picture 23" descr="Figure E.14 Infant mortality ra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68290" cy="2689225"/>
                          </a:xfrm>
                          <a:prstGeom prst="rect">
                            <a:avLst/>
                          </a:prstGeom>
                          <a:noFill/>
                          <a:ln>
                            <a:noFill/>
                          </a:ln>
                        </pic:spPr>
                      </pic:pic>
                    </a:graphicData>
                  </a:graphic>
                </wp:inline>
              </w:drawing>
            </w:r>
          </w:p>
        </w:tc>
      </w:tr>
    </w:tbl>
    <w:p w:rsidR="0070772B" w:rsidRPr="00182BEE" w:rsidRDefault="0070772B" w:rsidP="00720555">
      <w:pPr>
        <w:pStyle w:val="Note"/>
        <w:keepNext/>
      </w:pPr>
      <w:proofErr w:type="spellStart"/>
      <w:r w:rsidRPr="00182BEE">
        <w:rPr>
          <w:rStyle w:val="NoteLabel"/>
        </w:rPr>
        <w:t>a</w:t>
      </w:r>
      <w:proofErr w:type="spellEnd"/>
      <w:r w:rsidRPr="00182BEE">
        <w:sym w:font="Symbol" w:char="F020"/>
      </w:r>
      <w:r w:rsidRPr="00182BEE">
        <w:t xml:space="preserve">Infant deaths per 1000 live births. </w:t>
      </w:r>
      <w:r w:rsidRPr="00182BEE">
        <w:rPr>
          <w:rStyle w:val="NoteLabel"/>
        </w:rPr>
        <w:t>b</w:t>
      </w:r>
      <w:r w:rsidRPr="00182BEE">
        <w:sym w:font="Symbol" w:char="F020"/>
      </w:r>
      <w:r w:rsidRPr="00182BEE">
        <w:t>Data for Australia include all states and territories.</w:t>
      </w:r>
    </w:p>
    <w:p w:rsidR="0070772B" w:rsidRPr="00182BEE" w:rsidRDefault="0070772B" w:rsidP="00CD2EAE">
      <w:pPr>
        <w:pStyle w:val="Source"/>
      </w:pPr>
      <w:r w:rsidRPr="00182BEE">
        <w:rPr>
          <w:i/>
        </w:rPr>
        <w:t>Source</w:t>
      </w:r>
      <w:r w:rsidRPr="00182BEE">
        <w:t>: ABS (</w:t>
      </w:r>
      <w:r w:rsidRPr="00AF38A6">
        <w:t>201</w:t>
      </w:r>
      <w:r w:rsidR="00AF38A6" w:rsidRPr="00AF38A6">
        <w:t>3</w:t>
      </w:r>
      <w:r w:rsidRPr="00AF38A6">
        <w:t xml:space="preserve">) </w:t>
      </w:r>
      <w:r w:rsidRPr="00AF38A6">
        <w:rPr>
          <w:i/>
        </w:rPr>
        <w:t>Deaths</w:t>
      </w:r>
      <w:r w:rsidR="001D631F">
        <w:rPr>
          <w:i/>
        </w:rPr>
        <w:t>,</w:t>
      </w:r>
      <w:r w:rsidRPr="00AF38A6">
        <w:rPr>
          <w:i/>
        </w:rPr>
        <w:t xml:space="preserve"> Australia, 201</w:t>
      </w:r>
      <w:r w:rsidR="008E0852">
        <w:rPr>
          <w:i/>
        </w:rPr>
        <w:t>2</w:t>
      </w:r>
      <w:r w:rsidRPr="00182BEE">
        <w:rPr>
          <w:i/>
        </w:rPr>
        <w:t xml:space="preserve">, </w:t>
      </w:r>
      <w:r w:rsidRPr="00182BEE">
        <w:t>Cat. no. 3302.0, Canberra; table </w:t>
      </w:r>
      <w:proofErr w:type="spellStart"/>
      <w:r w:rsidRPr="00182BEE">
        <w:t>EA.</w:t>
      </w:r>
      <w:r w:rsidR="006F216B">
        <w:t>41</w:t>
      </w:r>
      <w:proofErr w:type="spellEnd"/>
      <w:r w:rsidRPr="00182BEE">
        <w:t>.</w:t>
      </w:r>
    </w:p>
    <w:p w:rsidR="00E40882" w:rsidRPr="00B04ED0" w:rsidRDefault="00E40882" w:rsidP="002D71C7">
      <w:pPr>
        <w:pStyle w:val="Heading5"/>
      </w:pPr>
      <w:r w:rsidRPr="00B04ED0">
        <w:lastRenderedPageBreak/>
        <w:t xml:space="preserve">Mortality rates </w:t>
      </w:r>
      <w:r w:rsidR="00B05E17">
        <w:t xml:space="preserve">— </w:t>
      </w:r>
      <w:r w:rsidRPr="00B04ED0">
        <w:t>by remoteness</w:t>
      </w:r>
    </w:p>
    <w:p w:rsidR="00F16A42" w:rsidRPr="00B04ED0" w:rsidRDefault="00E00A67" w:rsidP="00E90284">
      <w:pPr>
        <w:pStyle w:val="BodyText"/>
      </w:pPr>
      <w:r w:rsidRPr="00B04ED0">
        <w:t>M</w:t>
      </w:r>
      <w:r w:rsidR="00F16A42" w:rsidRPr="00B04ED0">
        <w:t xml:space="preserve">ortality indicators showed that very remote areas of Australia </w:t>
      </w:r>
      <w:r w:rsidRPr="00B04ED0">
        <w:t xml:space="preserve">have </w:t>
      </w:r>
      <w:r w:rsidR="00F16A42" w:rsidRPr="00B04ED0">
        <w:t xml:space="preserve">had consistently </w:t>
      </w:r>
      <w:r w:rsidR="00F16A42" w:rsidRPr="00527AD6">
        <w:t>higher</w:t>
      </w:r>
      <w:r w:rsidR="00F16A42" w:rsidRPr="00B04ED0">
        <w:t xml:space="preserve"> mortality rates than </w:t>
      </w:r>
      <w:r w:rsidR="003C218F">
        <w:t xml:space="preserve">have </w:t>
      </w:r>
      <w:r w:rsidR="00F16A42" w:rsidRPr="00B04ED0">
        <w:t xml:space="preserve">other </w:t>
      </w:r>
      <w:r w:rsidRPr="00B04ED0">
        <w:t xml:space="preserve">remoteness areas. </w:t>
      </w:r>
      <w:r w:rsidR="00527AD6">
        <w:t>In 2012,</w:t>
      </w:r>
      <w:r w:rsidR="00C362F4" w:rsidRPr="00B04ED0">
        <w:t xml:space="preserve"> the age standardised mortality rate</w:t>
      </w:r>
      <w:r w:rsidR="00B00F6E" w:rsidRPr="00B04ED0">
        <w:t xml:space="preserve">s were </w:t>
      </w:r>
      <w:r w:rsidR="00B00F6E" w:rsidRPr="00527AD6">
        <w:t>highest</w:t>
      </w:r>
      <w:r w:rsidR="00B00F6E" w:rsidRPr="00B04ED0">
        <w:t xml:space="preserve"> in </w:t>
      </w:r>
      <w:r w:rsidR="00B00F6E" w:rsidRPr="00E90284">
        <w:t>very remote areas (</w:t>
      </w:r>
      <w:r w:rsidR="00AF5862" w:rsidRPr="00E90284">
        <w:t>8.</w:t>
      </w:r>
      <w:r w:rsidR="00527AD6" w:rsidRPr="00E90284">
        <w:t>4</w:t>
      </w:r>
      <w:r w:rsidR="0091386C" w:rsidRPr="00E90284">
        <w:t> </w:t>
      </w:r>
      <w:r w:rsidR="00B00F6E" w:rsidRPr="00E90284">
        <w:t>deaths per 1000 people)</w:t>
      </w:r>
      <w:r w:rsidR="0086035A" w:rsidRPr="00E90284">
        <w:t>, while major cities had the lowest mortality rates (</w:t>
      </w:r>
      <w:r w:rsidR="0091386C" w:rsidRPr="00E90284">
        <w:t>5.</w:t>
      </w:r>
      <w:r w:rsidR="00527AD6" w:rsidRPr="00E90284">
        <w:t>5</w:t>
      </w:r>
      <w:r w:rsidR="0086035A" w:rsidRPr="00E90284">
        <w:t> deaths per 1000 people</w:t>
      </w:r>
      <w:r w:rsidR="0029133E" w:rsidRPr="00E90284">
        <w:t>)</w:t>
      </w:r>
      <w:r w:rsidR="00F16A42" w:rsidRPr="00E90284">
        <w:t xml:space="preserve"> </w:t>
      </w:r>
      <w:r w:rsidR="00181F4F" w:rsidRPr="00E90284">
        <w:t>(</w:t>
      </w:r>
      <w:r w:rsidR="00F16A42" w:rsidRPr="00E90284">
        <w:t xml:space="preserve">ABS </w:t>
      </w:r>
      <w:proofErr w:type="spellStart"/>
      <w:r w:rsidR="0001641F" w:rsidRPr="00E90284">
        <w:t>201</w:t>
      </w:r>
      <w:r w:rsidR="00527AD6" w:rsidRPr="006F007C">
        <w:t>3</w:t>
      </w:r>
      <w:r w:rsidR="00A20D3E" w:rsidRPr="006F007C">
        <w:t>c</w:t>
      </w:r>
      <w:proofErr w:type="spellEnd"/>
      <w:r w:rsidR="00181F4F" w:rsidRPr="006F007C">
        <w:t>).</w:t>
      </w:r>
    </w:p>
    <w:p w:rsidR="003B6751" w:rsidRPr="00C54680" w:rsidRDefault="00B05E17" w:rsidP="00B05E17">
      <w:pPr>
        <w:pStyle w:val="Heading5"/>
        <w:rPr>
          <w:rStyle w:val="DraftingNote"/>
        </w:rPr>
      </w:pPr>
      <w:r>
        <w:t xml:space="preserve">Mortality rates — </w:t>
      </w:r>
      <w:r w:rsidR="003B6751" w:rsidRPr="00B04ED0">
        <w:t xml:space="preserve">Indigenous </w:t>
      </w:r>
      <w:r w:rsidR="00C54680" w:rsidRPr="008A0F62">
        <w:t>Australians</w:t>
      </w:r>
    </w:p>
    <w:p w:rsidR="00002D8F" w:rsidRPr="00182BEE" w:rsidRDefault="00002D8F" w:rsidP="002D71C7">
      <w:pPr>
        <w:pStyle w:val="BodyText"/>
      </w:pPr>
      <w:r w:rsidRPr="00182BEE">
        <w:t>Data on Indigenous mortality are collected through State and Territory death registrations. The completeness of identification of Indigenous Australians in these collections varies significantly across states and territories so care is required when making comparisons.</w:t>
      </w:r>
    </w:p>
    <w:p w:rsidR="00DB6CE4" w:rsidRPr="006F007C" w:rsidRDefault="0069315D" w:rsidP="00E90284">
      <w:pPr>
        <w:pStyle w:val="BodyText"/>
      </w:pPr>
      <w:r w:rsidRPr="008B11E3">
        <w:rPr>
          <w:shd w:val="clear" w:color="auto" w:fill="FFFFFF" w:themeFill="background1"/>
        </w:rPr>
        <w:t xml:space="preserve">For the period </w:t>
      </w:r>
      <w:r w:rsidRPr="00E90284">
        <w:t>200</w:t>
      </w:r>
      <w:r w:rsidR="00B24AC5" w:rsidRPr="00E90284">
        <w:t>8</w:t>
      </w:r>
      <w:r w:rsidRPr="00E90284">
        <w:t>–201</w:t>
      </w:r>
      <w:r w:rsidR="00B24AC5" w:rsidRPr="00E90284">
        <w:t>2</w:t>
      </w:r>
      <w:r w:rsidRPr="00E90284">
        <w:t xml:space="preserve">, NSW, Queensland, WA, SA and the NT have been assessed as having adequate identification </w:t>
      </w:r>
      <w:r w:rsidR="008F44E8" w:rsidRPr="00E90284">
        <w:t xml:space="preserve">and number </w:t>
      </w:r>
      <w:r w:rsidRPr="00E90284">
        <w:t>of Indigenous deaths for mortality analysis. For these five jurisdictions combined,</w:t>
      </w:r>
      <w:r w:rsidR="00C25EBC" w:rsidRPr="00E90284">
        <w:t xml:space="preserve"> the </w:t>
      </w:r>
      <w:r w:rsidR="00DB6CE4" w:rsidRPr="00E90284">
        <w:t xml:space="preserve">overall </w:t>
      </w:r>
      <w:r w:rsidR="00001EA5" w:rsidRPr="00E90284">
        <w:t xml:space="preserve">mortality </w:t>
      </w:r>
      <w:r w:rsidR="00DB6CE4" w:rsidRPr="00E90284">
        <w:t xml:space="preserve">rate for </w:t>
      </w:r>
      <w:r w:rsidR="00550FB3" w:rsidRPr="00E90284">
        <w:t>Indigenous Australians</w:t>
      </w:r>
      <w:r w:rsidR="00D65B87" w:rsidRPr="00E90284">
        <w:t xml:space="preserve"> </w:t>
      </w:r>
      <w:r w:rsidR="00001EA5" w:rsidRPr="00E90284">
        <w:t>was 1143.4 per 100 000 people,</w:t>
      </w:r>
      <w:r w:rsidR="00D65B87" w:rsidRPr="00E90284">
        <w:t xml:space="preserve"> </w:t>
      </w:r>
      <w:r w:rsidR="006F3B64" w:rsidRPr="00E90284">
        <w:t>nearly</w:t>
      </w:r>
      <w:r w:rsidR="00491B62" w:rsidRPr="00E90284">
        <w:t xml:space="preserve"> twice as high </w:t>
      </w:r>
      <w:r w:rsidR="00D06500" w:rsidRPr="00E90284">
        <w:t xml:space="preserve">as </w:t>
      </w:r>
      <w:r w:rsidR="00DB6CE4" w:rsidRPr="00E90284">
        <w:t>for non</w:t>
      </w:r>
      <w:r w:rsidR="00606F45" w:rsidRPr="00E90284">
        <w:noBreakHyphen/>
      </w:r>
      <w:r w:rsidR="00550FB3" w:rsidRPr="00E90284">
        <w:t>Indigenous Australians</w:t>
      </w:r>
      <w:r w:rsidR="00CA248F" w:rsidRPr="00E90284">
        <w:t xml:space="preserve"> </w:t>
      </w:r>
      <w:r w:rsidR="00001EA5" w:rsidRPr="00E90284">
        <w:t>(589.7 per 100 000 people)</w:t>
      </w:r>
      <w:r w:rsidR="00762EDF" w:rsidRPr="00E90284">
        <w:t xml:space="preserve"> (figure</w:t>
      </w:r>
      <w:r w:rsidR="000E5BFE" w:rsidRPr="00E90284">
        <w:t> </w:t>
      </w:r>
      <w:proofErr w:type="spellStart"/>
      <w:r w:rsidR="00F156AA" w:rsidRPr="00E90284">
        <w:t>E.15</w:t>
      </w:r>
      <w:proofErr w:type="spellEnd"/>
      <w:r w:rsidR="00762EDF" w:rsidRPr="00E90284">
        <w:t xml:space="preserve"> and table </w:t>
      </w:r>
      <w:proofErr w:type="spellStart"/>
      <w:r w:rsidR="00B24AC5" w:rsidRPr="00E90284">
        <w:t>EA.3</w:t>
      </w:r>
      <w:r w:rsidR="00FE6955" w:rsidRPr="00E90284">
        <w:t>9</w:t>
      </w:r>
      <w:proofErr w:type="spellEnd"/>
      <w:r w:rsidR="00187ACA" w:rsidRPr="00E90284">
        <w:t>)</w:t>
      </w:r>
      <w:r w:rsidR="00DB6CE4" w:rsidRPr="00E90284">
        <w:t xml:space="preserve">. </w:t>
      </w:r>
      <w:r w:rsidR="00CD3B36" w:rsidRPr="00E90284">
        <w:t>Due to identification completeness issues</w:t>
      </w:r>
      <w:r w:rsidR="006F3B64" w:rsidRPr="00E90284">
        <w:t>, mortality</w:t>
      </w:r>
      <w:r w:rsidR="006F3B64" w:rsidRPr="00182BEE">
        <w:t xml:space="preserve"> rates presen</w:t>
      </w:r>
      <w:r w:rsidR="00CD54F1">
        <w:t xml:space="preserve">ted </w:t>
      </w:r>
      <w:r w:rsidR="00CD54F1" w:rsidRPr="006F007C">
        <w:t>here are likely to be under</w:t>
      </w:r>
      <w:r w:rsidR="006F3B64" w:rsidRPr="006F007C">
        <w:t xml:space="preserve">estimates of </w:t>
      </w:r>
      <w:r w:rsidR="00DB6CE4" w:rsidRPr="006F007C">
        <w:t xml:space="preserve">the true </w:t>
      </w:r>
      <w:r w:rsidR="002B7609" w:rsidRPr="006F007C">
        <w:t xml:space="preserve">mortality of Indigenous Australians </w:t>
      </w:r>
      <w:r w:rsidR="00DB6CE4" w:rsidRPr="006F007C">
        <w:t xml:space="preserve">(ABS and </w:t>
      </w:r>
      <w:proofErr w:type="spellStart"/>
      <w:r w:rsidR="00DB6CE4" w:rsidRPr="006F007C">
        <w:t>AIHW</w:t>
      </w:r>
      <w:proofErr w:type="spellEnd"/>
      <w:r w:rsidR="000E5BFE" w:rsidRPr="006F007C">
        <w:t> </w:t>
      </w:r>
      <w:r w:rsidR="00CD6930" w:rsidRPr="006F007C">
        <w:t>2008</w:t>
      </w:r>
      <w:r w:rsidR="00DB6CE4" w:rsidRPr="006F007C">
        <w:t>).</w:t>
      </w:r>
      <w:r w:rsidR="004B2349" w:rsidRPr="006F007C">
        <w:t xml:space="preserve"> </w:t>
      </w:r>
    </w:p>
    <w:p w:rsidR="00FE33B6" w:rsidRPr="00182BEE" w:rsidRDefault="00FE33B6" w:rsidP="008B11E3">
      <w:pPr>
        <w:pStyle w:val="BodyText"/>
        <w:shd w:val="clear" w:color="auto" w:fill="FFFFFF" w:themeFill="background1"/>
      </w:pPr>
      <w:r w:rsidRPr="006F007C">
        <w:rPr>
          <w:shd w:val="clear" w:color="auto" w:fill="FFFFFF" w:themeFill="background1"/>
        </w:rPr>
        <w:t xml:space="preserve">Data on longer-term trends for WA, SA and the NT suggest that the mortality rate for Indigenous infants </w:t>
      </w:r>
      <w:r w:rsidRPr="006F007C">
        <w:t>decreased by 62 per cent between</w:t>
      </w:r>
      <w:r w:rsidR="00F76161" w:rsidRPr="006F007C">
        <w:t xml:space="preserve"> 1991 and 2010 (</w:t>
      </w:r>
      <w:proofErr w:type="spellStart"/>
      <w:r w:rsidR="00F76161" w:rsidRPr="006F007C">
        <w:t>AHMAC</w:t>
      </w:r>
      <w:proofErr w:type="spellEnd"/>
      <w:r w:rsidR="00F76161" w:rsidRPr="006F007C">
        <w:t> 2012</w:t>
      </w:r>
      <w:r w:rsidRPr="006F007C">
        <w:t xml:space="preserve">). </w:t>
      </w:r>
      <w:r w:rsidR="00E839D7" w:rsidRPr="006F007C">
        <w:t>While</w:t>
      </w:r>
      <w:r w:rsidRPr="006F007C">
        <w:t xml:space="preserve"> this </w:t>
      </w:r>
      <w:r w:rsidR="00E839D7" w:rsidRPr="006F007C">
        <w:t xml:space="preserve">is a </w:t>
      </w:r>
      <w:r w:rsidRPr="006F007C">
        <w:t xml:space="preserve">significant improvement, infant mortality rates for Indigenous children are still markedly higher than for non-Indigenous children in </w:t>
      </w:r>
      <w:r w:rsidRPr="00182BEE">
        <w:t>Australia.</w:t>
      </w:r>
    </w:p>
    <w:p w:rsidR="00FE33B6" w:rsidRPr="00466937" w:rsidRDefault="00FE33B6" w:rsidP="00E90284">
      <w:pPr>
        <w:pStyle w:val="BodyText"/>
        <w:rPr>
          <w:rStyle w:val="DraftingNote"/>
        </w:rPr>
      </w:pPr>
      <w:r w:rsidRPr="00182BEE">
        <w:t xml:space="preserve">For the </w:t>
      </w:r>
      <w:r w:rsidRPr="00E90284">
        <w:t>period 200</w:t>
      </w:r>
      <w:r w:rsidR="000D18C2" w:rsidRPr="00E90284">
        <w:t>8</w:t>
      </w:r>
      <w:r w:rsidRPr="00E90284">
        <w:t>–201</w:t>
      </w:r>
      <w:r w:rsidR="000D18C2" w:rsidRPr="00E90284">
        <w:t>2</w:t>
      </w:r>
      <w:r w:rsidRPr="00E90284">
        <w:t xml:space="preserve">, the average infant mortality rate for Indigenous infants (less than one year) was higher than for non-Indigenous infants in the jurisdictions (NSW, Queensland, WA, SA and </w:t>
      </w:r>
      <w:r w:rsidR="00CD2EAE" w:rsidRPr="00E90284">
        <w:t xml:space="preserve">the </w:t>
      </w:r>
      <w:r w:rsidRPr="00E90284">
        <w:t>NT) for which there were data available</w:t>
      </w:r>
      <w:r w:rsidRPr="00E90284" w:rsidDel="002128E0">
        <w:t xml:space="preserve"> </w:t>
      </w:r>
      <w:r w:rsidRPr="00E90284">
        <w:t>(table </w:t>
      </w:r>
      <w:proofErr w:type="spellStart"/>
      <w:r w:rsidRPr="00E90284">
        <w:t>EA.</w:t>
      </w:r>
      <w:r w:rsidR="00A054A6" w:rsidRPr="00E90284">
        <w:t>4</w:t>
      </w:r>
      <w:r w:rsidR="00E214BA" w:rsidRPr="00E90284">
        <w:t>4</w:t>
      </w:r>
      <w:proofErr w:type="spellEnd"/>
      <w:r w:rsidRPr="00E90284">
        <w:t>). For the same period, the average child mortality rate for Indigenous children (1–4 years) was also higher for these jurisdictions (table </w:t>
      </w:r>
      <w:proofErr w:type="spellStart"/>
      <w:r w:rsidRPr="00E90284">
        <w:t>EA.</w:t>
      </w:r>
      <w:r w:rsidR="00A054A6" w:rsidRPr="00E90284">
        <w:t>4</w:t>
      </w:r>
      <w:r w:rsidR="00E214BA" w:rsidRPr="00E90284">
        <w:t>4</w:t>
      </w:r>
      <w:proofErr w:type="spellEnd"/>
      <w:r w:rsidRPr="00E90284">
        <w:t xml:space="preserve">). The combined infant and child average mortality rate for Indigenous infants and children (0–4 years) was </w:t>
      </w:r>
      <w:r w:rsidR="00F033C5" w:rsidRPr="00E90284">
        <w:t>2</w:t>
      </w:r>
      <w:r w:rsidR="001410A3" w:rsidRPr="00E90284">
        <w:t>03</w:t>
      </w:r>
      <w:r w:rsidR="00F033C5" w:rsidRPr="00E90284">
        <w:t>.</w:t>
      </w:r>
      <w:r w:rsidR="001410A3" w:rsidRPr="00E90284">
        <w:t>3</w:t>
      </w:r>
      <w:r w:rsidRPr="00E90284">
        <w:t xml:space="preserve"> deaths per 100 000 of the infant and child population in NSW, </w:t>
      </w:r>
      <w:r w:rsidR="00E861DE" w:rsidRPr="00E90284">
        <w:t xml:space="preserve">Queensland, </w:t>
      </w:r>
      <w:r w:rsidRPr="00E90284">
        <w:t xml:space="preserve">WA, SA and NT. This compared with </w:t>
      </w:r>
      <w:r w:rsidR="00F033C5" w:rsidRPr="00E90284">
        <w:t>9</w:t>
      </w:r>
      <w:r w:rsidR="001410A3" w:rsidRPr="00E90284">
        <w:t>1</w:t>
      </w:r>
      <w:r w:rsidR="00F033C5" w:rsidRPr="00E90284">
        <w:t>.4</w:t>
      </w:r>
      <w:r w:rsidRPr="00E90284">
        <w:t xml:space="preserve"> deaths per 100 000 of the infant and child population for non</w:t>
      </w:r>
      <w:r w:rsidRPr="00E90284">
        <w:noBreakHyphen/>
        <w:t>Indigenous infants and children (tabl</w:t>
      </w:r>
      <w:r w:rsidRPr="00906E67">
        <w:t>e </w:t>
      </w:r>
      <w:proofErr w:type="spellStart"/>
      <w:r w:rsidRPr="00906E67">
        <w:t>EA.</w:t>
      </w:r>
      <w:r w:rsidR="00A054A6">
        <w:t>4</w:t>
      </w:r>
      <w:r w:rsidR="00E214BA">
        <w:t>4</w:t>
      </w:r>
      <w:proofErr w:type="spellEnd"/>
      <w:r w:rsidRPr="00906E67">
        <w:t>).</w:t>
      </w:r>
    </w:p>
    <w:p w:rsidR="008610EE" w:rsidRDefault="008610EE" w:rsidP="00E90284">
      <w:pPr>
        <w:pStyle w:val="FigureTitle"/>
        <w:rPr>
          <w:rStyle w:val="NoteLabel"/>
          <w:b/>
        </w:rPr>
      </w:pPr>
      <w:r w:rsidRPr="00182BEE">
        <w:rPr>
          <w:b w:val="0"/>
        </w:rPr>
        <w:lastRenderedPageBreak/>
        <w:t xml:space="preserve">Figure </w:t>
      </w:r>
      <w:bookmarkStart w:id="32" w:name="OLE_LINK18"/>
      <w:proofErr w:type="spellStart"/>
      <w:r w:rsidR="00F156AA">
        <w:rPr>
          <w:b w:val="0"/>
        </w:rPr>
        <w:t>E.</w:t>
      </w:r>
      <w:r w:rsidR="00C01FBD">
        <w:rPr>
          <w:b w:val="0"/>
          <w:noProof/>
        </w:rPr>
        <w:t>15</w:t>
      </w:r>
      <w:bookmarkEnd w:id="32"/>
      <w:proofErr w:type="spellEnd"/>
      <w:r w:rsidRPr="00182BEE">
        <w:tab/>
        <w:t>Mortality rates, age standardi</w:t>
      </w:r>
      <w:r w:rsidR="00714379">
        <w:t>sed, by Indigenous status, five </w:t>
      </w:r>
      <w:r w:rsidRPr="00182BEE">
        <w:t xml:space="preserve">year average, </w:t>
      </w:r>
      <w:r w:rsidRPr="00E90284">
        <w:t>200</w:t>
      </w:r>
      <w:r w:rsidR="008F44E8" w:rsidRPr="00E90284">
        <w:t>8</w:t>
      </w:r>
      <w:r w:rsidR="00714379" w:rsidRPr="00E90284">
        <w:t>–</w:t>
      </w:r>
      <w:r w:rsidRPr="00E90284">
        <w:t>20</w:t>
      </w:r>
      <w:r w:rsidR="0074246F" w:rsidRPr="00E90284">
        <w:t>1</w:t>
      </w:r>
      <w:r w:rsidR="008F44E8" w:rsidRPr="00E90284">
        <w:t>2</w:t>
      </w:r>
      <w:r w:rsidRPr="00E90284">
        <w:rPr>
          <w:rStyle w:val="NoteLabel"/>
          <w:b/>
        </w:rPr>
        <w:t>a,</w:t>
      </w:r>
      <w:r w:rsidRPr="00014DB6">
        <w:rPr>
          <w:rStyle w:val="NoteLabel"/>
          <w:b/>
        </w:rPr>
        <w:t> b, c, d</w:t>
      </w:r>
      <w:r w:rsidR="00857BE0">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610EE" w:rsidRPr="00182BEE" w:rsidTr="00A33ED6">
        <w:tc>
          <w:tcPr>
            <w:tcW w:w="8777" w:type="dxa"/>
          </w:tcPr>
          <w:p w:rsidR="008610EE" w:rsidRPr="00182BEE" w:rsidRDefault="00AB193A" w:rsidP="004A316B">
            <w:pPr>
              <w:pStyle w:val="Figure"/>
              <w:pBdr>
                <w:right w:val="single" w:sz="12" w:space="4" w:color="auto"/>
              </w:pBdr>
            </w:pPr>
            <w:r>
              <w:rPr>
                <w:noProof/>
              </w:rPr>
              <w:drawing>
                <wp:inline distT="0" distB="0" distL="0" distR="0" wp14:anchorId="58B0E938" wp14:editId="15EFEA14">
                  <wp:extent cx="5389880" cy="2872105"/>
                  <wp:effectExtent l="0" t="0" r="1270" b="4445"/>
                  <wp:docPr id="24" name="Picture 24" descr="Figure E.15 Mortality rates, age standardised, by Indigenous status, five year average, 2008–20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8610EE" w:rsidRPr="009D7AE5" w:rsidRDefault="008610EE" w:rsidP="00E90284">
      <w:pPr>
        <w:pStyle w:val="Note"/>
        <w:keepNext/>
      </w:pPr>
      <w:r w:rsidRPr="00182BEE">
        <w:rPr>
          <w:rStyle w:val="NoteLabel"/>
        </w:rPr>
        <w:t>a</w:t>
      </w:r>
      <w:r w:rsidRPr="00182BEE">
        <w:sym w:font="Symbol" w:char="F020"/>
      </w:r>
      <w:r w:rsidRPr="00182BEE">
        <w:t xml:space="preserve">Deaths are based on year of registration. </w:t>
      </w:r>
      <w:r w:rsidRPr="00182BEE">
        <w:rPr>
          <w:rStyle w:val="NoteLabel"/>
        </w:rPr>
        <w:t>b</w:t>
      </w:r>
      <w:r w:rsidRPr="00182BEE">
        <w:sym w:font="Symbol" w:char="F020"/>
      </w:r>
      <w:r w:rsidR="000C3D3F">
        <w:t xml:space="preserve">Mortality rates are age-standardised to </w:t>
      </w:r>
      <w:r w:rsidRPr="00182BEE">
        <w:t xml:space="preserve">the 2001 Australian </w:t>
      </w:r>
      <w:r w:rsidR="000C3D3F">
        <w:t xml:space="preserve">standard </w:t>
      </w:r>
      <w:r w:rsidRPr="00182BEE">
        <w:t xml:space="preserve">population. </w:t>
      </w:r>
      <w:r w:rsidRPr="003C18EC">
        <w:rPr>
          <w:rStyle w:val="NoteLabel"/>
        </w:rPr>
        <w:t>c</w:t>
      </w:r>
      <w:r w:rsidRPr="003C18EC">
        <w:sym w:font="Symbol" w:char="F020"/>
      </w:r>
      <w:r w:rsidRPr="00182BEE">
        <w:t xml:space="preserve">Calculations of rates for the Indigenous population are based on </w:t>
      </w:r>
      <w:r w:rsidRPr="00182BEE">
        <w:rPr>
          <w:i/>
        </w:rPr>
        <w:t>ABS Experimental Projections, Aboriginal and Torres Strait Islander Australians 1991 to 2009</w:t>
      </w:r>
      <w:r w:rsidRPr="00182BEE">
        <w:t xml:space="preserve"> (ABS Cat. no. 3238.0, low series, 2001 base). There are no comparable population data for the non-Indigenous population. Calculations of rates for comparison with the Indigenous population are derived by subtracting Indigenous population projections from total Estimated Resident Population</w:t>
      </w:r>
      <w:r w:rsidR="00A45E60">
        <w:t xml:space="preserve"> (</w:t>
      </w:r>
      <w:proofErr w:type="spellStart"/>
      <w:r w:rsidR="00A45E60">
        <w:t>ERP</w:t>
      </w:r>
      <w:proofErr w:type="spellEnd"/>
      <w:r w:rsidR="00A45E60">
        <w:t>)</w:t>
      </w:r>
      <w:r w:rsidRPr="00182BEE">
        <w:t xml:space="preserve"> and should be used with care, as these data include deaths and population units for which Indigenous status were not stated. </w:t>
      </w:r>
      <w:proofErr w:type="spellStart"/>
      <w:r w:rsidRPr="00182BEE">
        <w:t>ERP</w:t>
      </w:r>
      <w:proofErr w:type="spellEnd"/>
      <w:r w:rsidRPr="00182BEE">
        <w:t xml:space="preserve"> used in calculations are final </w:t>
      </w:r>
      <w:proofErr w:type="spellStart"/>
      <w:r w:rsidRPr="00182BEE">
        <w:t>ERP</w:t>
      </w:r>
      <w:proofErr w:type="spellEnd"/>
      <w:r w:rsidRPr="00182BEE">
        <w:t xml:space="preserve"> based on 2006 Census.</w:t>
      </w:r>
      <w:r>
        <w:t xml:space="preserve"> </w:t>
      </w:r>
      <w:r w:rsidR="00CA68D3">
        <w:rPr>
          <w:rStyle w:val="NoteLabel"/>
        </w:rPr>
        <w:t>d</w:t>
      </w:r>
      <w:r w:rsidR="00C85ED2">
        <w:t> Total</w:t>
      </w:r>
      <w:r>
        <w:t xml:space="preserve"> </w:t>
      </w:r>
      <w:r w:rsidR="00C85ED2">
        <w:t>i</w:t>
      </w:r>
      <w:r w:rsidRPr="009D7AE5">
        <w:t>ncludes NSW, Q</w:t>
      </w:r>
      <w:r w:rsidR="00647935">
        <w:t>ueens</w:t>
      </w:r>
      <w:r w:rsidRPr="009D7AE5">
        <w:t>l</w:t>
      </w:r>
      <w:r w:rsidR="00647935">
        <w:t>an</w:t>
      </w:r>
      <w:r w:rsidRPr="009D7AE5">
        <w:t>d, SA,</w:t>
      </w:r>
      <w:r w:rsidR="00714379">
        <w:t xml:space="preserve"> WA, and NT combined, based on State or T</w:t>
      </w:r>
      <w:r w:rsidRPr="009D7AE5">
        <w:t>erritory of usual residence. Vic</w:t>
      </w:r>
      <w:r w:rsidR="00647935">
        <w:t>toria</w:t>
      </w:r>
      <w:r w:rsidRPr="009D7AE5">
        <w:t>, Tas</w:t>
      </w:r>
      <w:r w:rsidR="00C85ED2">
        <w:t>mania</w:t>
      </w:r>
      <w:r w:rsidRPr="009D7AE5">
        <w:t xml:space="preserve"> and the A</w:t>
      </w:r>
      <w:r w:rsidR="007C58EC">
        <w:t>CT</w:t>
      </w:r>
      <w:r w:rsidRPr="009D7AE5">
        <w:t xml:space="preserve"> are excluded due to small numbers of registered Indigenous deaths</w:t>
      </w:r>
      <w:r w:rsidRPr="00E90284">
        <w:t>.</w:t>
      </w:r>
      <w:r w:rsidR="000C3D3F" w:rsidRPr="00E90284">
        <w:t xml:space="preserve"> </w:t>
      </w:r>
      <w:r w:rsidR="000C3D3F" w:rsidRPr="00E90284">
        <w:rPr>
          <w:rStyle w:val="NoteLabel"/>
        </w:rPr>
        <w:t>e</w:t>
      </w:r>
      <w:r w:rsidR="000C3D3F" w:rsidRPr="00E90284">
        <w:t xml:space="preserve"> Error bars represent the 95 per cent variability band associated with each point estimate. See the </w:t>
      </w:r>
      <w:proofErr w:type="spellStart"/>
      <w:r w:rsidR="000C3D3F" w:rsidRPr="00E90284">
        <w:t>DQI</w:t>
      </w:r>
      <w:proofErr w:type="spellEnd"/>
      <w:r w:rsidR="000C3D3F" w:rsidRPr="00E90284">
        <w:t xml:space="preserve"> for more information</w:t>
      </w:r>
      <w:r w:rsidR="000C3D3F">
        <w:t>.</w:t>
      </w:r>
    </w:p>
    <w:p w:rsidR="008610EE" w:rsidRPr="00182BEE" w:rsidRDefault="008610EE" w:rsidP="008B11E3">
      <w:pPr>
        <w:pStyle w:val="Source"/>
      </w:pPr>
      <w:r w:rsidRPr="00182BEE">
        <w:rPr>
          <w:i/>
        </w:rPr>
        <w:t>Source</w:t>
      </w:r>
      <w:r w:rsidRPr="00182BEE">
        <w:t>: ABS </w:t>
      </w:r>
      <w:r w:rsidR="00D95479">
        <w:t>(unpublished)</w:t>
      </w:r>
      <w:r w:rsidR="00647935">
        <w:t>,</w:t>
      </w:r>
      <w:r w:rsidRPr="00182BEE">
        <w:t xml:space="preserve"> </w:t>
      </w:r>
      <w:r w:rsidRPr="00182BEE">
        <w:rPr>
          <w:i/>
        </w:rPr>
        <w:t>Deaths</w:t>
      </w:r>
      <w:r w:rsidR="0023614D">
        <w:rPr>
          <w:i/>
        </w:rPr>
        <w:t>,</w:t>
      </w:r>
      <w:r w:rsidRPr="00182BEE">
        <w:rPr>
          <w:i/>
        </w:rPr>
        <w:t xml:space="preserve"> Australia, 20</w:t>
      </w:r>
      <w:r w:rsidR="00647935">
        <w:rPr>
          <w:i/>
        </w:rPr>
        <w:t>1</w:t>
      </w:r>
      <w:r w:rsidR="00585F90">
        <w:rPr>
          <w:i/>
        </w:rPr>
        <w:t>2</w:t>
      </w:r>
      <w:r w:rsidRPr="00182BEE">
        <w:t xml:space="preserve">; </w:t>
      </w:r>
      <w:r w:rsidR="00585F90">
        <w:t>t</w:t>
      </w:r>
      <w:r w:rsidR="00585F90" w:rsidRPr="00585F90">
        <w:t xml:space="preserve">able </w:t>
      </w:r>
      <w:proofErr w:type="spellStart"/>
      <w:r w:rsidR="00585F90" w:rsidRPr="00585F90">
        <w:t>EA.3</w:t>
      </w:r>
      <w:r w:rsidR="00235C51">
        <w:t>9</w:t>
      </w:r>
      <w:proofErr w:type="spellEnd"/>
      <w:r w:rsidR="002A3056">
        <w:t>.</w:t>
      </w:r>
    </w:p>
    <w:p w:rsidR="002128E0" w:rsidRPr="00297567" w:rsidRDefault="00731817" w:rsidP="00B05E17">
      <w:pPr>
        <w:pStyle w:val="Heading5"/>
      </w:pPr>
      <w:r w:rsidRPr="00297567">
        <w:t>Mortality rate</w:t>
      </w:r>
      <w:r w:rsidR="00B05E17">
        <w:t>s —</w:t>
      </w:r>
      <w:r w:rsidRPr="00297567">
        <w:t xml:space="preserve"> by major </w:t>
      </w:r>
      <w:r w:rsidR="002128E0" w:rsidRPr="00297567">
        <w:t>cause of death</w:t>
      </w:r>
    </w:p>
    <w:p w:rsidR="002128E0" w:rsidRDefault="002128E0" w:rsidP="002128E0">
      <w:pPr>
        <w:pStyle w:val="BodyText"/>
        <w:tabs>
          <w:tab w:val="left" w:pos="993"/>
        </w:tabs>
      </w:pPr>
      <w:r>
        <w:t>T</w:t>
      </w:r>
      <w:r w:rsidRPr="00906E67">
        <w:t>he most common causes of death among Australians</w:t>
      </w:r>
      <w:r>
        <w:t xml:space="preserve"> i</w:t>
      </w:r>
      <w:r w:rsidRPr="00906E67">
        <w:t xml:space="preserve">n </w:t>
      </w:r>
      <w:r w:rsidRPr="002640A2">
        <w:t>20</w:t>
      </w:r>
      <w:r w:rsidR="006D3EC9" w:rsidRPr="002640A2">
        <w:t>1</w:t>
      </w:r>
      <w:r w:rsidR="002640A2" w:rsidRPr="002640A2">
        <w:t>1</w:t>
      </w:r>
      <w:r w:rsidRPr="00906E67">
        <w:t xml:space="preserve"> were </w:t>
      </w:r>
      <w:r w:rsidR="006D3EC9" w:rsidRPr="00906E67">
        <w:t>cancers</w:t>
      </w:r>
      <w:r w:rsidR="006D3EC9">
        <w:t>,</w:t>
      </w:r>
      <w:r w:rsidR="006D3EC9" w:rsidRPr="00906E67">
        <w:t xml:space="preserve"> </w:t>
      </w:r>
      <w:r w:rsidRPr="00906E67">
        <w:t>diseases of the circulatory system (including heart disease, heart attack and stroke), and diseases of the respiratory system (including influenza, pneumonia and chronic lower respiratory diseases) (tables </w:t>
      </w:r>
      <w:proofErr w:type="spellStart"/>
      <w:r w:rsidR="00F156AA">
        <w:t>E.</w:t>
      </w:r>
      <w:r w:rsidR="002E0694">
        <w:t>3</w:t>
      </w:r>
      <w:proofErr w:type="spellEnd"/>
      <w:r w:rsidRPr="00906E67">
        <w:t xml:space="preserve"> and </w:t>
      </w:r>
      <w:proofErr w:type="spellStart"/>
      <w:r w:rsidRPr="00906E67">
        <w:t>EA.</w:t>
      </w:r>
      <w:r w:rsidR="00A054A6">
        <w:t>4</w:t>
      </w:r>
      <w:r w:rsidR="002E0694">
        <w:t>5</w:t>
      </w:r>
      <w:proofErr w:type="spellEnd"/>
      <w:r w:rsidRPr="00906E67">
        <w:t xml:space="preserve">). </w:t>
      </w:r>
    </w:p>
    <w:p w:rsidR="00FE33B6" w:rsidRDefault="00FE33B6" w:rsidP="00FE33B6">
      <w:pPr>
        <w:pStyle w:val="BodyText"/>
        <w:spacing w:before="180"/>
      </w:pPr>
      <w:bookmarkStart w:id="33" w:name="OLE_LINK12"/>
      <w:r w:rsidRPr="00906E67">
        <w:t xml:space="preserve">In the jurisdictions for which age standardised death rates are available by Indigenous status (NSW, Queensland, WA, SA and the NT), death rates were </w:t>
      </w:r>
      <w:r w:rsidRPr="00396BCA">
        <w:t>significantly higher for Indigenous Australians than for non</w:t>
      </w:r>
      <w:r w:rsidRPr="00396BCA">
        <w:noBreakHyphen/>
        <w:t>Indigenous Australians in 200</w:t>
      </w:r>
      <w:r w:rsidR="00396BCA">
        <w:t>7–11</w:t>
      </w:r>
      <w:r w:rsidRPr="00396BCA">
        <w:t>. For these jurisdictions the leading age-standardised cause</w:t>
      </w:r>
      <w:r>
        <w:t xml:space="preserve"> of death for Indigenous Australians was circulatory diseases followed by neoplasms (cancer) </w:t>
      </w:r>
      <w:r w:rsidR="00C716F3">
        <w:t xml:space="preserve">(tables </w:t>
      </w:r>
      <w:proofErr w:type="spellStart"/>
      <w:r w:rsidR="00C716F3">
        <w:t>E.</w:t>
      </w:r>
      <w:r w:rsidR="002E0694">
        <w:t>4</w:t>
      </w:r>
      <w:proofErr w:type="spellEnd"/>
      <w:r w:rsidR="00F07431">
        <w:t xml:space="preserve"> </w:t>
      </w:r>
      <w:r w:rsidRPr="00906E67">
        <w:t xml:space="preserve">and </w:t>
      </w:r>
      <w:proofErr w:type="spellStart"/>
      <w:r w:rsidRPr="00906E67">
        <w:t>EA.</w:t>
      </w:r>
      <w:r w:rsidR="00A054A6">
        <w:t>4</w:t>
      </w:r>
      <w:r w:rsidR="002E0694">
        <w:t>6</w:t>
      </w:r>
      <w:proofErr w:type="spellEnd"/>
      <w:r w:rsidRPr="00906E67">
        <w:t xml:space="preserve">). </w:t>
      </w:r>
    </w:p>
    <w:p w:rsidR="00622285" w:rsidRPr="00906E67" w:rsidRDefault="00FB6BA8" w:rsidP="008E0821">
      <w:pPr>
        <w:pStyle w:val="TableTitle"/>
      </w:pPr>
      <w:r w:rsidRPr="00906E67">
        <w:rPr>
          <w:b w:val="0"/>
        </w:rPr>
        <w:lastRenderedPageBreak/>
        <w:t xml:space="preserve">Table </w:t>
      </w:r>
      <w:bookmarkStart w:id="34" w:name="OLE_LINK69"/>
      <w:proofErr w:type="spellStart"/>
      <w:r w:rsidR="00F07431">
        <w:rPr>
          <w:b w:val="0"/>
        </w:rPr>
        <w:t>E.</w:t>
      </w:r>
      <w:r w:rsidR="00C01FBD">
        <w:rPr>
          <w:b w:val="0"/>
          <w:noProof/>
        </w:rPr>
        <w:t>3</w:t>
      </w:r>
      <w:bookmarkEnd w:id="34"/>
      <w:proofErr w:type="spellEnd"/>
      <w:r w:rsidR="00622285" w:rsidRPr="00906E67">
        <w:rPr>
          <w:b w:val="0"/>
        </w:rPr>
        <w:tab/>
      </w:r>
      <w:r w:rsidR="00D84476" w:rsidRPr="00906E67">
        <w:t>Age standardised mortality</w:t>
      </w:r>
      <w:r w:rsidR="00071A03" w:rsidRPr="00906E67">
        <w:t xml:space="preserve"> rates by major cause of death </w:t>
      </w:r>
      <w:r w:rsidR="00D84476" w:rsidRPr="00906E67">
        <w:t>(</w:t>
      </w:r>
      <w:r w:rsidR="008C7ACE" w:rsidRPr="00906E67">
        <w:t xml:space="preserve">deaths </w:t>
      </w:r>
      <w:r w:rsidR="00D84476" w:rsidRPr="00906E67">
        <w:t xml:space="preserve">per 100 000 </w:t>
      </w:r>
      <w:r w:rsidR="00963643">
        <w:t>people</w:t>
      </w:r>
      <w:r w:rsidR="00D84476" w:rsidRPr="00906E67">
        <w:t>)</w:t>
      </w:r>
      <w:r w:rsidR="00071A03" w:rsidRPr="00906E67">
        <w:t xml:space="preserve">, </w:t>
      </w:r>
      <w:r w:rsidR="00071A03" w:rsidRPr="0004683F">
        <w:t>20</w:t>
      </w:r>
      <w:r w:rsidR="005577A0" w:rsidRPr="0004683F">
        <w:t>1</w:t>
      </w:r>
      <w:r w:rsidR="0004683F" w:rsidRPr="0004683F">
        <w:t>1</w:t>
      </w:r>
      <w:r w:rsidR="00204C7A" w:rsidRPr="0004683F">
        <w:rPr>
          <w:rStyle w:val="NoteLabel"/>
          <w:b/>
        </w:rPr>
        <w:t>a</w:t>
      </w:r>
      <w:r w:rsidR="008E0821" w:rsidRPr="00906E67">
        <w:rPr>
          <w:rStyle w:val="NoteLabel"/>
          <w:b/>
        </w:rPr>
        <w:t>, b</w:t>
      </w:r>
    </w:p>
    <w:tbl>
      <w:tblPr>
        <w:tblW w:w="8789" w:type="dxa"/>
        <w:tblInd w:w="108" w:type="dxa"/>
        <w:tblLayout w:type="fixed"/>
        <w:tblLook w:val="0000" w:firstRow="0" w:lastRow="0" w:firstColumn="0" w:lastColumn="0" w:noHBand="0" w:noVBand="0"/>
      </w:tblPr>
      <w:tblGrid>
        <w:gridCol w:w="2552"/>
        <w:gridCol w:w="693"/>
        <w:gridCol w:w="693"/>
        <w:gridCol w:w="693"/>
        <w:gridCol w:w="693"/>
        <w:gridCol w:w="693"/>
        <w:gridCol w:w="693"/>
        <w:gridCol w:w="693"/>
        <w:gridCol w:w="693"/>
        <w:gridCol w:w="693"/>
      </w:tblGrid>
      <w:tr w:rsidR="00002D8F" w:rsidRPr="00906E67" w:rsidTr="00F72A36">
        <w:tc>
          <w:tcPr>
            <w:tcW w:w="2552" w:type="dxa"/>
            <w:tcBorders>
              <w:top w:val="single" w:sz="4" w:space="0" w:color="auto"/>
              <w:bottom w:val="single" w:sz="4" w:space="0" w:color="auto"/>
            </w:tcBorders>
          </w:tcPr>
          <w:p w:rsidR="00002D8F" w:rsidRPr="00906E67" w:rsidRDefault="00002D8F" w:rsidP="00EE620C">
            <w:pPr>
              <w:pStyle w:val="TableColumnHeading"/>
              <w:jc w:val="left"/>
              <w:rPr>
                <w:snapToGrid w:val="0"/>
                <w:lang w:val="en-US"/>
              </w:rPr>
            </w:pP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r w:rsidRPr="00906E67">
              <w:rPr>
                <w:snapToGrid w:val="0"/>
                <w:lang w:val="en-US"/>
              </w:rPr>
              <w:t>NSW</w:t>
            </w: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r w:rsidRPr="00906E67">
              <w:rPr>
                <w:snapToGrid w:val="0"/>
                <w:lang w:val="en-US"/>
              </w:rPr>
              <w:t>Vic</w:t>
            </w: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proofErr w:type="spellStart"/>
            <w:r w:rsidRPr="00906E67">
              <w:rPr>
                <w:snapToGrid w:val="0"/>
                <w:lang w:val="en-US"/>
              </w:rPr>
              <w:t>Qld</w:t>
            </w:r>
            <w:proofErr w:type="spellEnd"/>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r w:rsidRPr="00906E67">
              <w:rPr>
                <w:snapToGrid w:val="0"/>
                <w:lang w:val="en-US"/>
              </w:rPr>
              <w:t>WA</w:t>
            </w: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r w:rsidRPr="00906E67">
              <w:rPr>
                <w:snapToGrid w:val="0"/>
                <w:lang w:val="en-US"/>
              </w:rPr>
              <w:t>SA</w:t>
            </w: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proofErr w:type="spellStart"/>
            <w:r w:rsidRPr="00906E67">
              <w:rPr>
                <w:snapToGrid w:val="0"/>
                <w:lang w:val="en-US"/>
              </w:rPr>
              <w:t>Tas</w:t>
            </w:r>
            <w:proofErr w:type="spellEnd"/>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r w:rsidRPr="00906E67">
              <w:rPr>
                <w:snapToGrid w:val="0"/>
                <w:lang w:val="en-US"/>
              </w:rPr>
              <w:t>ACT</w:t>
            </w: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r w:rsidRPr="00906E67">
              <w:rPr>
                <w:snapToGrid w:val="0"/>
                <w:lang w:val="en-US"/>
              </w:rPr>
              <w:t>NT</w:t>
            </w:r>
          </w:p>
        </w:tc>
        <w:tc>
          <w:tcPr>
            <w:tcW w:w="693" w:type="dxa"/>
            <w:tcBorders>
              <w:top w:val="single" w:sz="4" w:space="0" w:color="auto"/>
              <w:bottom w:val="single" w:sz="4" w:space="0" w:color="auto"/>
            </w:tcBorders>
          </w:tcPr>
          <w:p w:rsidR="00002D8F" w:rsidRPr="00906E67" w:rsidRDefault="00002D8F" w:rsidP="00EE620C">
            <w:pPr>
              <w:pStyle w:val="TableColumnHeading"/>
              <w:ind w:right="-57"/>
              <w:rPr>
                <w:snapToGrid w:val="0"/>
                <w:lang w:val="en-US"/>
              </w:rPr>
            </w:pPr>
            <w:proofErr w:type="spellStart"/>
            <w:r w:rsidRPr="00906E67">
              <w:rPr>
                <w:snapToGrid w:val="0"/>
                <w:lang w:val="en-US"/>
              </w:rPr>
              <w:t>Aust</w:t>
            </w:r>
            <w:proofErr w:type="spellEnd"/>
          </w:p>
        </w:tc>
      </w:tr>
      <w:tr w:rsidR="004C0089" w:rsidRPr="00906E67" w:rsidTr="001938EA">
        <w:tc>
          <w:tcPr>
            <w:tcW w:w="2552" w:type="dxa"/>
            <w:vAlign w:val="bottom"/>
          </w:tcPr>
          <w:p w:rsidR="004C0089" w:rsidRPr="00906E67" w:rsidRDefault="004C0089" w:rsidP="009F1357">
            <w:pPr>
              <w:pStyle w:val="TableBodyText"/>
              <w:jc w:val="left"/>
              <w:rPr>
                <w:snapToGrid w:val="0"/>
                <w:lang w:val="en-US"/>
              </w:rPr>
            </w:pPr>
            <w:r w:rsidRPr="00906E67">
              <w:rPr>
                <w:snapToGrid w:val="0"/>
                <w:lang w:val="en-US"/>
              </w:rPr>
              <w:t>Certain infectious and parasitic diseases</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11.6</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8.5</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8.5</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6.3</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8.9</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6.8</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8.5</w:t>
            </w:r>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proofErr w:type="spellStart"/>
            <w:r w:rsidRPr="00A9672B">
              <w:rPr>
                <w:rFonts w:ascii="Arial" w:hAnsi="Arial" w:cs="Arial"/>
                <w:sz w:val="20"/>
                <w:szCs w:val="20"/>
              </w:rPr>
              <w:t>np</w:t>
            </w:r>
            <w:proofErr w:type="spellEnd"/>
          </w:p>
        </w:tc>
        <w:tc>
          <w:tcPr>
            <w:tcW w:w="693" w:type="dxa"/>
            <w:tcBorders>
              <w:top w:val="single" w:sz="4" w:space="0" w:color="auto"/>
            </w:tcBorders>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9.4</w:t>
            </w:r>
          </w:p>
        </w:tc>
      </w:tr>
      <w:tr w:rsidR="004C0089" w:rsidRPr="00906E67" w:rsidTr="001938EA">
        <w:trPr>
          <w:trHeight w:hRule="exact" w:val="340"/>
        </w:trPr>
        <w:tc>
          <w:tcPr>
            <w:tcW w:w="2552" w:type="dxa"/>
            <w:vAlign w:val="bottom"/>
          </w:tcPr>
          <w:p w:rsidR="004C0089" w:rsidRPr="00906E67" w:rsidRDefault="004C0089" w:rsidP="003517DB">
            <w:pPr>
              <w:pStyle w:val="TableBodyText"/>
              <w:jc w:val="left"/>
              <w:rPr>
                <w:snapToGrid w:val="0"/>
                <w:lang w:val="en-US"/>
              </w:rPr>
            </w:pPr>
            <w:r w:rsidRPr="00906E67">
              <w:rPr>
                <w:snapToGrid w:val="0"/>
                <w:lang w:val="en-US"/>
              </w:rPr>
              <w:t>Neoplasms</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177.7</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173.3</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175.1</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166.6</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170.6</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189.5</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146.5</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220.3</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174.5</w:t>
            </w:r>
          </w:p>
        </w:tc>
      </w:tr>
      <w:tr w:rsidR="004C0089" w:rsidRPr="00906E67" w:rsidTr="001938EA">
        <w:tc>
          <w:tcPr>
            <w:tcW w:w="2552" w:type="dxa"/>
            <w:vAlign w:val="bottom"/>
          </w:tcPr>
          <w:p w:rsidR="004C0089" w:rsidRPr="00906E67" w:rsidRDefault="004C0089" w:rsidP="009F1357">
            <w:pPr>
              <w:pStyle w:val="TableBodyText"/>
              <w:jc w:val="left"/>
              <w:rPr>
                <w:snapToGrid w:val="0"/>
                <w:lang w:val="en-US"/>
              </w:rPr>
            </w:pPr>
            <w:r w:rsidRPr="00906E67">
              <w:rPr>
                <w:snapToGrid w:val="0"/>
                <w:lang w:val="en-US"/>
              </w:rPr>
              <w:t>Diseases of the blood</w:t>
            </w:r>
            <w:r>
              <w:rPr>
                <w:rStyle w:val="NoteLabel"/>
              </w:rPr>
              <w:t>c</w:t>
            </w:r>
            <w:r w:rsidRPr="00906E67">
              <w:rPr>
                <w:snapToGrid w:val="0"/>
                <w:lang w:val="en-US"/>
              </w:rPr>
              <w:t xml:space="preserve"> </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1.9</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1.8</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1.8</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1.6</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2.2</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roofErr w:type="spellStart"/>
            <w:r w:rsidRPr="00A9672B">
              <w:rPr>
                <w:rFonts w:ascii="Arial" w:hAnsi="Arial" w:cs="Arial"/>
                <w:sz w:val="20"/>
                <w:szCs w:val="20"/>
              </w:rPr>
              <w:t>np</w:t>
            </w:r>
            <w:proofErr w:type="spellEnd"/>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roofErr w:type="spellStart"/>
            <w:r w:rsidRPr="00A9672B">
              <w:rPr>
                <w:rFonts w:ascii="Arial" w:hAnsi="Arial" w:cs="Arial"/>
                <w:sz w:val="20"/>
                <w:szCs w:val="20"/>
              </w:rPr>
              <w:t>np</w:t>
            </w:r>
            <w:proofErr w:type="spellEnd"/>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1.8</w:t>
            </w:r>
          </w:p>
        </w:tc>
      </w:tr>
      <w:tr w:rsidR="004C0089" w:rsidRPr="00906E67" w:rsidTr="001938EA">
        <w:tc>
          <w:tcPr>
            <w:tcW w:w="2552" w:type="dxa"/>
            <w:vAlign w:val="bottom"/>
          </w:tcPr>
          <w:p w:rsidR="004C0089" w:rsidRPr="00906E67" w:rsidRDefault="004C0089" w:rsidP="009F1357">
            <w:pPr>
              <w:pStyle w:val="TableBodyText"/>
              <w:jc w:val="left"/>
              <w:rPr>
                <w:snapToGrid w:val="0"/>
                <w:lang w:val="en-US"/>
              </w:rPr>
            </w:pPr>
            <w:r w:rsidRPr="00906E67">
              <w:rPr>
                <w:snapToGrid w:val="0"/>
                <w:lang w:val="en-US"/>
              </w:rPr>
              <w:t>Endocrine, nutritional and metabolic diseases</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20.9</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24.8</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23.7</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23.4</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24.8</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34.1</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20.0</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60.1</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23.5</w:t>
            </w:r>
          </w:p>
        </w:tc>
      </w:tr>
      <w:tr w:rsidR="004C0089" w:rsidRPr="00906E67" w:rsidTr="001938EA">
        <w:tc>
          <w:tcPr>
            <w:tcW w:w="2552" w:type="dxa"/>
            <w:vAlign w:val="bottom"/>
          </w:tcPr>
          <w:p w:rsidR="004C0089" w:rsidRPr="00906E67" w:rsidRDefault="004C0089" w:rsidP="009F1357">
            <w:pPr>
              <w:pStyle w:val="TableBodyText"/>
              <w:jc w:val="left"/>
              <w:rPr>
                <w:snapToGrid w:val="0"/>
                <w:lang w:val="en-US"/>
              </w:rPr>
            </w:pPr>
            <w:r w:rsidRPr="00906E67">
              <w:rPr>
                <w:snapToGrid w:val="0"/>
                <w:lang w:val="en-US"/>
              </w:rPr>
              <w:t xml:space="preserve">Mental and </w:t>
            </w:r>
            <w:proofErr w:type="spellStart"/>
            <w:r w:rsidRPr="00236F62">
              <w:rPr>
                <w:snapToGrid w:val="0"/>
                <w:lang w:val="en-US"/>
              </w:rPr>
              <w:t>behavioural</w:t>
            </w:r>
            <w:proofErr w:type="spellEnd"/>
            <w:r w:rsidRPr="00906E67">
              <w:rPr>
                <w:snapToGrid w:val="0"/>
                <w:lang w:val="en-US"/>
              </w:rPr>
              <w:t xml:space="preserve"> disorders</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27.9</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27.3</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27.3</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23.7</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30.4</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40.6</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26.5</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51.6</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r w:rsidRPr="00A9672B">
              <w:rPr>
                <w:rFonts w:ascii="Arial" w:hAnsi="Arial" w:cs="Arial"/>
                <w:sz w:val="20"/>
                <w:szCs w:val="20"/>
              </w:rPr>
              <w:t xml:space="preserve">  27.9</w:t>
            </w:r>
          </w:p>
        </w:tc>
      </w:tr>
      <w:tr w:rsidR="004C0089" w:rsidRPr="00906E67" w:rsidTr="001938EA">
        <w:trPr>
          <w:trHeight w:val="340"/>
        </w:trPr>
        <w:tc>
          <w:tcPr>
            <w:tcW w:w="2552" w:type="dxa"/>
            <w:vAlign w:val="bottom"/>
          </w:tcPr>
          <w:p w:rsidR="004C0089" w:rsidRPr="00906E67" w:rsidRDefault="004C0089" w:rsidP="009F1357">
            <w:pPr>
              <w:pStyle w:val="TableBodyText"/>
              <w:jc w:val="left"/>
              <w:rPr>
                <w:snapToGrid w:val="0"/>
                <w:lang w:val="en-US"/>
              </w:rPr>
            </w:pPr>
            <w:r w:rsidRPr="00906E67">
              <w:rPr>
                <w:snapToGrid w:val="0"/>
                <w:lang w:val="en-US"/>
              </w:rPr>
              <w:t>Diseases of the</w:t>
            </w:r>
            <w:r>
              <w:rPr>
                <w:snapToGrid w:val="0"/>
                <w:lang w:val="en-US"/>
              </w:rPr>
              <w:t>:</w:t>
            </w: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c>
          <w:tcPr>
            <w:tcW w:w="693" w:type="dxa"/>
            <w:shd w:val="clear" w:color="auto" w:fill="auto"/>
            <w:vAlign w:val="bottom"/>
          </w:tcPr>
          <w:p w:rsidR="004C0089" w:rsidRPr="00A9672B" w:rsidRDefault="004C0089" w:rsidP="001938EA">
            <w:pPr>
              <w:ind w:right="-57"/>
              <w:jc w:val="right"/>
              <w:rPr>
                <w:rFonts w:ascii="Arial" w:hAnsi="Arial" w:cs="Arial"/>
                <w:sz w:val="20"/>
                <w:szCs w:val="20"/>
              </w:rPr>
            </w:pPr>
          </w:p>
        </w:tc>
      </w:tr>
      <w:tr w:rsidR="008D78BE" w:rsidRPr="00906E67" w:rsidTr="001938EA">
        <w:trPr>
          <w:trHeight w:val="340"/>
        </w:trPr>
        <w:tc>
          <w:tcPr>
            <w:tcW w:w="2552" w:type="dxa"/>
            <w:vAlign w:val="bottom"/>
          </w:tcPr>
          <w:p w:rsidR="008D78BE" w:rsidRPr="00906E67" w:rsidRDefault="008D78BE" w:rsidP="0029180E">
            <w:pPr>
              <w:pStyle w:val="TableBullet"/>
              <w:rPr>
                <w:snapToGrid w:val="0"/>
                <w:lang w:val="en-US"/>
              </w:rPr>
            </w:pPr>
            <w:r w:rsidRPr="00906E67">
              <w:rPr>
                <w:snapToGrid w:val="0"/>
                <w:lang w:val="en-US"/>
              </w:rPr>
              <w:t>nervous system</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23.8</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27.8</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23.3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30.5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28.4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29.5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32.2</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30.9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26.0</w:t>
            </w:r>
          </w:p>
        </w:tc>
      </w:tr>
      <w:tr w:rsidR="008D78BE" w:rsidRPr="00906E67" w:rsidTr="001938EA">
        <w:trPr>
          <w:trHeight w:val="340"/>
        </w:trPr>
        <w:tc>
          <w:tcPr>
            <w:tcW w:w="2552" w:type="dxa"/>
            <w:vAlign w:val="bottom"/>
          </w:tcPr>
          <w:p w:rsidR="008D78BE" w:rsidRPr="00906E67" w:rsidRDefault="008D78BE" w:rsidP="0029180E">
            <w:pPr>
              <w:pStyle w:val="TableBullet"/>
              <w:rPr>
                <w:snapToGrid w:val="0"/>
                <w:lang w:val="en-US"/>
              </w:rPr>
            </w:pPr>
            <w:r w:rsidRPr="00906E67">
              <w:rPr>
                <w:snapToGrid w:val="0"/>
                <w:lang w:val="en-US"/>
              </w:rPr>
              <w:t>eye and adnexa</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r>
      <w:tr w:rsidR="008D78BE" w:rsidRPr="00906E67" w:rsidTr="001938EA">
        <w:trPr>
          <w:trHeight w:val="340"/>
        </w:trPr>
        <w:tc>
          <w:tcPr>
            <w:tcW w:w="2552" w:type="dxa"/>
            <w:vAlign w:val="bottom"/>
          </w:tcPr>
          <w:p w:rsidR="008D78BE" w:rsidRPr="00906E67" w:rsidRDefault="008D78BE" w:rsidP="0029180E">
            <w:pPr>
              <w:pStyle w:val="TableBullet"/>
              <w:ind w:right="-108"/>
              <w:rPr>
                <w:snapToGrid w:val="0"/>
                <w:lang w:val="en-US"/>
              </w:rPr>
            </w:pPr>
            <w:r w:rsidRPr="00906E67">
              <w:rPr>
                <w:snapToGrid w:val="0"/>
                <w:lang w:val="en-US"/>
              </w:rPr>
              <w:t>ear and mastoid process</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r>
      <w:tr w:rsidR="008D78BE" w:rsidRPr="00906E67" w:rsidTr="001938EA">
        <w:trPr>
          <w:trHeight w:val="340"/>
        </w:trPr>
        <w:tc>
          <w:tcPr>
            <w:tcW w:w="2552" w:type="dxa"/>
            <w:vAlign w:val="bottom"/>
          </w:tcPr>
          <w:p w:rsidR="008D78BE" w:rsidRPr="00906E67" w:rsidRDefault="008D78BE" w:rsidP="0029180E">
            <w:pPr>
              <w:pStyle w:val="TableBullet"/>
              <w:rPr>
                <w:snapToGrid w:val="0"/>
                <w:lang w:val="en-US"/>
              </w:rPr>
            </w:pPr>
            <w:r w:rsidRPr="00906E67">
              <w:rPr>
                <w:snapToGrid w:val="0"/>
                <w:lang w:val="en-US"/>
              </w:rPr>
              <w:t>circulatory system</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177.5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161.8</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180.3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153.1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171.3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190.4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151.5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201.4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171.6</w:t>
            </w:r>
          </w:p>
        </w:tc>
      </w:tr>
      <w:tr w:rsidR="008D78BE" w:rsidRPr="00906E67" w:rsidTr="001938EA">
        <w:trPr>
          <w:trHeight w:val="340"/>
        </w:trPr>
        <w:tc>
          <w:tcPr>
            <w:tcW w:w="2552" w:type="dxa"/>
            <w:vAlign w:val="bottom"/>
          </w:tcPr>
          <w:p w:rsidR="008D78BE" w:rsidRPr="00906E67" w:rsidRDefault="008D78BE" w:rsidP="0029180E">
            <w:pPr>
              <w:pStyle w:val="TableBullet"/>
              <w:rPr>
                <w:snapToGrid w:val="0"/>
                <w:lang w:val="en-US"/>
              </w:rPr>
            </w:pPr>
            <w:r w:rsidRPr="00906E67">
              <w:rPr>
                <w:snapToGrid w:val="0"/>
                <w:lang w:val="en-US"/>
              </w:rPr>
              <w:t>respiratory system</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49.5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46.3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49.9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42.1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45.9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53.3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42.8</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83.5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48.0</w:t>
            </w:r>
          </w:p>
        </w:tc>
      </w:tr>
      <w:tr w:rsidR="008D78BE" w:rsidRPr="00906E67" w:rsidTr="001938EA">
        <w:trPr>
          <w:trHeight w:val="340"/>
        </w:trPr>
        <w:tc>
          <w:tcPr>
            <w:tcW w:w="2552" w:type="dxa"/>
            <w:vAlign w:val="bottom"/>
          </w:tcPr>
          <w:p w:rsidR="008D78BE" w:rsidRPr="00906E67" w:rsidRDefault="008D78BE" w:rsidP="0029180E">
            <w:pPr>
              <w:pStyle w:val="TableBullet"/>
              <w:rPr>
                <w:snapToGrid w:val="0"/>
                <w:lang w:val="en-US"/>
              </w:rPr>
            </w:pPr>
            <w:r w:rsidRPr="00906E67">
              <w:rPr>
                <w:snapToGrid w:val="0"/>
                <w:lang w:val="en-US"/>
              </w:rPr>
              <w:t>digestive system</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20.2</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20.3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19.8</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21.9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37.0</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20.2</w:t>
            </w:r>
          </w:p>
        </w:tc>
      </w:tr>
      <w:tr w:rsidR="008D78BE" w:rsidRPr="00906E67" w:rsidTr="001938EA">
        <w:trPr>
          <w:trHeight w:val="340"/>
        </w:trPr>
        <w:tc>
          <w:tcPr>
            <w:tcW w:w="2552" w:type="dxa"/>
            <w:vAlign w:val="bottom"/>
          </w:tcPr>
          <w:p w:rsidR="008D78BE" w:rsidRPr="00906E67" w:rsidRDefault="008D78BE" w:rsidP="0029180E">
            <w:pPr>
              <w:pStyle w:val="TableBullet"/>
              <w:ind w:right="-108"/>
              <w:rPr>
                <w:snapToGrid w:val="0"/>
                <w:lang w:val="en-US"/>
              </w:rPr>
            </w:pPr>
            <w:r w:rsidRPr="00906E67">
              <w:rPr>
                <w:snapToGrid w:val="0"/>
                <w:lang w:val="en-US"/>
              </w:rPr>
              <w:t>skin and subcutaneous tissue</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1.6</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1.6</w:t>
            </w:r>
          </w:p>
        </w:tc>
      </w:tr>
      <w:tr w:rsidR="008D78BE" w:rsidRPr="00906E67" w:rsidTr="001938EA">
        <w:trPr>
          <w:trHeight w:val="340"/>
        </w:trPr>
        <w:tc>
          <w:tcPr>
            <w:tcW w:w="2552" w:type="dxa"/>
            <w:vAlign w:val="bottom"/>
          </w:tcPr>
          <w:p w:rsidR="008D78BE" w:rsidRPr="00906E67" w:rsidRDefault="008D78BE" w:rsidP="0029180E">
            <w:pPr>
              <w:pStyle w:val="TableBullet"/>
              <w:ind w:right="-108"/>
              <w:rPr>
                <w:snapToGrid w:val="0"/>
                <w:lang w:val="en-US"/>
              </w:rPr>
            </w:pPr>
            <w:r w:rsidRPr="00906E67">
              <w:rPr>
                <w:snapToGrid w:val="0"/>
                <w:lang w:val="en-US"/>
              </w:rPr>
              <w:t>musculoskeletal system and connective tissue</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4.7</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4.8</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3.7</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5.4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4.4</w:t>
            </w:r>
          </w:p>
        </w:tc>
      </w:tr>
      <w:tr w:rsidR="008D78BE" w:rsidRPr="00906E67" w:rsidTr="001938EA">
        <w:trPr>
          <w:trHeight w:val="340"/>
        </w:trPr>
        <w:tc>
          <w:tcPr>
            <w:tcW w:w="2552" w:type="dxa"/>
            <w:vAlign w:val="bottom"/>
          </w:tcPr>
          <w:p w:rsidR="008D78BE" w:rsidRPr="00906E67" w:rsidRDefault="008D78BE" w:rsidP="0029180E">
            <w:pPr>
              <w:pStyle w:val="TableBullet"/>
              <w:rPr>
                <w:snapToGrid w:val="0"/>
                <w:lang w:val="en-US"/>
              </w:rPr>
            </w:pPr>
            <w:r w:rsidRPr="00906E67">
              <w:rPr>
                <w:snapToGrid w:val="0"/>
                <w:lang w:val="en-US"/>
              </w:rPr>
              <w:t>genitourinary system</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12.9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14.1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12.1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11.2</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13.2</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13.1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14.5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13.0</w:t>
            </w:r>
          </w:p>
        </w:tc>
      </w:tr>
      <w:tr w:rsidR="008D78BE" w:rsidRPr="00906E67" w:rsidTr="001938EA">
        <w:tc>
          <w:tcPr>
            <w:tcW w:w="2552" w:type="dxa"/>
            <w:vAlign w:val="bottom"/>
          </w:tcPr>
          <w:p w:rsidR="008D78BE" w:rsidRPr="00906E67" w:rsidRDefault="008D78BE" w:rsidP="009F1357">
            <w:pPr>
              <w:pStyle w:val="TableBodyText"/>
              <w:jc w:val="left"/>
              <w:rPr>
                <w:snapToGrid w:val="0"/>
                <w:lang w:val="en-US"/>
              </w:rPr>
            </w:pPr>
            <w:r w:rsidRPr="00906E67">
              <w:rPr>
                <w:snapToGrid w:val="0"/>
                <w:lang w:val="en-US"/>
              </w:rPr>
              <w:t xml:space="preserve">Pregnancy, childbirth and the </w:t>
            </w:r>
            <w:proofErr w:type="spellStart"/>
            <w:r w:rsidRPr="00906E67">
              <w:rPr>
                <w:snapToGrid w:val="0"/>
                <w:lang w:val="en-US"/>
              </w:rPr>
              <w:t>puerperium</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r>
      <w:tr w:rsidR="008D78BE" w:rsidRPr="00906E67" w:rsidTr="001938EA">
        <w:tc>
          <w:tcPr>
            <w:tcW w:w="2552" w:type="dxa"/>
            <w:vAlign w:val="bottom"/>
          </w:tcPr>
          <w:p w:rsidR="008D78BE" w:rsidRPr="00906E67" w:rsidRDefault="008D78BE" w:rsidP="00F26AE6">
            <w:pPr>
              <w:pStyle w:val="TableBodyText"/>
              <w:ind w:right="-108"/>
              <w:jc w:val="left"/>
              <w:rPr>
                <w:snapToGrid w:val="0"/>
                <w:lang w:val="en-US"/>
              </w:rPr>
            </w:pPr>
            <w:r w:rsidRPr="00906E67">
              <w:rPr>
                <w:snapToGrid w:val="0"/>
                <w:lang w:val="en-US"/>
              </w:rPr>
              <w:t>Certain conditions originating in the perinatal period</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3.0</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2.0</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2.8</w:t>
            </w:r>
          </w:p>
        </w:tc>
      </w:tr>
      <w:tr w:rsidR="008D78BE" w:rsidRPr="00906E67" w:rsidTr="001938EA">
        <w:tc>
          <w:tcPr>
            <w:tcW w:w="2552" w:type="dxa"/>
            <w:vAlign w:val="bottom"/>
          </w:tcPr>
          <w:p w:rsidR="008D78BE" w:rsidRPr="00906E67" w:rsidRDefault="008D78BE" w:rsidP="009F1357">
            <w:pPr>
              <w:pStyle w:val="TableBodyText"/>
              <w:jc w:val="left"/>
              <w:rPr>
                <w:snapToGrid w:val="0"/>
                <w:lang w:val="en-US"/>
              </w:rPr>
            </w:pPr>
            <w:r w:rsidRPr="00906E67">
              <w:rPr>
                <w:snapToGrid w:val="0"/>
                <w:lang w:val="en-US"/>
              </w:rPr>
              <w:t xml:space="preserve">Congenital </w:t>
            </w:r>
            <w:r>
              <w:rPr>
                <w:snapToGrid w:val="0"/>
                <w:lang w:val="en-US"/>
              </w:rPr>
              <w:t>conditions</w:t>
            </w:r>
            <w:r>
              <w:rPr>
                <w:rStyle w:val="NoteLabel"/>
              </w:rPr>
              <w:t>d</w:t>
            </w:r>
            <w:r>
              <w:rPr>
                <w:snapToGrid w:val="0"/>
                <w:lang w:val="en-US"/>
              </w:rPr>
              <w:t xml:space="preserve"> </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2.7</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1.9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2.4</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2.4</w:t>
            </w:r>
          </w:p>
        </w:tc>
      </w:tr>
      <w:tr w:rsidR="008D78BE" w:rsidRPr="00906E67" w:rsidTr="001938EA">
        <w:tc>
          <w:tcPr>
            <w:tcW w:w="2552" w:type="dxa"/>
            <w:vAlign w:val="bottom"/>
          </w:tcPr>
          <w:p w:rsidR="008D78BE" w:rsidRPr="00906E67" w:rsidRDefault="008D78BE" w:rsidP="009F1357">
            <w:pPr>
              <w:pStyle w:val="TableBodyText"/>
              <w:jc w:val="left"/>
              <w:rPr>
                <w:snapToGrid w:val="0"/>
                <w:lang w:val="en-US"/>
              </w:rPr>
            </w:pPr>
            <w:r>
              <w:rPr>
                <w:snapToGrid w:val="0"/>
                <w:lang w:val="en-US"/>
              </w:rPr>
              <w:t>A</w:t>
            </w:r>
            <w:r w:rsidRPr="00906E67">
              <w:rPr>
                <w:snapToGrid w:val="0"/>
                <w:lang w:val="en-US"/>
              </w:rPr>
              <w:t>bnormal findings</w:t>
            </w:r>
            <w:r>
              <w:rPr>
                <w:snapToGrid w:val="0"/>
                <w:lang w:val="en-US"/>
              </w:rPr>
              <w:t xml:space="preserve"> </w:t>
            </w:r>
            <w:proofErr w:type="spellStart"/>
            <w:r>
              <w:rPr>
                <w:snapToGrid w:val="0"/>
                <w:lang w:val="en-US"/>
              </w:rPr>
              <w:t>nec</w:t>
            </w:r>
            <w:proofErr w:type="spellEnd"/>
            <w:r>
              <w:rPr>
                <w:rStyle w:val="NoteLabel"/>
              </w:rPr>
              <w:t>e</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5.9</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3.7</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4.2</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4.3</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7.7</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proofErr w:type="spellStart"/>
            <w:r w:rsidRPr="008D78BE">
              <w:rPr>
                <w:rFonts w:ascii="Arial" w:hAnsi="Arial" w:cs="Arial"/>
                <w:sz w:val="20"/>
                <w:szCs w:val="20"/>
              </w:rPr>
              <w:t>np</w:t>
            </w:r>
            <w:proofErr w:type="spellEnd"/>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4.6</w:t>
            </w:r>
          </w:p>
        </w:tc>
      </w:tr>
      <w:tr w:rsidR="008D78BE" w:rsidRPr="00906E67" w:rsidTr="001938EA">
        <w:tc>
          <w:tcPr>
            <w:tcW w:w="2552" w:type="dxa"/>
            <w:vAlign w:val="bottom"/>
          </w:tcPr>
          <w:p w:rsidR="008D78BE" w:rsidRPr="00906E67" w:rsidRDefault="008D78BE" w:rsidP="009F1357">
            <w:pPr>
              <w:pStyle w:val="TableBodyText"/>
              <w:jc w:val="left"/>
              <w:rPr>
                <w:snapToGrid w:val="0"/>
                <w:lang w:val="en-US"/>
              </w:rPr>
            </w:pPr>
            <w:r w:rsidRPr="00906E67">
              <w:rPr>
                <w:snapToGrid w:val="0"/>
                <w:lang w:val="en-US"/>
              </w:rPr>
              <w:t>External causes of morbidity and mortality</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34.1</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36.0</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42.7</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44.2</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37.6</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45.5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31.5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60.5</w:t>
            </w:r>
          </w:p>
        </w:tc>
        <w:tc>
          <w:tcPr>
            <w:tcW w:w="693" w:type="dxa"/>
            <w:shd w:val="clear" w:color="auto" w:fill="auto"/>
            <w:vAlign w:val="bottom"/>
          </w:tcPr>
          <w:p w:rsidR="008D78BE" w:rsidRPr="008D78BE" w:rsidRDefault="008D78BE" w:rsidP="001938EA">
            <w:pPr>
              <w:ind w:right="-57"/>
              <w:jc w:val="right"/>
              <w:rPr>
                <w:rFonts w:ascii="Arial" w:hAnsi="Arial" w:cs="Arial"/>
                <w:sz w:val="20"/>
                <w:szCs w:val="20"/>
              </w:rPr>
            </w:pPr>
            <w:r w:rsidRPr="008D78BE">
              <w:rPr>
                <w:rFonts w:ascii="Arial" w:hAnsi="Arial" w:cs="Arial"/>
                <w:sz w:val="20"/>
                <w:szCs w:val="20"/>
              </w:rPr>
              <w:t xml:space="preserve">  38.1</w:t>
            </w:r>
          </w:p>
        </w:tc>
      </w:tr>
      <w:tr w:rsidR="008D78BE" w:rsidRPr="001938EA" w:rsidTr="001938EA">
        <w:tc>
          <w:tcPr>
            <w:tcW w:w="2552" w:type="dxa"/>
            <w:tcBorders>
              <w:bottom w:val="single" w:sz="4" w:space="0" w:color="auto"/>
            </w:tcBorders>
            <w:vAlign w:val="bottom"/>
          </w:tcPr>
          <w:p w:rsidR="008D78BE" w:rsidRPr="001938EA" w:rsidRDefault="008D78BE" w:rsidP="009F1357">
            <w:pPr>
              <w:pStyle w:val="TableBodyText"/>
              <w:jc w:val="left"/>
              <w:rPr>
                <w:b/>
                <w:snapToGrid w:val="0"/>
                <w:lang w:val="en-US"/>
              </w:rPr>
            </w:pPr>
            <w:r w:rsidRPr="001938EA">
              <w:rPr>
                <w:b/>
                <w:snapToGrid w:val="0"/>
                <w:lang w:val="en-US"/>
              </w:rPr>
              <w:t>Total</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576.4</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555.8</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581.0</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535.6</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566.6</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642.4</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513.1</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795.0</w:t>
            </w:r>
          </w:p>
        </w:tc>
        <w:tc>
          <w:tcPr>
            <w:tcW w:w="693" w:type="dxa"/>
            <w:tcBorders>
              <w:bottom w:val="single" w:sz="4" w:space="0" w:color="auto"/>
            </w:tcBorders>
            <w:shd w:val="clear" w:color="auto" w:fill="auto"/>
            <w:vAlign w:val="bottom"/>
          </w:tcPr>
          <w:p w:rsidR="008D78BE" w:rsidRPr="001938EA" w:rsidRDefault="008D78BE" w:rsidP="001938EA">
            <w:pPr>
              <w:ind w:right="-57"/>
              <w:jc w:val="right"/>
              <w:rPr>
                <w:rFonts w:ascii="Arial" w:hAnsi="Arial" w:cs="Arial"/>
                <w:b/>
                <w:sz w:val="20"/>
                <w:szCs w:val="20"/>
              </w:rPr>
            </w:pPr>
            <w:r w:rsidRPr="001938EA">
              <w:rPr>
                <w:rFonts w:ascii="Arial" w:hAnsi="Arial" w:cs="Arial"/>
                <w:b/>
                <w:sz w:val="20"/>
                <w:szCs w:val="20"/>
              </w:rPr>
              <w:t xml:space="preserve">  570.0</w:t>
            </w:r>
          </w:p>
        </w:tc>
      </w:tr>
    </w:tbl>
    <w:p w:rsidR="000E1AEE" w:rsidRPr="00647935" w:rsidRDefault="00855FBE" w:rsidP="00E44B3E">
      <w:pPr>
        <w:pStyle w:val="Note"/>
        <w:rPr>
          <w:rStyle w:val="NoteLabel"/>
          <w:b w:val="0"/>
          <w:position w:val="0"/>
        </w:rPr>
      </w:pPr>
      <w:proofErr w:type="spellStart"/>
      <w:r w:rsidRPr="00906E67">
        <w:rPr>
          <w:rStyle w:val="NoteLabel"/>
        </w:rPr>
        <w:t>a</w:t>
      </w:r>
      <w:proofErr w:type="spellEnd"/>
      <w:r w:rsidRPr="00906E67">
        <w:sym w:font="Symbol" w:char="F020"/>
      </w:r>
      <w:r w:rsidR="006428D7" w:rsidRPr="00906E67">
        <w:t xml:space="preserve">Age standardised </w:t>
      </w:r>
      <w:r w:rsidR="005116C0" w:rsidRPr="00906E67">
        <w:t xml:space="preserve">to the Australian population as at 30 June 2001. </w:t>
      </w:r>
      <w:r w:rsidRPr="00906E67">
        <w:rPr>
          <w:rStyle w:val="NoteLabel"/>
        </w:rPr>
        <w:t>b</w:t>
      </w:r>
      <w:r w:rsidRPr="00906E67">
        <w:sym w:font="Symbol" w:char="F020"/>
      </w:r>
      <w:r w:rsidR="006428D7" w:rsidRPr="00906E67">
        <w:t>Australian total includes 'Other territories'.</w:t>
      </w:r>
      <w:r w:rsidR="003D45B3" w:rsidRPr="00906E67">
        <w:t xml:space="preserve"> </w:t>
      </w:r>
      <w:r w:rsidR="003517DB">
        <w:rPr>
          <w:rStyle w:val="NoteLabel"/>
        </w:rPr>
        <w:t>c</w:t>
      </w:r>
      <w:r w:rsidR="003517DB">
        <w:t> </w:t>
      </w:r>
      <w:r w:rsidR="003517DB" w:rsidRPr="003517DB">
        <w:t>Diseases of the blood and blood-forming organs and certain disorders involving the immune mechanism</w:t>
      </w:r>
      <w:r w:rsidR="003517DB">
        <w:t>.</w:t>
      </w:r>
      <w:r w:rsidR="003517DB" w:rsidRPr="003517DB">
        <w:rPr>
          <w:szCs w:val="18"/>
        </w:rPr>
        <w:t xml:space="preserve"> </w:t>
      </w:r>
      <w:r w:rsidR="003517DB">
        <w:rPr>
          <w:rStyle w:val="NoteLabel"/>
        </w:rPr>
        <w:t>d</w:t>
      </w:r>
      <w:r w:rsidR="003517DB">
        <w:t> </w:t>
      </w:r>
      <w:r w:rsidR="003517DB" w:rsidRPr="00906E67">
        <w:rPr>
          <w:snapToGrid w:val="0"/>
          <w:lang w:val="en-US"/>
        </w:rPr>
        <w:t>Congenital malformations, deformations and chromosomal abnormalities</w:t>
      </w:r>
      <w:r w:rsidR="003517DB">
        <w:rPr>
          <w:snapToGrid w:val="0"/>
          <w:lang w:val="en-US"/>
        </w:rPr>
        <w:t>.</w:t>
      </w:r>
      <w:r w:rsidR="003517DB" w:rsidRPr="00906E67">
        <w:rPr>
          <w:szCs w:val="18"/>
        </w:rPr>
        <w:t xml:space="preserve"> </w:t>
      </w:r>
      <w:r w:rsidR="003517DB">
        <w:rPr>
          <w:rStyle w:val="NoteLabel"/>
        </w:rPr>
        <w:t>e</w:t>
      </w:r>
      <w:r w:rsidR="003517DB">
        <w:t> </w:t>
      </w:r>
      <w:r w:rsidR="003517DB" w:rsidRPr="00906E67">
        <w:rPr>
          <w:snapToGrid w:val="0"/>
          <w:lang w:val="en-US"/>
        </w:rPr>
        <w:t>Symptoms, signs and abnormal clinical and laboratory findings, not elsewhere classified</w:t>
      </w:r>
      <w:r w:rsidR="003517DB">
        <w:rPr>
          <w:snapToGrid w:val="0"/>
          <w:lang w:val="en-US"/>
        </w:rPr>
        <w:t>.</w:t>
      </w:r>
      <w:r w:rsidR="003517DB" w:rsidRPr="00906E67">
        <w:rPr>
          <w:szCs w:val="18"/>
        </w:rPr>
        <w:t xml:space="preserve"> </w:t>
      </w:r>
      <w:r w:rsidR="005B3A1D" w:rsidRPr="00906E67">
        <w:rPr>
          <w:szCs w:val="18"/>
        </w:rPr>
        <w:t>– Nil or rounded to zero.</w:t>
      </w:r>
      <w:r w:rsidR="00647935">
        <w:rPr>
          <w:szCs w:val="18"/>
        </w:rPr>
        <w:t xml:space="preserve"> </w:t>
      </w:r>
      <w:proofErr w:type="spellStart"/>
      <w:r w:rsidR="00647935">
        <w:rPr>
          <w:b/>
          <w:szCs w:val="18"/>
        </w:rPr>
        <w:t>np</w:t>
      </w:r>
      <w:proofErr w:type="spellEnd"/>
      <w:r w:rsidR="00647935">
        <w:rPr>
          <w:szCs w:val="18"/>
        </w:rPr>
        <w:t xml:space="preserve"> Not published.</w:t>
      </w:r>
    </w:p>
    <w:p w:rsidR="00622285" w:rsidRPr="00906E67" w:rsidRDefault="00622285" w:rsidP="00A26AEB">
      <w:pPr>
        <w:pStyle w:val="Source"/>
      </w:pPr>
      <w:r w:rsidRPr="00906E67">
        <w:rPr>
          <w:i/>
        </w:rPr>
        <w:t>Source</w:t>
      </w:r>
      <w:r w:rsidRPr="00906E67">
        <w:t xml:space="preserve">: </w:t>
      </w:r>
      <w:r w:rsidR="00396BCA" w:rsidRPr="00906E67">
        <w:t xml:space="preserve">ABS (unpublished) </w:t>
      </w:r>
      <w:r w:rsidR="00396BCA" w:rsidRPr="00906E67">
        <w:rPr>
          <w:i/>
        </w:rPr>
        <w:t>Causes of Death Australia, </w:t>
      </w:r>
      <w:r w:rsidR="00396BCA" w:rsidRPr="00396BCA">
        <w:rPr>
          <w:i/>
        </w:rPr>
        <w:t>2011</w:t>
      </w:r>
      <w:r w:rsidR="00396BCA">
        <w:rPr>
          <w:i/>
        </w:rPr>
        <w:t xml:space="preserve"> </w:t>
      </w:r>
      <w:r w:rsidR="00396BCA">
        <w:t>Cat. n</w:t>
      </w:r>
      <w:r w:rsidR="00396BCA" w:rsidRPr="00906E67">
        <w:t>o. 3301.0</w:t>
      </w:r>
      <w:r w:rsidR="00005798" w:rsidRPr="00906E67">
        <w:t xml:space="preserve">; </w:t>
      </w:r>
      <w:r w:rsidR="007348AF" w:rsidRPr="00906E67">
        <w:t>table</w:t>
      </w:r>
      <w:r w:rsidR="00926163" w:rsidRPr="00906E67">
        <w:t> </w:t>
      </w:r>
      <w:proofErr w:type="spellStart"/>
      <w:r w:rsidR="00E211A5" w:rsidRPr="00906E67">
        <w:t>EA.</w:t>
      </w:r>
      <w:r w:rsidR="00A054A6">
        <w:t>4</w:t>
      </w:r>
      <w:r w:rsidR="002E0694">
        <w:t>5</w:t>
      </w:r>
      <w:proofErr w:type="spellEnd"/>
      <w:r w:rsidRPr="00906E67">
        <w:t>.</w:t>
      </w:r>
    </w:p>
    <w:bookmarkEnd w:id="33"/>
    <w:p w:rsidR="00B04ED0" w:rsidRDefault="00B04ED0" w:rsidP="00B04ED0">
      <w:pPr>
        <w:pStyle w:val="BodyText"/>
      </w:pPr>
      <w:r>
        <w:t>Compared to non</w:t>
      </w:r>
      <w:r>
        <w:noBreakHyphen/>
        <w:t>Indigenous Australians</w:t>
      </w:r>
      <w:r w:rsidRPr="00906E67">
        <w:t xml:space="preserve">, </w:t>
      </w:r>
      <w:r>
        <w:t>Indigenous Australians</w:t>
      </w:r>
      <w:r w:rsidRPr="00906E67">
        <w:t xml:space="preserve"> died </w:t>
      </w:r>
      <w:r>
        <w:t xml:space="preserve">at </w:t>
      </w:r>
      <w:r w:rsidRPr="00396BCA">
        <w:t>higher</w:t>
      </w:r>
      <w:r>
        <w:t xml:space="preserve"> rates </w:t>
      </w:r>
      <w:r w:rsidRPr="00906E67">
        <w:t xml:space="preserve">from </w:t>
      </w:r>
      <w:r w:rsidR="00396BCA">
        <w:t>‘</w:t>
      </w:r>
      <w:r w:rsidRPr="00906E67">
        <w:t>endocrine</w:t>
      </w:r>
      <w:r>
        <w:t xml:space="preserve">, </w:t>
      </w:r>
      <w:r w:rsidRPr="00906E67">
        <w:t>metabolic and nutritional disorders</w:t>
      </w:r>
      <w:r>
        <w:t>’,</w:t>
      </w:r>
      <w:r w:rsidRPr="00906E67">
        <w:t xml:space="preserve"> </w:t>
      </w:r>
      <w:r>
        <w:t>‘</w:t>
      </w:r>
      <w:r w:rsidRPr="00906E67">
        <w:t>kidney</w:t>
      </w:r>
      <w:r w:rsidRPr="00F6617E">
        <w:t xml:space="preserve"> </w:t>
      </w:r>
      <w:r>
        <w:t>diseases’,</w:t>
      </w:r>
      <w:r w:rsidRPr="00906E67">
        <w:t xml:space="preserve"> </w:t>
      </w:r>
      <w:r>
        <w:t>‘</w:t>
      </w:r>
      <w:r w:rsidRPr="00906E67">
        <w:t xml:space="preserve">digestive </w:t>
      </w:r>
      <w:r>
        <w:t>diseases’,</w:t>
      </w:r>
      <w:r w:rsidRPr="00906E67">
        <w:t xml:space="preserve"> and </w:t>
      </w:r>
      <w:r>
        <w:t>‘</w:t>
      </w:r>
      <w:r w:rsidR="00396BCA">
        <w:t>respiratory diseases</w:t>
      </w:r>
      <w:r>
        <w:t>’</w:t>
      </w:r>
      <w:r w:rsidR="00E558CA">
        <w:t xml:space="preserve"> (tables </w:t>
      </w:r>
      <w:proofErr w:type="spellStart"/>
      <w:r w:rsidR="00E558CA">
        <w:t>E.4</w:t>
      </w:r>
      <w:proofErr w:type="spellEnd"/>
      <w:r w:rsidR="00E558CA">
        <w:t xml:space="preserve"> and </w:t>
      </w:r>
      <w:proofErr w:type="spellStart"/>
      <w:r w:rsidRPr="00906E67">
        <w:t>EA.</w:t>
      </w:r>
      <w:r w:rsidR="00A054A6">
        <w:t>4</w:t>
      </w:r>
      <w:r w:rsidR="002E0694">
        <w:t>6</w:t>
      </w:r>
      <w:proofErr w:type="spellEnd"/>
      <w:r w:rsidRPr="00906E67">
        <w:t>).</w:t>
      </w:r>
    </w:p>
    <w:p w:rsidR="00020CA6" w:rsidRPr="00020CA6" w:rsidRDefault="00014DB6" w:rsidP="007C6211">
      <w:pPr>
        <w:pStyle w:val="TableTitle"/>
        <w:spacing w:before="300" w:after="40"/>
        <w:jc w:val="both"/>
      </w:pPr>
      <w:r>
        <w:rPr>
          <w:b w:val="0"/>
        </w:rPr>
        <w:lastRenderedPageBreak/>
        <w:t xml:space="preserve">Table </w:t>
      </w:r>
      <w:bookmarkStart w:id="35" w:name="OLE_LINK13"/>
      <w:proofErr w:type="spellStart"/>
      <w:r w:rsidR="00F156AA">
        <w:rPr>
          <w:b w:val="0"/>
        </w:rPr>
        <w:t>E.</w:t>
      </w:r>
      <w:r w:rsidR="00C01FBD">
        <w:rPr>
          <w:b w:val="0"/>
          <w:noProof/>
        </w:rPr>
        <w:t>4</w:t>
      </w:r>
      <w:bookmarkEnd w:id="35"/>
      <w:proofErr w:type="spellEnd"/>
      <w:r>
        <w:tab/>
      </w:r>
      <w:r w:rsidR="007B2367" w:rsidRPr="00906E67">
        <w:t xml:space="preserve">Age </w:t>
      </w:r>
      <w:r w:rsidR="00F0143F" w:rsidRPr="00906E67">
        <w:t xml:space="preserve">standardised </w:t>
      </w:r>
      <w:r w:rsidR="007B2367" w:rsidRPr="008B11E3">
        <w:rPr>
          <w:shd w:val="clear" w:color="auto" w:fill="FFFFFF" w:themeFill="background1"/>
        </w:rPr>
        <w:t xml:space="preserve">Indigenous </w:t>
      </w:r>
      <w:r w:rsidR="00F0143F" w:rsidRPr="008B11E3">
        <w:rPr>
          <w:shd w:val="clear" w:color="auto" w:fill="FFFFFF" w:themeFill="background1"/>
        </w:rPr>
        <w:t xml:space="preserve">mortality </w:t>
      </w:r>
      <w:r w:rsidR="007B2367" w:rsidRPr="008B11E3">
        <w:rPr>
          <w:shd w:val="clear" w:color="auto" w:fill="FFFFFF" w:themeFill="background1"/>
        </w:rPr>
        <w:t xml:space="preserve">rate </w:t>
      </w:r>
      <w:r w:rsidR="007C6211" w:rsidRPr="008B11E3">
        <w:rPr>
          <w:shd w:val="clear" w:color="auto" w:fill="FFFFFF" w:themeFill="background1"/>
        </w:rPr>
        <w:t>(deaths per 100 000 </w:t>
      </w:r>
      <w:r w:rsidR="00F0143F" w:rsidRPr="008B11E3">
        <w:rPr>
          <w:shd w:val="clear" w:color="auto" w:fill="FFFFFF" w:themeFill="background1"/>
        </w:rPr>
        <w:t>people)</w:t>
      </w:r>
      <w:r w:rsidR="007B2367" w:rsidRPr="008B11E3">
        <w:rPr>
          <w:shd w:val="clear" w:color="auto" w:fill="FFFFFF" w:themeFill="background1"/>
        </w:rPr>
        <w:t xml:space="preserve"> compared to non</w:t>
      </w:r>
      <w:r w:rsidR="007B2367" w:rsidRPr="008B11E3">
        <w:rPr>
          <w:shd w:val="clear" w:color="auto" w:fill="FFFFFF" w:themeFill="background1"/>
        </w:rPr>
        <w:noBreakHyphen/>
        <w:t>Indigenous rate</w:t>
      </w:r>
      <w:r w:rsidR="00E06E35" w:rsidRPr="008B11E3">
        <w:rPr>
          <w:shd w:val="clear" w:color="auto" w:fill="FFFFFF" w:themeFill="background1"/>
        </w:rPr>
        <w:t>,</w:t>
      </w:r>
      <w:r w:rsidR="007B2367">
        <w:t xml:space="preserve"> by major cause of death,</w:t>
      </w:r>
      <w:r w:rsidR="00E06E35" w:rsidRPr="00906E67">
        <w:t xml:space="preserve"> </w:t>
      </w:r>
      <w:r w:rsidR="00E06E35" w:rsidRPr="006F2ECD">
        <w:t>200</w:t>
      </w:r>
      <w:r w:rsidR="00BD74B5" w:rsidRPr="006F2ECD">
        <w:t>7</w:t>
      </w:r>
      <w:r w:rsidR="00E06E35" w:rsidRPr="006F2ECD">
        <w:t>–20</w:t>
      </w:r>
      <w:r w:rsidR="00DC1CCB" w:rsidRPr="006F2ECD">
        <w:t>1</w:t>
      </w:r>
      <w:r w:rsidR="00BD74B5" w:rsidRPr="006F2ECD">
        <w:t>1</w:t>
      </w:r>
      <w:r w:rsidR="00E06E35" w:rsidRPr="006F2ECD">
        <w:rPr>
          <w:rStyle w:val="NoteLabel"/>
          <w:b/>
        </w:rPr>
        <w:t>a,</w:t>
      </w:r>
      <w:r w:rsidR="00E06E35" w:rsidRPr="00906E67">
        <w:rPr>
          <w:rStyle w:val="NoteLabel"/>
          <w:b/>
        </w:rPr>
        <w:t> b, c</w:t>
      </w:r>
      <w:r w:rsidR="00191427">
        <w:rPr>
          <w:rStyle w:val="NoteLabel"/>
          <w:b/>
        </w:rPr>
        <w:t xml:space="preserve"> </w:t>
      </w:r>
    </w:p>
    <w:tbl>
      <w:tblPr>
        <w:tblW w:w="5000" w:type="pct"/>
        <w:tblLayout w:type="fixed"/>
        <w:tblCellMar>
          <w:top w:w="28" w:type="dxa"/>
          <w:left w:w="0" w:type="dxa"/>
          <w:right w:w="0" w:type="dxa"/>
        </w:tblCellMar>
        <w:tblLook w:val="0000" w:firstRow="0" w:lastRow="0" w:firstColumn="0" w:lastColumn="0" w:noHBand="0" w:noVBand="0"/>
      </w:tblPr>
      <w:tblGrid>
        <w:gridCol w:w="1417"/>
        <w:gridCol w:w="143"/>
        <w:gridCol w:w="50"/>
        <w:gridCol w:w="489"/>
        <w:gridCol w:w="682"/>
        <w:gridCol w:w="682"/>
        <w:gridCol w:w="682"/>
        <w:gridCol w:w="682"/>
        <w:gridCol w:w="682"/>
        <w:gridCol w:w="135"/>
        <w:gridCol w:w="524"/>
        <w:gridCol w:w="526"/>
        <w:gridCol w:w="524"/>
        <w:gridCol w:w="524"/>
        <w:gridCol w:w="505"/>
        <w:gridCol w:w="542"/>
      </w:tblGrid>
      <w:tr w:rsidR="008B7CC0" w:rsidTr="008B11E3">
        <w:tc>
          <w:tcPr>
            <w:tcW w:w="1417" w:type="dxa"/>
            <w:tcBorders>
              <w:top w:val="single" w:sz="4" w:space="0" w:color="auto"/>
              <w:bottom w:val="single" w:sz="4" w:space="0" w:color="auto"/>
            </w:tcBorders>
            <w:shd w:val="clear" w:color="auto" w:fill="auto"/>
          </w:tcPr>
          <w:p w:rsidR="008B7CC0" w:rsidRDefault="008B7CC0" w:rsidP="00014DB6">
            <w:pPr>
              <w:pStyle w:val="TableColumnHeading"/>
              <w:jc w:val="left"/>
            </w:pPr>
          </w:p>
        </w:tc>
        <w:tc>
          <w:tcPr>
            <w:tcW w:w="4092" w:type="dxa"/>
            <w:gridSpan w:val="8"/>
            <w:tcBorders>
              <w:top w:val="single" w:sz="4" w:space="0" w:color="auto"/>
              <w:bottom w:val="single" w:sz="4" w:space="0" w:color="auto"/>
            </w:tcBorders>
            <w:shd w:val="clear" w:color="auto" w:fill="FFFFFF" w:themeFill="background1"/>
          </w:tcPr>
          <w:p w:rsidR="008B7CC0" w:rsidRDefault="002A7D7C" w:rsidP="008E4579">
            <w:pPr>
              <w:pStyle w:val="TableColumnHeading"/>
              <w:jc w:val="center"/>
            </w:pPr>
            <w:r w:rsidRPr="008B7CC0">
              <w:rPr>
                <w:rStyle w:val="NoteLabel"/>
                <w:b w:val="0"/>
              </w:rPr>
              <w:t>Rate difference — Indigenou</w:t>
            </w:r>
            <w:r>
              <w:rPr>
                <w:rStyle w:val="NoteLabel"/>
                <w:b w:val="0"/>
              </w:rPr>
              <w:t>s rate less non</w:t>
            </w:r>
            <w:r>
              <w:rPr>
                <w:rStyle w:val="NoteLabel"/>
                <w:b w:val="0"/>
              </w:rPr>
              <w:noBreakHyphen/>
              <w:t>Indigenous rate</w:t>
            </w:r>
          </w:p>
        </w:tc>
        <w:tc>
          <w:tcPr>
            <w:tcW w:w="135" w:type="dxa"/>
            <w:tcBorders>
              <w:top w:val="single" w:sz="4" w:space="0" w:color="auto"/>
            </w:tcBorders>
            <w:shd w:val="clear" w:color="auto" w:fill="FFFFFF" w:themeFill="background1"/>
          </w:tcPr>
          <w:p w:rsidR="008B7CC0" w:rsidRDefault="008B7CC0" w:rsidP="008034D1">
            <w:pPr>
              <w:pStyle w:val="TableColumnHeading"/>
              <w:jc w:val="center"/>
            </w:pPr>
          </w:p>
        </w:tc>
        <w:tc>
          <w:tcPr>
            <w:tcW w:w="3145" w:type="dxa"/>
            <w:gridSpan w:val="6"/>
            <w:tcBorders>
              <w:top w:val="single" w:sz="4" w:space="0" w:color="auto"/>
              <w:bottom w:val="single" w:sz="4" w:space="0" w:color="auto"/>
            </w:tcBorders>
            <w:shd w:val="clear" w:color="auto" w:fill="FFFFFF" w:themeFill="background1"/>
          </w:tcPr>
          <w:p w:rsidR="008B7CC0" w:rsidRPr="008B7CC0" w:rsidRDefault="002A7D7C" w:rsidP="00AB3A62">
            <w:pPr>
              <w:pStyle w:val="TableColumnHeading"/>
              <w:jc w:val="center"/>
              <w:rPr>
                <w:rStyle w:val="NoteLabel"/>
                <w:b w:val="0"/>
              </w:rPr>
            </w:pPr>
            <w:r>
              <w:rPr>
                <w:rStyle w:val="NoteLabel"/>
                <w:b w:val="0"/>
              </w:rPr>
              <w:t xml:space="preserve">Rate ratio </w:t>
            </w:r>
            <w:r w:rsidRPr="008B7CC0">
              <w:rPr>
                <w:rStyle w:val="NoteLabel"/>
                <w:b w:val="0"/>
              </w:rPr>
              <w:t>—</w:t>
            </w:r>
            <w:r>
              <w:rPr>
                <w:rStyle w:val="NoteLabel"/>
                <w:b w:val="0"/>
              </w:rPr>
              <w:t xml:space="preserve"> Indigenous rate divided by non</w:t>
            </w:r>
            <w:r>
              <w:rPr>
                <w:rStyle w:val="NoteLabel"/>
                <w:b w:val="0"/>
              </w:rPr>
              <w:noBreakHyphen/>
              <w:t>Indigenous rate</w:t>
            </w:r>
          </w:p>
        </w:tc>
      </w:tr>
      <w:tr w:rsidR="001E2814" w:rsidTr="00EA0B2B">
        <w:tc>
          <w:tcPr>
            <w:tcW w:w="1417" w:type="dxa"/>
            <w:vAlign w:val="center"/>
          </w:tcPr>
          <w:p w:rsidR="00DA0CF9" w:rsidRPr="0061399B" w:rsidRDefault="00DA0CF9" w:rsidP="00F0143F">
            <w:pPr>
              <w:pStyle w:val="TableBodyText"/>
              <w:jc w:val="left"/>
            </w:pPr>
          </w:p>
        </w:tc>
        <w:tc>
          <w:tcPr>
            <w:tcW w:w="682" w:type="dxa"/>
            <w:gridSpan w:val="3"/>
            <w:vAlign w:val="center"/>
          </w:tcPr>
          <w:p w:rsidR="00DA0CF9" w:rsidRDefault="00DA0CF9" w:rsidP="00A8052F">
            <w:pPr>
              <w:pStyle w:val="TableUnitsRow"/>
              <w:ind w:right="51"/>
            </w:pPr>
            <w:r>
              <w:t>NSW</w:t>
            </w:r>
          </w:p>
        </w:tc>
        <w:tc>
          <w:tcPr>
            <w:tcW w:w="682" w:type="dxa"/>
            <w:vAlign w:val="center"/>
          </w:tcPr>
          <w:p w:rsidR="00DA0CF9" w:rsidRPr="00532AF1" w:rsidRDefault="00DA0CF9" w:rsidP="00AC173D">
            <w:pPr>
              <w:pStyle w:val="TableUnitsRow"/>
              <w:ind w:right="51"/>
            </w:pPr>
            <w:r>
              <w:t>Qld</w:t>
            </w:r>
          </w:p>
        </w:tc>
        <w:tc>
          <w:tcPr>
            <w:tcW w:w="682" w:type="dxa"/>
            <w:vAlign w:val="center"/>
          </w:tcPr>
          <w:p w:rsidR="00DA0CF9" w:rsidRPr="00532AF1" w:rsidRDefault="00DA0CF9" w:rsidP="00AC173D">
            <w:pPr>
              <w:pStyle w:val="TableUnitsRow"/>
              <w:ind w:right="51"/>
            </w:pPr>
            <w:r>
              <w:t>WA</w:t>
            </w:r>
          </w:p>
        </w:tc>
        <w:tc>
          <w:tcPr>
            <w:tcW w:w="682" w:type="dxa"/>
            <w:vAlign w:val="center"/>
          </w:tcPr>
          <w:p w:rsidR="00DA0CF9" w:rsidRDefault="00DA0CF9" w:rsidP="00AC173D">
            <w:pPr>
              <w:pStyle w:val="TableUnitsRow"/>
              <w:ind w:right="51"/>
            </w:pPr>
            <w:r w:rsidRPr="007C6560">
              <w:t>SA</w:t>
            </w:r>
          </w:p>
        </w:tc>
        <w:tc>
          <w:tcPr>
            <w:tcW w:w="682" w:type="dxa"/>
            <w:shd w:val="clear" w:color="auto" w:fill="auto"/>
            <w:vAlign w:val="center"/>
          </w:tcPr>
          <w:p w:rsidR="00DA0CF9" w:rsidRPr="00532AF1" w:rsidRDefault="00DA0CF9" w:rsidP="00AC173D">
            <w:pPr>
              <w:pStyle w:val="TableUnitsRow"/>
              <w:ind w:right="51"/>
            </w:pPr>
            <w:r>
              <w:t>NT</w:t>
            </w:r>
          </w:p>
        </w:tc>
        <w:tc>
          <w:tcPr>
            <w:tcW w:w="682" w:type="dxa"/>
            <w:shd w:val="clear" w:color="auto" w:fill="auto"/>
            <w:vAlign w:val="center"/>
          </w:tcPr>
          <w:p w:rsidR="00DA0CF9" w:rsidRPr="00532AF1" w:rsidRDefault="00DA0CF9" w:rsidP="00AC173D">
            <w:pPr>
              <w:pStyle w:val="TableUnitsRow"/>
              <w:ind w:right="51"/>
            </w:pPr>
            <w:r>
              <w:t>Total</w:t>
            </w:r>
          </w:p>
        </w:tc>
        <w:tc>
          <w:tcPr>
            <w:tcW w:w="135" w:type="dxa"/>
            <w:vAlign w:val="center"/>
          </w:tcPr>
          <w:p w:rsidR="00DA0CF9" w:rsidRPr="00532AF1" w:rsidRDefault="00DA0CF9" w:rsidP="00191427">
            <w:pPr>
              <w:pStyle w:val="TableUnitsRow"/>
            </w:pPr>
          </w:p>
        </w:tc>
        <w:tc>
          <w:tcPr>
            <w:tcW w:w="524" w:type="dxa"/>
            <w:vAlign w:val="center"/>
          </w:tcPr>
          <w:p w:rsidR="00DA0CF9" w:rsidRDefault="00DA0CF9" w:rsidP="00AC173D">
            <w:pPr>
              <w:pStyle w:val="TableUnitsRow"/>
              <w:ind w:right="51"/>
            </w:pPr>
            <w:r>
              <w:t>NSW</w:t>
            </w:r>
          </w:p>
        </w:tc>
        <w:tc>
          <w:tcPr>
            <w:tcW w:w="526" w:type="dxa"/>
            <w:vAlign w:val="center"/>
          </w:tcPr>
          <w:p w:rsidR="00DA0CF9" w:rsidRPr="00532AF1" w:rsidRDefault="00DA0CF9" w:rsidP="00AC173D">
            <w:pPr>
              <w:pStyle w:val="TableUnitsRow"/>
              <w:ind w:right="51"/>
            </w:pPr>
            <w:r>
              <w:t>Qld</w:t>
            </w:r>
          </w:p>
        </w:tc>
        <w:tc>
          <w:tcPr>
            <w:tcW w:w="524" w:type="dxa"/>
            <w:shd w:val="clear" w:color="auto" w:fill="auto"/>
            <w:vAlign w:val="center"/>
          </w:tcPr>
          <w:p w:rsidR="00DA0CF9" w:rsidRPr="00532AF1" w:rsidRDefault="00DA0CF9" w:rsidP="00AC173D">
            <w:pPr>
              <w:pStyle w:val="TableUnitsRow"/>
              <w:ind w:right="51"/>
            </w:pPr>
            <w:r>
              <w:t>WA</w:t>
            </w:r>
          </w:p>
        </w:tc>
        <w:tc>
          <w:tcPr>
            <w:tcW w:w="524" w:type="dxa"/>
            <w:shd w:val="clear" w:color="auto" w:fill="auto"/>
            <w:vAlign w:val="center"/>
          </w:tcPr>
          <w:p w:rsidR="00DA0CF9" w:rsidRDefault="00DA0CF9" w:rsidP="00AC173D">
            <w:pPr>
              <w:pStyle w:val="TableUnitsRow"/>
              <w:ind w:right="51"/>
            </w:pPr>
            <w:r w:rsidRPr="00191427">
              <w:t>SA</w:t>
            </w:r>
          </w:p>
        </w:tc>
        <w:tc>
          <w:tcPr>
            <w:tcW w:w="505" w:type="dxa"/>
            <w:shd w:val="clear" w:color="auto" w:fill="auto"/>
            <w:vAlign w:val="center"/>
          </w:tcPr>
          <w:p w:rsidR="00DA0CF9" w:rsidRPr="00532AF1" w:rsidRDefault="00DA0CF9" w:rsidP="00AC173D">
            <w:pPr>
              <w:pStyle w:val="TableUnitsRow"/>
              <w:ind w:right="51"/>
            </w:pPr>
            <w:r>
              <w:t>NT</w:t>
            </w:r>
          </w:p>
        </w:tc>
        <w:tc>
          <w:tcPr>
            <w:tcW w:w="542" w:type="dxa"/>
            <w:shd w:val="clear" w:color="auto" w:fill="auto"/>
            <w:vAlign w:val="center"/>
          </w:tcPr>
          <w:p w:rsidR="00DA0CF9" w:rsidRPr="00532AF1" w:rsidRDefault="00DA0CF9" w:rsidP="00AC173D">
            <w:pPr>
              <w:pStyle w:val="TableUnitsRow"/>
              <w:ind w:right="51"/>
            </w:pPr>
            <w:r>
              <w:t>Total</w:t>
            </w:r>
          </w:p>
        </w:tc>
      </w:tr>
      <w:tr w:rsidR="008A63E4" w:rsidTr="00E90284">
        <w:tc>
          <w:tcPr>
            <w:tcW w:w="1417" w:type="dxa"/>
            <w:shd w:val="clear" w:color="auto" w:fill="auto"/>
          </w:tcPr>
          <w:p w:rsidR="008A63E4" w:rsidRPr="00F26AE6" w:rsidRDefault="008A63E4" w:rsidP="00F26AE6">
            <w:pPr>
              <w:pStyle w:val="TableBodyText"/>
              <w:ind w:right="-108"/>
              <w:jc w:val="left"/>
              <w:rPr>
                <w:snapToGrid w:val="0"/>
                <w:lang w:val="en-US"/>
              </w:rPr>
            </w:pPr>
            <w:r w:rsidRPr="00F26AE6">
              <w:rPr>
                <w:snapToGrid w:val="0"/>
                <w:lang w:val="en-US"/>
              </w:rPr>
              <w:t>Circulatory diseases</w:t>
            </w:r>
          </w:p>
        </w:tc>
        <w:tc>
          <w:tcPr>
            <w:tcW w:w="682" w:type="dxa"/>
            <w:gridSpan w:val="3"/>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130.0</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122.7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238.3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128.3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192.9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147.0</w:t>
            </w:r>
          </w:p>
        </w:tc>
        <w:tc>
          <w:tcPr>
            <w:tcW w:w="135" w:type="dxa"/>
            <w:shd w:val="clear" w:color="auto" w:fill="auto"/>
            <w:vAlign w:val="bottom"/>
          </w:tcPr>
          <w:p w:rsidR="008A63E4" w:rsidRPr="00F72A36" w:rsidRDefault="008A63E4" w:rsidP="002B3A09">
            <w:pPr>
              <w:pStyle w:val="TableBodyText"/>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1.6</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1.6</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2.4</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1.6</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2.2</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1.7</w:t>
            </w:r>
          </w:p>
        </w:tc>
      </w:tr>
      <w:tr w:rsidR="008A63E4" w:rsidTr="00E90284">
        <w:tc>
          <w:tcPr>
            <w:tcW w:w="1417" w:type="dxa"/>
            <w:shd w:val="clear" w:color="auto" w:fill="auto"/>
          </w:tcPr>
          <w:p w:rsidR="008A63E4" w:rsidRPr="00F26AE6" w:rsidRDefault="008A63E4" w:rsidP="00F26AE6">
            <w:pPr>
              <w:pStyle w:val="TableBodyText"/>
              <w:ind w:right="-108"/>
              <w:jc w:val="left"/>
              <w:rPr>
                <w:snapToGrid w:val="0"/>
                <w:lang w:val="en-US"/>
              </w:rPr>
            </w:pPr>
            <w:r w:rsidRPr="00F26AE6">
              <w:rPr>
                <w:snapToGrid w:val="0"/>
                <w:lang w:val="en-US"/>
              </w:rPr>
              <w:t>Cancer</w:t>
            </w:r>
          </w:p>
        </w:tc>
        <w:tc>
          <w:tcPr>
            <w:tcW w:w="682" w:type="dxa"/>
            <w:gridSpan w:val="3"/>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60.5</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76.6</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87.9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26.2</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114.4</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76.3</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1.3</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1.4</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1.5</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1.1</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1.6</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1.4</w:t>
            </w:r>
          </w:p>
        </w:tc>
      </w:tr>
      <w:tr w:rsidR="008A63E4" w:rsidTr="00E90284">
        <w:tc>
          <w:tcPr>
            <w:tcW w:w="1560" w:type="dxa"/>
            <w:gridSpan w:val="2"/>
            <w:shd w:val="clear" w:color="auto" w:fill="auto"/>
            <w:vAlign w:val="bottom"/>
          </w:tcPr>
          <w:p w:rsidR="008A63E4" w:rsidRPr="00F26AE6" w:rsidRDefault="008A63E4" w:rsidP="004C4E8A">
            <w:pPr>
              <w:pStyle w:val="TableBodyText"/>
              <w:ind w:right="-108"/>
              <w:jc w:val="left"/>
              <w:rPr>
                <w:snapToGrid w:val="0"/>
                <w:lang w:val="en-US"/>
              </w:rPr>
            </w:pPr>
            <w:r w:rsidRPr="00F26AE6">
              <w:rPr>
                <w:snapToGrid w:val="0"/>
                <w:lang w:val="en-US"/>
              </w:rPr>
              <w:t xml:space="preserve">External causes </w:t>
            </w:r>
          </w:p>
        </w:tc>
        <w:tc>
          <w:tcPr>
            <w:tcW w:w="539" w:type="dxa"/>
            <w:gridSpan w:val="2"/>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27.2</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28.4</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90.3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65.7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57.7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48.1</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1.8</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1.7</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3.2</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2.8</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1.9</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2.3</w:t>
            </w:r>
          </w:p>
        </w:tc>
      </w:tr>
      <w:tr w:rsidR="008A63E4" w:rsidTr="00E90284">
        <w:tc>
          <w:tcPr>
            <w:tcW w:w="1560" w:type="dxa"/>
            <w:gridSpan w:val="2"/>
            <w:shd w:val="clear" w:color="auto" w:fill="auto"/>
            <w:vAlign w:val="bottom"/>
          </w:tcPr>
          <w:p w:rsidR="008A63E4" w:rsidRPr="00F26AE6" w:rsidRDefault="008A63E4" w:rsidP="004C4E8A">
            <w:pPr>
              <w:pStyle w:val="TableBodyText"/>
              <w:ind w:right="-108"/>
              <w:jc w:val="left"/>
              <w:rPr>
                <w:snapToGrid w:val="0"/>
                <w:lang w:val="en-US"/>
              </w:rPr>
            </w:pPr>
            <w:r w:rsidRPr="00F26AE6">
              <w:rPr>
                <w:snapToGrid w:val="0"/>
                <w:lang w:val="en-US"/>
              </w:rPr>
              <w:t xml:space="preserve">Endocrine and other </w:t>
            </w:r>
            <w:proofErr w:type="spellStart"/>
            <w:r w:rsidRPr="00F26AE6">
              <w:rPr>
                <w:snapToGrid w:val="0"/>
                <w:lang w:val="en-US"/>
              </w:rPr>
              <w:t>disorders</w:t>
            </w:r>
            <w:r w:rsidR="006604D6">
              <w:rPr>
                <w:b/>
                <w:snapToGrid w:val="0"/>
                <w:vertAlign w:val="superscript"/>
                <w:lang w:val="en-US"/>
              </w:rPr>
              <w:t>d</w:t>
            </w:r>
            <w:proofErr w:type="spellEnd"/>
          </w:p>
        </w:tc>
        <w:tc>
          <w:tcPr>
            <w:tcW w:w="539" w:type="dxa"/>
            <w:gridSpan w:val="2"/>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48.2</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103.9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140.5</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42.9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167.9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94.9</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3.3</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5.6</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6.9</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2.7</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6.4</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5.3</w:t>
            </w:r>
          </w:p>
        </w:tc>
      </w:tr>
      <w:tr w:rsidR="008A63E4" w:rsidTr="00E90284">
        <w:tc>
          <w:tcPr>
            <w:tcW w:w="1417" w:type="dxa"/>
            <w:shd w:val="clear" w:color="auto" w:fill="auto"/>
          </w:tcPr>
          <w:p w:rsidR="008A63E4" w:rsidRPr="00F26AE6" w:rsidRDefault="008A63E4" w:rsidP="004C4E8A">
            <w:pPr>
              <w:pStyle w:val="TableBodyText"/>
              <w:ind w:right="-108"/>
              <w:jc w:val="left"/>
              <w:rPr>
                <w:snapToGrid w:val="0"/>
                <w:lang w:val="en-US"/>
              </w:rPr>
            </w:pPr>
            <w:r w:rsidRPr="00F26AE6">
              <w:rPr>
                <w:snapToGrid w:val="0"/>
                <w:lang w:val="en-US"/>
              </w:rPr>
              <w:t xml:space="preserve">Respiratory diseases </w:t>
            </w:r>
          </w:p>
        </w:tc>
        <w:tc>
          <w:tcPr>
            <w:tcW w:w="682" w:type="dxa"/>
            <w:gridSpan w:val="3"/>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59.0</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48.9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71.0</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62.9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98.5</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64.0</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2.2</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2.0</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2.6</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2.3</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2.8</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2.3</w:t>
            </w:r>
          </w:p>
        </w:tc>
      </w:tr>
      <w:tr w:rsidR="008A63E4" w:rsidTr="00E90284">
        <w:tc>
          <w:tcPr>
            <w:tcW w:w="1417" w:type="dxa"/>
            <w:shd w:val="clear" w:color="auto" w:fill="auto"/>
          </w:tcPr>
          <w:p w:rsidR="008A63E4" w:rsidRPr="00F26AE6" w:rsidRDefault="008A63E4" w:rsidP="004C4E8A">
            <w:pPr>
              <w:pStyle w:val="TableBodyText"/>
              <w:ind w:right="-108"/>
              <w:jc w:val="left"/>
              <w:rPr>
                <w:snapToGrid w:val="0"/>
                <w:lang w:val="en-US"/>
              </w:rPr>
            </w:pPr>
            <w:r w:rsidRPr="00F26AE6">
              <w:rPr>
                <w:snapToGrid w:val="0"/>
                <w:lang w:val="en-US"/>
              </w:rPr>
              <w:t>Digestive diseases</w:t>
            </w:r>
          </w:p>
        </w:tc>
        <w:tc>
          <w:tcPr>
            <w:tcW w:w="682" w:type="dxa"/>
            <w:gridSpan w:val="3"/>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19.9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33.8</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56.3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38.3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57.6</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36.5</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2.0</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2.7</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3.8</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2.9</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3.2</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2.8</w:t>
            </w:r>
          </w:p>
        </w:tc>
      </w:tr>
      <w:tr w:rsidR="008A63E4" w:rsidTr="00E90284">
        <w:tc>
          <w:tcPr>
            <w:tcW w:w="1417" w:type="dxa"/>
            <w:shd w:val="clear" w:color="auto" w:fill="auto"/>
          </w:tcPr>
          <w:p w:rsidR="008A63E4" w:rsidRPr="00F26AE6" w:rsidRDefault="008A63E4" w:rsidP="004C4E8A">
            <w:pPr>
              <w:pStyle w:val="TableBodyText"/>
              <w:ind w:right="-108"/>
              <w:jc w:val="left"/>
              <w:rPr>
                <w:snapToGrid w:val="0"/>
                <w:lang w:val="en-US"/>
              </w:rPr>
            </w:pPr>
            <w:r w:rsidRPr="00F26AE6">
              <w:rPr>
                <w:snapToGrid w:val="0"/>
                <w:lang w:val="en-US"/>
              </w:rPr>
              <w:t xml:space="preserve">Kidney Diseases </w:t>
            </w:r>
          </w:p>
        </w:tc>
        <w:tc>
          <w:tcPr>
            <w:tcW w:w="682" w:type="dxa"/>
            <w:gridSpan w:val="3"/>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11.7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20.6</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39.9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proofErr w:type="spellStart"/>
            <w:r w:rsidRPr="0023614D">
              <w:rPr>
                <w:rFonts w:ascii="Arial" w:hAnsi="Arial" w:cs="Arial"/>
                <w:sz w:val="20"/>
                <w:szCs w:val="20"/>
              </w:rPr>
              <w:t>np</w:t>
            </w:r>
            <w:proofErr w:type="spellEnd"/>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57.6</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24.8</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2.0</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3.0</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4.9</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proofErr w:type="spellStart"/>
            <w:r w:rsidRPr="008A63E4">
              <w:rPr>
                <w:rFonts w:ascii="Arial" w:hAnsi="Arial" w:cs="Arial"/>
                <w:sz w:val="20"/>
                <w:szCs w:val="20"/>
              </w:rPr>
              <w:t>np</w:t>
            </w:r>
            <w:proofErr w:type="spellEnd"/>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6.5</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3.2</w:t>
            </w:r>
          </w:p>
        </w:tc>
      </w:tr>
      <w:tr w:rsidR="008A63E4" w:rsidTr="00E90284">
        <w:tc>
          <w:tcPr>
            <w:tcW w:w="1560" w:type="dxa"/>
            <w:gridSpan w:val="2"/>
            <w:shd w:val="clear" w:color="auto" w:fill="auto"/>
            <w:vAlign w:val="bottom"/>
          </w:tcPr>
          <w:p w:rsidR="008A63E4" w:rsidRPr="00F26AE6" w:rsidRDefault="008A63E4" w:rsidP="004C4E8A">
            <w:pPr>
              <w:pStyle w:val="TableBodyText"/>
              <w:ind w:right="-108"/>
              <w:jc w:val="left"/>
              <w:rPr>
                <w:snapToGrid w:val="0"/>
                <w:lang w:val="en-US"/>
              </w:rPr>
            </w:pPr>
            <w:r w:rsidRPr="00F26AE6">
              <w:rPr>
                <w:snapToGrid w:val="0"/>
                <w:lang w:val="en-US"/>
              </w:rPr>
              <w:t xml:space="preserve">Conditions originating in the perinatal period </w:t>
            </w:r>
          </w:p>
        </w:tc>
        <w:tc>
          <w:tcPr>
            <w:tcW w:w="539" w:type="dxa"/>
            <w:gridSpan w:val="2"/>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2.0</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proofErr w:type="spellStart"/>
            <w:r w:rsidRPr="0023614D">
              <w:rPr>
                <w:rFonts w:ascii="Arial" w:hAnsi="Arial" w:cs="Arial"/>
                <w:sz w:val="20"/>
                <w:szCs w:val="20"/>
              </w:rPr>
              <w:t>np</w:t>
            </w:r>
            <w:proofErr w:type="spellEnd"/>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6.6</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3.2</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1.7</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2.0</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3.1</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proofErr w:type="spellStart"/>
            <w:r w:rsidRPr="008A63E4">
              <w:rPr>
                <w:rFonts w:ascii="Arial" w:hAnsi="Arial" w:cs="Arial"/>
                <w:sz w:val="20"/>
                <w:szCs w:val="20"/>
              </w:rPr>
              <w:t>np</w:t>
            </w:r>
            <w:proofErr w:type="spellEnd"/>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3.3</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2.2</w:t>
            </w:r>
          </w:p>
        </w:tc>
      </w:tr>
      <w:tr w:rsidR="008A63E4" w:rsidTr="00E90284">
        <w:tc>
          <w:tcPr>
            <w:tcW w:w="1610" w:type="dxa"/>
            <w:gridSpan w:val="3"/>
            <w:shd w:val="clear" w:color="auto" w:fill="auto"/>
            <w:vAlign w:val="bottom"/>
          </w:tcPr>
          <w:p w:rsidR="008A63E4" w:rsidRPr="00F26AE6" w:rsidRDefault="008A63E4" w:rsidP="004C4E8A">
            <w:pPr>
              <w:pStyle w:val="TableBodyText"/>
              <w:ind w:right="-108"/>
              <w:jc w:val="left"/>
              <w:rPr>
                <w:snapToGrid w:val="0"/>
                <w:lang w:val="en-US"/>
              </w:rPr>
            </w:pPr>
            <w:r w:rsidRPr="00F26AE6">
              <w:rPr>
                <w:snapToGrid w:val="0"/>
                <w:lang w:val="en-US"/>
              </w:rPr>
              <w:t xml:space="preserve">Infectious and parasitic diseases </w:t>
            </w:r>
          </w:p>
        </w:tc>
        <w:tc>
          <w:tcPr>
            <w:tcW w:w="489"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8.4</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16.2</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17.7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proofErr w:type="spellStart"/>
            <w:r w:rsidRPr="0023614D">
              <w:rPr>
                <w:rFonts w:ascii="Arial" w:hAnsi="Arial" w:cs="Arial"/>
                <w:sz w:val="20"/>
                <w:szCs w:val="20"/>
              </w:rPr>
              <w:t>np</w:t>
            </w:r>
            <w:proofErr w:type="spellEnd"/>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31.6</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15.6</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1.8</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3.3</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3.5</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proofErr w:type="spellStart"/>
            <w:r w:rsidRPr="008A63E4">
              <w:rPr>
                <w:rFonts w:ascii="Arial" w:hAnsi="Arial" w:cs="Arial"/>
                <w:sz w:val="20"/>
                <w:szCs w:val="20"/>
              </w:rPr>
              <w:t>np</w:t>
            </w:r>
            <w:proofErr w:type="spellEnd"/>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3.4</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2.8</w:t>
            </w:r>
          </w:p>
        </w:tc>
      </w:tr>
      <w:tr w:rsidR="008A63E4" w:rsidTr="00E90284">
        <w:tc>
          <w:tcPr>
            <w:tcW w:w="1560" w:type="dxa"/>
            <w:gridSpan w:val="2"/>
            <w:shd w:val="clear" w:color="auto" w:fill="auto"/>
          </w:tcPr>
          <w:p w:rsidR="008A63E4" w:rsidRPr="00F26AE6" w:rsidRDefault="008A63E4" w:rsidP="004C4E8A">
            <w:pPr>
              <w:pStyle w:val="TableBodyText"/>
              <w:ind w:right="-108"/>
              <w:jc w:val="left"/>
              <w:rPr>
                <w:snapToGrid w:val="0"/>
                <w:lang w:val="en-US"/>
              </w:rPr>
            </w:pPr>
            <w:r w:rsidRPr="00F26AE6">
              <w:rPr>
                <w:snapToGrid w:val="0"/>
                <w:lang w:val="en-US"/>
              </w:rPr>
              <w:t xml:space="preserve">Nervous system diseases </w:t>
            </w:r>
          </w:p>
        </w:tc>
        <w:tc>
          <w:tcPr>
            <w:tcW w:w="539" w:type="dxa"/>
            <w:gridSpan w:val="2"/>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1.3</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2.7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16.2</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5.7</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3.8</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2.1</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0.9</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0.9</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1.5</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1.2</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1.2</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1.1</w:t>
            </w:r>
          </w:p>
        </w:tc>
      </w:tr>
      <w:tr w:rsidR="008A63E4" w:rsidTr="00E90284">
        <w:tc>
          <w:tcPr>
            <w:tcW w:w="1417" w:type="dxa"/>
            <w:shd w:val="clear" w:color="auto" w:fill="auto"/>
          </w:tcPr>
          <w:p w:rsidR="008A63E4" w:rsidRPr="00F26AE6" w:rsidRDefault="008A63E4" w:rsidP="004C4E8A">
            <w:pPr>
              <w:pStyle w:val="TableBodyText"/>
              <w:ind w:right="-108"/>
              <w:jc w:val="left"/>
              <w:rPr>
                <w:snapToGrid w:val="0"/>
                <w:lang w:val="en-US"/>
              </w:rPr>
            </w:pPr>
            <w:r w:rsidRPr="00F26AE6">
              <w:rPr>
                <w:snapToGrid w:val="0"/>
                <w:lang w:val="en-US"/>
              </w:rPr>
              <w:t>Other causes</w:t>
            </w:r>
          </w:p>
        </w:tc>
        <w:tc>
          <w:tcPr>
            <w:tcW w:w="682" w:type="dxa"/>
            <w:gridSpan w:val="3"/>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30.0</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28.8</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73.8</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33.2</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75.9</w:t>
            </w:r>
          </w:p>
        </w:tc>
        <w:tc>
          <w:tcPr>
            <w:tcW w:w="682" w:type="dxa"/>
            <w:shd w:val="clear" w:color="auto" w:fill="auto"/>
            <w:vAlign w:val="bottom"/>
          </w:tcPr>
          <w:p w:rsidR="008A63E4" w:rsidRPr="0023614D" w:rsidRDefault="008A63E4" w:rsidP="0023614D">
            <w:pPr>
              <w:spacing w:afterLines="10" w:after="24" w:line="220" w:lineRule="atLeast"/>
              <w:ind w:left="6" w:right="51"/>
              <w:jc w:val="right"/>
              <w:rPr>
                <w:rFonts w:ascii="Arial" w:hAnsi="Arial" w:cs="Arial"/>
                <w:sz w:val="20"/>
                <w:szCs w:val="20"/>
              </w:rPr>
            </w:pPr>
            <w:r w:rsidRPr="0023614D">
              <w:rPr>
                <w:rFonts w:ascii="Arial" w:hAnsi="Arial" w:cs="Arial"/>
                <w:sz w:val="20"/>
                <w:szCs w:val="20"/>
              </w:rPr>
              <w:t xml:space="preserve">  42.7</w:t>
            </w:r>
          </w:p>
        </w:tc>
        <w:tc>
          <w:tcPr>
            <w:tcW w:w="135" w:type="dxa"/>
            <w:shd w:val="clear" w:color="auto" w:fill="auto"/>
            <w:vAlign w:val="bottom"/>
          </w:tcPr>
          <w:p w:rsidR="008A63E4" w:rsidRPr="00F72A36" w:rsidRDefault="008A63E4" w:rsidP="002B3A09">
            <w:pPr>
              <w:pStyle w:val="TableBodyText"/>
              <w:spacing w:after="20"/>
              <w:rPr>
                <w:rFonts w:cs="Arial"/>
                <w:shd w:val="clear" w:color="auto" w:fill="FBD4B4" w:themeFill="accent6" w:themeFillTint="66"/>
              </w:rPr>
            </w:pP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1.6</w:t>
            </w:r>
          </w:p>
        </w:tc>
        <w:tc>
          <w:tcPr>
            <w:tcW w:w="526"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1.7</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2.8</w:t>
            </w:r>
          </w:p>
        </w:tc>
        <w:tc>
          <w:tcPr>
            <w:tcW w:w="524"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1.7</w:t>
            </w:r>
          </w:p>
        </w:tc>
        <w:tc>
          <w:tcPr>
            <w:tcW w:w="505"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2.5</w:t>
            </w:r>
          </w:p>
        </w:tc>
        <w:tc>
          <w:tcPr>
            <w:tcW w:w="542" w:type="dxa"/>
            <w:shd w:val="clear" w:color="auto" w:fill="auto"/>
            <w:vAlign w:val="bottom"/>
          </w:tcPr>
          <w:p w:rsidR="008A63E4" w:rsidRPr="008A63E4" w:rsidRDefault="008A63E4" w:rsidP="008A63E4">
            <w:pPr>
              <w:spacing w:afterLines="10" w:after="24" w:line="220" w:lineRule="atLeast"/>
              <w:ind w:left="6" w:right="51"/>
              <w:jc w:val="right"/>
              <w:rPr>
                <w:rFonts w:ascii="Arial" w:hAnsi="Arial" w:cs="Arial"/>
                <w:sz w:val="20"/>
                <w:szCs w:val="20"/>
              </w:rPr>
            </w:pPr>
            <w:r w:rsidRPr="008A63E4">
              <w:rPr>
                <w:rFonts w:ascii="Arial" w:hAnsi="Arial" w:cs="Arial"/>
                <w:sz w:val="20"/>
                <w:szCs w:val="20"/>
              </w:rPr>
              <w:t xml:space="preserve">  2.0</w:t>
            </w:r>
          </w:p>
        </w:tc>
      </w:tr>
      <w:tr w:rsidR="008A63E4" w:rsidTr="00E90284">
        <w:tc>
          <w:tcPr>
            <w:tcW w:w="1417" w:type="dxa"/>
            <w:tcBorders>
              <w:bottom w:val="single" w:sz="4" w:space="0" w:color="auto"/>
            </w:tcBorders>
            <w:shd w:val="clear" w:color="auto" w:fill="auto"/>
            <w:vAlign w:val="bottom"/>
          </w:tcPr>
          <w:p w:rsidR="008A63E4" w:rsidRPr="002A5158" w:rsidRDefault="008A63E4" w:rsidP="004C4E8A">
            <w:pPr>
              <w:pStyle w:val="TableBodyText"/>
              <w:ind w:right="0"/>
              <w:jc w:val="left"/>
              <w:rPr>
                <w:b/>
              </w:rPr>
            </w:pPr>
            <w:r w:rsidRPr="002A5158">
              <w:rPr>
                <w:b/>
              </w:rPr>
              <w:t>All causes</w:t>
            </w:r>
          </w:p>
        </w:tc>
        <w:tc>
          <w:tcPr>
            <w:tcW w:w="682" w:type="dxa"/>
            <w:gridSpan w:val="3"/>
            <w:tcBorders>
              <w:bottom w:val="single" w:sz="4" w:space="0" w:color="auto"/>
            </w:tcBorders>
            <w:shd w:val="clear" w:color="auto" w:fill="auto"/>
            <w:vAlign w:val="bottom"/>
          </w:tcPr>
          <w:p w:rsidR="008A63E4" w:rsidRPr="0023614D" w:rsidRDefault="008A63E4" w:rsidP="0023614D">
            <w:pPr>
              <w:spacing w:afterLines="10" w:after="24" w:line="220" w:lineRule="atLeast"/>
              <w:ind w:left="6" w:right="51"/>
              <w:jc w:val="right"/>
              <w:rPr>
                <w:rFonts w:ascii="Arial" w:hAnsi="Arial" w:cs="Arial"/>
                <w:b/>
                <w:sz w:val="20"/>
                <w:szCs w:val="20"/>
              </w:rPr>
            </w:pPr>
            <w:r w:rsidRPr="0023614D">
              <w:rPr>
                <w:rFonts w:ascii="Arial" w:hAnsi="Arial" w:cs="Arial"/>
                <w:b/>
                <w:sz w:val="20"/>
                <w:szCs w:val="20"/>
              </w:rPr>
              <w:t xml:space="preserve">  395.7</w:t>
            </w:r>
          </w:p>
        </w:tc>
        <w:tc>
          <w:tcPr>
            <w:tcW w:w="682" w:type="dxa"/>
            <w:tcBorders>
              <w:bottom w:val="single" w:sz="4" w:space="0" w:color="auto"/>
            </w:tcBorders>
            <w:shd w:val="clear" w:color="auto" w:fill="auto"/>
            <w:vAlign w:val="bottom"/>
          </w:tcPr>
          <w:p w:rsidR="008A63E4" w:rsidRPr="0023614D" w:rsidRDefault="008A63E4" w:rsidP="0023614D">
            <w:pPr>
              <w:spacing w:afterLines="10" w:after="24" w:line="220" w:lineRule="atLeast"/>
              <w:ind w:left="6" w:right="51"/>
              <w:jc w:val="right"/>
              <w:rPr>
                <w:rFonts w:ascii="Arial" w:hAnsi="Arial" w:cs="Arial"/>
                <w:b/>
                <w:sz w:val="20"/>
                <w:szCs w:val="20"/>
              </w:rPr>
            </w:pPr>
            <w:r w:rsidRPr="0023614D">
              <w:rPr>
                <w:rFonts w:ascii="Arial" w:hAnsi="Arial" w:cs="Arial"/>
                <w:b/>
                <w:sz w:val="20"/>
                <w:szCs w:val="20"/>
              </w:rPr>
              <w:t xml:space="preserve">  480.2</w:t>
            </w:r>
          </w:p>
        </w:tc>
        <w:tc>
          <w:tcPr>
            <w:tcW w:w="682" w:type="dxa"/>
            <w:tcBorders>
              <w:bottom w:val="single" w:sz="4" w:space="0" w:color="auto"/>
            </w:tcBorders>
            <w:shd w:val="clear" w:color="auto" w:fill="auto"/>
            <w:vAlign w:val="bottom"/>
          </w:tcPr>
          <w:p w:rsidR="008A63E4" w:rsidRPr="0023614D" w:rsidRDefault="008A63E4" w:rsidP="0023614D">
            <w:pPr>
              <w:spacing w:afterLines="10" w:after="24" w:line="220" w:lineRule="atLeast"/>
              <w:ind w:left="6" w:right="51"/>
              <w:jc w:val="right"/>
              <w:rPr>
                <w:rFonts w:ascii="Arial" w:hAnsi="Arial" w:cs="Arial"/>
                <w:b/>
                <w:sz w:val="20"/>
                <w:szCs w:val="20"/>
              </w:rPr>
            </w:pPr>
            <w:r w:rsidRPr="0023614D">
              <w:rPr>
                <w:rFonts w:ascii="Arial" w:hAnsi="Arial" w:cs="Arial"/>
                <w:b/>
                <w:sz w:val="20"/>
                <w:szCs w:val="20"/>
              </w:rPr>
              <w:t xml:space="preserve">  835.1</w:t>
            </w:r>
          </w:p>
        </w:tc>
        <w:tc>
          <w:tcPr>
            <w:tcW w:w="682" w:type="dxa"/>
            <w:tcBorders>
              <w:bottom w:val="single" w:sz="4" w:space="0" w:color="auto"/>
            </w:tcBorders>
            <w:shd w:val="clear" w:color="auto" w:fill="auto"/>
            <w:vAlign w:val="bottom"/>
          </w:tcPr>
          <w:p w:rsidR="008A63E4" w:rsidRPr="0023614D" w:rsidRDefault="008A63E4" w:rsidP="0023614D">
            <w:pPr>
              <w:spacing w:afterLines="10" w:after="24" w:line="220" w:lineRule="atLeast"/>
              <w:ind w:left="6" w:right="51"/>
              <w:jc w:val="right"/>
              <w:rPr>
                <w:rFonts w:ascii="Arial" w:hAnsi="Arial" w:cs="Arial"/>
                <w:b/>
                <w:sz w:val="20"/>
                <w:szCs w:val="20"/>
              </w:rPr>
            </w:pPr>
            <w:r w:rsidRPr="0023614D">
              <w:rPr>
                <w:rFonts w:ascii="Arial" w:hAnsi="Arial" w:cs="Arial"/>
                <w:b/>
                <w:sz w:val="20"/>
                <w:szCs w:val="20"/>
              </w:rPr>
              <w:t xml:space="preserve">  439.1</w:t>
            </w:r>
          </w:p>
        </w:tc>
        <w:tc>
          <w:tcPr>
            <w:tcW w:w="682" w:type="dxa"/>
            <w:tcBorders>
              <w:bottom w:val="single" w:sz="4" w:space="0" w:color="auto"/>
            </w:tcBorders>
            <w:shd w:val="clear" w:color="auto" w:fill="auto"/>
            <w:vAlign w:val="bottom"/>
          </w:tcPr>
          <w:p w:rsidR="008A63E4" w:rsidRPr="0023614D" w:rsidRDefault="008A63E4" w:rsidP="0023614D">
            <w:pPr>
              <w:spacing w:afterLines="10" w:after="24" w:line="220" w:lineRule="atLeast"/>
              <w:ind w:left="6" w:right="51"/>
              <w:jc w:val="right"/>
              <w:rPr>
                <w:rFonts w:ascii="Arial" w:hAnsi="Arial" w:cs="Arial"/>
                <w:b/>
                <w:sz w:val="20"/>
                <w:szCs w:val="20"/>
              </w:rPr>
            </w:pPr>
            <w:r w:rsidRPr="0023614D">
              <w:rPr>
                <w:rFonts w:ascii="Arial" w:hAnsi="Arial" w:cs="Arial"/>
                <w:b/>
                <w:sz w:val="20"/>
                <w:szCs w:val="20"/>
              </w:rPr>
              <w:t xml:space="preserve">  864.6</w:t>
            </w:r>
          </w:p>
        </w:tc>
        <w:tc>
          <w:tcPr>
            <w:tcW w:w="682" w:type="dxa"/>
            <w:tcBorders>
              <w:bottom w:val="single" w:sz="4" w:space="0" w:color="auto"/>
            </w:tcBorders>
            <w:shd w:val="clear" w:color="auto" w:fill="auto"/>
            <w:vAlign w:val="bottom"/>
          </w:tcPr>
          <w:p w:rsidR="008A63E4" w:rsidRPr="0023614D" w:rsidRDefault="008A63E4" w:rsidP="0023614D">
            <w:pPr>
              <w:spacing w:afterLines="10" w:after="24" w:line="220" w:lineRule="atLeast"/>
              <w:ind w:left="6" w:right="51"/>
              <w:jc w:val="right"/>
              <w:rPr>
                <w:rFonts w:ascii="Arial" w:hAnsi="Arial" w:cs="Arial"/>
                <w:b/>
                <w:sz w:val="20"/>
                <w:szCs w:val="20"/>
              </w:rPr>
            </w:pPr>
            <w:r w:rsidRPr="0023614D">
              <w:rPr>
                <w:rFonts w:ascii="Arial" w:hAnsi="Arial" w:cs="Arial"/>
                <w:b/>
                <w:sz w:val="20"/>
                <w:szCs w:val="20"/>
              </w:rPr>
              <w:t xml:space="preserve">  555.5</w:t>
            </w:r>
          </w:p>
        </w:tc>
        <w:tc>
          <w:tcPr>
            <w:tcW w:w="135" w:type="dxa"/>
            <w:tcBorders>
              <w:bottom w:val="single" w:sz="4" w:space="0" w:color="auto"/>
            </w:tcBorders>
            <w:shd w:val="clear" w:color="auto" w:fill="auto"/>
            <w:vAlign w:val="bottom"/>
          </w:tcPr>
          <w:p w:rsidR="008A63E4" w:rsidRPr="00F72A36" w:rsidRDefault="008A63E4" w:rsidP="002B3A09">
            <w:pPr>
              <w:pStyle w:val="TableBodyText"/>
              <w:spacing w:after="20"/>
              <w:rPr>
                <w:rFonts w:cs="Arial"/>
                <w:b/>
                <w:shd w:val="clear" w:color="auto" w:fill="FBD4B4" w:themeFill="accent6" w:themeFillTint="66"/>
              </w:rPr>
            </w:pPr>
          </w:p>
        </w:tc>
        <w:tc>
          <w:tcPr>
            <w:tcW w:w="524" w:type="dxa"/>
            <w:tcBorders>
              <w:bottom w:val="single" w:sz="4" w:space="0" w:color="auto"/>
            </w:tcBorders>
            <w:shd w:val="clear" w:color="auto" w:fill="auto"/>
            <w:vAlign w:val="bottom"/>
          </w:tcPr>
          <w:p w:rsidR="008A63E4" w:rsidRPr="008A63E4" w:rsidRDefault="008A63E4" w:rsidP="008A63E4">
            <w:pPr>
              <w:spacing w:afterLines="10" w:after="24" w:line="220" w:lineRule="atLeast"/>
              <w:ind w:left="6" w:right="51"/>
              <w:jc w:val="right"/>
              <w:rPr>
                <w:rFonts w:ascii="Arial" w:hAnsi="Arial" w:cs="Arial"/>
                <w:b/>
                <w:sz w:val="20"/>
                <w:szCs w:val="20"/>
              </w:rPr>
            </w:pPr>
            <w:r w:rsidRPr="008A63E4">
              <w:rPr>
                <w:rFonts w:ascii="Arial" w:hAnsi="Arial" w:cs="Arial"/>
                <w:b/>
                <w:sz w:val="20"/>
                <w:szCs w:val="20"/>
              </w:rPr>
              <w:t xml:space="preserve">  1.7</w:t>
            </w:r>
          </w:p>
        </w:tc>
        <w:tc>
          <w:tcPr>
            <w:tcW w:w="526" w:type="dxa"/>
            <w:tcBorders>
              <w:bottom w:val="single" w:sz="4" w:space="0" w:color="auto"/>
            </w:tcBorders>
            <w:shd w:val="clear" w:color="auto" w:fill="auto"/>
            <w:vAlign w:val="bottom"/>
          </w:tcPr>
          <w:p w:rsidR="008A63E4" w:rsidRPr="008A63E4" w:rsidRDefault="008A63E4" w:rsidP="008A63E4">
            <w:pPr>
              <w:spacing w:afterLines="10" w:after="24" w:line="220" w:lineRule="atLeast"/>
              <w:ind w:left="6" w:right="51"/>
              <w:jc w:val="right"/>
              <w:rPr>
                <w:rFonts w:ascii="Arial" w:hAnsi="Arial" w:cs="Arial"/>
                <w:b/>
                <w:sz w:val="20"/>
                <w:szCs w:val="20"/>
              </w:rPr>
            </w:pPr>
            <w:r w:rsidRPr="008A63E4">
              <w:rPr>
                <w:rFonts w:ascii="Arial" w:hAnsi="Arial" w:cs="Arial"/>
                <w:b/>
                <w:sz w:val="20"/>
                <w:szCs w:val="20"/>
              </w:rPr>
              <w:t xml:space="preserve">  1.8</w:t>
            </w:r>
          </w:p>
        </w:tc>
        <w:tc>
          <w:tcPr>
            <w:tcW w:w="524" w:type="dxa"/>
            <w:tcBorders>
              <w:bottom w:val="single" w:sz="4" w:space="0" w:color="auto"/>
            </w:tcBorders>
            <w:shd w:val="clear" w:color="auto" w:fill="auto"/>
            <w:vAlign w:val="bottom"/>
          </w:tcPr>
          <w:p w:rsidR="008A63E4" w:rsidRPr="008A63E4" w:rsidRDefault="008A63E4" w:rsidP="008A63E4">
            <w:pPr>
              <w:spacing w:afterLines="10" w:after="24" w:line="220" w:lineRule="atLeast"/>
              <w:ind w:left="6" w:right="51"/>
              <w:jc w:val="right"/>
              <w:rPr>
                <w:rFonts w:ascii="Arial" w:hAnsi="Arial" w:cs="Arial"/>
                <w:b/>
                <w:sz w:val="20"/>
                <w:szCs w:val="20"/>
              </w:rPr>
            </w:pPr>
            <w:r w:rsidRPr="008A63E4">
              <w:rPr>
                <w:rFonts w:ascii="Arial" w:hAnsi="Arial" w:cs="Arial"/>
                <w:b/>
                <w:sz w:val="20"/>
                <w:szCs w:val="20"/>
              </w:rPr>
              <w:t xml:space="preserve">  2.5</w:t>
            </w:r>
          </w:p>
        </w:tc>
        <w:tc>
          <w:tcPr>
            <w:tcW w:w="524" w:type="dxa"/>
            <w:tcBorders>
              <w:bottom w:val="single" w:sz="4" w:space="0" w:color="auto"/>
            </w:tcBorders>
            <w:shd w:val="clear" w:color="auto" w:fill="auto"/>
            <w:vAlign w:val="bottom"/>
          </w:tcPr>
          <w:p w:rsidR="008A63E4" w:rsidRPr="008A63E4" w:rsidRDefault="008A63E4" w:rsidP="008A63E4">
            <w:pPr>
              <w:spacing w:afterLines="10" w:after="24" w:line="220" w:lineRule="atLeast"/>
              <w:ind w:left="6" w:right="51"/>
              <w:jc w:val="right"/>
              <w:rPr>
                <w:rFonts w:ascii="Arial" w:hAnsi="Arial" w:cs="Arial"/>
                <w:b/>
                <w:sz w:val="20"/>
                <w:szCs w:val="20"/>
              </w:rPr>
            </w:pPr>
            <w:r w:rsidRPr="008A63E4">
              <w:rPr>
                <w:rFonts w:ascii="Arial" w:hAnsi="Arial" w:cs="Arial"/>
                <w:b/>
                <w:sz w:val="20"/>
                <w:szCs w:val="20"/>
              </w:rPr>
              <w:t xml:space="preserve">  1.7</w:t>
            </w:r>
          </w:p>
        </w:tc>
        <w:tc>
          <w:tcPr>
            <w:tcW w:w="505" w:type="dxa"/>
            <w:tcBorders>
              <w:bottom w:val="single" w:sz="4" w:space="0" w:color="auto"/>
            </w:tcBorders>
            <w:shd w:val="clear" w:color="auto" w:fill="auto"/>
            <w:vAlign w:val="bottom"/>
          </w:tcPr>
          <w:p w:rsidR="008A63E4" w:rsidRPr="008A63E4" w:rsidRDefault="008A63E4" w:rsidP="008A63E4">
            <w:pPr>
              <w:spacing w:afterLines="10" w:after="24" w:line="220" w:lineRule="atLeast"/>
              <w:ind w:left="6" w:right="51"/>
              <w:jc w:val="right"/>
              <w:rPr>
                <w:rFonts w:ascii="Arial" w:hAnsi="Arial" w:cs="Arial"/>
                <w:b/>
                <w:sz w:val="20"/>
                <w:szCs w:val="20"/>
              </w:rPr>
            </w:pPr>
            <w:r w:rsidRPr="008A63E4">
              <w:rPr>
                <w:rFonts w:ascii="Arial" w:hAnsi="Arial" w:cs="Arial"/>
                <w:b/>
                <w:sz w:val="20"/>
                <w:szCs w:val="20"/>
              </w:rPr>
              <w:t xml:space="preserve">  2.4</w:t>
            </w:r>
          </w:p>
        </w:tc>
        <w:tc>
          <w:tcPr>
            <w:tcW w:w="542" w:type="dxa"/>
            <w:tcBorders>
              <w:bottom w:val="single" w:sz="4" w:space="0" w:color="auto"/>
            </w:tcBorders>
            <w:shd w:val="clear" w:color="auto" w:fill="auto"/>
            <w:vAlign w:val="bottom"/>
          </w:tcPr>
          <w:p w:rsidR="008A63E4" w:rsidRPr="008A63E4" w:rsidRDefault="008A63E4" w:rsidP="008A63E4">
            <w:pPr>
              <w:spacing w:afterLines="10" w:after="24" w:line="220" w:lineRule="atLeast"/>
              <w:ind w:left="6" w:right="51"/>
              <w:jc w:val="right"/>
              <w:rPr>
                <w:rFonts w:ascii="Arial" w:hAnsi="Arial" w:cs="Arial"/>
                <w:b/>
                <w:sz w:val="20"/>
                <w:szCs w:val="20"/>
              </w:rPr>
            </w:pPr>
            <w:r w:rsidRPr="008A63E4">
              <w:rPr>
                <w:rFonts w:ascii="Arial" w:hAnsi="Arial" w:cs="Arial"/>
                <w:b/>
                <w:sz w:val="20"/>
                <w:szCs w:val="20"/>
              </w:rPr>
              <w:t xml:space="preserve">  1.9</w:t>
            </w:r>
          </w:p>
        </w:tc>
      </w:tr>
    </w:tbl>
    <w:p w:rsidR="00E06E35" w:rsidRPr="00906E67" w:rsidRDefault="00E06E35" w:rsidP="00686BAE">
      <w:pPr>
        <w:pStyle w:val="Note"/>
      </w:pPr>
      <w:proofErr w:type="spellStart"/>
      <w:r w:rsidRPr="00906E67">
        <w:rPr>
          <w:rStyle w:val="NoteLabel"/>
        </w:rPr>
        <w:t>a</w:t>
      </w:r>
      <w:proofErr w:type="spellEnd"/>
      <w:r w:rsidRPr="00906E67">
        <w:sym w:font="Symbol" w:char="F020"/>
      </w:r>
      <w:r w:rsidR="000D3D33" w:rsidRPr="000D3D33">
        <w:t xml:space="preserve"> All causes of death data from 2006 onward are subject to a revisions process - once data for a reference year are 'final', they are no longer revised. Affected data in this table are: 2006 (final) 2007 (final), 2008 (final), 2009 (revised), 2010 (preliminary). See Cause of Death, Australia, 201</w:t>
      </w:r>
      <w:r w:rsidR="00647935">
        <w:t>0</w:t>
      </w:r>
      <w:r w:rsidR="000D3D33" w:rsidRPr="000D3D33">
        <w:t xml:space="preserve"> (cat. no. 3303.0) Explanatory Notes 35-39 and Technical Notes, Causes of Death Revisions, 2006 and Causes of Death Revisions, 2008 and 2009.</w:t>
      </w:r>
      <w:r w:rsidR="00F62A4C" w:rsidRPr="00F62A4C">
        <w:t xml:space="preserve"> </w:t>
      </w:r>
      <w:r w:rsidR="000D3D33">
        <w:rPr>
          <w:rStyle w:val="NoteLabel"/>
        </w:rPr>
        <w:t>b</w:t>
      </w:r>
      <w:r w:rsidR="006C5723">
        <w:t xml:space="preserve"> </w:t>
      </w:r>
      <w:r w:rsidR="000D3D33" w:rsidRPr="00C37BEB">
        <w:t>Age standardised death rates enable the comparison of death rates between populations with different age structures by relating them to a standard population. The current ABS standard population is all persons in the Australian population at 30 June 2001. Standardised death rates (</w:t>
      </w:r>
      <w:proofErr w:type="spellStart"/>
      <w:r w:rsidR="000D3D33" w:rsidRPr="00C37BEB">
        <w:t>SDRs</w:t>
      </w:r>
      <w:proofErr w:type="spellEnd"/>
      <w:r w:rsidR="000D3D33" w:rsidRPr="00C37BEB">
        <w:t>) are expressed per 100</w:t>
      </w:r>
      <w:r w:rsidR="00C37BEB">
        <w:t xml:space="preserve"> </w:t>
      </w:r>
      <w:r w:rsidR="000D3D33" w:rsidRPr="00C37BEB">
        <w:t xml:space="preserve">000 persons. </w:t>
      </w:r>
      <w:proofErr w:type="spellStart"/>
      <w:r w:rsidR="000D3D33" w:rsidRPr="00C37BEB">
        <w:t>SDRs</w:t>
      </w:r>
      <w:proofErr w:type="spellEnd"/>
      <w:r w:rsidR="000D3D33" w:rsidRPr="00C37BEB">
        <w:t xml:space="preserve"> in this table have been calculated using the direct method, age standardised by 5 year age group to </w:t>
      </w:r>
      <w:r w:rsidR="00C37BEB" w:rsidRPr="00C37BEB">
        <w:t>7</w:t>
      </w:r>
      <w:r w:rsidR="000D3D33" w:rsidRPr="00C37BEB">
        <w:t>5 years and over. Rates calculated using the direct method are not comparable to rates calculated using the indirect method.</w:t>
      </w:r>
      <w:r w:rsidR="00647935">
        <w:t xml:space="preserve"> </w:t>
      </w:r>
      <w:r w:rsidR="00647935">
        <w:rPr>
          <w:rStyle w:val="NoteLabel"/>
        </w:rPr>
        <w:t>c</w:t>
      </w:r>
      <w:r w:rsidR="00647935" w:rsidRPr="00906E67">
        <w:sym w:font="Symbol" w:char="F020"/>
      </w:r>
      <w:r w:rsidR="00647935" w:rsidRPr="00647935">
        <w:t>Data are reported by jurisdiction of residence for NSW, Queensland, WA, SA and the NT only. Only these five states and territories have evidence of a sufficient level of Indigenous identification and sufficient numbers of Indigenous deaths to support mortality analysis.</w:t>
      </w:r>
      <w:r w:rsidR="00E54C19">
        <w:t xml:space="preserve"> </w:t>
      </w:r>
      <w:r w:rsidR="00647935">
        <w:rPr>
          <w:rStyle w:val="NoteLabel"/>
        </w:rPr>
        <w:t>d</w:t>
      </w:r>
      <w:r w:rsidR="00E54C19" w:rsidRPr="00906E67">
        <w:sym w:font="Symbol" w:char="F020"/>
      </w:r>
      <w:r w:rsidR="00E54C19" w:rsidRPr="00F0143F">
        <w:t xml:space="preserve">Endocrine, metabolic </w:t>
      </w:r>
      <w:r w:rsidR="00E54C19">
        <w:t>and</w:t>
      </w:r>
      <w:r w:rsidR="00E54C19" w:rsidRPr="00F0143F">
        <w:t xml:space="preserve"> nutritional disorders</w:t>
      </w:r>
      <w:r w:rsidR="00647935">
        <w:t xml:space="preserve">. </w:t>
      </w:r>
      <w:proofErr w:type="spellStart"/>
      <w:r w:rsidRPr="00DB014B">
        <w:rPr>
          <w:b/>
        </w:rPr>
        <w:t>np</w:t>
      </w:r>
      <w:proofErr w:type="spellEnd"/>
      <w:r>
        <w:t xml:space="preserve"> not published</w:t>
      </w:r>
    </w:p>
    <w:p w:rsidR="00E06E35" w:rsidRDefault="00E06E35" w:rsidP="00686BAE">
      <w:pPr>
        <w:pStyle w:val="Source"/>
      </w:pPr>
      <w:r w:rsidRPr="00906E67">
        <w:rPr>
          <w:i/>
        </w:rPr>
        <w:t>Source</w:t>
      </w:r>
      <w:r w:rsidRPr="00906E67">
        <w:t xml:space="preserve">: ABS (unpublished) </w:t>
      </w:r>
      <w:r w:rsidRPr="00906E67">
        <w:rPr>
          <w:i/>
        </w:rPr>
        <w:t>Causes of Death Australia, </w:t>
      </w:r>
      <w:r w:rsidRPr="00103CBB">
        <w:rPr>
          <w:i/>
        </w:rPr>
        <w:t>20</w:t>
      </w:r>
      <w:r w:rsidR="00C0789F" w:rsidRPr="00103CBB">
        <w:rPr>
          <w:i/>
        </w:rPr>
        <w:t>1</w:t>
      </w:r>
      <w:r w:rsidR="00A91D6E" w:rsidRPr="00103CBB">
        <w:rPr>
          <w:i/>
        </w:rPr>
        <w:t>1</w:t>
      </w:r>
      <w:r w:rsidR="002A323B">
        <w:rPr>
          <w:i/>
        </w:rPr>
        <w:t xml:space="preserve"> </w:t>
      </w:r>
      <w:r w:rsidR="00A91D6E">
        <w:t>Cat. n</w:t>
      </w:r>
      <w:r w:rsidRPr="00906E67">
        <w:t>o. 3301.0; table </w:t>
      </w:r>
      <w:proofErr w:type="spellStart"/>
      <w:r w:rsidRPr="00906E67">
        <w:t>EA.</w:t>
      </w:r>
      <w:r w:rsidR="00827895">
        <w:t>4</w:t>
      </w:r>
      <w:r w:rsidR="00874D8B">
        <w:t>6</w:t>
      </w:r>
      <w:proofErr w:type="spellEnd"/>
      <w:r w:rsidRPr="00906E67">
        <w:t>.</w:t>
      </w:r>
    </w:p>
    <w:p w:rsidR="00585A66" w:rsidRPr="00585A66" w:rsidRDefault="00585A66" w:rsidP="00585A66">
      <w:pPr>
        <w:pStyle w:val="Heading4"/>
      </w:pPr>
      <w:r w:rsidRPr="00585A66">
        <w:t xml:space="preserve">Profile of employed health </w:t>
      </w:r>
      <w:r w:rsidR="00E16D47">
        <w:t>workforce</w:t>
      </w:r>
    </w:p>
    <w:p w:rsidR="00380008" w:rsidRPr="009607E2" w:rsidRDefault="00380008" w:rsidP="00380008">
      <w:pPr>
        <w:pStyle w:val="BodyText"/>
      </w:pPr>
      <w:r>
        <w:t xml:space="preserve">‘Profile of employed health </w:t>
      </w:r>
      <w:r w:rsidR="00E16D47">
        <w:t>workforce</w:t>
      </w:r>
      <w:r>
        <w:t>’ is an indicator of governments’ objective that Australians have a sustainable health system (box</w:t>
      </w:r>
      <w:r w:rsidR="00103CBB">
        <w:t xml:space="preserve"> </w:t>
      </w:r>
      <w:proofErr w:type="spellStart"/>
      <w:r w:rsidR="00103CBB">
        <w:t>E.</w:t>
      </w:r>
      <w:r w:rsidR="008015EB">
        <w:t>7</w:t>
      </w:r>
      <w:proofErr w:type="spellEnd"/>
      <w:r>
        <w:t>).</w:t>
      </w:r>
    </w:p>
    <w:p w:rsidR="00380008" w:rsidRDefault="00380008" w:rsidP="0038000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80008" w:rsidTr="00EC297B">
        <w:tc>
          <w:tcPr>
            <w:tcW w:w="8771" w:type="dxa"/>
            <w:tcBorders>
              <w:top w:val="single" w:sz="6" w:space="0" w:color="auto"/>
              <w:bottom w:val="nil"/>
            </w:tcBorders>
          </w:tcPr>
          <w:p w:rsidR="00380008" w:rsidRDefault="00380008" w:rsidP="00D76EFE">
            <w:pPr>
              <w:pStyle w:val="BoxTitle"/>
            </w:pPr>
            <w:r>
              <w:rPr>
                <w:b w:val="0"/>
              </w:rPr>
              <w:t xml:space="preserve">Box </w:t>
            </w:r>
            <w:bookmarkStart w:id="36" w:name="OLE_LINK39"/>
            <w:proofErr w:type="spellStart"/>
            <w:r w:rsidR="00F156AA">
              <w:rPr>
                <w:b w:val="0"/>
              </w:rPr>
              <w:t>E.</w:t>
            </w:r>
            <w:bookmarkEnd w:id="36"/>
            <w:r w:rsidR="00D76EFE">
              <w:rPr>
                <w:b w:val="0"/>
              </w:rPr>
              <w:t>7</w:t>
            </w:r>
            <w:proofErr w:type="spellEnd"/>
            <w:r>
              <w:tab/>
            </w:r>
            <w:r w:rsidR="00E16D47" w:rsidRPr="00585A66">
              <w:t xml:space="preserve">Profile of employed health </w:t>
            </w:r>
            <w:r w:rsidR="00E16D47">
              <w:t>workforce</w:t>
            </w:r>
          </w:p>
        </w:tc>
      </w:tr>
      <w:tr w:rsidR="00380008" w:rsidTr="00EC297B">
        <w:trPr>
          <w:cantSplit/>
        </w:trPr>
        <w:tc>
          <w:tcPr>
            <w:tcW w:w="8771" w:type="dxa"/>
            <w:tcBorders>
              <w:top w:val="nil"/>
              <w:left w:val="single" w:sz="6" w:space="0" w:color="auto"/>
              <w:bottom w:val="nil"/>
              <w:right w:val="single" w:sz="4" w:space="0" w:color="auto"/>
            </w:tcBorders>
          </w:tcPr>
          <w:p w:rsidR="00380008" w:rsidRDefault="00380008" w:rsidP="0077420C">
            <w:pPr>
              <w:pStyle w:val="Box"/>
            </w:pPr>
            <w:r>
              <w:t xml:space="preserve">‘Profile of employed health </w:t>
            </w:r>
            <w:r w:rsidR="00E16D47">
              <w:t>workforce’</w:t>
            </w:r>
            <w:r>
              <w:t xml:space="preserve"> is defined by </w:t>
            </w:r>
            <w:r w:rsidR="00E16D47">
              <w:t xml:space="preserve">three </w:t>
            </w:r>
            <w:r>
              <w:t>measures:</w:t>
            </w:r>
          </w:p>
          <w:p w:rsidR="00380008" w:rsidRDefault="00E16D47" w:rsidP="00380008">
            <w:pPr>
              <w:pStyle w:val="BoxListBullet"/>
            </w:pPr>
            <w:r>
              <w:t xml:space="preserve">the full time equivalent employed health workforce </w:t>
            </w:r>
            <w:r w:rsidR="00380008">
              <w:t>divided by the p</w:t>
            </w:r>
            <w:r w:rsidR="00380008" w:rsidRPr="00CA6070">
              <w:t>opulation</w:t>
            </w:r>
          </w:p>
          <w:p w:rsidR="00E16D47" w:rsidRDefault="00E16D47" w:rsidP="00380008">
            <w:pPr>
              <w:pStyle w:val="BoxListBullet"/>
            </w:pPr>
            <w:r>
              <w:t>the proportion of the full time equivalent employed health workforce under the age of 45</w:t>
            </w:r>
            <w:r w:rsidR="00FE595E">
              <w:t xml:space="preserve"> years</w:t>
            </w:r>
          </w:p>
          <w:p w:rsidR="00380008" w:rsidRDefault="00380008" w:rsidP="00380008">
            <w:pPr>
              <w:pStyle w:val="BoxListBullet"/>
            </w:pPr>
            <w:r>
              <w:t>the n</w:t>
            </w:r>
            <w:r w:rsidR="00E16D47">
              <w:t xml:space="preserve">et growth in the </w:t>
            </w:r>
            <w:r>
              <w:t xml:space="preserve">full time equivalent employed health </w:t>
            </w:r>
            <w:r w:rsidR="00E16D47">
              <w:t>workforce.</w:t>
            </w:r>
          </w:p>
          <w:p w:rsidR="00380008" w:rsidRDefault="00E16D47" w:rsidP="0077420C">
            <w:pPr>
              <w:pStyle w:val="Box"/>
            </w:pPr>
            <w:r>
              <w:t xml:space="preserve">High or increasing rates in the health workforce measures </w:t>
            </w:r>
            <w:r w:rsidR="00380008" w:rsidRPr="00380008">
              <w:t>can give an indication of the sustainability of the health system and its ability to respond and adapt to future needs.</w:t>
            </w:r>
          </w:p>
          <w:p w:rsidR="00E14D72" w:rsidRDefault="00380008" w:rsidP="0077420C">
            <w:pPr>
              <w:pStyle w:val="Box"/>
            </w:pPr>
            <w:r>
              <w:t>Data reported for this indicator are</w:t>
            </w:r>
            <w:r w:rsidR="00E14D72">
              <w:t>:</w:t>
            </w:r>
          </w:p>
          <w:p w:rsidR="00E14D72" w:rsidRDefault="00380008" w:rsidP="00325F92">
            <w:pPr>
              <w:pStyle w:val="BoxListBullet"/>
            </w:pPr>
            <w:r>
              <w:t>comparable</w:t>
            </w:r>
            <w:r w:rsidR="00E14D72">
              <w:t xml:space="preserve"> </w:t>
            </w:r>
            <w:r w:rsidR="00E14D72" w:rsidRPr="00E14D72">
              <w:t>(subject to caveats) across jurisdictions and over time</w:t>
            </w:r>
          </w:p>
          <w:p w:rsidR="00380008" w:rsidRDefault="00E14D72" w:rsidP="00E14D72">
            <w:pPr>
              <w:pStyle w:val="BoxListBullet"/>
            </w:pPr>
            <w:r w:rsidRPr="00E14D72">
              <w:t xml:space="preserve">complete (subject to caveats) for the current reporting period. All required </w:t>
            </w:r>
            <w:r>
              <w:t>2012</w:t>
            </w:r>
            <w:r w:rsidRPr="00E14D72">
              <w:t xml:space="preserve"> data are available for all jurisdictions</w:t>
            </w:r>
            <w:r w:rsidR="00380008">
              <w:t xml:space="preserve">. </w:t>
            </w:r>
          </w:p>
          <w:p w:rsidR="00380008" w:rsidRPr="00C85ED2" w:rsidRDefault="00C85ED2" w:rsidP="009C0C25">
            <w:pPr>
              <w:spacing w:before="120" w:line="320" w:lineRule="atLeast"/>
              <w:jc w:val="both"/>
              <w:rPr>
                <w:color w:val="0000FF" w:themeColor="hyperlink"/>
                <w:u w:val="single"/>
              </w:rPr>
            </w:pPr>
            <w:r w:rsidRPr="009C0C25">
              <w:rPr>
                <w:rFonts w:ascii="Arial" w:hAnsi="Arial"/>
                <w:sz w:val="22"/>
                <w:szCs w:val="20"/>
              </w:rPr>
              <w:t xml:space="preserve">Information about data quality for this indicator/measure is at </w:t>
            </w:r>
            <w:proofErr w:type="spellStart"/>
            <w:r w:rsidRPr="009C0C25">
              <w:rPr>
                <w:rFonts w:ascii="Arial" w:hAnsi="Arial"/>
                <w:sz w:val="22"/>
                <w:szCs w:val="20"/>
              </w:rPr>
              <w:t>www.pc.gov.au</w:t>
            </w:r>
            <w:proofErr w:type="spellEnd"/>
            <w:r w:rsidRPr="009C0C25">
              <w:rPr>
                <w:rFonts w:ascii="Arial" w:hAnsi="Arial"/>
                <w:sz w:val="22"/>
                <w:szCs w:val="20"/>
              </w:rPr>
              <w:t>/</w:t>
            </w:r>
            <w:proofErr w:type="spellStart"/>
            <w:r w:rsidRPr="009C0C25">
              <w:rPr>
                <w:rFonts w:ascii="Arial" w:hAnsi="Arial"/>
                <w:sz w:val="22"/>
                <w:szCs w:val="20"/>
              </w:rPr>
              <w:t>gsp</w:t>
            </w:r>
            <w:proofErr w:type="spellEnd"/>
            <w:r w:rsidRPr="009C0C25">
              <w:rPr>
                <w:rFonts w:ascii="Arial" w:hAnsi="Arial"/>
                <w:sz w:val="22"/>
                <w:szCs w:val="20"/>
              </w:rPr>
              <w:t>/reports/</w:t>
            </w:r>
            <w:proofErr w:type="spellStart"/>
            <w:r w:rsidRPr="009C0C25">
              <w:rPr>
                <w:rFonts w:ascii="Arial" w:hAnsi="Arial"/>
                <w:sz w:val="22"/>
                <w:szCs w:val="20"/>
              </w:rPr>
              <w:t>rogs</w:t>
            </w:r>
            <w:proofErr w:type="spellEnd"/>
            <w:r w:rsidRPr="009C0C25">
              <w:rPr>
                <w:rFonts w:ascii="Arial" w:hAnsi="Arial"/>
                <w:sz w:val="22"/>
                <w:szCs w:val="20"/>
              </w:rPr>
              <w:t>/201</w:t>
            </w:r>
            <w:r w:rsidR="009C0C25" w:rsidRPr="009C0C25">
              <w:rPr>
                <w:rFonts w:ascii="Arial" w:hAnsi="Arial"/>
                <w:sz w:val="22"/>
                <w:szCs w:val="20"/>
              </w:rPr>
              <w:t>4</w:t>
            </w:r>
            <w:r w:rsidRPr="009C0C25">
              <w:rPr>
                <w:rFonts w:ascii="Arial" w:hAnsi="Arial"/>
                <w:sz w:val="22"/>
                <w:szCs w:val="20"/>
              </w:rPr>
              <w:t>.</w:t>
            </w:r>
          </w:p>
        </w:tc>
      </w:tr>
      <w:tr w:rsidR="00380008" w:rsidTr="0077420C">
        <w:trPr>
          <w:cantSplit/>
        </w:trPr>
        <w:tc>
          <w:tcPr>
            <w:tcW w:w="8771" w:type="dxa"/>
            <w:tcBorders>
              <w:top w:val="nil"/>
              <w:left w:val="single" w:sz="6" w:space="0" w:color="auto"/>
              <w:bottom w:val="single" w:sz="6" w:space="0" w:color="auto"/>
              <w:right w:val="single" w:sz="6" w:space="0" w:color="auto"/>
            </w:tcBorders>
          </w:tcPr>
          <w:p w:rsidR="00380008" w:rsidRDefault="00380008" w:rsidP="0077420C">
            <w:pPr>
              <w:pStyle w:val="Box"/>
              <w:spacing w:before="0" w:line="120" w:lineRule="exact"/>
            </w:pPr>
          </w:p>
        </w:tc>
      </w:tr>
      <w:tr w:rsidR="00380008" w:rsidTr="0077420C">
        <w:tc>
          <w:tcPr>
            <w:tcW w:w="8771" w:type="dxa"/>
            <w:tcBorders>
              <w:top w:val="nil"/>
              <w:left w:val="nil"/>
              <w:bottom w:val="nil"/>
              <w:right w:val="nil"/>
            </w:tcBorders>
          </w:tcPr>
          <w:p w:rsidR="00380008" w:rsidRDefault="00380008" w:rsidP="0077420C">
            <w:pPr>
              <w:pStyle w:val="Box"/>
              <w:keepNext w:val="0"/>
              <w:spacing w:before="60" w:after="60" w:line="80" w:lineRule="exact"/>
              <w:rPr>
                <w:b/>
                <w:color w:val="FF00FF"/>
                <w:sz w:val="14"/>
              </w:rPr>
            </w:pPr>
          </w:p>
        </w:tc>
      </w:tr>
    </w:tbl>
    <w:p w:rsidR="0059337B" w:rsidRPr="006F007C" w:rsidRDefault="0059337B" w:rsidP="00E90284">
      <w:pPr>
        <w:pStyle w:val="BodyText"/>
      </w:pPr>
      <w:r w:rsidRPr="00E90284">
        <w:t>In 201</w:t>
      </w:r>
      <w:r w:rsidR="00897D15" w:rsidRPr="00E90284">
        <w:t>2</w:t>
      </w:r>
      <w:r w:rsidRPr="00E90284">
        <w:t xml:space="preserve">, </w:t>
      </w:r>
      <w:r w:rsidRPr="00EF3628">
        <w:t xml:space="preserve">the majority of employed medical practitioners (commonly referred to as doctors) that were employed in </w:t>
      </w:r>
      <w:r w:rsidRPr="00E90284">
        <w:t>medicine were clinicians (</w:t>
      </w:r>
      <w:r w:rsidR="00897D15" w:rsidRPr="00E90284">
        <w:t>94.5</w:t>
      </w:r>
      <w:r w:rsidRPr="00E90284">
        <w:t xml:space="preserve"> per cent), of whom </w:t>
      </w:r>
      <w:r w:rsidR="00B2730C" w:rsidRPr="00E90284">
        <w:t>34.5</w:t>
      </w:r>
      <w:r w:rsidRPr="00E90284">
        <w:t> per </w:t>
      </w:r>
      <w:r w:rsidR="00CB7EF4" w:rsidRPr="00E90284">
        <w:t>cent were general practitioners</w:t>
      </w:r>
      <w:r w:rsidR="00B2730C" w:rsidRPr="00E90284">
        <w:t>, 35</w:t>
      </w:r>
      <w:r w:rsidRPr="00E90284">
        <w:t>.</w:t>
      </w:r>
      <w:r w:rsidR="00B2730C" w:rsidRPr="00E90284">
        <w:t xml:space="preserve">0 per cent </w:t>
      </w:r>
      <w:r w:rsidR="00F92238" w:rsidRPr="00E90284">
        <w:t xml:space="preserve">were </w:t>
      </w:r>
      <w:r w:rsidR="00B2730C" w:rsidRPr="00E90284">
        <w:t>specialists, 15</w:t>
      </w:r>
      <w:r w:rsidRPr="00E90284">
        <w:t>.</w:t>
      </w:r>
      <w:r w:rsidR="00B2730C" w:rsidRPr="00E90284">
        <w:t>3</w:t>
      </w:r>
      <w:r w:rsidRPr="00E90284">
        <w:t> per cent were specialists-in-training, 12.</w:t>
      </w:r>
      <w:r w:rsidR="00B2730C" w:rsidRPr="00E90284">
        <w:t>7</w:t>
      </w:r>
      <w:r w:rsidRPr="00E90284">
        <w:t xml:space="preserve"> per cent </w:t>
      </w:r>
      <w:r w:rsidR="00F92238" w:rsidRPr="00E90284">
        <w:t xml:space="preserve">were </w:t>
      </w:r>
      <w:r w:rsidRPr="00E90284">
        <w:t>hospital non-specialists and 2</w:t>
      </w:r>
      <w:r w:rsidR="00B2730C" w:rsidRPr="00E90284">
        <w:t>.5</w:t>
      </w:r>
      <w:r w:rsidRPr="00E90284">
        <w:t xml:space="preserve"> per cent </w:t>
      </w:r>
      <w:r w:rsidR="00F92238" w:rsidRPr="00E90284">
        <w:t xml:space="preserve">were </w:t>
      </w:r>
      <w:r w:rsidRPr="00E90284">
        <w:t>other clinicians. The proportion of women increased from 34.</w:t>
      </w:r>
      <w:r w:rsidR="000F0C1B" w:rsidRPr="00E90284">
        <w:t>9</w:t>
      </w:r>
      <w:r w:rsidRPr="00E90284">
        <w:t> per cent in 200</w:t>
      </w:r>
      <w:r w:rsidR="000F0C1B" w:rsidRPr="00E90284">
        <w:t>8</w:t>
      </w:r>
      <w:r w:rsidRPr="00E90284">
        <w:t xml:space="preserve"> to 37.</w:t>
      </w:r>
      <w:r w:rsidR="000F0C1B" w:rsidRPr="00E90284">
        <w:t>9</w:t>
      </w:r>
      <w:r w:rsidRPr="00E90284">
        <w:t> per cent in 201</w:t>
      </w:r>
      <w:r w:rsidR="000F0C1B" w:rsidRPr="00E90284">
        <w:t>2</w:t>
      </w:r>
      <w:r w:rsidRPr="00E90284">
        <w:t xml:space="preserve"> (</w:t>
      </w:r>
      <w:proofErr w:type="spellStart"/>
      <w:r w:rsidRPr="00E90284">
        <w:t>AIHW</w:t>
      </w:r>
      <w:proofErr w:type="spellEnd"/>
      <w:r w:rsidRPr="00E90284">
        <w:t xml:space="preserve"> 201</w:t>
      </w:r>
      <w:r w:rsidR="00C87590" w:rsidRPr="00E90284">
        <w:t>4</w:t>
      </w:r>
      <w:r w:rsidRPr="00E90284">
        <w:t>). T</w:t>
      </w:r>
      <w:r w:rsidRPr="006F007C">
        <w:t xml:space="preserve">he number of full time equivalent (FTE) practitioners per 100 000 people </w:t>
      </w:r>
      <w:r w:rsidR="00D57663" w:rsidRPr="006F007C">
        <w:t>by jurisdiction</w:t>
      </w:r>
      <w:r w:rsidRPr="006F007C">
        <w:t xml:space="preserve"> is illustrated in figure </w:t>
      </w:r>
      <w:proofErr w:type="spellStart"/>
      <w:r w:rsidR="00F156AA" w:rsidRPr="006F007C">
        <w:t>E.16</w:t>
      </w:r>
      <w:proofErr w:type="spellEnd"/>
      <w:r w:rsidRPr="006F007C">
        <w:t>.</w:t>
      </w:r>
    </w:p>
    <w:p w:rsidR="00D011FF" w:rsidRPr="00D011FF" w:rsidRDefault="0059337B" w:rsidP="00E90284">
      <w:pPr>
        <w:pStyle w:val="BodyText"/>
        <w:rPr>
          <w:rStyle w:val="DraftingNote"/>
        </w:rPr>
      </w:pPr>
      <w:r w:rsidRPr="00E90284">
        <w:t>In 201</w:t>
      </w:r>
      <w:r w:rsidR="00FC4466" w:rsidRPr="00E90284">
        <w:t>2</w:t>
      </w:r>
      <w:r w:rsidRPr="00E90284">
        <w:t xml:space="preserve">, </w:t>
      </w:r>
      <w:r w:rsidRPr="006F007C">
        <w:t xml:space="preserve">the number of nurses and midwives registered in </w:t>
      </w:r>
      <w:r w:rsidRPr="00E90284">
        <w:t xml:space="preserve">Australia was </w:t>
      </w:r>
      <w:r w:rsidR="00267A92" w:rsidRPr="00E90284">
        <w:t>334 078</w:t>
      </w:r>
      <w:r w:rsidR="004B7C96" w:rsidRPr="00E90284">
        <w:t xml:space="preserve">. In </w:t>
      </w:r>
      <w:r w:rsidR="004B7C96" w:rsidRPr="006F007C">
        <w:t xml:space="preserve">2012, </w:t>
      </w:r>
      <w:r w:rsidR="00BA2854" w:rsidRPr="006F007C">
        <w:t xml:space="preserve">the number of </w:t>
      </w:r>
      <w:r w:rsidR="004B7C96" w:rsidRPr="006F007C">
        <w:t>nurses and midwives registered and employed in Australia</w:t>
      </w:r>
      <w:r w:rsidR="00BA2854" w:rsidRPr="006F007C">
        <w:t xml:space="preserve"> was </w:t>
      </w:r>
      <w:r w:rsidR="00FC4466" w:rsidRPr="00E90284">
        <w:t>290 144</w:t>
      </w:r>
      <w:r w:rsidR="00BA2854" w:rsidRPr="00E90284">
        <w:t>, or 1</w:t>
      </w:r>
      <w:r w:rsidR="00FC4466" w:rsidRPr="00E90284">
        <w:t>279</w:t>
      </w:r>
      <w:r w:rsidR="00BA2854" w:rsidRPr="00E90284">
        <w:t xml:space="preserve"> per 100 000 population (table </w:t>
      </w:r>
      <w:proofErr w:type="spellStart"/>
      <w:r w:rsidR="00BA2854" w:rsidRPr="00E90284">
        <w:t>EA.4</w:t>
      </w:r>
      <w:r w:rsidR="005E0F4A" w:rsidRPr="00E90284">
        <w:t>8</w:t>
      </w:r>
      <w:proofErr w:type="spellEnd"/>
      <w:r w:rsidR="00BA2854" w:rsidRPr="00E90284">
        <w:t>)</w:t>
      </w:r>
      <w:r w:rsidR="004B7C96" w:rsidRPr="00E90284">
        <w:t xml:space="preserve">. </w:t>
      </w:r>
      <w:r w:rsidRPr="00E90284">
        <w:t>The majority of employed nurses and midwives were clinicians (</w:t>
      </w:r>
      <w:r w:rsidR="000C657F" w:rsidRPr="00E90284">
        <w:t>80.1</w:t>
      </w:r>
      <w:r w:rsidRPr="00E90284">
        <w:t xml:space="preserve"> per cent). The principal area of the main job of employed registered and enrolled nurses and midwives was aged care (</w:t>
      </w:r>
      <w:r w:rsidR="00A73A72" w:rsidRPr="00E90284">
        <w:t>1</w:t>
      </w:r>
      <w:r w:rsidR="00391506" w:rsidRPr="00E90284">
        <w:t>4</w:t>
      </w:r>
      <w:r w:rsidR="00A73A72" w:rsidRPr="00E90284">
        <w:t>.</w:t>
      </w:r>
      <w:r w:rsidR="00391506" w:rsidRPr="00E90284">
        <w:t>2</w:t>
      </w:r>
      <w:r w:rsidR="00A73A72" w:rsidRPr="00E90284">
        <w:t> </w:t>
      </w:r>
      <w:r w:rsidRPr="00E90284">
        <w:t xml:space="preserve">per cent) followed by </w:t>
      </w:r>
      <w:r w:rsidR="00A73A72" w:rsidRPr="00E90284">
        <w:t>medical (</w:t>
      </w:r>
      <w:r w:rsidR="00391506" w:rsidRPr="00E90284">
        <w:t>9.0</w:t>
      </w:r>
      <w:r w:rsidR="00A73A72" w:rsidRPr="00E90284">
        <w:t xml:space="preserve"> per cent) and surgical (</w:t>
      </w:r>
      <w:r w:rsidR="00391506" w:rsidRPr="00E90284">
        <w:t>8</w:t>
      </w:r>
      <w:r w:rsidR="00A73A72" w:rsidRPr="00E90284">
        <w:t xml:space="preserve">.0) roles. </w:t>
      </w:r>
      <w:r w:rsidRPr="00E90284">
        <w:t xml:space="preserve">The average age of employed nurses and midwives </w:t>
      </w:r>
      <w:r w:rsidR="008319A2" w:rsidRPr="00E90284">
        <w:t>changed little</w:t>
      </w:r>
      <w:r w:rsidRPr="00E90284">
        <w:t xml:space="preserve"> between 200</w:t>
      </w:r>
      <w:r w:rsidR="00D53C89" w:rsidRPr="00E90284">
        <w:t>8</w:t>
      </w:r>
      <w:r w:rsidRPr="00E90284">
        <w:t xml:space="preserve"> </w:t>
      </w:r>
      <w:r w:rsidR="008319A2" w:rsidRPr="00E90284">
        <w:t xml:space="preserve">(44.1 years) </w:t>
      </w:r>
      <w:r w:rsidRPr="00E90284">
        <w:t>and 201</w:t>
      </w:r>
      <w:r w:rsidR="008319A2" w:rsidRPr="00E90284">
        <w:t>2</w:t>
      </w:r>
      <w:r w:rsidRPr="00E90284">
        <w:t xml:space="preserve"> (</w:t>
      </w:r>
      <w:r w:rsidR="008319A2" w:rsidRPr="00E90284">
        <w:t>44.6</w:t>
      </w:r>
      <w:r w:rsidRPr="00E90284">
        <w:t xml:space="preserve"> years). The proportion of employed nurses and midwives aged 50 or older increased from </w:t>
      </w:r>
      <w:r w:rsidR="0004162C" w:rsidRPr="00E90284">
        <w:t>35.1</w:t>
      </w:r>
      <w:r w:rsidRPr="00E90284">
        <w:t xml:space="preserve"> per cent to </w:t>
      </w:r>
      <w:r w:rsidR="0004162C" w:rsidRPr="00E90284">
        <w:t>39.1</w:t>
      </w:r>
      <w:r w:rsidRPr="00E90284">
        <w:t> per cent over this period (</w:t>
      </w:r>
      <w:proofErr w:type="spellStart"/>
      <w:r w:rsidRPr="00E90284">
        <w:t>AIHW</w:t>
      </w:r>
      <w:proofErr w:type="spellEnd"/>
      <w:r w:rsidRPr="00E90284">
        <w:t xml:space="preserve"> </w:t>
      </w:r>
      <w:proofErr w:type="spellStart"/>
      <w:r w:rsidR="006536FC" w:rsidRPr="00E90284">
        <w:t>2013</w:t>
      </w:r>
      <w:r w:rsidR="00C87590" w:rsidRPr="00E90284">
        <w:t>e</w:t>
      </w:r>
      <w:proofErr w:type="spellEnd"/>
      <w:r w:rsidRPr="00E90284">
        <w:t>). The nu</w:t>
      </w:r>
      <w:r w:rsidRPr="006F007C">
        <w:t xml:space="preserve">mber of </w:t>
      </w:r>
      <w:r w:rsidRPr="0059337B">
        <w:t>FTE nurses and midwives per 100</w:t>
      </w:r>
      <w:r>
        <w:t> </w:t>
      </w:r>
      <w:r w:rsidRPr="0059337B">
        <w:t xml:space="preserve">000 people by jurisdiction is illustrated in figure </w:t>
      </w:r>
      <w:proofErr w:type="spellStart"/>
      <w:r w:rsidR="00F156AA">
        <w:t>E.17</w:t>
      </w:r>
      <w:proofErr w:type="spellEnd"/>
      <w:r w:rsidR="00FC48D0">
        <w:t>.</w:t>
      </w:r>
    </w:p>
    <w:p w:rsidR="00C739E2" w:rsidRPr="009949A7" w:rsidRDefault="00C739E2" w:rsidP="00E90284">
      <w:pPr>
        <w:pStyle w:val="FigureTitle"/>
        <w:rPr>
          <w:rStyle w:val="NoteLabel"/>
          <w:b/>
        </w:rPr>
      </w:pPr>
      <w:r w:rsidRPr="009949A7">
        <w:rPr>
          <w:b w:val="0"/>
        </w:rPr>
        <w:lastRenderedPageBreak/>
        <w:t xml:space="preserve">Figure </w:t>
      </w:r>
      <w:bookmarkStart w:id="37" w:name="OLE_LINK26"/>
      <w:proofErr w:type="spellStart"/>
      <w:r w:rsidR="00F156AA">
        <w:rPr>
          <w:b w:val="0"/>
        </w:rPr>
        <w:t>E.</w:t>
      </w:r>
      <w:r w:rsidR="00C01FBD">
        <w:rPr>
          <w:b w:val="0"/>
          <w:noProof/>
        </w:rPr>
        <w:t>16</w:t>
      </w:r>
      <w:bookmarkEnd w:id="37"/>
      <w:proofErr w:type="spellEnd"/>
      <w:r w:rsidRPr="009949A7">
        <w:tab/>
      </w:r>
      <w:r w:rsidR="00A27230">
        <w:t xml:space="preserve">Full time equivalent </w:t>
      </w:r>
      <w:r w:rsidR="00A27230" w:rsidRPr="009949A7">
        <w:t xml:space="preserve">employed </w:t>
      </w:r>
      <w:r w:rsidRPr="009949A7">
        <w:t>medical practitioners</w:t>
      </w:r>
      <w:r w:rsidRPr="00CD2316">
        <w:rPr>
          <w:rStyle w:val="NoteLabel"/>
          <w:b/>
        </w:rPr>
        <w:t>a</w:t>
      </w:r>
      <w:r w:rsidRPr="00BB2741">
        <w:rPr>
          <w:rStyle w:val="NoteLabel"/>
          <w:b/>
        </w:rPr>
        <w:t>,</w:t>
      </w:r>
      <w:r w:rsidRPr="00BB2741">
        <w:rPr>
          <w:rStyle w:val="NoteLabel"/>
        </w:rPr>
        <w:t> </w:t>
      </w:r>
      <w:r w:rsidRPr="00BB2741">
        <w:rPr>
          <w:rStyle w:val="NoteLabel"/>
          <w:b/>
        </w:rPr>
        <w:t>b,</w:t>
      </w:r>
      <w:r w:rsidRPr="00BB2741">
        <w:rPr>
          <w:rStyle w:val="NoteLabel"/>
        </w:rPr>
        <w:t> </w:t>
      </w:r>
      <w:r w:rsidRPr="00BB2741">
        <w:rPr>
          <w:rStyle w:val="NoteLabel"/>
          <w:b/>
        </w:rPr>
        <w:t>c</w:t>
      </w:r>
      <w:r w:rsidR="00647935" w:rsidRPr="00BB2741">
        <w:rPr>
          <w:rStyle w:val="NoteLabel"/>
          <w:b/>
        </w:rPr>
        <w:t>, d</w:t>
      </w:r>
      <w:r w:rsidR="006B308B" w:rsidRPr="00BB2741">
        <w:rPr>
          <w:rStyle w:val="NoteLabel"/>
          <w:b/>
        </w:rPr>
        <w:t>,</w:t>
      </w:r>
      <w:r w:rsidR="007D0AA9">
        <w:rPr>
          <w:rStyle w:val="NoteLabel"/>
          <w:b/>
        </w:rPr>
        <w:t> </w:t>
      </w:r>
      <w:r w:rsidR="006B308B">
        <w:rPr>
          <w:rStyle w:val="NoteLabel"/>
          <w:b/>
        </w:rPr>
        <w:t>e</w:t>
      </w:r>
      <w:r w:rsidR="0069384D">
        <w:rPr>
          <w:rStyle w:val="NoteLabel"/>
          <w:b/>
        </w:rPr>
        <w:t>,</w:t>
      </w:r>
      <w:r w:rsidR="007D0AA9">
        <w:rPr>
          <w:rStyle w:val="NoteLabel"/>
          <w:b/>
        </w:rPr>
        <w:t> </w:t>
      </w:r>
      <w:r w:rsidR="0069384D">
        <w:rPr>
          <w:rStyle w:val="NoteLabel"/>
          <w:b/>
        </w:rPr>
        <w:t>f</w:t>
      </w:r>
      <w:r w:rsidR="007D0AA9">
        <w:rPr>
          <w:rStyle w:val="NoteLabel"/>
          <w:b/>
        </w:rPr>
        <w:t>, </w:t>
      </w:r>
      <w:r w:rsidR="007D0AA9" w:rsidRPr="007404C9">
        <w:rPr>
          <w:rStyle w:val="NoteLabel"/>
          <w:b/>
        </w:rPr>
        <w:t>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739E2" w:rsidRPr="009949A7" w:rsidTr="00C739E2">
        <w:tc>
          <w:tcPr>
            <w:tcW w:w="8777" w:type="dxa"/>
            <w:tcBorders>
              <w:top w:val="single" w:sz="6" w:space="0" w:color="auto"/>
              <w:left w:val="nil"/>
              <w:bottom w:val="single" w:sz="6" w:space="0" w:color="auto"/>
            </w:tcBorders>
          </w:tcPr>
          <w:p w:rsidR="00C739E2" w:rsidRPr="009949A7" w:rsidRDefault="00D022C3" w:rsidP="00931B5C">
            <w:pPr>
              <w:pStyle w:val="Figure"/>
              <w:pBdr>
                <w:right w:val="single" w:sz="12" w:space="4" w:color="auto"/>
              </w:pBdr>
            </w:pPr>
            <w:r>
              <w:rPr>
                <w:noProof/>
              </w:rPr>
              <w:drawing>
                <wp:inline distT="0" distB="0" distL="0" distR="0">
                  <wp:extent cx="5389880" cy="2872105"/>
                  <wp:effectExtent l="0" t="0" r="1270" b="4445"/>
                  <wp:docPr id="7" name="Picture 7" descr="Figure E.16 Full time equivalent employed medical practition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C739E2" w:rsidRPr="00F01D9C" w:rsidRDefault="00C739E2" w:rsidP="00E90284">
      <w:pPr>
        <w:pStyle w:val="Note"/>
        <w:rPr>
          <w:rFonts w:cs="Calibri"/>
        </w:rPr>
      </w:pPr>
      <w:r w:rsidRPr="009949A7">
        <w:rPr>
          <w:rStyle w:val="NoteLabel"/>
        </w:rPr>
        <w:t>a</w:t>
      </w:r>
      <w:r w:rsidRPr="009949A7">
        <w:sym w:font="Symbol" w:char="F020"/>
      </w:r>
      <w:r w:rsidRPr="009949A7">
        <w:t xml:space="preserve">FTE rate (FTE per 100 000 people) is based on </w:t>
      </w:r>
      <w:r w:rsidR="00153E97">
        <w:t xml:space="preserve">a </w:t>
      </w:r>
      <w:r w:rsidRPr="009949A7">
        <w:t>standard full-time working week of 4</w:t>
      </w:r>
      <w:r w:rsidR="00647935">
        <w:t>0</w:t>
      </w:r>
      <w:r w:rsidRPr="009949A7">
        <w:t> hours.</w:t>
      </w:r>
      <w:r w:rsidRPr="009949A7">
        <w:rPr>
          <w:rFonts w:cs="Arial"/>
          <w:sz w:val="20"/>
        </w:rPr>
        <w:t xml:space="preserve"> </w:t>
      </w:r>
      <w:r w:rsidRPr="009949A7">
        <w:rPr>
          <w:rStyle w:val="NoteLabel"/>
        </w:rPr>
        <w:t>b</w:t>
      </w:r>
      <w:r w:rsidRPr="009949A7">
        <w:sym w:font="Symbol" w:char="F020"/>
      </w:r>
      <w:r w:rsidR="00706A46">
        <w:t>E</w:t>
      </w:r>
      <w:r w:rsidR="00274BF5">
        <w:t>x</w:t>
      </w:r>
      <w:r w:rsidRPr="009949A7">
        <w:t>clude</w:t>
      </w:r>
      <w:r w:rsidR="00274BF5">
        <w:t>s</w:t>
      </w:r>
      <w:r w:rsidRPr="009949A7">
        <w:t xml:space="preserve"> </w:t>
      </w:r>
      <w:r w:rsidR="00706A46">
        <w:t xml:space="preserve">employed </w:t>
      </w:r>
      <w:r w:rsidRPr="009949A7">
        <w:t>medical practitioners on extended leave.</w:t>
      </w:r>
      <w:r w:rsidRPr="0004160F">
        <w:rPr>
          <w:rStyle w:val="NoteLabel"/>
          <w:b w:val="0"/>
        </w:rPr>
        <w:t xml:space="preserve"> </w:t>
      </w:r>
      <w:r w:rsidRPr="0004160F">
        <w:rPr>
          <w:rStyle w:val="NoteLabel"/>
        </w:rPr>
        <w:t>c</w:t>
      </w:r>
      <w:r>
        <w:rPr>
          <w:rStyle w:val="NoteLabel"/>
          <w:b w:val="0"/>
        </w:rPr>
        <w:t> </w:t>
      </w:r>
      <w:r w:rsidRPr="000143F6">
        <w:rPr>
          <w:rFonts w:cs="Calibri"/>
        </w:rPr>
        <w:t xml:space="preserve">Care must be taken when interpreting </w:t>
      </w:r>
      <w:r w:rsidR="00A45E60">
        <w:rPr>
          <w:rFonts w:cs="Calibri"/>
        </w:rPr>
        <w:t xml:space="preserve">the </w:t>
      </w:r>
      <w:proofErr w:type="spellStart"/>
      <w:r w:rsidRPr="000143F6">
        <w:rPr>
          <w:rFonts w:cs="Calibri"/>
        </w:rPr>
        <w:t>ACT’s</w:t>
      </w:r>
      <w:proofErr w:type="spellEnd"/>
      <w:r w:rsidRPr="000143F6">
        <w:rPr>
          <w:rFonts w:cs="Calibri"/>
        </w:rPr>
        <w:t xml:space="preserve"> data as the </w:t>
      </w:r>
      <w:proofErr w:type="spellStart"/>
      <w:r w:rsidRPr="000143F6">
        <w:rPr>
          <w:rFonts w:cs="Calibri"/>
        </w:rPr>
        <w:t>ACT’s</w:t>
      </w:r>
      <w:proofErr w:type="spellEnd"/>
      <w:r w:rsidRPr="000143F6">
        <w:rPr>
          <w:rFonts w:cs="Calibri"/>
        </w:rPr>
        <w:t xml:space="preserve"> medical pract</w:t>
      </w:r>
      <w:r w:rsidR="00E55B21">
        <w:rPr>
          <w:rFonts w:cs="Calibri"/>
        </w:rPr>
        <w:t>it</w:t>
      </w:r>
      <w:r w:rsidRPr="000143F6">
        <w:rPr>
          <w:rFonts w:cs="Calibri"/>
        </w:rPr>
        <w:t>ioners provide a large number of services to NSW residents. This rate used the ACT resident population as the denominator, hence a high rate for the ACT. The rate will reduce if the NSW population within the catchment area of Southern NSW is included in the denominator.</w:t>
      </w:r>
      <w:r w:rsidR="002536EF" w:rsidRPr="002E5DEA">
        <w:rPr>
          <w:rFonts w:cs="Calibri"/>
          <w:b/>
        </w:rPr>
        <w:t xml:space="preserve"> </w:t>
      </w:r>
      <w:r w:rsidR="002536EF" w:rsidRPr="00E90284">
        <w:rPr>
          <w:rStyle w:val="NoteLabel"/>
        </w:rPr>
        <w:t>d</w:t>
      </w:r>
      <w:r w:rsidR="002536EF" w:rsidRPr="00E90284">
        <w:rPr>
          <w:rFonts w:cs="Calibri"/>
        </w:rPr>
        <w:t> </w:t>
      </w:r>
      <w:r w:rsidR="002E5DEA" w:rsidRPr="00E90284">
        <w:rPr>
          <w:rFonts w:cs="Calibri"/>
        </w:rPr>
        <w:t>From 2010, health workforce labour surveys are conducted at the national level and survey questions are consistent across jurisdictions. For 2009 and previous years, surveys were managed by each jurisdiction’s health authority and there were some differences in survey questions between jurisdictions and within jurisdictions over time. Th</w:t>
      </w:r>
      <w:r w:rsidR="00095C7B" w:rsidRPr="00E90284">
        <w:rPr>
          <w:rFonts w:cs="Calibri"/>
        </w:rPr>
        <w:t>is has little</w:t>
      </w:r>
      <w:r w:rsidR="002E5DEA" w:rsidRPr="00E90284">
        <w:rPr>
          <w:rFonts w:cs="Calibri"/>
        </w:rPr>
        <w:t xml:space="preserve"> impact on the data reported here</w:t>
      </w:r>
      <w:r w:rsidR="00095C7B" w:rsidRPr="00E90284">
        <w:rPr>
          <w:rFonts w:cs="Calibri"/>
        </w:rPr>
        <w:t>. H</w:t>
      </w:r>
      <w:r w:rsidR="002E5DEA" w:rsidRPr="00E90284">
        <w:rPr>
          <w:rFonts w:cs="Calibri"/>
        </w:rPr>
        <w:t>owever, caution should be used in comparing data between jurisdictions and over time</w:t>
      </w:r>
      <w:r w:rsidR="0093484D" w:rsidRPr="00E90284">
        <w:rPr>
          <w:rFonts w:cs="Calibri"/>
        </w:rPr>
        <w:t xml:space="preserve"> (see </w:t>
      </w:r>
      <w:proofErr w:type="spellStart"/>
      <w:r w:rsidR="00095C7B" w:rsidRPr="00E90284">
        <w:rPr>
          <w:rFonts w:cs="Calibri"/>
        </w:rPr>
        <w:t>DQI</w:t>
      </w:r>
      <w:proofErr w:type="spellEnd"/>
      <w:r w:rsidR="0093484D" w:rsidRPr="00E90284">
        <w:rPr>
          <w:rFonts w:cs="Calibri"/>
        </w:rPr>
        <w:t xml:space="preserve"> for further details)</w:t>
      </w:r>
      <w:r w:rsidR="002E5DEA" w:rsidRPr="00E90284">
        <w:rPr>
          <w:rFonts w:cs="Calibri"/>
        </w:rPr>
        <w:t>.</w:t>
      </w:r>
      <w:r w:rsidR="00CE5146" w:rsidRPr="00E90284">
        <w:t xml:space="preserve"> </w:t>
      </w:r>
      <w:r w:rsidR="00CE5146" w:rsidRPr="00E90284">
        <w:rPr>
          <w:rStyle w:val="NoteLabel"/>
        </w:rPr>
        <w:t>e</w:t>
      </w:r>
      <w:r w:rsidR="00CE5146" w:rsidRPr="00E90284">
        <w:rPr>
          <w:rFonts w:cs="Calibri"/>
        </w:rPr>
        <w:t xml:space="preserve"> </w:t>
      </w:r>
      <w:r w:rsidR="00095C7B" w:rsidRPr="00E90284">
        <w:rPr>
          <w:rFonts w:cs="Calibri"/>
        </w:rPr>
        <w:t xml:space="preserve">2010 data </w:t>
      </w:r>
      <w:r w:rsidR="00777C2A">
        <w:rPr>
          <w:rFonts w:cs="Calibri"/>
        </w:rPr>
        <w:t>exclude</w:t>
      </w:r>
      <w:r w:rsidR="00095C7B" w:rsidRPr="00E90284">
        <w:rPr>
          <w:rFonts w:cs="Calibri"/>
        </w:rPr>
        <w:t xml:space="preserve"> Queensland and WA</w:t>
      </w:r>
      <w:r w:rsidR="00777C2A">
        <w:rPr>
          <w:rFonts w:cs="Calibri"/>
        </w:rPr>
        <w:t xml:space="preserve"> due to closure of the registration period after the national registration deadline</w:t>
      </w:r>
      <w:r w:rsidR="00095C7B" w:rsidRPr="00E90284">
        <w:rPr>
          <w:rFonts w:cs="Calibri"/>
        </w:rPr>
        <w:t xml:space="preserve">. </w:t>
      </w:r>
      <w:r w:rsidR="00095C7B" w:rsidRPr="00E90284">
        <w:rPr>
          <w:rStyle w:val="NoteLabel"/>
        </w:rPr>
        <w:t>f</w:t>
      </w:r>
      <w:r w:rsidR="00095C7B" w:rsidRPr="00E90284">
        <w:rPr>
          <w:rFonts w:cs="Calibri"/>
        </w:rPr>
        <w:t xml:space="preserve"> Caution should be used in comparing data for the NT with other jurisdictions from 2010 as this was the first year of changed doctors’ registration requirements (in particular, doctors providing fly in fly out services are no longer required to register in the NT where they are registered nationally). </w:t>
      </w:r>
      <w:r w:rsidR="00095C7B" w:rsidRPr="00E90284">
        <w:rPr>
          <w:rStyle w:val="NoteLabel"/>
        </w:rPr>
        <w:t>g</w:t>
      </w:r>
      <w:r w:rsidR="007D0AA9" w:rsidRPr="00E90284">
        <w:rPr>
          <w:rStyle w:val="NoteLabel"/>
          <w:b w:val="0"/>
        </w:rPr>
        <w:t> </w:t>
      </w:r>
      <w:r w:rsidR="00F92238" w:rsidRPr="00E90284">
        <w:rPr>
          <w:rFonts w:cs="Calibri"/>
        </w:rPr>
        <w:t>From 2011, S</w:t>
      </w:r>
      <w:r w:rsidR="00C22983" w:rsidRPr="00E90284">
        <w:rPr>
          <w:rFonts w:cs="Calibri"/>
        </w:rPr>
        <w:t xml:space="preserve">tate and </w:t>
      </w:r>
      <w:r w:rsidR="00F92238" w:rsidRPr="00E90284">
        <w:rPr>
          <w:rFonts w:cs="Calibri"/>
        </w:rPr>
        <w:t>T</w:t>
      </w:r>
      <w:r w:rsidR="00C22983" w:rsidRPr="00E90284">
        <w:rPr>
          <w:rFonts w:cs="Calibri"/>
        </w:rPr>
        <w:t xml:space="preserve">erritory is derived from </w:t>
      </w:r>
      <w:r w:rsidR="00F92238" w:rsidRPr="00E90284">
        <w:rPr>
          <w:rFonts w:cs="Calibri"/>
        </w:rPr>
        <w:t xml:space="preserve">State and Territory </w:t>
      </w:r>
      <w:r w:rsidR="00C22983" w:rsidRPr="00E90284">
        <w:rPr>
          <w:rFonts w:cs="Calibri"/>
        </w:rPr>
        <w:t xml:space="preserve">of main job where available; otherwise </w:t>
      </w:r>
      <w:r w:rsidR="00F92238" w:rsidRPr="00E90284">
        <w:rPr>
          <w:rFonts w:cs="Calibri"/>
        </w:rPr>
        <w:t xml:space="preserve">State and Territory </w:t>
      </w:r>
      <w:r w:rsidR="00C22983" w:rsidRPr="00E90284">
        <w:rPr>
          <w:rFonts w:cs="Calibri"/>
        </w:rPr>
        <w:t xml:space="preserve">of principal practice is used as a proxy. If principal practice details are also unavailable, </w:t>
      </w:r>
      <w:r w:rsidR="00F92238" w:rsidRPr="00E90284">
        <w:rPr>
          <w:rFonts w:cs="Calibri"/>
        </w:rPr>
        <w:t xml:space="preserve">State and Territory </w:t>
      </w:r>
      <w:r w:rsidR="00C22983" w:rsidRPr="00E90284">
        <w:rPr>
          <w:rFonts w:cs="Calibri"/>
        </w:rPr>
        <w:t>of residence is used. Records</w:t>
      </w:r>
      <w:r w:rsidR="00C22983" w:rsidRPr="00C22983">
        <w:rPr>
          <w:rFonts w:cs="Calibri"/>
        </w:rPr>
        <w:t xml:space="preserve"> with no information on all three locations are coded to ‘Not stated’.</w:t>
      </w:r>
    </w:p>
    <w:p w:rsidR="00C739E2" w:rsidRDefault="00C739E2" w:rsidP="00153E97">
      <w:pPr>
        <w:pStyle w:val="Source"/>
        <w:spacing w:after="0"/>
        <w:rPr>
          <w:lang w:val="en"/>
        </w:rPr>
      </w:pPr>
      <w:r w:rsidRPr="00E90284">
        <w:rPr>
          <w:i/>
        </w:rPr>
        <w:t>Source</w:t>
      </w:r>
      <w:r w:rsidRPr="00E90284">
        <w:t xml:space="preserve">: </w:t>
      </w:r>
      <w:proofErr w:type="spellStart"/>
      <w:r w:rsidR="00CC25B4" w:rsidRPr="00E90284">
        <w:rPr>
          <w:lang w:val="en"/>
        </w:rPr>
        <w:t>AIHW</w:t>
      </w:r>
      <w:proofErr w:type="spellEnd"/>
      <w:r w:rsidR="00CC25B4" w:rsidRPr="00E90284">
        <w:rPr>
          <w:lang w:val="en"/>
        </w:rPr>
        <w:t xml:space="preserve"> (unpublished) </w:t>
      </w:r>
      <w:r w:rsidR="00CD470D" w:rsidRPr="00E90284">
        <w:rPr>
          <w:lang w:val="en"/>
        </w:rPr>
        <w:t>National Health Workforce Data Set:</w:t>
      </w:r>
      <w:r w:rsidR="00CD470D" w:rsidRPr="00CD470D">
        <w:t xml:space="preserve"> </w:t>
      </w:r>
      <w:r w:rsidR="00CD470D" w:rsidRPr="00CD470D">
        <w:rPr>
          <w:lang w:val="en"/>
        </w:rPr>
        <w:t>medical practitioners</w:t>
      </w:r>
      <w:r w:rsidR="00CD470D">
        <w:rPr>
          <w:lang w:val="en"/>
        </w:rPr>
        <w:t xml:space="preserve">; </w:t>
      </w:r>
      <w:proofErr w:type="spellStart"/>
      <w:r w:rsidR="00891002" w:rsidRPr="00153E97">
        <w:rPr>
          <w:lang w:val="en"/>
        </w:rPr>
        <w:t>AIHW</w:t>
      </w:r>
      <w:proofErr w:type="spellEnd"/>
      <w:r w:rsidR="00891002" w:rsidRPr="00153E97">
        <w:rPr>
          <w:lang w:val="en"/>
        </w:rPr>
        <w:t xml:space="preserve"> (unpublished) </w:t>
      </w:r>
      <w:r w:rsidR="00E047D6" w:rsidRPr="00153E97">
        <w:rPr>
          <w:lang w:val="en"/>
        </w:rPr>
        <w:t xml:space="preserve">Medical </w:t>
      </w:r>
      <w:proofErr w:type="spellStart"/>
      <w:r w:rsidR="00E047D6" w:rsidRPr="00153E97">
        <w:rPr>
          <w:lang w:val="en"/>
        </w:rPr>
        <w:t>Labour</w:t>
      </w:r>
      <w:proofErr w:type="spellEnd"/>
      <w:r w:rsidR="00E047D6" w:rsidRPr="00153E97">
        <w:rPr>
          <w:lang w:val="en"/>
        </w:rPr>
        <w:t xml:space="preserve"> Force Survey</w:t>
      </w:r>
      <w:r w:rsidR="00CC25B4" w:rsidRPr="00153E97">
        <w:rPr>
          <w:lang w:val="en"/>
        </w:rPr>
        <w:t xml:space="preserve">; </w:t>
      </w:r>
      <w:r w:rsidR="00C207ED" w:rsidRPr="00153E97">
        <w:rPr>
          <w:lang w:val="en"/>
        </w:rPr>
        <w:t>ABS (unpublished) Estimated Resident Population (based on 2011 ABS Census of Population and Housing)</w:t>
      </w:r>
      <w:r w:rsidR="0006102D" w:rsidRPr="00153E97">
        <w:rPr>
          <w:lang w:val="en"/>
        </w:rPr>
        <w:t>;</w:t>
      </w:r>
      <w:r w:rsidR="0006102D">
        <w:rPr>
          <w:lang w:val="en"/>
        </w:rPr>
        <w:t xml:space="preserve"> table </w:t>
      </w:r>
      <w:proofErr w:type="spellStart"/>
      <w:r w:rsidR="0006102D">
        <w:rPr>
          <w:lang w:val="en"/>
        </w:rPr>
        <w:t>EA.4</w:t>
      </w:r>
      <w:r w:rsidR="005E0F4A">
        <w:rPr>
          <w:lang w:val="en"/>
        </w:rPr>
        <w:t>7</w:t>
      </w:r>
      <w:proofErr w:type="spellEnd"/>
      <w:r w:rsidR="00CC25B4" w:rsidRPr="00CC25B4">
        <w:rPr>
          <w:lang w:val="en"/>
        </w:rPr>
        <w:t>.</w:t>
      </w:r>
    </w:p>
    <w:p w:rsidR="00C739E2" w:rsidRPr="009949A7" w:rsidRDefault="00C739E2" w:rsidP="00C739E2">
      <w:pPr>
        <w:pStyle w:val="FigureTitle"/>
        <w:rPr>
          <w:rStyle w:val="NoteLabel"/>
          <w:b/>
        </w:rPr>
      </w:pPr>
      <w:r w:rsidRPr="009949A7">
        <w:rPr>
          <w:b w:val="0"/>
        </w:rPr>
        <w:lastRenderedPageBreak/>
        <w:t xml:space="preserve">Figure </w:t>
      </w:r>
      <w:bookmarkStart w:id="38" w:name="OLE_LINK27"/>
      <w:proofErr w:type="spellStart"/>
      <w:r w:rsidR="00F156AA">
        <w:rPr>
          <w:b w:val="0"/>
        </w:rPr>
        <w:t>E.</w:t>
      </w:r>
      <w:r w:rsidR="00C01FBD">
        <w:rPr>
          <w:b w:val="0"/>
          <w:noProof/>
        </w:rPr>
        <w:t>17</w:t>
      </w:r>
      <w:bookmarkEnd w:id="38"/>
      <w:proofErr w:type="spellEnd"/>
      <w:r w:rsidRPr="009949A7">
        <w:tab/>
      </w:r>
      <w:r w:rsidR="00C207ED" w:rsidRPr="00D53C89">
        <w:t>Full time equivalent employed nurse</w:t>
      </w:r>
      <w:r w:rsidR="002A5ABA">
        <w:t>s and midwives</w:t>
      </w:r>
      <w:r w:rsidRPr="00D53C89">
        <w:rPr>
          <w:rStyle w:val="NoteLabel"/>
          <w:b/>
        </w:rPr>
        <w:t>a,</w:t>
      </w:r>
      <w:r w:rsidRPr="00D53C89">
        <w:t> </w:t>
      </w:r>
      <w:r w:rsidRPr="00D53C89">
        <w:rPr>
          <w:rStyle w:val="NoteLabel"/>
          <w:b/>
        </w:rPr>
        <w:t>b,</w:t>
      </w:r>
      <w:r w:rsidRPr="00D53C89">
        <w:t> </w:t>
      </w:r>
      <w:r w:rsidRPr="00D53C89">
        <w:rPr>
          <w:rStyle w:val="NoteLabel"/>
          <w:b/>
        </w:rPr>
        <w:t>c</w:t>
      </w:r>
      <w:r w:rsidR="006B308B" w:rsidRPr="00D53C89">
        <w:rPr>
          <w:rStyle w:val="NoteLabel"/>
          <w:b/>
        </w:rPr>
        <w:t>,</w:t>
      </w:r>
      <w:r w:rsidR="007C6211" w:rsidRPr="00D53C89">
        <w:rPr>
          <w:rStyle w:val="NoteLabel"/>
          <w:b/>
        </w:rPr>
        <w:t xml:space="preserve"> </w:t>
      </w:r>
      <w:r w:rsidR="006B308B" w:rsidRPr="00D53C89">
        <w:rPr>
          <w:rStyle w:val="NoteLabel"/>
          <w:b/>
        </w:rPr>
        <w:t>d</w:t>
      </w:r>
      <w:r w:rsidR="00C469E0" w:rsidRPr="00D53C89">
        <w:rPr>
          <w:rStyle w:val="NoteLabel"/>
          <w:b/>
        </w:rPr>
        <w:t>,</w:t>
      </w:r>
      <w:r w:rsidR="00C469E0" w:rsidRPr="00D53C89">
        <w:t> </w:t>
      </w:r>
      <w:r w:rsidR="00C469E0" w:rsidRPr="00D53C89">
        <w:rPr>
          <w:rStyle w:val="NoteLabel"/>
          <w:b/>
        </w:rPr>
        <w:t>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739E2" w:rsidRPr="009949A7" w:rsidTr="0085288C">
        <w:tc>
          <w:tcPr>
            <w:tcW w:w="8777" w:type="dxa"/>
            <w:tcBorders>
              <w:top w:val="single" w:sz="6" w:space="0" w:color="auto"/>
              <w:left w:val="nil"/>
              <w:bottom w:val="single" w:sz="6" w:space="0" w:color="auto"/>
            </w:tcBorders>
          </w:tcPr>
          <w:p w:rsidR="00C739E2" w:rsidRPr="009949A7" w:rsidRDefault="00D022C3" w:rsidP="00C739E2">
            <w:pPr>
              <w:pStyle w:val="Figure"/>
              <w:keepLines/>
            </w:pPr>
            <w:r>
              <w:rPr>
                <w:noProof/>
              </w:rPr>
              <w:drawing>
                <wp:inline distT="0" distB="0" distL="0" distR="0">
                  <wp:extent cx="5389880" cy="2872105"/>
                  <wp:effectExtent l="0" t="0" r="1270" b="4445"/>
                  <wp:docPr id="25" name="Picture 25" descr="Figure E.17 Full time equivalent employed nurses and midwiv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9880" cy="2872105"/>
                          </a:xfrm>
                          <a:prstGeom prst="rect">
                            <a:avLst/>
                          </a:prstGeom>
                          <a:noFill/>
                          <a:ln>
                            <a:noFill/>
                          </a:ln>
                        </pic:spPr>
                      </pic:pic>
                    </a:graphicData>
                  </a:graphic>
                </wp:inline>
              </w:drawing>
            </w:r>
          </w:p>
        </w:tc>
      </w:tr>
    </w:tbl>
    <w:p w:rsidR="00C739E2" w:rsidRPr="00DB72E7" w:rsidRDefault="00C739E2" w:rsidP="00E90284">
      <w:pPr>
        <w:pStyle w:val="Note"/>
        <w:keepNext/>
      </w:pPr>
      <w:r w:rsidRPr="009949A7">
        <w:rPr>
          <w:rStyle w:val="NoteLabel"/>
        </w:rPr>
        <w:t>a</w:t>
      </w:r>
      <w:r w:rsidRPr="009949A7">
        <w:sym w:font="Symbol" w:char="F020"/>
      </w:r>
      <w:r w:rsidRPr="009949A7">
        <w:t>FTE nurse rate (per 100 000 people) based on a 3</w:t>
      </w:r>
      <w:r w:rsidR="0025580C">
        <w:t>8</w:t>
      </w:r>
      <w:r w:rsidRPr="009949A7">
        <w:noBreakHyphen/>
        <w:t xml:space="preserve">hour week. </w:t>
      </w:r>
      <w:r w:rsidRPr="009949A7">
        <w:rPr>
          <w:rStyle w:val="NoteLabel"/>
        </w:rPr>
        <w:t>b</w:t>
      </w:r>
      <w:r w:rsidRPr="009949A7">
        <w:sym w:font="Symbol" w:char="F020"/>
      </w:r>
      <w:r w:rsidR="00D53C89">
        <w:t>Excludes</w:t>
      </w:r>
      <w:r w:rsidRPr="009949A7">
        <w:t xml:space="preserve"> nurses on extended leave. </w:t>
      </w:r>
      <w:r>
        <w:rPr>
          <w:rStyle w:val="NoteLabel"/>
        </w:rPr>
        <w:t>c</w:t>
      </w:r>
      <w:r w:rsidRPr="009949A7">
        <w:sym w:font="Symbol" w:char="F020"/>
      </w:r>
      <w:r w:rsidRPr="00DB72E7">
        <w:t xml:space="preserve">Data </w:t>
      </w:r>
      <w:r w:rsidR="005550A0">
        <w:t>are not available for 2010</w:t>
      </w:r>
      <w:r w:rsidRPr="00E90284">
        <w:t>.</w:t>
      </w:r>
      <w:r w:rsidR="009255B1" w:rsidRPr="00E90284">
        <w:t xml:space="preserve"> </w:t>
      </w:r>
      <w:r w:rsidR="006B308B" w:rsidRPr="00E90284">
        <w:rPr>
          <w:rStyle w:val="NoteLabel"/>
        </w:rPr>
        <w:t>d</w:t>
      </w:r>
      <w:r w:rsidR="009255B1" w:rsidRPr="00E90284">
        <w:sym w:font="Symbol" w:char="F020"/>
      </w:r>
      <w:r w:rsidR="003A0BD4" w:rsidRPr="00E90284">
        <w:t xml:space="preserve">From 2011, health workforce labour surveys are conducted at the national level and survey questions are consistent across jurisdictions. For 2009 and previous years, surveys were managed by each jurisdiction’s health authority and there were some differences in survey questions between jurisdictions and within jurisdictions over time. This has little impact on the data reported here. However, caution should be used in comparing data between jurisdictions and over time (see </w:t>
      </w:r>
      <w:proofErr w:type="spellStart"/>
      <w:r w:rsidR="003A0BD4" w:rsidRPr="00E90284">
        <w:t>DQI</w:t>
      </w:r>
      <w:proofErr w:type="spellEnd"/>
      <w:r w:rsidR="003A0BD4" w:rsidRPr="00E90284">
        <w:t xml:space="preserve"> for further details). </w:t>
      </w:r>
      <w:r w:rsidR="00C25E25" w:rsidRPr="00E90284">
        <w:rPr>
          <w:rStyle w:val="NoteLabel"/>
        </w:rPr>
        <w:t>e</w:t>
      </w:r>
      <w:r w:rsidR="003A0BD4" w:rsidRPr="00E90284">
        <w:t> </w:t>
      </w:r>
      <w:r w:rsidR="00C469E0" w:rsidRPr="00E90284">
        <w:sym w:font="Symbol" w:char="F020"/>
      </w:r>
      <w:r w:rsidR="00D53C89" w:rsidRPr="00E90284">
        <w:t>From</w:t>
      </w:r>
      <w:r w:rsidR="00C469E0" w:rsidRPr="00E90284">
        <w:t xml:space="preserve"> 2011, </w:t>
      </w:r>
      <w:r w:rsidR="002F49FF" w:rsidRPr="00E90284">
        <w:rPr>
          <w:rFonts w:cs="Calibri"/>
        </w:rPr>
        <w:t xml:space="preserve">State and Territory </w:t>
      </w:r>
      <w:r w:rsidR="00C469E0" w:rsidRPr="00E90284">
        <w:t>is derived from</w:t>
      </w:r>
      <w:r w:rsidR="00C469E0" w:rsidRPr="002F49FF">
        <w:t xml:space="preserve"> </w:t>
      </w:r>
      <w:r w:rsidR="002F49FF" w:rsidRPr="002F49FF">
        <w:rPr>
          <w:rFonts w:cs="Calibri"/>
        </w:rPr>
        <w:t xml:space="preserve">State and Territory </w:t>
      </w:r>
      <w:r w:rsidR="00C469E0" w:rsidRPr="002F49FF">
        <w:t>of main</w:t>
      </w:r>
      <w:r w:rsidR="00C469E0" w:rsidRPr="00C469E0">
        <w:rPr>
          <w:shd w:val="clear" w:color="auto" w:fill="FFFFFF" w:themeFill="background1"/>
        </w:rPr>
        <w:t xml:space="preserve"> job where available; otherwise </w:t>
      </w:r>
      <w:r w:rsidR="002F49FF" w:rsidRPr="002F49FF">
        <w:rPr>
          <w:rFonts w:cs="Calibri"/>
        </w:rPr>
        <w:t xml:space="preserve">State and Territory </w:t>
      </w:r>
      <w:r w:rsidR="00C469E0" w:rsidRPr="002F49FF">
        <w:t xml:space="preserve">of principal practice is used as a proxy. If principal practice details are </w:t>
      </w:r>
      <w:r w:rsidR="00C22983" w:rsidRPr="002F49FF">
        <w:t xml:space="preserve">also </w:t>
      </w:r>
      <w:r w:rsidR="00C469E0" w:rsidRPr="002F49FF">
        <w:t xml:space="preserve">unavailable, </w:t>
      </w:r>
      <w:r w:rsidR="002F49FF" w:rsidRPr="002F49FF">
        <w:rPr>
          <w:rFonts w:cs="Calibri"/>
        </w:rPr>
        <w:t xml:space="preserve">State and Territory </w:t>
      </w:r>
      <w:r w:rsidR="00C469E0" w:rsidRPr="002F49FF">
        <w:t>of residence</w:t>
      </w:r>
      <w:r w:rsidR="00C469E0" w:rsidRPr="00C469E0">
        <w:rPr>
          <w:shd w:val="clear" w:color="auto" w:fill="FFFFFF" w:themeFill="background1"/>
        </w:rPr>
        <w:t xml:space="preserve"> is used. Records with no information on all three locations are coded to ‘Not stated’.</w:t>
      </w:r>
    </w:p>
    <w:p w:rsidR="00C739E2" w:rsidRPr="009949A7" w:rsidRDefault="00C739E2" w:rsidP="00C739E2">
      <w:pPr>
        <w:pStyle w:val="Source"/>
      </w:pPr>
      <w:r w:rsidRPr="009949A7">
        <w:rPr>
          <w:i/>
        </w:rPr>
        <w:t>Source</w:t>
      </w:r>
      <w:r w:rsidRPr="009949A7">
        <w:t xml:space="preserve">: </w:t>
      </w:r>
      <w:proofErr w:type="spellStart"/>
      <w:r w:rsidR="00C469E0" w:rsidRPr="00D53C89">
        <w:t>AIHW</w:t>
      </w:r>
      <w:proofErr w:type="spellEnd"/>
      <w:r w:rsidR="00C469E0" w:rsidRPr="00D53C89">
        <w:t xml:space="preserve"> (unpublished) National Health Workforce Data Set and </w:t>
      </w:r>
      <w:proofErr w:type="spellStart"/>
      <w:r w:rsidR="00C469E0" w:rsidRPr="00D53C89">
        <w:t>AIHW</w:t>
      </w:r>
      <w:proofErr w:type="spellEnd"/>
      <w:r w:rsidR="00C469E0" w:rsidRPr="00D53C89">
        <w:t xml:space="preserve"> 2011</w:t>
      </w:r>
      <w:r w:rsidR="0006102D">
        <w:rPr>
          <w:lang w:val="en"/>
        </w:rPr>
        <w:t xml:space="preserve">; table </w:t>
      </w:r>
      <w:proofErr w:type="spellStart"/>
      <w:r w:rsidR="0006102D">
        <w:rPr>
          <w:lang w:val="en"/>
        </w:rPr>
        <w:t>EA.4</w:t>
      </w:r>
      <w:r w:rsidR="005E0F4A">
        <w:rPr>
          <w:lang w:val="en"/>
        </w:rPr>
        <w:t>8</w:t>
      </w:r>
      <w:proofErr w:type="spellEnd"/>
      <w:r w:rsidR="0006102D">
        <w:rPr>
          <w:lang w:val="en"/>
        </w:rPr>
        <w:t>.</w:t>
      </w:r>
    </w:p>
    <w:p w:rsidR="00C469E0" w:rsidRDefault="00C469E0" w:rsidP="00E90284">
      <w:pPr>
        <w:pStyle w:val="BodyText"/>
      </w:pPr>
      <w:r w:rsidRPr="00777071">
        <w:t>At the national level</w:t>
      </w:r>
      <w:r w:rsidRPr="00E90284">
        <w:t xml:space="preserve">, 50.9 per cent of employed medical practitioners were under the age of 45 in </w:t>
      </w:r>
      <w:r w:rsidR="00D57663" w:rsidRPr="00E90284">
        <w:t>2012</w:t>
      </w:r>
      <w:r w:rsidR="00411408" w:rsidRPr="00E90284">
        <w:t xml:space="preserve"> (table </w:t>
      </w:r>
      <w:proofErr w:type="spellStart"/>
      <w:r w:rsidR="00411408" w:rsidRPr="00E90284">
        <w:t>EA.4</w:t>
      </w:r>
      <w:r w:rsidR="005E0F4A" w:rsidRPr="00E90284">
        <w:t>7</w:t>
      </w:r>
      <w:proofErr w:type="spellEnd"/>
      <w:r w:rsidR="00411408" w:rsidRPr="00E90284">
        <w:t>)</w:t>
      </w:r>
      <w:r w:rsidRPr="00E90284">
        <w:t xml:space="preserve">. The medical practitioner workforce grew at an average annual rate of </w:t>
      </w:r>
      <w:r w:rsidR="00F427D3" w:rsidRPr="00E90284">
        <w:t>3.8</w:t>
      </w:r>
      <w:r w:rsidR="003B3E3B" w:rsidRPr="00E90284">
        <w:t> per cent from 200</w:t>
      </w:r>
      <w:r w:rsidR="00F427D3" w:rsidRPr="00E90284">
        <w:t>8</w:t>
      </w:r>
      <w:r w:rsidR="003B3E3B" w:rsidRPr="00E90284">
        <w:t xml:space="preserve"> to 201</w:t>
      </w:r>
      <w:r w:rsidR="00F427D3" w:rsidRPr="00E90284">
        <w:t>2</w:t>
      </w:r>
      <w:r w:rsidR="00411408" w:rsidRPr="00E90284">
        <w:t xml:space="preserve"> (figure </w:t>
      </w:r>
      <w:proofErr w:type="spellStart"/>
      <w:r w:rsidR="00411408" w:rsidRPr="00E90284">
        <w:t>E.18</w:t>
      </w:r>
      <w:proofErr w:type="spellEnd"/>
      <w:r w:rsidR="00411408" w:rsidRPr="00E90284">
        <w:t>)</w:t>
      </w:r>
      <w:r w:rsidR="003B3E3B" w:rsidRPr="00E90284">
        <w:t>.</w:t>
      </w:r>
      <w:r w:rsidRPr="00E90284">
        <w:t xml:space="preserve"> The nursing and midwifery workforce grew</w:t>
      </w:r>
      <w:r w:rsidRPr="00777071">
        <w:t xml:space="preserve"> at an </w:t>
      </w:r>
      <w:r w:rsidRPr="004B7C96">
        <w:t>average rate of 1.</w:t>
      </w:r>
      <w:r w:rsidR="004B7C96" w:rsidRPr="004B7C96">
        <w:t>8</w:t>
      </w:r>
      <w:r w:rsidRPr="004B7C96">
        <w:t xml:space="preserve"> per cent annually from </w:t>
      </w:r>
      <w:r w:rsidR="004B7C96" w:rsidRPr="004B7C96">
        <w:t>2008</w:t>
      </w:r>
      <w:r w:rsidR="00777071" w:rsidRPr="004B7C96">
        <w:t xml:space="preserve"> to 201</w:t>
      </w:r>
      <w:r w:rsidR="004B7C96" w:rsidRPr="004B7C96">
        <w:t>2</w:t>
      </w:r>
      <w:r w:rsidR="00777071" w:rsidRPr="004B7C96">
        <w:t xml:space="preserve"> </w:t>
      </w:r>
      <w:r w:rsidRPr="004B7C96">
        <w:t xml:space="preserve">(figure </w:t>
      </w:r>
      <w:proofErr w:type="spellStart"/>
      <w:r w:rsidRPr="004B7C96">
        <w:t>E.18</w:t>
      </w:r>
      <w:proofErr w:type="spellEnd"/>
      <w:r w:rsidRPr="00777071">
        <w:t>), and 47.</w:t>
      </w:r>
      <w:r w:rsidR="00777071">
        <w:t>0</w:t>
      </w:r>
      <w:r w:rsidRPr="00777071">
        <w:t xml:space="preserve"> per cent of employed nurses were under the age of 45 in 2011</w:t>
      </w:r>
      <w:r w:rsidR="00411408">
        <w:t xml:space="preserve"> (table </w:t>
      </w:r>
      <w:proofErr w:type="spellStart"/>
      <w:r w:rsidR="00411408">
        <w:t>EA.4</w:t>
      </w:r>
      <w:r w:rsidR="005E0F4A">
        <w:t>8</w:t>
      </w:r>
      <w:proofErr w:type="spellEnd"/>
      <w:r w:rsidR="00411408">
        <w:t>)</w:t>
      </w:r>
      <w:r w:rsidRPr="00777071">
        <w:t>.</w:t>
      </w:r>
    </w:p>
    <w:p w:rsidR="009B002C" w:rsidRPr="002055B1" w:rsidRDefault="009B002C" w:rsidP="0015543E">
      <w:pPr>
        <w:pStyle w:val="BodyText"/>
        <w:shd w:val="clear" w:color="auto" w:fill="FFFFFF" w:themeFill="background1"/>
        <w:rPr>
          <w:rStyle w:val="DraftingNote"/>
        </w:rPr>
      </w:pPr>
      <w:r w:rsidRPr="0015543E">
        <w:t xml:space="preserve">Nationally, </w:t>
      </w:r>
      <w:r w:rsidR="00926E2F" w:rsidRPr="0015543E">
        <w:t xml:space="preserve">0.8 per cent of the nursing and midwifery workforce were Indigenous in 2012 (table </w:t>
      </w:r>
      <w:proofErr w:type="spellStart"/>
      <w:r w:rsidR="00926E2F" w:rsidRPr="0015543E">
        <w:t>EA.50</w:t>
      </w:r>
      <w:proofErr w:type="spellEnd"/>
      <w:r w:rsidR="00926E2F" w:rsidRPr="0015543E">
        <w:t>).</w:t>
      </w:r>
      <w:r w:rsidR="00926E2F">
        <w:t xml:space="preserve"> O</w:t>
      </w:r>
      <w:r w:rsidRPr="00185CA5">
        <w:t xml:space="preserve">f people employed in health-related occupations </w:t>
      </w:r>
      <w:r w:rsidR="00926E2F" w:rsidRPr="00185CA5">
        <w:t>in 2011</w:t>
      </w:r>
      <w:r w:rsidR="00926E2F">
        <w:t xml:space="preserve">, </w:t>
      </w:r>
      <w:r w:rsidR="00926E2F" w:rsidRPr="00185CA5">
        <w:t xml:space="preserve">1.6 per cent </w:t>
      </w:r>
      <w:r w:rsidRPr="00185CA5">
        <w:t>were Indigenous. Within health related occupations in 2011, the occupations with the highest</w:t>
      </w:r>
      <w:r>
        <w:t xml:space="preserve"> percentage of Indigenous Australians were health and welfare support</w:t>
      </w:r>
      <w:r w:rsidR="00926E2F">
        <w:t xml:space="preserve"> </w:t>
      </w:r>
      <w:r>
        <w:t xml:space="preserve">officers, which includes the occupation Indigenous Health Workers </w:t>
      </w:r>
      <w:r>
        <w:br/>
        <w:t xml:space="preserve">(tables </w:t>
      </w:r>
      <w:proofErr w:type="spellStart"/>
      <w:r>
        <w:t>EA</w:t>
      </w:r>
      <w:r w:rsidR="001301F1">
        <w:t>.</w:t>
      </w:r>
      <w:r w:rsidR="00210D6E">
        <w:t>5</w:t>
      </w:r>
      <w:r w:rsidR="0038168A">
        <w:t>1</w:t>
      </w:r>
      <w:proofErr w:type="spellEnd"/>
      <w:r w:rsidR="005654C9">
        <w:t>–</w:t>
      </w:r>
      <w:proofErr w:type="spellStart"/>
      <w:r w:rsidR="005654C9">
        <w:t>EA.5</w:t>
      </w:r>
      <w:r w:rsidR="0038168A">
        <w:t>3</w:t>
      </w:r>
      <w:proofErr w:type="spellEnd"/>
      <w:r w:rsidR="00D57663">
        <w:t>).</w:t>
      </w:r>
    </w:p>
    <w:p w:rsidR="00C739E2" w:rsidRPr="009949A7" w:rsidRDefault="00C739E2" w:rsidP="008B11E3">
      <w:pPr>
        <w:pStyle w:val="FigureTitle"/>
        <w:rPr>
          <w:rStyle w:val="NoteLabel"/>
          <w:b/>
        </w:rPr>
      </w:pPr>
      <w:r w:rsidRPr="009949A7">
        <w:rPr>
          <w:b w:val="0"/>
        </w:rPr>
        <w:lastRenderedPageBreak/>
        <w:t xml:space="preserve">Figure </w:t>
      </w:r>
      <w:bookmarkStart w:id="39" w:name="OLE_LINK28"/>
      <w:proofErr w:type="spellStart"/>
      <w:r w:rsidR="00F156AA">
        <w:rPr>
          <w:b w:val="0"/>
        </w:rPr>
        <w:t>E.</w:t>
      </w:r>
      <w:r w:rsidR="00C01FBD">
        <w:rPr>
          <w:b w:val="0"/>
          <w:noProof/>
        </w:rPr>
        <w:t>18</w:t>
      </w:r>
      <w:bookmarkEnd w:id="39"/>
      <w:proofErr w:type="spellEnd"/>
      <w:r w:rsidRPr="009949A7">
        <w:tab/>
      </w:r>
      <w:r w:rsidR="00CC25B4">
        <w:t>Annual average</w:t>
      </w:r>
      <w:r w:rsidRPr="009949A7">
        <w:t xml:space="preserve"> growth in </w:t>
      </w:r>
      <w:r w:rsidR="003B3E3B">
        <w:t xml:space="preserve">selected </w:t>
      </w:r>
      <w:r w:rsidRPr="009949A7">
        <w:t>workforce</w:t>
      </w:r>
      <w:r w:rsidR="003B3E3B">
        <w:t>s,</w:t>
      </w:r>
      <w:r w:rsidR="00CC25B4">
        <w:t xml:space="preserve"> </w:t>
      </w:r>
      <w:r w:rsidR="003B3E3B">
        <w:br/>
      </w:r>
      <w:r w:rsidR="000F2DBA">
        <w:t>2008</w:t>
      </w:r>
      <w:r w:rsidR="00CC25B4">
        <w:t>–201</w:t>
      </w:r>
      <w:r w:rsidR="000F2DBA">
        <w:t>2</w:t>
      </w:r>
      <w:r w:rsidRPr="009949A7">
        <w:rPr>
          <w:rStyle w:val="NoteLabel"/>
          <w:b/>
        </w:rPr>
        <w:t>a,</w:t>
      </w:r>
      <w:r w:rsidRPr="009949A7">
        <w:t> </w:t>
      </w:r>
      <w:r w:rsidRPr="009949A7">
        <w:rPr>
          <w:rStyle w:val="NoteLabel"/>
          <w:b/>
        </w:rPr>
        <w:t>b</w:t>
      </w:r>
      <w:r w:rsidR="00B24A76">
        <w:rPr>
          <w:rStyle w:val="NoteLabel"/>
          <w:b/>
        </w:rPr>
        <w:t>,</w:t>
      </w:r>
      <w:r w:rsidR="003B3E3B">
        <w:rPr>
          <w:rStyle w:val="NoteLabel"/>
          <w:b/>
        </w:rPr>
        <w:t> </w:t>
      </w:r>
      <w:r w:rsidR="00B24A76">
        <w:rPr>
          <w:rStyle w:val="NoteLabel"/>
          <w:b/>
        </w:rPr>
        <w:t>c</w:t>
      </w:r>
      <w:r w:rsidR="003B3E3B">
        <w:rPr>
          <w:rStyle w:val="NoteLabel"/>
          <w:b/>
        </w:rPr>
        <w:t>, d, e</w:t>
      </w:r>
      <w:r w:rsidR="00D340CE">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739E2" w:rsidRPr="009949A7" w:rsidTr="002833EB">
        <w:tc>
          <w:tcPr>
            <w:tcW w:w="8777" w:type="dxa"/>
            <w:tcBorders>
              <w:top w:val="single" w:sz="6" w:space="0" w:color="auto"/>
              <w:left w:val="nil"/>
              <w:bottom w:val="single" w:sz="6" w:space="0" w:color="auto"/>
            </w:tcBorders>
            <w:shd w:val="clear" w:color="auto" w:fill="auto"/>
          </w:tcPr>
          <w:p w:rsidR="00C739E2" w:rsidRPr="009949A7" w:rsidRDefault="009B76FC" w:rsidP="00D712B4">
            <w:pPr>
              <w:pStyle w:val="Figure"/>
              <w:pBdr>
                <w:right w:val="single" w:sz="12" w:space="4" w:color="auto"/>
              </w:pBdr>
            </w:pPr>
            <w:r>
              <w:rPr>
                <w:noProof/>
              </w:rPr>
              <w:drawing>
                <wp:inline distT="0" distB="0" distL="0" distR="0" wp14:anchorId="2FF3C7D9" wp14:editId="3646ADB8">
                  <wp:extent cx="5389880" cy="2700020"/>
                  <wp:effectExtent l="0" t="0" r="0" b="0"/>
                  <wp:docPr id="26" name="Picture 26" descr="Figure E.18 Annual average growth in selected workforces, &#10;2008–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9880" cy="2700020"/>
                          </a:xfrm>
                          <a:prstGeom prst="rect">
                            <a:avLst/>
                          </a:prstGeom>
                          <a:noFill/>
                          <a:ln>
                            <a:noFill/>
                          </a:ln>
                        </pic:spPr>
                      </pic:pic>
                    </a:graphicData>
                  </a:graphic>
                </wp:inline>
              </w:drawing>
            </w:r>
          </w:p>
        </w:tc>
      </w:tr>
    </w:tbl>
    <w:p w:rsidR="00C739E2" w:rsidRDefault="00C739E2" w:rsidP="00E90284">
      <w:pPr>
        <w:pStyle w:val="Note"/>
      </w:pPr>
      <w:r w:rsidRPr="009949A7">
        <w:rPr>
          <w:rStyle w:val="NoteLabel"/>
        </w:rPr>
        <w:t>a</w:t>
      </w:r>
      <w:r w:rsidRPr="009949A7">
        <w:sym w:font="Symbol" w:char="F020"/>
      </w:r>
      <w:r w:rsidRPr="008B11E3">
        <w:rPr>
          <w:shd w:val="clear" w:color="auto" w:fill="FFFFFF" w:themeFill="background1"/>
        </w:rPr>
        <w:t xml:space="preserve">Net growth measures the change in the FTE number in the workforce in the reference year compared to the </w:t>
      </w:r>
      <w:r w:rsidRPr="00E90284">
        <w:t xml:space="preserve">year prior to the reference year. </w:t>
      </w:r>
      <w:r w:rsidRPr="00E90284">
        <w:rPr>
          <w:rStyle w:val="NoteLabel"/>
        </w:rPr>
        <w:t>b</w:t>
      </w:r>
      <w:r w:rsidRPr="00E90284">
        <w:sym w:font="Symbol" w:char="F020"/>
      </w:r>
      <w:r w:rsidRPr="00E90284">
        <w:t>FTEs calculated based on a 40-hour standard working week for medical practitioners and a 38-hour week for nurses/midwives.</w:t>
      </w:r>
      <w:r w:rsidR="00857618" w:rsidRPr="00E90284">
        <w:t xml:space="preserve"> </w:t>
      </w:r>
      <w:r w:rsidR="00857618" w:rsidRPr="00E90284">
        <w:rPr>
          <w:rStyle w:val="NoteLabel"/>
        </w:rPr>
        <w:t>c</w:t>
      </w:r>
      <w:r w:rsidR="003B3E3B" w:rsidRPr="00E90284">
        <w:t> </w:t>
      </w:r>
      <w:r w:rsidR="00F1278B" w:rsidRPr="00E90284">
        <w:t xml:space="preserve">From 2010, health workforce labour surveys are conducted at the national level and survey questions are consistent across jurisdictions. For 2009 and previous years, surveys were managed by each jurisdiction’s health authority and there were some differences in survey questions between jurisdictions and within jurisdictions over time. This has little impact on the data reported here. However, caution should be used in comparing data between jurisdictions and over time (see </w:t>
      </w:r>
      <w:proofErr w:type="spellStart"/>
      <w:r w:rsidR="00F1278B" w:rsidRPr="00E90284">
        <w:t>DQI</w:t>
      </w:r>
      <w:proofErr w:type="spellEnd"/>
      <w:r w:rsidR="00F1278B" w:rsidRPr="00E90284">
        <w:t xml:space="preserve"> for further details) </w:t>
      </w:r>
      <w:r w:rsidR="003B3E3B" w:rsidRPr="00E90284">
        <w:rPr>
          <w:rStyle w:val="NoteLabel"/>
        </w:rPr>
        <w:t>d</w:t>
      </w:r>
      <w:r w:rsidR="003B3E3B" w:rsidRPr="00E90284">
        <w:t> </w:t>
      </w:r>
      <w:r w:rsidR="00F1278B" w:rsidRPr="00E90284">
        <w:t>From</w:t>
      </w:r>
      <w:r w:rsidR="003B3E3B" w:rsidRPr="00E90284">
        <w:t xml:space="preserve"> 2011, state and territory is derived from state and territory of main job where available; otherwise state and territory of principal practice is used as a proxy. If principal practice details are unavailable, state and territory of residence is used. Records with no information on all three locations are coded to ‘Not stated’.</w:t>
      </w:r>
      <w:r w:rsidR="003B3E3B" w:rsidRPr="00E90284">
        <w:rPr>
          <w:rStyle w:val="NoteLabel"/>
        </w:rPr>
        <w:t xml:space="preserve"> e</w:t>
      </w:r>
      <w:r w:rsidR="003B3E3B" w:rsidRPr="00E90284">
        <w:t> Data for 2007, 2008 and 2009 are for the workforce (i.e. including those employed, on extended leave and looking for</w:t>
      </w:r>
      <w:r w:rsidR="00F529BD" w:rsidRPr="00E90284">
        <w:t xml:space="preserve"> work in the workforce). Data f</w:t>
      </w:r>
      <w:r w:rsidR="003B3E3B" w:rsidRPr="00E90284">
        <w:t>r</w:t>
      </w:r>
      <w:r w:rsidR="00F529BD" w:rsidRPr="00E90284">
        <w:t>om</w:t>
      </w:r>
      <w:r w:rsidR="003B3E3B" w:rsidRPr="00E90284">
        <w:t xml:space="preserve"> 2010 are only for t</w:t>
      </w:r>
      <w:r w:rsidR="00F529BD" w:rsidRPr="00E90284">
        <w:t>hose employed in the workforce.</w:t>
      </w:r>
      <w:r w:rsidR="00D340CE" w:rsidRPr="00E90284">
        <w:t xml:space="preserve"> </w:t>
      </w:r>
      <w:r w:rsidR="00D340CE" w:rsidRPr="00E90284">
        <w:rPr>
          <w:rStyle w:val="NoteLabel"/>
        </w:rPr>
        <w:t>f</w:t>
      </w:r>
      <w:r w:rsidR="00D340CE" w:rsidRPr="00E90284">
        <w:t xml:space="preserve"> Caution should be used in comparing </w:t>
      </w:r>
      <w:r w:rsidR="00991DB9" w:rsidRPr="00E90284">
        <w:t xml:space="preserve">medical workforce </w:t>
      </w:r>
      <w:r w:rsidR="00D340CE" w:rsidRPr="00E90284">
        <w:t>data for the NT with other jurisdictions from 2010 as this was the first year of changed doctors’ registration requirements (in particular, doctors providing fly in fly out services are no longer required to register in the NT where they are registered nationally).</w:t>
      </w:r>
    </w:p>
    <w:p w:rsidR="00C739E2" w:rsidRDefault="00C739E2" w:rsidP="008B11E3">
      <w:pPr>
        <w:pStyle w:val="Source"/>
      </w:pPr>
      <w:r w:rsidRPr="009949A7">
        <w:rPr>
          <w:i/>
        </w:rPr>
        <w:t>Source</w:t>
      </w:r>
      <w:r w:rsidRPr="009949A7">
        <w:t xml:space="preserve">: </w:t>
      </w:r>
      <w:proofErr w:type="spellStart"/>
      <w:r w:rsidR="00931B5C" w:rsidRPr="00CC25B4">
        <w:rPr>
          <w:lang w:val="en"/>
        </w:rPr>
        <w:t>AIHW</w:t>
      </w:r>
      <w:proofErr w:type="spellEnd"/>
      <w:r w:rsidR="00931B5C" w:rsidRPr="00CC25B4">
        <w:rPr>
          <w:lang w:val="en"/>
        </w:rPr>
        <w:t xml:space="preserve"> (unpublished) National Health Workforce Data Set; </w:t>
      </w:r>
      <w:r w:rsidR="003B3E3B" w:rsidRPr="003B3E3B">
        <w:t>ABS (unpublished) Estimated Resident Population (based on the 2011 ABS Census of Population and Housing)</w:t>
      </w:r>
      <w:r w:rsidR="00E64830">
        <w:rPr>
          <w:lang w:val="en"/>
        </w:rPr>
        <w:t xml:space="preserve">; table </w:t>
      </w:r>
      <w:proofErr w:type="spellStart"/>
      <w:r w:rsidR="00E64830">
        <w:rPr>
          <w:lang w:val="en"/>
        </w:rPr>
        <w:t>EA.49</w:t>
      </w:r>
      <w:proofErr w:type="spellEnd"/>
      <w:r w:rsidR="0069031E">
        <w:rPr>
          <w:lang w:val="en"/>
        </w:rPr>
        <w:t>.</w:t>
      </w:r>
    </w:p>
    <w:p w:rsidR="005622E8" w:rsidRDefault="005622E8" w:rsidP="005622E8">
      <w:pPr>
        <w:pStyle w:val="Heading4"/>
      </w:pPr>
      <w:bookmarkStart w:id="40" w:name="_Toc23908903"/>
      <w:r>
        <w:t xml:space="preserve">Access to services </w:t>
      </w:r>
      <w:r w:rsidR="00562DA3">
        <w:t xml:space="preserve">compared to need </w:t>
      </w:r>
      <w:r>
        <w:t xml:space="preserve">by type of service </w:t>
      </w:r>
    </w:p>
    <w:p w:rsidR="005622E8" w:rsidRPr="009607E2" w:rsidRDefault="005622E8" w:rsidP="005622E8">
      <w:pPr>
        <w:pStyle w:val="BodyText"/>
      </w:pPr>
      <w:r>
        <w:t xml:space="preserve">‘Access to services </w:t>
      </w:r>
      <w:r w:rsidR="00562DA3">
        <w:t xml:space="preserve">compared to need </w:t>
      </w:r>
      <w:r>
        <w:t>by type of service’ is an indicator of governments’ objective that Indigenous Australians and those living in rural and remote areas or on low incomes achieve health outcomes comparable to the broader population (box</w:t>
      </w:r>
      <w:r w:rsidR="008C3FF7">
        <w:t xml:space="preserve"> </w:t>
      </w:r>
      <w:proofErr w:type="spellStart"/>
      <w:r w:rsidR="008015EB">
        <w:t>E.8</w:t>
      </w:r>
      <w:proofErr w:type="spellEnd"/>
      <w:r>
        <w:t>).</w:t>
      </w:r>
    </w:p>
    <w:p w:rsidR="00F95D5D" w:rsidRPr="00007204" w:rsidRDefault="00F95D5D" w:rsidP="00E90284">
      <w:pPr>
        <w:pStyle w:val="BodyText"/>
        <w:rPr>
          <w:rStyle w:val="DraftingNote"/>
        </w:rPr>
      </w:pPr>
      <w:r w:rsidRPr="00E7157C">
        <w:t xml:space="preserve">Results from </w:t>
      </w:r>
      <w:r w:rsidRPr="00E90284">
        <w:t xml:space="preserve">the </w:t>
      </w:r>
      <w:r w:rsidR="008C330E" w:rsidRPr="00E90284">
        <w:t>2011</w:t>
      </w:r>
      <w:r w:rsidRPr="00E90284">
        <w:noBreakHyphen/>
      </w:r>
      <w:r w:rsidR="008C330E" w:rsidRPr="00E90284">
        <w:t>12</w:t>
      </w:r>
      <w:r w:rsidRPr="00E90284">
        <w:t> </w:t>
      </w:r>
      <w:r w:rsidR="008C330E" w:rsidRPr="00E90284">
        <w:t>Australian</w:t>
      </w:r>
      <w:r w:rsidRPr="00E90284">
        <w:t xml:space="preserve"> Health Survey indicate that the majority of Australians (85</w:t>
      </w:r>
      <w:r w:rsidR="008C330E" w:rsidRPr="00E90284">
        <w:t>.6</w:t>
      </w:r>
      <w:r w:rsidRPr="00E90284">
        <w:t> per cent) aged 15 years or over reported their health as either good, very good or excellent (ABS </w:t>
      </w:r>
      <w:r w:rsidR="00007204" w:rsidRPr="00E90284">
        <w:t>2012</w:t>
      </w:r>
      <w:r w:rsidRPr="00E90284">
        <w:t>). In the 20</w:t>
      </w:r>
      <w:r w:rsidR="00A856F3" w:rsidRPr="00E90284">
        <w:t>12-13</w:t>
      </w:r>
      <w:r w:rsidRPr="00E90284">
        <w:t> </w:t>
      </w:r>
      <w:r w:rsidR="00A856F3" w:rsidRPr="00E90284">
        <w:t xml:space="preserve">Australian Aboriginal and </w:t>
      </w:r>
      <w:r w:rsidR="00A856F3" w:rsidRPr="00E90284">
        <w:lastRenderedPageBreak/>
        <w:t>Torres Strait Islander Health Survey</w:t>
      </w:r>
      <w:r w:rsidRPr="00E90284">
        <w:t>, 7</w:t>
      </w:r>
      <w:r w:rsidR="00A856F3" w:rsidRPr="00E90284">
        <w:t>5</w:t>
      </w:r>
      <w:r w:rsidRPr="00E90284">
        <w:t> per cent of Indigenous Australians rep</w:t>
      </w:r>
      <w:r w:rsidRPr="00E7157C">
        <w:t>orted their health as either good, very good or excellent (</w:t>
      </w:r>
      <w:r w:rsidR="008D0537" w:rsidRPr="006F007C">
        <w:t>ABS </w:t>
      </w:r>
      <w:proofErr w:type="spellStart"/>
      <w:r w:rsidR="008D0537" w:rsidRPr="006F007C">
        <w:t>2013a</w:t>
      </w:r>
      <w:proofErr w:type="spellEnd"/>
      <w:r>
        <w:t>)</w:t>
      </w:r>
      <w:r w:rsidRPr="00E7157C">
        <w:t>.</w:t>
      </w:r>
    </w:p>
    <w:p w:rsidR="005622E8" w:rsidRDefault="005622E8" w:rsidP="005622E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22E8" w:rsidTr="005622E8">
        <w:tc>
          <w:tcPr>
            <w:tcW w:w="8771" w:type="dxa"/>
            <w:tcBorders>
              <w:top w:val="single" w:sz="6" w:space="0" w:color="auto"/>
              <w:bottom w:val="nil"/>
            </w:tcBorders>
          </w:tcPr>
          <w:p w:rsidR="005622E8" w:rsidRDefault="005622E8" w:rsidP="000E6511">
            <w:pPr>
              <w:pStyle w:val="BoxTitle"/>
            </w:pPr>
            <w:r>
              <w:rPr>
                <w:b w:val="0"/>
              </w:rPr>
              <w:t xml:space="preserve">Box </w:t>
            </w:r>
            <w:bookmarkStart w:id="41" w:name="OLE_LINK8"/>
            <w:proofErr w:type="spellStart"/>
            <w:r w:rsidR="00F156AA">
              <w:rPr>
                <w:b w:val="0"/>
              </w:rPr>
              <w:t>E.</w:t>
            </w:r>
            <w:bookmarkEnd w:id="41"/>
            <w:r w:rsidR="000E6511">
              <w:rPr>
                <w:b w:val="0"/>
              </w:rPr>
              <w:t>8</w:t>
            </w:r>
            <w:proofErr w:type="spellEnd"/>
            <w:r>
              <w:tab/>
              <w:t xml:space="preserve">Access to services </w:t>
            </w:r>
            <w:r w:rsidR="00562DA3">
              <w:t xml:space="preserve">compared to need </w:t>
            </w:r>
            <w:r>
              <w:t xml:space="preserve">by type of service </w:t>
            </w:r>
          </w:p>
        </w:tc>
      </w:tr>
      <w:tr w:rsidR="005622E8" w:rsidTr="005622E8">
        <w:trPr>
          <w:cantSplit/>
        </w:trPr>
        <w:tc>
          <w:tcPr>
            <w:tcW w:w="8771" w:type="dxa"/>
            <w:tcBorders>
              <w:top w:val="nil"/>
              <w:left w:val="single" w:sz="6" w:space="0" w:color="auto"/>
              <w:bottom w:val="nil"/>
              <w:right w:val="single" w:sz="6" w:space="0" w:color="auto"/>
            </w:tcBorders>
          </w:tcPr>
          <w:p w:rsidR="005622E8" w:rsidRDefault="005622E8" w:rsidP="005622E8">
            <w:pPr>
              <w:pStyle w:val="Box"/>
            </w:pPr>
            <w:r>
              <w:t xml:space="preserve">‘Access to services </w:t>
            </w:r>
            <w:r w:rsidR="00562DA3">
              <w:t xml:space="preserve">compared to need </w:t>
            </w:r>
            <w:r>
              <w:t>by type of service’ is defined as the number of people aged 15 years or over who accessed a particular health service in the past 12</w:t>
            </w:r>
            <w:r w:rsidR="00A86363">
              <w:t> </w:t>
            </w:r>
            <w:r>
              <w:t xml:space="preserve">months (for hospital </w:t>
            </w:r>
            <w:r w:rsidRPr="00E90284">
              <w:t>admissions)</w:t>
            </w:r>
            <w:r w:rsidR="00A86363" w:rsidRPr="00E90284">
              <w:t>,</w:t>
            </w:r>
            <w:r w:rsidRPr="00E90284">
              <w:t xml:space="preserve"> </w:t>
            </w:r>
            <w:r w:rsidR="00A86363" w:rsidRPr="00E90284">
              <w:t xml:space="preserve">3 months (for dental services) or </w:t>
            </w:r>
            <w:r w:rsidRPr="00E90284">
              <w:t>2 weeks (for other health services) divided by the population aged 15 years or over</w:t>
            </w:r>
            <w:r w:rsidR="00B43EC6" w:rsidRPr="00E90284">
              <w:t>,</w:t>
            </w:r>
            <w:r w:rsidRPr="00E90284">
              <w:t xml:space="preserve"> expressed as a percentage. </w:t>
            </w:r>
            <w:r w:rsidRPr="00E90284">
              <w:rPr>
                <w:color w:val="000000"/>
              </w:rPr>
              <w:t xml:space="preserve">Rates are age </w:t>
            </w:r>
            <w:r w:rsidRPr="00E90284">
              <w:t>standardised and calculated separately for each type of service and by categories of self</w:t>
            </w:r>
            <w:r w:rsidRPr="00E90284">
              <w:noBreakHyphen/>
              <w:t>assessed health status.</w:t>
            </w:r>
            <w:r w:rsidR="0077420C" w:rsidRPr="00E90284">
              <w:t xml:space="preserve"> </w:t>
            </w:r>
            <w:r w:rsidRPr="00E90284">
              <w:rPr>
                <w:rFonts w:cs="Arial"/>
              </w:rPr>
              <w:t>Service types are: admitted hospitalisations, casualty/outpatients, GP and/or specialist doctor consultations, consultations with other health professional and dental consultation.</w:t>
            </w:r>
            <w:r w:rsidR="0077420C" w:rsidRPr="00E90284">
              <w:rPr>
                <w:rFonts w:cs="Arial"/>
              </w:rPr>
              <w:t xml:space="preserve"> </w:t>
            </w:r>
            <w:r w:rsidR="0077420C" w:rsidRPr="00E90284">
              <w:t>Self-assessed</w:t>
            </w:r>
            <w:r w:rsidRPr="00E90284">
              <w:t xml:space="preserve"> health status i</w:t>
            </w:r>
            <w:r w:rsidRPr="00E90284">
              <w:rPr>
                <w:rFonts w:cs="Arial"/>
              </w:rPr>
              <w:t xml:space="preserve">s categorised as </w:t>
            </w:r>
            <w:r w:rsidR="00B43EC6" w:rsidRPr="00E90284">
              <w:rPr>
                <w:rFonts w:cs="Arial"/>
              </w:rPr>
              <w:t xml:space="preserve">excellent/very good/good and </w:t>
            </w:r>
            <w:r w:rsidRPr="00E90284">
              <w:rPr>
                <w:rFonts w:cs="Arial"/>
              </w:rPr>
              <w:t>fair/poor</w:t>
            </w:r>
            <w:r w:rsidR="00A86363" w:rsidRPr="00E90284">
              <w:rPr>
                <w:rFonts w:cs="Arial"/>
              </w:rPr>
              <w:t>.</w:t>
            </w:r>
            <w:r w:rsidRPr="00E90284">
              <w:rPr>
                <w:rFonts w:cs="Arial"/>
              </w:rPr>
              <w:t xml:space="preserve"> </w:t>
            </w:r>
            <w:r w:rsidR="00A86363" w:rsidRPr="00E90284">
              <w:rPr>
                <w:rFonts w:cs="Arial"/>
              </w:rPr>
              <w:t xml:space="preserve">Data </w:t>
            </w:r>
            <w:r w:rsidRPr="00E90284">
              <w:rPr>
                <w:rFonts w:cs="Arial"/>
              </w:rPr>
              <w:t xml:space="preserve">are reported </w:t>
            </w:r>
            <w:r w:rsidR="00A86363" w:rsidRPr="00E90284">
              <w:rPr>
                <w:rFonts w:cs="Arial"/>
              </w:rPr>
              <w:t xml:space="preserve">for all Australians </w:t>
            </w:r>
            <w:r w:rsidRPr="00E90284">
              <w:rPr>
                <w:rFonts w:cs="Arial"/>
              </w:rPr>
              <w:t xml:space="preserve">by </w:t>
            </w:r>
            <w:r w:rsidR="00A86363" w:rsidRPr="00E90284">
              <w:rPr>
                <w:rFonts w:cs="Arial"/>
              </w:rPr>
              <w:t xml:space="preserve">remoteness and by </w:t>
            </w:r>
            <w:r w:rsidR="00A86363" w:rsidRPr="00E90284">
              <w:t>Socio Economic Indexes for Areas (</w:t>
            </w:r>
            <w:proofErr w:type="spellStart"/>
            <w:r w:rsidR="00A86363" w:rsidRPr="00E90284">
              <w:t>SEIFA</w:t>
            </w:r>
            <w:proofErr w:type="spellEnd"/>
            <w:r w:rsidR="00A86363" w:rsidRPr="00E90284">
              <w:t xml:space="preserve">) and for </w:t>
            </w:r>
            <w:r w:rsidRPr="00E90284">
              <w:rPr>
                <w:rFonts w:cs="Arial"/>
              </w:rPr>
              <w:t xml:space="preserve">Indigenous </w:t>
            </w:r>
            <w:r w:rsidR="00A86363" w:rsidRPr="00E90284">
              <w:rPr>
                <w:rFonts w:cs="Arial"/>
              </w:rPr>
              <w:t>Australians</w:t>
            </w:r>
            <w:r w:rsidRPr="00E90284">
              <w:rPr>
                <w:rFonts w:cs="Arial"/>
              </w:rPr>
              <w:t>.</w:t>
            </w:r>
          </w:p>
          <w:p w:rsidR="005622E8" w:rsidRDefault="005622E8" w:rsidP="005622E8">
            <w:pPr>
              <w:pStyle w:val="Box"/>
            </w:pPr>
            <w:r>
              <w:t>High or increasing rates of ‘</w:t>
            </w:r>
            <w:r w:rsidR="0077420C">
              <w:t xml:space="preserve">access </w:t>
            </w:r>
            <w:r>
              <w:t>to services</w:t>
            </w:r>
            <w:r w:rsidR="00562DA3">
              <w:t xml:space="preserve"> compared to need</w:t>
            </w:r>
            <w:r>
              <w:t xml:space="preserve"> by type of service’ are desirable, as are rates for those in disadvantaged groups being close to the rates for t</w:t>
            </w:r>
            <w:r w:rsidR="0086154B">
              <w:t>hose who are not disadvantaged.</w:t>
            </w:r>
          </w:p>
          <w:p w:rsidR="00072A17" w:rsidRDefault="005622E8" w:rsidP="005622E8">
            <w:pPr>
              <w:pStyle w:val="Box"/>
            </w:pPr>
            <w:r>
              <w:t xml:space="preserve">Data reported for this indicator are </w:t>
            </w:r>
          </w:p>
          <w:p w:rsidR="00072A17" w:rsidRDefault="00072A17" w:rsidP="00072A17">
            <w:pPr>
              <w:pStyle w:val="BoxListBullet"/>
            </w:pPr>
            <w:r w:rsidRPr="00072A17">
              <w:t xml:space="preserve">comparable (subject to caveats) across jurisdictions </w:t>
            </w:r>
            <w:r>
              <w:t>but not</w:t>
            </w:r>
            <w:r w:rsidRPr="00072A17">
              <w:t xml:space="preserve"> over time</w:t>
            </w:r>
          </w:p>
          <w:p w:rsidR="005622E8" w:rsidRDefault="00072A17" w:rsidP="00072A17">
            <w:pPr>
              <w:pStyle w:val="BoxListBullet"/>
            </w:pPr>
            <w:r>
              <w:t>complete</w:t>
            </w:r>
            <w:r w:rsidR="005622E8">
              <w:t xml:space="preserve"> </w:t>
            </w:r>
            <w:r w:rsidRPr="00072A17">
              <w:t xml:space="preserve">(subject to caveats) for the current reporting period. All required </w:t>
            </w:r>
            <w:r>
              <w:br/>
              <w:t>2011</w:t>
            </w:r>
            <w:r w:rsidR="0086154B">
              <w:noBreakHyphen/>
            </w:r>
            <w:r>
              <w:t>1</w:t>
            </w:r>
            <w:r w:rsidR="0086154B">
              <w:t>2</w:t>
            </w:r>
            <w:r w:rsidRPr="00072A17">
              <w:t xml:space="preserve"> data are available for all jurisdictions</w:t>
            </w:r>
          </w:p>
          <w:p w:rsidR="005622E8" w:rsidRPr="00D95479" w:rsidRDefault="00D95479" w:rsidP="009A26E5">
            <w:pPr>
              <w:spacing w:before="240" w:line="320" w:lineRule="atLeast"/>
              <w:jc w:val="both"/>
              <w:rPr>
                <w:szCs w:val="20"/>
              </w:rPr>
            </w:pPr>
            <w:r w:rsidRPr="00D95479">
              <w:rPr>
                <w:rFonts w:ascii="Arial" w:hAnsi="Arial"/>
                <w:sz w:val="22"/>
                <w:szCs w:val="20"/>
              </w:rPr>
              <w:t>Data quality</w:t>
            </w:r>
            <w:r w:rsidR="009A26E5">
              <w:rPr>
                <w:rFonts w:ascii="Arial" w:hAnsi="Arial"/>
                <w:sz w:val="22"/>
                <w:szCs w:val="20"/>
              </w:rPr>
              <w:t xml:space="preserve"> information for this indicator</w:t>
            </w:r>
            <w:r w:rsidRPr="00D95479">
              <w:rPr>
                <w:rFonts w:ascii="Arial" w:hAnsi="Arial"/>
                <w:sz w:val="22"/>
                <w:szCs w:val="20"/>
              </w:rPr>
              <w:t xml:space="preserve"> is under development.</w:t>
            </w:r>
          </w:p>
        </w:tc>
      </w:tr>
      <w:tr w:rsidR="005622E8" w:rsidTr="005622E8">
        <w:trPr>
          <w:cantSplit/>
        </w:trPr>
        <w:tc>
          <w:tcPr>
            <w:tcW w:w="8771" w:type="dxa"/>
            <w:tcBorders>
              <w:top w:val="nil"/>
              <w:left w:val="single" w:sz="6" w:space="0" w:color="auto"/>
              <w:bottom w:val="single" w:sz="6" w:space="0" w:color="auto"/>
              <w:right w:val="single" w:sz="6" w:space="0" w:color="auto"/>
            </w:tcBorders>
          </w:tcPr>
          <w:p w:rsidR="005622E8" w:rsidRDefault="005622E8" w:rsidP="005622E8">
            <w:pPr>
              <w:pStyle w:val="Box"/>
              <w:spacing w:before="0" w:line="120" w:lineRule="exact"/>
            </w:pPr>
          </w:p>
        </w:tc>
      </w:tr>
      <w:tr w:rsidR="005622E8" w:rsidTr="005622E8">
        <w:tc>
          <w:tcPr>
            <w:tcW w:w="8771" w:type="dxa"/>
            <w:tcBorders>
              <w:top w:val="nil"/>
              <w:left w:val="nil"/>
              <w:bottom w:val="nil"/>
              <w:right w:val="nil"/>
            </w:tcBorders>
          </w:tcPr>
          <w:p w:rsidR="005622E8" w:rsidRDefault="005622E8" w:rsidP="005622E8">
            <w:pPr>
              <w:pStyle w:val="Box"/>
              <w:keepNext w:val="0"/>
              <w:spacing w:before="60" w:after="60" w:line="80" w:lineRule="exact"/>
              <w:rPr>
                <w:b/>
                <w:color w:val="FF00FF"/>
                <w:sz w:val="14"/>
              </w:rPr>
            </w:pPr>
          </w:p>
        </w:tc>
      </w:tr>
    </w:tbl>
    <w:p w:rsidR="001D0377" w:rsidRPr="00007204" w:rsidRDefault="00E647B9" w:rsidP="00E647B9">
      <w:pPr>
        <w:pStyle w:val="BodyText"/>
        <w:rPr>
          <w:rStyle w:val="DraftingNote"/>
        </w:rPr>
      </w:pPr>
      <w:r>
        <w:t xml:space="preserve">The latest available data for self-assessed health status are from the 2012-13 </w:t>
      </w:r>
      <w:r w:rsidRPr="00BB70D6">
        <w:t xml:space="preserve">National Aboriginal and Torres Strait Islander Health </w:t>
      </w:r>
      <w:r w:rsidRPr="006F007C">
        <w:t xml:space="preserve">Survey </w:t>
      </w:r>
      <w:r>
        <w:t xml:space="preserve">for </w:t>
      </w:r>
      <w:r w:rsidRPr="00756D3E">
        <w:t xml:space="preserve">Indigenous </w:t>
      </w:r>
      <w:r>
        <w:t>Australians</w:t>
      </w:r>
      <w:r w:rsidRPr="00756D3E">
        <w:t xml:space="preserve"> </w:t>
      </w:r>
      <w:r w:rsidRPr="006F007C">
        <w:t>(ABS </w:t>
      </w:r>
      <w:proofErr w:type="spellStart"/>
      <w:r w:rsidRPr="006F007C">
        <w:t>2013a</w:t>
      </w:r>
      <w:proofErr w:type="spellEnd"/>
      <w:r w:rsidRPr="006F007C">
        <w:t xml:space="preserve">) </w:t>
      </w:r>
      <w:r>
        <w:t xml:space="preserve">and from the </w:t>
      </w:r>
      <w:r w:rsidRPr="006F007C">
        <w:t>2011</w:t>
      </w:r>
      <w:r w:rsidRPr="006F007C">
        <w:noBreakHyphen/>
        <w:t>12</w:t>
      </w:r>
      <w:r>
        <w:t xml:space="preserve"> </w:t>
      </w:r>
      <w:r w:rsidRPr="006F007C">
        <w:t xml:space="preserve">National Health Survey </w:t>
      </w:r>
      <w:r>
        <w:t>for non</w:t>
      </w:r>
      <w:r>
        <w:noBreakHyphen/>
        <w:t>Indigenous Australians</w:t>
      </w:r>
      <w:r w:rsidRPr="00756D3E">
        <w:t xml:space="preserve"> </w:t>
      </w:r>
      <w:r w:rsidRPr="006F007C">
        <w:t>(ABS 2012</w:t>
      </w:r>
      <w:r>
        <w:t xml:space="preserve">). </w:t>
      </w:r>
      <w:r w:rsidR="00550FB3">
        <w:t>Indigenous Australians</w:t>
      </w:r>
      <w:r w:rsidR="00BB70D6">
        <w:t xml:space="preserve"> were</w:t>
      </w:r>
      <w:r w:rsidR="005622E8" w:rsidRPr="00756D3E">
        <w:t xml:space="preserve"> less likely than non-</w:t>
      </w:r>
      <w:r w:rsidR="00550FB3">
        <w:t>Indigenous Australians</w:t>
      </w:r>
      <w:r w:rsidR="005622E8" w:rsidRPr="00756D3E">
        <w:t xml:space="preserve"> to report very good or excellent health. Taking into account differences in age structure between the populations, </w:t>
      </w:r>
      <w:r w:rsidR="00550FB3">
        <w:t>Indigenous Australians</w:t>
      </w:r>
      <w:r w:rsidR="005622E8" w:rsidRPr="00756D3E">
        <w:t xml:space="preserve"> overall were </w:t>
      </w:r>
      <w:r w:rsidR="00053B26" w:rsidRPr="009758A7">
        <w:t>more than</w:t>
      </w:r>
      <w:r w:rsidR="005622E8" w:rsidRPr="009758A7">
        <w:t xml:space="preserve"> twice as likely </w:t>
      </w:r>
      <w:r w:rsidR="005622E8" w:rsidRPr="00756D3E">
        <w:t>to report their health as fair or poor than non</w:t>
      </w:r>
      <w:r w:rsidR="005622E8" w:rsidRPr="00756D3E">
        <w:noBreakHyphen/>
        <w:t xml:space="preserve">Indigenous Australians </w:t>
      </w:r>
      <w:r w:rsidR="005622E8" w:rsidRPr="001D0377">
        <w:t xml:space="preserve">in </w:t>
      </w:r>
      <w:r w:rsidR="00053B26">
        <w:t>2011–13</w:t>
      </w:r>
      <w:r w:rsidR="0077420C" w:rsidRPr="001D0377">
        <w:t xml:space="preserve"> (</w:t>
      </w:r>
      <w:r w:rsidRPr="006F007C">
        <w:t>ABS </w:t>
      </w:r>
      <w:proofErr w:type="spellStart"/>
      <w:r w:rsidRPr="006F007C">
        <w:t>2013a</w:t>
      </w:r>
      <w:proofErr w:type="spellEnd"/>
      <w:r w:rsidR="0077420C" w:rsidRPr="001D0377">
        <w:t>).</w:t>
      </w:r>
    </w:p>
    <w:p w:rsidR="00CE5322" w:rsidRDefault="005622E8" w:rsidP="00E90284">
      <w:pPr>
        <w:pStyle w:val="BodyText"/>
      </w:pPr>
      <w:r w:rsidRPr="00756D3E">
        <w:t>Data from the</w:t>
      </w:r>
      <w:r w:rsidR="009609B2">
        <w:t xml:space="preserve"> survey</w:t>
      </w:r>
      <w:r w:rsidR="006C114B">
        <w:t>s</w:t>
      </w:r>
      <w:r w:rsidRPr="00756D3E">
        <w:t xml:space="preserve"> show </w:t>
      </w:r>
      <w:r w:rsidRPr="009F79EB">
        <w:t xml:space="preserve">that </w:t>
      </w:r>
      <w:r w:rsidR="00C7366E" w:rsidRPr="009F79EB">
        <w:t>27.1</w:t>
      </w:r>
      <w:r w:rsidRPr="009F79EB">
        <w:t xml:space="preserve"> per cent of Australians who reported their health status as being excellent/very good/good accessed health services in </w:t>
      </w:r>
      <w:r w:rsidR="00E64830" w:rsidRPr="009F79EB">
        <w:br/>
      </w:r>
      <w:r w:rsidR="00C7366E" w:rsidRPr="009F79EB">
        <w:t>2011</w:t>
      </w:r>
      <w:r w:rsidR="00C7366E" w:rsidRPr="009F79EB">
        <w:noBreakHyphen/>
      </w:r>
      <w:r w:rsidR="00E64830" w:rsidRPr="009F79EB">
        <w:t>1</w:t>
      </w:r>
      <w:r w:rsidR="00C7366E" w:rsidRPr="009F79EB">
        <w:t>2</w:t>
      </w:r>
      <w:r w:rsidRPr="009F79EB">
        <w:t xml:space="preserve">, while health services were accessed by </w:t>
      </w:r>
      <w:r w:rsidR="00C7366E" w:rsidRPr="009F79EB">
        <w:t>48.5</w:t>
      </w:r>
      <w:r w:rsidRPr="009F79EB">
        <w:t> per cent of people who reported their health status as being fair/poor (tab</w:t>
      </w:r>
      <w:r w:rsidRPr="00756D3E">
        <w:t>le </w:t>
      </w:r>
      <w:proofErr w:type="spellStart"/>
      <w:r w:rsidRPr="00756D3E">
        <w:t>EA.</w:t>
      </w:r>
      <w:r w:rsidR="00E36079">
        <w:t>5</w:t>
      </w:r>
      <w:r w:rsidR="00E64830">
        <w:t>4</w:t>
      </w:r>
      <w:proofErr w:type="spellEnd"/>
      <w:r w:rsidRPr="00756D3E">
        <w:t xml:space="preserve">). </w:t>
      </w:r>
    </w:p>
    <w:p w:rsidR="005622E8" w:rsidRPr="00391E16" w:rsidRDefault="00CE5322" w:rsidP="009758A7">
      <w:pPr>
        <w:pStyle w:val="BodyText"/>
        <w:rPr>
          <w:rStyle w:val="DraftingNote"/>
        </w:rPr>
      </w:pPr>
      <w:r w:rsidRPr="009F79EB">
        <w:t xml:space="preserve">Data for Indigenous Australians </w:t>
      </w:r>
      <w:r w:rsidR="00BC04B5" w:rsidRPr="009F79EB">
        <w:t xml:space="preserve">are not comparable with data for non-Indigenous Australians </w:t>
      </w:r>
      <w:r w:rsidR="00BC04B5">
        <w:t xml:space="preserve">due to </w:t>
      </w:r>
      <w:r w:rsidR="00FA42B2" w:rsidRPr="009F79EB">
        <w:t xml:space="preserve">a </w:t>
      </w:r>
      <w:r w:rsidRPr="009F79EB">
        <w:t xml:space="preserve">slightly different methodology. </w:t>
      </w:r>
      <w:r w:rsidR="00982E11">
        <w:t>Nationally</w:t>
      </w:r>
      <w:r w:rsidR="00E647B9">
        <w:t xml:space="preserve">, the proportion of </w:t>
      </w:r>
      <w:r w:rsidR="009E409C" w:rsidRPr="009F79EB">
        <w:lastRenderedPageBreak/>
        <w:t xml:space="preserve">Indigenous Australians </w:t>
      </w:r>
      <w:r w:rsidR="00982E11">
        <w:t>who accessed services varied significantly by self-assessed</w:t>
      </w:r>
      <w:r w:rsidR="00E647B9" w:rsidRPr="009F79EB">
        <w:t xml:space="preserve"> health status</w:t>
      </w:r>
      <w:r w:rsidR="00982E11">
        <w:t xml:space="preserve"> for hospital admissions and </w:t>
      </w:r>
      <w:r w:rsidR="008D7B2A">
        <w:t xml:space="preserve">doctor consultations, </w:t>
      </w:r>
      <w:r w:rsidR="00982E11">
        <w:t xml:space="preserve">but not </w:t>
      </w:r>
      <w:r w:rsidR="008D7B2A">
        <w:t xml:space="preserve">consultations </w:t>
      </w:r>
      <w:r w:rsidR="00982E11">
        <w:t xml:space="preserve">with other health professionals (figure </w:t>
      </w:r>
      <w:proofErr w:type="spellStart"/>
      <w:r w:rsidR="00982E11">
        <w:t>E.19</w:t>
      </w:r>
      <w:proofErr w:type="spellEnd"/>
      <w:r w:rsidR="00982E11">
        <w:t xml:space="preserve">). </w:t>
      </w:r>
      <w:r w:rsidR="008D7B2A" w:rsidRPr="008D7B2A">
        <w:t xml:space="preserve">Data for people accessing health services by Indigenous status in 2004-05 are reported in table </w:t>
      </w:r>
      <w:proofErr w:type="spellStart"/>
      <w:r w:rsidR="008D7B2A" w:rsidRPr="008D7B2A">
        <w:t>EA.57</w:t>
      </w:r>
      <w:proofErr w:type="spellEnd"/>
      <w:r w:rsidR="008C71C8">
        <w:t>.</w:t>
      </w:r>
    </w:p>
    <w:p w:rsidR="00F95D5D" w:rsidRDefault="00F95D5D" w:rsidP="00F95D5D">
      <w:pPr>
        <w:pStyle w:val="BodyText"/>
      </w:pPr>
      <w:r>
        <w:t>Data on t</w:t>
      </w:r>
      <w:r w:rsidRPr="00756D3E">
        <w:t xml:space="preserve">he proportion of people who accessed health services by remoteness and </w:t>
      </w:r>
      <w:proofErr w:type="spellStart"/>
      <w:r w:rsidR="009722F7">
        <w:t>SEIFA</w:t>
      </w:r>
      <w:proofErr w:type="spellEnd"/>
      <w:r>
        <w:t xml:space="preserve"> and data on the types of health services people accessed</w:t>
      </w:r>
      <w:r w:rsidRPr="00756D3E">
        <w:t xml:space="preserve"> are reported</w:t>
      </w:r>
      <w:r w:rsidR="00650A4E">
        <w:t xml:space="preserve"> for 2004-05 and 2011</w:t>
      </w:r>
      <w:r w:rsidR="00F772C2">
        <w:noBreakHyphen/>
      </w:r>
      <w:r w:rsidR="00650A4E">
        <w:t>1</w:t>
      </w:r>
      <w:r w:rsidR="00F772C2">
        <w:t>2</w:t>
      </w:r>
      <w:r w:rsidRPr="00756D3E">
        <w:t xml:space="preserve"> in tables </w:t>
      </w:r>
      <w:proofErr w:type="spellStart"/>
      <w:r w:rsidRPr="00756D3E">
        <w:t>EA.</w:t>
      </w:r>
      <w:r w:rsidR="005654C9">
        <w:t>5</w:t>
      </w:r>
      <w:r w:rsidR="00650A4E">
        <w:t>8</w:t>
      </w:r>
      <w:proofErr w:type="spellEnd"/>
      <w:r w:rsidRPr="00756D3E">
        <w:t>–</w:t>
      </w:r>
      <w:proofErr w:type="spellStart"/>
      <w:r w:rsidRPr="00756D3E">
        <w:t>EA.</w:t>
      </w:r>
      <w:r w:rsidR="005654C9">
        <w:t>61</w:t>
      </w:r>
      <w:proofErr w:type="spellEnd"/>
      <w:r w:rsidRPr="00756D3E">
        <w:t>.</w:t>
      </w:r>
    </w:p>
    <w:p w:rsidR="005622E8" w:rsidRPr="00756D3E" w:rsidRDefault="005622E8" w:rsidP="00E90284">
      <w:pPr>
        <w:pStyle w:val="FigureTitle"/>
      </w:pPr>
      <w:r w:rsidRPr="00756D3E">
        <w:rPr>
          <w:b w:val="0"/>
        </w:rPr>
        <w:t xml:space="preserve">Figure </w:t>
      </w:r>
      <w:bookmarkStart w:id="42" w:name="OLE_LINK31"/>
      <w:proofErr w:type="spellStart"/>
      <w:r w:rsidR="00F156AA">
        <w:rPr>
          <w:b w:val="0"/>
        </w:rPr>
        <w:t>E.</w:t>
      </w:r>
      <w:r w:rsidR="00C01FBD">
        <w:rPr>
          <w:b w:val="0"/>
          <w:noProof/>
        </w:rPr>
        <w:t>19</w:t>
      </w:r>
      <w:bookmarkEnd w:id="42"/>
      <w:proofErr w:type="spellEnd"/>
      <w:r w:rsidRPr="00756D3E">
        <w:tab/>
        <w:t xml:space="preserve">Proportion of </w:t>
      </w:r>
      <w:r w:rsidR="009E409C" w:rsidRPr="00756D3E">
        <w:t xml:space="preserve">Indigenous </w:t>
      </w:r>
      <w:r w:rsidR="009E409C">
        <w:t xml:space="preserve">Australians </w:t>
      </w:r>
      <w:r w:rsidRPr="00756D3E">
        <w:t>who accessed health services by health status</w:t>
      </w:r>
      <w:r w:rsidRPr="009F79EB">
        <w:t>, 20</w:t>
      </w:r>
      <w:r w:rsidR="009E409C" w:rsidRPr="009F79EB">
        <w:t>11</w:t>
      </w:r>
      <w:r w:rsidR="009E409C" w:rsidRPr="009F79EB">
        <w:noBreakHyphen/>
        <w:t>12</w:t>
      </w:r>
      <w:r w:rsidRPr="009F79EB">
        <w:rPr>
          <w:rStyle w:val="NoteLabel"/>
          <w:b/>
        </w:rPr>
        <w:t>a,</w:t>
      </w:r>
      <w:r w:rsidRPr="009F79EB">
        <w:t> </w:t>
      </w:r>
      <w:r w:rsidRPr="00756D3E">
        <w:rPr>
          <w:rStyle w:val="NoteLabel"/>
          <w:b/>
        </w:rPr>
        <w:t>b,</w:t>
      </w:r>
      <w:r w:rsidRPr="00756D3E">
        <w:t> </w:t>
      </w:r>
      <w:r w:rsidRPr="00756D3E">
        <w:rPr>
          <w:rStyle w:val="NoteLabel"/>
          <w:b/>
        </w:rPr>
        <w:t>c,</w:t>
      </w:r>
      <w:r w:rsidRPr="00756D3E">
        <w:t> </w:t>
      </w:r>
      <w:r w:rsidRPr="00756D3E">
        <w:rPr>
          <w:rStyle w:val="NoteLabel"/>
          <w:b/>
        </w:rPr>
        <w:t>d,</w:t>
      </w:r>
      <w:r w:rsidRPr="00756D3E">
        <w:t> </w:t>
      </w:r>
      <w:r w:rsidRPr="00756D3E">
        <w:rPr>
          <w:rStyle w:val="NoteLabel"/>
          <w:b/>
        </w:rPr>
        <w:t>e</w:t>
      </w:r>
      <w:r w:rsidR="00DC293C">
        <w:rPr>
          <w:rStyle w:val="NoteLabel"/>
          <w:b/>
        </w:rPr>
        <w:t>, f</w:t>
      </w:r>
      <w:r w:rsidR="00CE5322">
        <w:rPr>
          <w:rStyle w:val="NoteLabel"/>
          <w:b/>
        </w:rPr>
        <w:t>,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622E8" w:rsidRPr="00756D3E" w:rsidTr="005622E8">
        <w:tc>
          <w:tcPr>
            <w:tcW w:w="8777" w:type="dxa"/>
          </w:tcPr>
          <w:p w:rsidR="005622E8" w:rsidRPr="00756D3E" w:rsidRDefault="00F33E26" w:rsidP="00BC04B5">
            <w:pPr>
              <w:pStyle w:val="Figure"/>
              <w:spacing w:before="0"/>
            </w:pPr>
            <w:r>
              <w:rPr>
                <w:noProof/>
              </w:rPr>
              <w:drawing>
                <wp:inline distT="0" distB="0" distL="0" distR="0" wp14:anchorId="5083362C" wp14:editId="54C21704">
                  <wp:extent cx="5399063" cy="333828"/>
                  <wp:effectExtent l="0" t="0" r="0" b="9525"/>
                  <wp:docPr id="14" name="Picture 14" descr="Legend to Figure E.19 &#10;&#10;More details can be foudn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b="88384"/>
                          <a:stretch/>
                        </pic:blipFill>
                        <pic:spPr bwMode="auto">
                          <a:xfrm>
                            <a:off x="0" y="0"/>
                            <a:ext cx="5399063" cy="333828"/>
                          </a:xfrm>
                          <a:prstGeom prst="rect">
                            <a:avLst/>
                          </a:prstGeom>
                          <a:noFill/>
                          <a:ln>
                            <a:noFill/>
                          </a:ln>
                          <a:extLst>
                            <a:ext uri="{53640926-AAD7-44D8-BBD7-CCE9431645EC}">
                              <a14:shadowObscured xmlns:a14="http://schemas.microsoft.com/office/drawing/2010/main"/>
                            </a:ext>
                          </a:extLst>
                        </pic:spPr>
                      </pic:pic>
                    </a:graphicData>
                  </a:graphic>
                </wp:inline>
              </w:drawing>
            </w:r>
            <w:r w:rsidR="00D4270D">
              <w:rPr>
                <w:noProof/>
              </w:rPr>
              <w:t xml:space="preserve"> </w:t>
            </w:r>
            <w:r w:rsidR="009B76FC">
              <w:rPr>
                <w:noProof/>
              </w:rPr>
              <w:drawing>
                <wp:inline distT="0" distB="0" distL="0" distR="0" wp14:anchorId="34F9D6E9" wp14:editId="6FB6760B">
                  <wp:extent cx="5379085" cy="1624330"/>
                  <wp:effectExtent l="0" t="0" r="0" b="0"/>
                  <wp:docPr id="27" name="Picture 27" descr="Figure E.19 Proportion of Indigenous Australians who accessed health services by health status, 2011 12 - admitted to hos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79085" cy="1624330"/>
                          </a:xfrm>
                          <a:prstGeom prst="rect">
                            <a:avLst/>
                          </a:prstGeom>
                          <a:noFill/>
                          <a:ln>
                            <a:noFill/>
                          </a:ln>
                        </pic:spPr>
                      </pic:pic>
                    </a:graphicData>
                  </a:graphic>
                </wp:inline>
              </w:drawing>
            </w:r>
            <w:r w:rsidR="00480176">
              <w:rPr>
                <w:noProof/>
              </w:rPr>
              <w:drawing>
                <wp:inline distT="0" distB="0" distL="0" distR="0" wp14:anchorId="45DB7630" wp14:editId="0F51E263">
                  <wp:extent cx="5384800" cy="1610995"/>
                  <wp:effectExtent l="0" t="0" r="6350" b="8255"/>
                  <wp:docPr id="8" name="Picture 8" descr="Figure E.19 Proportion of Indigenous Australians who accessed health services by health status, 2011 12 - consulted a doctor&#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84800" cy="1610995"/>
                          </a:xfrm>
                          <a:prstGeom prst="rect">
                            <a:avLst/>
                          </a:prstGeom>
                          <a:noFill/>
                          <a:ln>
                            <a:noFill/>
                          </a:ln>
                        </pic:spPr>
                      </pic:pic>
                    </a:graphicData>
                  </a:graphic>
                </wp:inline>
              </w:drawing>
            </w:r>
            <w:r w:rsidR="00480176">
              <w:rPr>
                <w:noProof/>
              </w:rPr>
              <w:drawing>
                <wp:inline distT="0" distB="0" distL="0" distR="0" wp14:anchorId="5366A65D" wp14:editId="240912AE">
                  <wp:extent cx="5384800" cy="1610995"/>
                  <wp:effectExtent l="0" t="0" r="6350" b="8255"/>
                  <wp:docPr id="10" name="Picture 10" descr="Figure E.19 Proportion of Indigenous Australians who accessed health services by health status, 2011 12 - consulted other health profession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4800" cy="1610995"/>
                          </a:xfrm>
                          <a:prstGeom prst="rect">
                            <a:avLst/>
                          </a:prstGeom>
                          <a:noFill/>
                          <a:ln>
                            <a:noFill/>
                          </a:ln>
                        </pic:spPr>
                      </pic:pic>
                    </a:graphicData>
                  </a:graphic>
                </wp:inline>
              </w:drawing>
            </w:r>
          </w:p>
        </w:tc>
      </w:tr>
    </w:tbl>
    <w:p w:rsidR="005622E8" w:rsidRPr="00756D3E" w:rsidRDefault="005622E8" w:rsidP="00BC04B5">
      <w:pPr>
        <w:pStyle w:val="Note"/>
        <w:keepNext/>
      </w:pPr>
      <w:r w:rsidRPr="00756D3E">
        <w:rPr>
          <w:rStyle w:val="NoteLabel"/>
        </w:rPr>
        <w:t>a</w:t>
      </w:r>
      <w:r w:rsidRPr="00756D3E">
        <w:sym w:font="Symbol" w:char="F020"/>
      </w:r>
      <w:r w:rsidRPr="00756D3E">
        <w:t xml:space="preserve">Rates are age standardised by State/Territory to the 2001 estimated resident population. </w:t>
      </w:r>
      <w:r w:rsidRPr="00756D3E">
        <w:rPr>
          <w:rStyle w:val="NoteLabel"/>
        </w:rPr>
        <w:t>b</w:t>
      </w:r>
      <w:r w:rsidRPr="009F79EB">
        <w:sym w:font="Symbol" w:char="F020"/>
      </w:r>
      <w:r w:rsidR="007D2055" w:rsidRPr="009F79EB">
        <w:t xml:space="preserve">Data are not comparable with data for all Australians due to </w:t>
      </w:r>
      <w:r w:rsidR="00445829">
        <w:t>differences in methodology</w:t>
      </w:r>
      <w:r w:rsidR="00CE5322" w:rsidRPr="009F79EB">
        <w:t xml:space="preserve">. </w:t>
      </w:r>
      <w:r w:rsidR="00CE5322" w:rsidRPr="009F79EB">
        <w:rPr>
          <w:rStyle w:val="NoteLabel"/>
        </w:rPr>
        <w:t>c</w:t>
      </w:r>
      <w:r w:rsidR="00CE5322" w:rsidRPr="009F79EB">
        <w:sym w:font="Symbol" w:char="F020"/>
      </w:r>
      <w:r w:rsidRPr="009F79EB">
        <w:t xml:space="preserve">People </w:t>
      </w:r>
      <w:r w:rsidR="00E661D5" w:rsidRPr="009F79EB">
        <w:t xml:space="preserve">aged 15 years or over </w:t>
      </w:r>
      <w:r w:rsidRPr="009F79EB">
        <w:t xml:space="preserve">who </w:t>
      </w:r>
      <w:r w:rsidR="00E661D5">
        <w:t>consulted a doctor or another health professional in the last 2 weeks, or</w:t>
      </w:r>
      <w:r w:rsidR="00E661D5" w:rsidRPr="009F79EB">
        <w:t xml:space="preserve"> were admitted to hospital in the last 12 </w:t>
      </w:r>
      <w:r w:rsidR="00E661D5">
        <w:t>months.</w:t>
      </w:r>
      <w:r w:rsidRPr="009F79EB">
        <w:t xml:space="preserve"> </w:t>
      </w:r>
      <w:r w:rsidR="00CE5322" w:rsidRPr="009F79EB">
        <w:rPr>
          <w:rStyle w:val="NoteLabel"/>
        </w:rPr>
        <w:t>d</w:t>
      </w:r>
      <w:r w:rsidR="00E661D5">
        <w:rPr>
          <w:rStyle w:val="NoteLabel"/>
        </w:rPr>
        <w:t xml:space="preserve"> </w:t>
      </w:r>
      <w:r w:rsidR="003B7CB0">
        <w:t>Error bars represent the 95 per cent c</w:t>
      </w:r>
      <w:r w:rsidR="00E661D5">
        <w:t xml:space="preserve">onfidence intervals </w:t>
      </w:r>
      <w:r w:rsidR="003B7CB0">
        <w:t>associated with each estimate.</w:t>
      </w:r>
    </w:p>
    <w:p w:rsidR="005622E8" w:rsidRPr="00756D3E" w:rsidRDefault="005622E8" w:rsidP="00BC04B5">
      <w:pPr>
        <w:pStyle w:val="Source"/>
        <w:spacing w:after="0"/>
      </w:pPr>
      <w:r w:rsidRPr="00756D3E">
        <w:rPr>
          <w:i/>
        </w:rPr>
        <w:t>Source</w:t>
      </w:r>
      <w:r w:rsidRPr="00756D3E">
        <w:t xml:space="preserve">: ABS (unpublished) </w:t>
      </w:r>
      <w:r w:rsidR="00E661D5" w:rsidRPr="00E661D5">
        <w:rPr>
          <w:i/>
        </w:rPr>
        <w:t>National Aboriginal and Torres Strait Islander Health Survey, 2012-13</w:t>
      </w:r>
      <w:r w:rsidR="00C45955">
        <w:t xml:space="preserve">, </w:t>
      </w:r>
      <w:r w:rsidR="00E661D5" w:rsidRPr="00E661D5">
        <w:t>Cat. no. 4727.0.55.001</w:t>
      </w:r>
      <w:r w:rsidRPr="00756D3E">
        <w:t xml:space="preserve">; </w:t>
      </w:r>
      <w:r w:rsidRPr="009F79EB">
        <w:t>table </w:t>
      </w:r>
      <w:proofErr w:type="spellStart"/>
      <w:r w:rsidRPr="009F79EB">
        <w:t>EA.</w:t>
      </w:r>
      <w:r w:rsidR="00C45955" w:rsidRPr="009F79EB">
        <w:t>5</w:t>
      </w:r>
      <w:r w:rsidR="00E661D5">
        <w:t>6</w:t>
      </w:r>
      <w:proofErr w:type="spellEnd"/>
      <w:r w:rsidRPr="00756D3E">
        <w:t>.</w:t>
      </w:r>
    </w:p>
    <w:bookmarkEnd w:id="40"/>
    <w:p w:rsidR="001519D0" w:rsidRDefault="006F6FFC" w:rsidP="003C2610">
      <w:pPr>
        <w:pStyle w:val="Heading3"/>
      </w:pPr>
      <w:r w:rsidRPr="006F6FFC">
        <w:lastRenderedPageBreak/>
        <w:t>Service-specific performance indicator frameworks</w:t>
      </w:r>
    </w:p>
    <w:p w:rsidR="00E275A8" w:rsidRPr="00730025" w:rsidRDefault="00E275A8" w:rsidP="00E275A8">
      <w:pPr>
        <w:pStyle w:val="BodyText"/>
        <w:rPr>
          <w:snapToGrid w:val="0"/>
        </w:rPr>
      </w:pPr>
      <w:r>
        <w:rPr>
          <w:snapToGrid w:val="0"/>
        </w:rPr>
        <w:t xml:space="preserve">The health service specific frameworks in chapters 10, 11 and 12 </w:t>
      </w:r>
      <w:r w:rsidRPr="00182BEE">
        <w:t>reflect both the general Re</w:t>
      </w:r>
      <w:r w:rsidR="002D4456">
        <w:t>port</w:t>
      </w:r>
      <w:r w:rsidRPr="00182BEE">
        <w:t xml:space="preserve"> framework and the </w:t>
      </w:r>
      <w:r w:rsidRPr="00182BEE">
        <w:rPr>
          <w:snapToGrid w:val="0"/>
        </w:rPr>
        <w:t xml:space="preserve">National Health Performance </w:t>
      </w:r>
      <w:r w:rsidRPr="00182BEE">
        <w:t>Framework.</w:t>
      </w:r>
      <w:r>
        <w:rPr>
          <w:rStyle w:val="FootnoteReference"/>
        </w:rPr>
        <w:footnoteReference w:id="2"/>
      </w:r>
      <w:r w:rsidRPr="00182BEE">
        <w:t xml:space="preserve"> </w:t>
      </w:r>
      <w:r>
        <w:t>They</w:t>
      </w:r>
      <w:r w:rsidRPr="00182BEE">
        <w:t xml:space="preserve"> differ from the general Re</w:t>
      </w:r>
      <w:r w:rsidR="002D4456">
        <w:t>port</w:t>
      </w:r>
      <w:r w:rsidRPr="00182BEE">
        <w:t xml:space="preserve"> framework (see chapter 1) in two respects. First, </w:t>
      </w:r>
      <w:r>
        <w:t>they</w:t>
      </w:r>
      <w:r w:rsidRPr="00182BEE">
        <w:t xml:space="preserve"> include three </w:t>
      </w:r>
      <w:proofErr w:type="spellStart"/>
      <w:r w:rsidRPr="00182BEE">
        <w:t>subdimensions</w:t>
      </w:r>
      <w:proofErr w:type="spellEnd"/>
      <w:r w:rsidRPr="00182BEE">
        <w:t xml:space="preserve"> of quality — safety, responsiveness and continuity — and, second, </w:t>
      </w:r>
      <w:r w:rsidR="008A3A47">
        <w:t>they</w:t>
      </w:r>
      <w:r w:rsidRPr="00182BEE">
        <w:t xml:space="preserve"> include an extra dimension of efficiency — sustainability. These additions are intended to address the following key performance dimensions of the health system in the </w:t>
      </w:r>
      <w:r w:rsidRPr="00182BEE">
        <w:rPr>
          <w:snapToGrid w:val="0"/>
        </w:rPr>
        <w:t xml:space="preserve">National Health Performance </w:t>
      </w:r>
      <w:r w:rsidRPr="00182BEE">
        <w:t>Framework that were not explicitly covered in the general Re</w:t>
      </w:r>
      <w:r w:rsidR="000F7496">
        <w:t>port</w:t>
      </w:r>
      <w:r w:rsidRPr="00182BEE">
        <w:t xml:space="preserve"> framework:</w:t>
      </w:r>
    </w:p>
    <w:p w:rsidR="00E275A8" w:rsidRPr="00182BEE" w:rsidRDefault="00E275A8" w:rsidP="00E275A8">
      <w:pPr>
        <w:pStyle w:val="ListBullet"/>
      </w:pPr>
      <w:r w:rsidRPr="00182BEE">
        <w:rPr>
          <w:i/>
        </w:rPr>
        <w:t>safety</w:t>
      </w:r>
      <w:r w:rsidRPr="00182BEE">
        <w:t>: the avoidance, or reduction to acceptable levels, of actual or potential harm from health care services, management or environments, and the prevention or minimisation of adverse events associated with health care delivery</w:t>
      </w:r>
    </w:p>
    <w:p w:rsidR="00E275A8" w:rsidRPr="00182BEE" w:rsidRDefault="00E275A8" w:rsidP="00E275A8">
      <w:pPr>
        <w:pStyle w:val="ListBullet"/>
      </w:pPr>
      <w:r w:rsidRPr="00182BEE">
        <w:rPr>
          <w:i/>
        </w:rPr>
        <w:t>responsiveness</w:t>
      </w:r>
      <w:r w:rsidRPr="00182BEE">
        <w:t>: the provision of services that are client oriented and respectful of clients’ dignity, autonomy, confidentiality, amenity, choices, and social and cultural needs</w:t>
      </w:r>
    </w:p>
    <w:p w:rsidR="00E275A8" w:rsidRPr="00182BEE" w:rsidRDefault="00E275A8" w:rsidP="00E275A8">
      <w:pPr>
        <w:pStyle w:val="ListBullet"/>
      </w:pPr>
      <w:r w:rsidRPr="00182BEE">
        <w:rPr>
          <w:i/>
        </w:rPr>
        <w:t>continuity</w:t>
      </w:r>
      <w:r w:rsidRPr="00182BEE">
        <w:t>: the provision of uninterrupted, timely, coordinated healthcare interventions and actions across programs, practitioners and organisations</w:t>
      </w:r>
    </w:p>
    <w:p w:rsidR="00E275A8" w:rsidRPr="00182BEE" w:rsidRDefault="00E275A8" w:rsidP="00E275A8">
      <w:pPr>
        <w:pStyle w:val="ListBullet"/>
      </w:pPr>
      <w:r w:rsidRPr="00182BEE">
        <w:rPr>
          <w:i/>
        </w:rPr>
        <w:t>sustainability</w:t>
      </w:r>
      <w:r w:rsidRPr="00182BEE">
        <w:t xml:space="preserve">: the capacity to provide infrastructure (such </w:t>
      </w:r>
      <w:r w:rsidRPr="006F007C">
        <w:t>as workforce, facilities and equipment), be innovative and respond to emerging needs (</w:t>
      </w:r>
      <w:proofErr w:type="spellStart"/>
      <w:r w:rsidRPr="006F007C">
        <w:t>NHPC</w:t>
      </w:r>
      <w:proofErr w:type="spellEnd"/>
      <w:r w:rsidRPr="006F007C">
        <w:t> 200</w:t>
      </w:r>
      <w:r w:rsidR="00784085">
        <w:t>9</w:t>
      </w:r>
      <w:r w:rsidRPr="006F007C">
        <w:t>).</w:t>
      </w:r>
    </w:p>
    <w:p w:rsidR="00E275A8" w:rsidRPr="00182BEE" w:rsidRDefault="00E275A8" w:rsidP="00E275A8">
      <w:pPr>
        <w:pStyle w:val="BodyText"/>
      </w:pPr>
      <w:r w:rsidRPr="00182BEE">
        <w:t xml:space="preserve">Other aspects of the Steering </w:t>
      </w:r>
      <w:r w:rsidRPr="00730025">
        <w:rPr>
          <w:snapToGrid w:val="0"/>
        </w:rPr>
        <w:t>Committee’s</w:t>
      </w:r>
      <w:r w:rsidRPr="00182BEE">
        <w:t xml:space="preserve"> framework of performance indicators are defined in chapter 1. </w:t>
      </w:r>
    </w:p>
    <w:p w:rsidR="0039510D" w:rsidRPr="0039510D" w:rsidRDefault="0039510D" w:rsidP="0039510D">
      <w:pPr>
        <w:pStyle w:val="BodyText"/>
      </w:pPr>
      <w:r w:rsidRPr="0039510D">
        <w:t>This section summarises information from the</w:t>
      </w:r>
      <w:r w:rsidR="009D76F0">
        <w:t xml:space="preserve"> following </w:t>
      </w:r>
      <w:r w:rsidRPr="0039510D">
        <w:t xml:space="preserve">specific indicator frameworks: </w:t>
      </w:r>
    </w:p>
    <w:p w:rsidR="0039510D" w:rsidRPr="0039510D" w:rsidRDefault="001E5E86" w:rsidP="0039510D">
      <w:pPr>
        <w:pStyle w:val="ListBullet"/>
      </w:pPr>
      <w:r>
        <w:t>p</w:t>
      </w:r>
      <w:r w:rsidR="0039510D" w:rsidRPr="0039510D">
        <w:t>ublic hospitals</w:t>
      </w:r>
      <w:r>
        <w:t xml:space="preserve"> (see chapter 10 for more detail)</w:t>
      </w:r>
    </w:p>
    <w:p w:rsidR="0039510D" w:rsidRDefault="001E5E86" w:rsidP="0039510D">
      <w:pPr>
        <w:pStyle w:val="ListBullet"/>
      </w:pPr>
      <w:r>
        <w:t>m</w:t>
      </w:r>
      <w:r w:rsidR="0039510D" w:rsidRPr="0039510D">
        <w:t>aternity services</w:t>
      </w:r>
      <w:r>
        <w:t xml:space="preserve"> (see chapter 10 for more detail)</w:t>
      </w:r>
    </w:p>
    <w:p w:rsidR="001E5E86" w:rsidRDefault="001E5E86" w:rsidP="0039510D">
      <w:pPr>
        <w:pStyle w:val="ListBullet"/>
      </w:pPr>
      <w:r>
        <w:t>primary and community health (see chapter 11 for more detail)</w:t>
      </w:r>
    </w:p>
    <w:p w:rsidR="001E5E86" w:rsidRPr="0039510D" w:rsidRDefault="002D2252" w:rsidP="0039510D">
      <w:pPr>
        <w:pStyle w:val="ListBullet"/>
      </w:pPr>
      <w:r>
        <w:t>mental health management (see chapter 12 for more detail)</w:t>
      </w:r>
      <w:r w:rsidR="000C09E5">
        <w:t>.</w:t>
      </w:r>
    </w:p>
    <w:p w:rsidR="0039510D" w:rsidRPr="0039510D" w:rsidRDefault="0039510D" w:rsidP="0039510D">
      <w:pPr>
        <w:pStyle w:val="BodyText"/>
      </w:pPr>
      <w:r w:rsidRPr="0039510D">
        <w:lastRenderedPageBreak/>
        <w:t>Additional information is available to assist the interpretation of these results:</w:t>
      </w:r>
    </w:p>
    <w:p w:rsidR="0039510D" w:rsidRDefault="0039510D" w:rsidP="0039510D">
      <w:pPr>
        <w:pStyle w:val="ListBullet"/>
      </w:pPr>
      <w:r w:rsidRPr="00CF7D56">
        <w:t>indicator interpretation boxes</w:t>
      </w:r>
      <w:r>
        <w:t>, which define the measures used and indicate any significant conceptual or methodological issues with the reported information (chapter</w:t>
      </w:r>
      <w:r w:rsidR="002D2252">
        <w:t>s</w:t>
      </w:r>
      <w:r>
        <w:t xml:space="preserve"> 10</w:t>
      </w:r>
      <w:r w:rsidR="002D2252">
        <w:t>, 11 and 12</w:t>
      </w:r>
      <w:r>
        <w:t>)</w:t>
      </w:r>
    </w:p>
    <w:p w:rsidR="0039510D" w:rsidRDefault="0039510D" w:rsidP="0039510D">
      <w:pPr>
        <w:pStyle w:val="ListBullet"/>
      </w:pPr>
      <w:r>
        <w:t>caveats and footnotes to the reported data (</w:t>
      </w:r>
      <w:r w:rsidR="002D2252">
        <w:t>chapters 10, 11 and 12</w:t>
      </w:r>
      <w:r>
        <w:t xml:space="preserve"> and Attachment</w:t>
      </w:r>
      <w:r w:rsidR="001A4799">
        <w:t>s</w:t>
      </w:r>
      <w:r>
        <w:t xml:space="preserve"> </w:t>
      </w:r>
      <w:proofErr w:type="spellStart"/>
      <w:r>
        <w:t>10A</w:t>
      </w:r>
      <w:proofErr w:type="spellEnd"/>
      <w:r w:rsidR="002D2252">
        <w:t xml:space="preserve">, </w:t>
      </w:r>
      <w:proofErr w:type="spellStart"/>
      <w:r w:rsidR="002D2252">
        <w:t>11A</w:t>
      </w:r>
      <w:proofErr w:type="spellEnd"/>
      <w:r w:rsidR="002D2252">
        <w:t xml:space="preserve"> and </w:t>
      </w:r>
      <w:proofErr w:type="spellStart"/>
      <w:r w:rsidR="002D2252">
        <w:t>12A</w:t>
      </w:r>
      <w:proofErr w:type="spellEnd"/>
      <w:r>
        <w:t>)</w:t>
      </w:r>
    </w:p>
    <w:p w:rsidR="0039510D" w:rsidRDefault="0039510D" w:rsidP="0039510D">
      <w:pPr>
        <w:pStyle w:val="ListBullet"/>
      </w:pPr>
      <w:r w:rsidRPr="002F55AA">
        <w:t xml:space="preserve">additional measures and further </w:t>
      </w:r>
      <w:r>
        <w:t xml:space="preserve">disaggregation of reported measures (for example, by </w:t>
      </w:r>
      <w:r w:rsidRPr="004F7C55">
        <w:t xml:space="preserve">Indigenous status, remoteness, </w:t>
      </w:r>
      <w:r w:rsidRPr="00773D60">
        <w:t>disability, language background, sex</w:t>
      </w:r>
      <w:r w:rsidR="00773D60">
        <w:t>)</w:t>
      </w:r>
      <w:r w:rsidRPr="00773D60">
        <w:t xml:space="preserve"> </w:t>
      </w:r>
      <w:r>
        <w:t>(</w:t>
      </w:r>
      <w:r w:rsidR="002D2252">
        <w:t>chapters 10, 11 and 12 and Attachment</w:t>
      </w:r>
      <w:r w:rsidR="001A4799">
        <w:t>s</w:t>
      </w:r>
      <w:r w:rsidR="002D2252">
        <w:t xml:space="preserve"> </w:t>
      </w:r>
      <w:proofErr w:type="spellStart"/>
      <w:r w:rsidR="002D2252">
        <w:t>10A</w:t>
      </w:r>
      <w:proofErr w:type="spellEnd"/>
      <w:r w:rsidR="002D2252">
        <w:t xml:space="preserve">, </w:t>
      </w:r>
      <w:proofErr w:type="spellStart"/>
      <w:r w:rsidR="002D2252">
        <w:t>11A</w:t>
      </w:r>
      <w:proofErr w:type="spellEnd"/>
      <w:r w:rsidR="002D2252">
        <w:t xml:space="preserve"> and </w:t>
      </w:r>
      <w:proofErr w:type="spellStart"/>
      <w:r w:rsidR="002D2252">
        <w:t>12A</w:t>
      </w:r>
      <w:proofErr w:type="spellEnd"/>
      <w:r>
        <w:t>)</w:t>
      </w:r>
    </w:p>
    <w:p w:rsidR="0039510D" w:rsidRDefault="0039510D" w:rsidP="0039510D">
      <w:pPr>
        <w:pStyle w:val="ListBullet"/>
      </w:pPr>
      <w:r>
        <w:t>data quality information for many indicators, based on the ABS Data Quality Framework (</w:t>
      </w:r>
      <w:r w:rsidR="002D2252">
        <w:t>c</w:t>
      </w:r>
      <w:r>
        <w:t>hapter</w:t>
      </w:r>
      <w:r w:rsidR="002D2252">
        <w:t>s</w:t>
      </w:r>
      <w:r>
        <w:t xml:space="preserve"> 10</w:t>
      </w:r>
      <w:r w:rsidR="002D2252">
        <w:t>,</w:t>
      </w:r>
      <w:r>
        <w:t xml:space="preserve"> </w:t>
      </w:r>
      <w:r w:rsidR="002D2252">
        <w:t xml:space="preserve">11 and 12 </w:t>
      </w:r>
      <w:r>
        <w:t xml:space="preserve">Data </w:t>
      </w:r>
      <w:r w:rsidR="00762F83">
        <w:t>q</w:t>
      </w:r>
      <w:r>
        <w:t xml:space="preserve">uality </w:t>
      </w:r>
      <w:r w:rsidR="00762F83">
        <w:t>i</w:t>
      </w:r>
      <w:r>
        <w:t>nformation)</w:t>
      </w:r>
      <w:r w:rsidRPr="002F55AA">
        <w:t>.</w:t>
      </w:r>
    </w:p>
    <w:p w:rsidR="0039510D" w:rsidRDefault="002D2252" w:rsidP="0039510D">
      <w:pPr>
        <w:pStyle w:val="BodyText"/>
      </w:pPr>
      <w:r w:rsidRPr="00E95371">
        <w:t>A full list of attachment tables and available data quality information is provided at</w:t>
      </w:r>
      <w:r w:rsidR="0039510D" w:rsidRPr="000563F7">
        <w:t xml:space="preserve"> the end of </w:t>
      </w:r>
      <w:r>
        <w:t>chapters 10, 11 and 12</w:t>
      </w:r>
      <w:r w:rsidR="0039510D">
        <w:t>.</w:t>
      </w:r>
    </w:p>
    <w:p w:rsidR="00380A5E" w:rsidRDefault="00380A5E" w:rsidP="002D2252">
      <w:pPr>
        <w:pStyle w:val="Heading4"/>
      </w:pPr>
      <w:r>
        <w:t>Public hospitals</w:t>
      </w:r>
    </w:p>
    <w:p w:rsidR="00380A5E" w:rsidRDefault="00380A5E" w:rsidP="00380A5E">
      <w:pPr>
        <w:pStyle w:val="BodyText"/>
      </w:pPr>
      <w:r w:rsidRPr="00BE3F64">
        <w:t xml:space="preserve">The performance indicator framework for </w:t>
      </w:r>
      <w:r>
        <w:t>public hospitals</w:t>
      </w:r>
      <w:r w:rsidRPr="00BE3F64">
        <w:t xml:space="preserve"> is presented in figure</w:t>
      </w:r>
      <w:r w:rsidR="002F1BA6">
        <w:t> </w:t>
      </w:r>
      <w:proofErr w:type="spellStart"/>
      <w:r w:rsidR="00F156AA">
        <w:t>E.20</w:t>
      </w:r>
      <w:proofErr w:type="spellEnd"/>
      <w:r w:rsidRPr="00BE3F64">
        <w:t>.</w:t>
      </w:r>
      <w:r w:rsidR="00EA5C87">
        <w:t xml:space="preserve"> This</w:t>
      </w:r>
      <w:r w:rsidR="00EA5C87" w:rsidRPr="00E6147C">
        <w:t xml:space="preserve"> framework provides comprehensive information on the equity, effectiveness</w:t>
      </w:r>
      <w:r w:rsidR="00EA5C87">
        <w:t>,</w:t>
      </w:r>
      <w:r w:rsidR="00EA5C87" w:rsidRPr="00E6147C">
        <w:t xml:space="preserve"> efficiency </w:t>
      </w:r>
      <w:r w:rsidR="00EA5C87">
        <w:t xml:space="preserve">and the outcomes </w:t>
      </w:r>
      <w:r w:rsidR="00EA5C87" w:rsidRPr="00E6147C">
        <w:t xml:space="preserve">of </w:t>
      </w:r>
      <w:r w:rsidR="00EA5C87">
        <w:t>public hospitals</w:t>
      </w:r>
      <w:r w:rsidR="00EA5C87" w:rsidRPr="00E6147C">
        <w:t>.</w:t>
      </w:r>
    </w:p>
    <w:p w:rsidR="00874561" w:rsidRDefault="00874561">
      <w:pPr>
        <w:pStyle w:val="FigureTitle"/>
      </w:pPr>
      <w:r>
        <w:rPr>
          <w:b w:val="0"/>
        </w:rPr>
        <w:lastRenderedPageBreak/>
        <w:t xml:space="preserve">Figure </w:t>
      </w:r>
      <w:bookmarkStart w:id="43" w:name="OLE_LINK35"/>
      <w:proofErr w:type="spellStart"/>
      <w:r w:rsidR="00F156AA">
        <w:rPr>
          <w:b w:val="0"/>
        </w:rPr>
        <w:t>E.</w:t>
      </w:r>
      <w:r w:rsidR="00C01FBD">
        <w:rPr>
          <w:b w:val="0"/>
          <w:noProof/>
        </w:rPr>
        <w:t>20</w:t>
      </w:r>
      <w:bookmarkEnd w:id="43"/>
      <w:proofErr w:type="spellEnd"/>
      <w:r>
        <w:tab/>
      </w:r>
      <w:r w:rsidR="003B339E">
        <w:t xml:space="preserve">Public </w:t>
      </w:r>
      <w:r>
        <w:t>hospitals</w:t>
      </w:r>
      <w:r w:rsidR="00C14D3E">
        <w:t xml:space="preserve"> </w:t>
      </w:r>
      <w:r w:rsidR="00C14D3E" w:rsidRPr="00A05A09">
        <w:t xml:space="preserve">performance indicator </w:t>
      </w:r>
      <w:r w:rsidR="00C14D3E">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74561" w:rsidTr="009C3750">
        <w:tc>
          <w:tcPr>
            <w:tcW w:w="8777" w:type="dxa"/>
            <w:shd w:val="clear" w:color="auto" w:fill="auto"/>
          </w:tcPr>
          <w:p w:rsidR="00874561" w:rsidRPr="00AA58BE" w:rsidRDefault="005C10EA" w:rsidP="00AA58BE">
            <w:pPr>
              <w:pStyle w:val="Figure"/>
            </w:pPr>
            <w:r>
              <w:rPr>
                <w:noProof/>
              </w:rPr>
              <w:drawing>
                <wp:inline distT="0" distB="0" distL="0" distR="0" wp14:anchorId="0B1E6F56" wp14:editId="29A1ECB7">
                  <wp:extent cx="5572760" cy="5841365"/>
                  <wp:effectExtent l="0" t="0" r="0" b="0"/>
                  <wp:docPr id="28" name="Picture 28" descr="Figure E.20 Public hospital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72760" cy="5841365"/>
                          </a:xfrm>
                          <a:prstGeom prst="rect">
                            <a:avLst/>
                          </a:prstGeom>
                          <a:noFill/>
                          <a:ln>
                            <a:noFill/>
                          </a:ln>
                        </pic:spPr>
                      </pic:pic>
                    </a:graphicData>
                  </a:graphic>
                </wp:inline>
              </w:drawing>
            </w:r>
          </w:p>
        </w:tc>
      </w:tr>
    </w:tbl>
    <w:p w:rsidR="00AA4D16" w:rsidRDefault="00700B93" w:rsidP="00295A16">
      <w:pPr>
        <w:pStyle w:val="BodyText"/>
      </w:pPr>
      <w:r w:rsidRPr="00700B93">
        <w:t xml:space="preserve">An overview of the public </w:t>
      </w:r>
      <w:r>
        <w:t>hospital</w:t>
      </w:r>
      <w:r w:rsidRPr="00700B93">
        <w:t xml:space="preserve"> performance indicator results are presented in table</w:t>
      </w:r>
      <w:r w:rsidR="00EE380A">
        <w:t> </w:t>
      </w:r>
      <w:proofErr w:type="spellStart"/>
      <w:r w:rsidR="00F07431">
        <w:t>E.5</w:t>
      </w:r>
      <w:proofErr w:type="spellEnd"/>
      <w:r>
        <w:t>.</w:t>
      </w:r>
      <w:r w:rsidRPr="00700B93">
        <w:t xml:space="preserve"> </w:t>
      </w:r>
      <w:r w:rsidR="008A62B8">
        <w:t xml:space="preserve">Information to assist the interpretation of these data can be found in the indicator interpretation boxes in chapter 10 and the footnotes in attachment </w:t>
      </w:r>
      <w:proofErr w:type="spellStart"/>
      <w:r w:rsidR="008A62B8">
        <w:t>10A</w:t>
      </w:r>
      <w:proofErr w:type="spellEnd"/>
      <w:r w:rsidR="008A62B8">
        <w:t>.</w:t>
      </w:r>
    </w:p>
    <w:p w:rsidR="009B2AED" w:rsidRPr="009B2AED" w:rsidRDefault="00AA4D16" w:rsidP="009B2AED">
      <w:pPr>
        <w:pStyle w:val="TableTitle"/>
        <w:rPr>
          <w:vertAlign w:val="superscript"/>
        </w:rPr>
      </w:pPr>
      <w:r w:rsidRPr="00B903AA">
        <w:rPr>
          <w:b w:val="0"/>
        </w:rPr>
        <w:lastRenderedPageBreak/>
        <w:t xml:space="preserve">Table </w:t>
      </w:r>
      <w:bookmarkStart w:id="44" w:name="OLE_LINK23"/>
      <w:proofErr w:type="spellStart"/>
      <w:r w:rsidR="00F156AA">
        <w:rPr>
          <w:b w:val="0"/>
        </w:rPr>
        <w:t>E.</w:t>
      </w:r>
      <w:r w:rsidR="00C01FBD">
        <w:rPr>
          <w:b w:val="0"/>
          <w:noProof/>
        </w:rPr>
        <w:t>5</w:t>
      </w:r>
      <w:bookmarkEnd w:id="44"/>
      <w:proofErr w:type="spellEnd"/>
      <w:r w:rsidRPr="00B903AA">
        <w:rPr>
          <w:b w:val="0"/>
        </w:rPr>
        <w:tab/>
      </w:r>
      <w:r w:rsidRPr="00B903AA">
        <w:t xml:space="preserve">Performance indicators for public </w:t>
      </w:r>
      <w:proofErr w:type="spellStart"/>
      <w:r w:rsidRPr="00B903AA">
        <w:t>hospitals</w:t>
      </w:r>
      <w:r w:rsidR="009A7529">
        <w:rPr>
          <w:vertAlign w:val="superscript"/>
        </w:rPr>
        <w:t>a</w:t>
      </w:r>
      <w:proofErr w:type="spellEnd"/>
    </w:p>
    <w:tbl>
      <w:tblPr>
        <w:tblW w:w="5009" w:type="pct"/>
        <w:tblCellMar>
          <w:left w:w="0" w:type="dxa"/>
          <w:right w:w="0" w:type="dxa"/>
        </w:tblCellMar>
        <w:tblLook w:val="0000" w:firstRow="0" w:lastRow="0" w:firstColumn="0" w:lastColumn="0" w:noHBand="0" w:noVBand="0"/>
      </w:tblPr>
      <w:tblGrid>
        <w:gridCol w:w="263"/>
        <w:gridCol w:w="20"/>
        <w:gridCol w:w="1905"/>
        <w:gridCol w:w="23"/>
        <w:gridCol w:w="127"/>
        <w:gridCol w:w="606"/>
        <w:gridCol w:w="734"/>
        <w:gridCol w:w="733"/>
        <w:gridCol w:w="7"/>
        <w:gridCol w:w="727"/>
        <w:gridCol w:w="7"/>
        <w:gridCol w:w="727"/>
        <w:gridCol w:w="7"/>
        <w:gridCol w:w="727"/>
        <w:gridCol w:w="7"/>
        <w:gridCol w:w="56"/>
        <w:gridCol w:w="671"/>
        <w:gridCol w:w="7"/>
        <w:gridCol w:w="49"/>
        <w:gridCol w:w="674"/>
        <w:gridCol w:w="11"/>
        <w:gridCol w:w="717"/>
      </w:tblGrid>
      <w:tr w:rsidR="00224E2B" w:rsidRPr="004C2CF4" w:rsidTr="00621F85">
        <w:trPr>
          <w:cantSplit/>
          <w:tblHeader/>
        </w:trPr>
        <w:tc>
          <w:tcPr>
            <w:tcW w:w="1255" w:type="pct"/>
            <w:gridSpan w:val="4"/>
            <w:tcBorders>
              <w:top w:val="single" w:sz="6" w:space="0" w:color="auto"/>
              <w:bottom w:val="single" w:sz="4" w:space="0" w:color="auto"/>
            </w:tcBorders>
            <w:shd w:val="clear" w:color="auto" w:fill="auto"/>
          </w:tcPr>
          <w:p w:rsidR="00B5543B" w:rsidRPr="00B817EA" w:rsidRDefault="00B5543B" w:rsidP="00116E8F">
            <w:pPr>
              <w:pStyle w:val="TableColumnHeading"/>
              <w:jc w:val="left"/>
            </w:pPr>
          </w:p>
        </w:tc>
        <w:tc>
          <w:tcPr>
            <w:tcW w:w="416" w:type="pct"/>
            <w:gridSpan w:val="2"/>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NSW</w:t>
            </w:r>
          </w:p>
        </w:tc>
        <w:tc>
          <w:tcPr>
            <w:tcW w:w="417" w:type="pct"/>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Vic</w:t>
            </w:r>
          </w:p>
        </w:tc>
        <w:tc>
          <w:tcPr>
            <w:tcW w:w="416" w:type="pct"/>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Qld</w:t>
            </w:r>
          </w:p>
        </w:tc>
        <w:tc>
          <w:tcPr>
            <w:tcW w:w="417" w:type="pct"/>
            <w:gridSpan w:val="2"/>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WA</w:t>
            </w:r>
          </w:p>
        </w:tc>
        <w:tc>
          <w:tcPr>
            <w:tcW w:w="417" w:type="pct"/>
            <w:gridSpan w:val="2"/>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SA</w:t>
            </w:r>
          </w:p>
        </w:tc>
        <w:tc>
          <w:tcPr>
            <w:tcW w:w="417" w:type="pct"/>
            <w:gridSpan w:val="2"/>
            <w:tcBorders>
              <w:top w:val="single" w:sz="6" w:space="0" w:color="auto"/>
              <w:bottom w:val="single" w:sz="4" w:space="0" w:color="auto"/>
            </w:tcBorders>
            <w:shd w:val="clear" w:color="auto" w:fill="auto"/>
          </w:tcPr>
          <w:p w:rsidR="00B5543B" w:rsidRPr="00B817EA" w:rsidRDefault="00B5543B" w:rsidP="009F1357">
            <w:pPr>
              <w:pStyle w:val="TableColumnHeading"/>
            </w:pPr>
            <w:proofErr w:type="spellStart"/>
            <w:r w:rsidRPr="00B817EA">
              <w:t>Tas</w:t>
            </w:r>
            <w:proofErr w:type="spellEnd"/>
          </w:p>
        </w:tc>
        <w:tc>
          <w:tcPr>
            <w:tcW w:w="417" w:type="pct"/>
            <w:gridSpan w:val="3"/>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ACT</w:t>
            </w:r>
          </w:p>
        </w:tc>
        <w:tc>
          <w:tcPr>
            <w:tcW w:w="415" w:type="pct"/>
            <w:gridSpan w:val="3"/>
            <w:tcBorders>
              <w:top w:val="single" w:sz="6" w:space="0" w:color="auto"/>
              <w:bottom w:val="single" w:sz="4" w:space="0" w:color="auto"/>
            </w:tcBorders>
            <w:shd w:val="clear" w:color="auto" w:fill="auto"/>
          </w:tcPr>
          <w:p w:rsidR="00B5543B" w:rsidRPr="00B817EA" w:rsidRDefault="00B5543B" w:rsidP="009F1357">
            <w:pPr>
              <w:pStyle w:val="TableColumnHeading"/>
            </w:pPr>
            <w:r w:rsidRPr="00B817EA">
              <w:t>NT</w:t>
            </w:r>
          </w:p>
        </w:tc>
        <w:tc>
          <w:tcPr>
            <w:tcW w:w="414" w:type="pct"/>
            <w:gridSpan w:val="2"/>
            <w:tcBorders>
              <w:top w:val="single" w:sz="6" w:space="0" w:color="auto"/>
              <w:bottom w:val="single" w:sz="4" w:space="0" w:color="auto"/>
            </w:tcBorders>
          </w:tcPr>
          <w:p w:rsidR="00B5543B" w:rsidRPr="004C2CF4" w:rsidRDefault="00B5543B" w:rsidP="009F1357">
            <w:pPr>
              <w:pStyle w:val="TableColumnHeading"/>
            </w:pPr>
            <w:proofErr w:type="spellStart"/>
            <w:r w:rsidRPr="00B817EA">
              <w:t>Aust</w:t>
            </w:r>
            <w:proofErr w:type="spellEnd"/>
          </w:p>
        </w:tc>
      </w:tr>
      <w:tr w:rsidR="006C369D" w:rsidRPr="001E0D4D" w:rsidTr="00621F85">
        <w:trPr>
          <w:trHeight w:val="273"/>
        </w:trPr>
        <w:tc>
          <w:tcPr>
            <w:tcW w:w="5000" w:type="pct"/>
            <w:gridSpan w:val="22"/>
            <w:tcBorders>
              <w:top w:val="single" w:sz="4" w:space="0" w:color="auto"/>
            </w:tcBorders>
            <w:shd w:val="clear" w:color="auto" w:fill="auto"/>
          </w:tcPr>
          <w:p w:rsidR="006C369D" w:rsidRPr="001E0D4D" w:rsidRDefault="006C369D" w:rsidP="00116E8F">
            <w:pPr>
              <w:pStyle w:val="TableColumnHeading"/>
              <w:jc w:val="left"/>
              <w:rPr>
                <w:b/>
                <w:i w:val="0"/>
              </w:rPr>
            </w:pPr>
            <w:r w:rsidRPr="001E0D4D">
              <w:rPr>
                <w:b/>
                <w:i w:val="0"/>
              </w:rPr>
              <w:t>Effectiveness — Access indicators</w:t>
            </w:r>
          </w:p>
        </w:tc>
      </w:tr>
      <w:tr w:rsidR="00AA4D16" w:rsidRPr="005825CD" w:rsidTr="00621F85">
        <w:trPr>
          <w:trHeight w:val="273"/>
        </w:trPr>
        <w:tc>
          <w:tcPr>
            <w:tcW w:w="5000" w:type="pct"/>
            <w:gridSpan w:val="22"/>
            <w:shd w:val="clear" w:color="auto" w:fill="auto"/>
          </w:tcPr>
          <w:p w:rsidR="00AA4D16" w:rsidRPr="005825CD" w:rsidRDefault="00AC3076" w:rsidP="00621F85">
            <w:pPr>
              <w:pStyle w:val="TableColumnHeading"/>
              <w:spacing w:before="60" w:after="40"/>
              <w:jc w:val="left"/>
            </w:pPr>
            <w:r>
              <w:t>Emergenc</w:t>
            </w:r>
            <w:r w:rsidR="00DB23F1">
              <w:t>y</w:t>
            </w:r>
            <w:r>
              <w:t xml:space="preserve"> department waiting times</w:t>
            </w:r>
            <w:r w:rsidR="00AA4D16" w:rsidRPr="005825CD">
              <w:t xml:space="preserve">, </w:t>
            </w:r>
            <w:r w:rsidR="00AA4D16" w:rsidRPr="00D04085">
              <w:t>20</w:t>
            </w:r>
            <w:r w:rsidR="00F943B2" w:rsidRPr="00D04085">
              <w:t>1</w:t>
            </w:r>
            <w:r w:rsidR="008C1B35" w:rsidRPr="00D04085">
              <w:t>2</w:t>
            </w:r>
            <w:r w:rsidR="001E0D4D" w:rsidRPr="00D04085">
              <w:t>-</w:t>
            </w:r>
            <w:r w:rsidR="00F943B2" w:rsidRPr="00D04085">
              <w:t>1</w:t>
            </w:r>
            <w:r w:rsidR="008C1B35" w:rsidRPr="00D04085">
              <w:t>3</w:t>
            </w:r>
            <w:r w:rsidR="00AA4D16" w:rsidRPr="005825CD">
              <w:br/>
            </w:r>
            <w:r w:rsidR="00DB2A49" w:rsidRPr="00D04085">
              <w:rPr>
                <w:i w:val="0"/>
                <w:sz w:val="16"/>
                <w:szCs w:val="16"/>
              </w:rPr>
              <w:t xml:space="preserve">Most recent data </w:t>
            </w:r>
            <w:r w:rsidR="00226A12" w:rsidRPr="00D04085">
              <w:rPr>
                <w:i w:val="0"/>
                <w:sz w:val="16"/>
                <w:szCs w:val="16"/>
              </w:rPr>
              <w:t>for this indicator are complete but not directly comparable</w:t>
            </w:r>
            <w:r w:rsidR="007F025B" w:rsidRPr="00D04085">
              <w:rPr>
                <w:i w:val="0"/>
                <w:sz w:val="16"/>
                <w:szCs w:val="16"/>
              </w:rPr>
              <w:t xml:space="preserve"> </w:t>
            </w:r>
            <w:r w:rsidR="00AA4D16" w:rsidRPr="00D04085">
              <w:rPr>
                <w:i w:val="0"/>
                <w:sz w:val="16"/>
                <w:szCs w:val="16"/>
              </w:rPr>
              <w:t>(chapter 1</w:t>
            </w:r>
            <w:r w:rsidR="00FE49D9" w:rsidRPr="00D04085">
              <w:rPr>
                <w:i w:val="0"/>
                <w:sz w:val="16"/>
                <w:szCs w:val="16"/>
              </w:rPr>
              <w:t>0</w:t>
            </w:r>
            <w:r w:rsidR="00AA4D16" w:rsidRPr="00D04085">
              <w:rPr>
                <w:i w:val="0"/>
                <w:sz w:val="16"/>
                <w:szCs w:val="16"/>
              </w:rPr>
              <w:t>)</w:t>
            </w:r>
          </w:p>
        </w:tc>
      </w:tr>
      <w:tr w:rsidR="00AA4D16" w:rsidRPr="005825CD" w:rsidTr="00621F85">
        <w:trPr>
          <w:trHeight w:val="177"/>
        </w:trPr>
        <w:tc>
          <w:tcPr>
            <w:tcW w:w="5000" w:type="pct"/>
            <w:gridSpan w:val="22"/>
            <w:shd w:val="clear" w:color="auto" w:fill="auto"/>
          </w:tcPr>
          <w:p w:rsidR="00AA4D16" w:rsidRPr="00FE49D9" w:rsidRDefault="00AA4D16" w:rsidP="00116E8F">
            <w:pPr>
              <w:pStyle w:val="TableBodyText"/>
              <w:jc w:val="left"/>
            </w:pPr>
            <w:r w:rsidRPr="005825CD">
              <w:t xml:space="preserve">  </w:t>
            </w:r>
            <w:r w:rsidR="00FE49D9" w:rsidRPr="00FE49D9">
              <w:t>Proportion of patients seen on time</w:t>
            </w:r>
            <w:r w:rsidR="001E0D4D">
              <w:t xml:space="preserve"> (per cent)</w:t>
            </w:r>
          </w:p>
        </w:tc>
      </w:tr>
      <w:tr w:rsidR="008C1B35" w:rsidRPr="00B817EA" w:rsidTr="00621F85">
        <w:tc>
          <w:tcPr>
            <w:tcW w:w="160" w:type="pct"/>
            <w:gridSpan w:val="2"/>
            <w:shd w:val="clear" w:color="auto" w:fill="auto"/>
          </w:tcPr>
          <w:p w:rsidR="008C1B35" w:rsidRPr="005825CD" w:rsidRDefault="008C1B35" w:rsidP="00116E8F">
            <w:pPr>
              <w:pStyle w:val="TableBodyText"/>
              <w:jc w:val="left"/>
              <w:rPr>
                <w:vertAlign w:val="superscript"/>
              </w:rPr>
            </w:pPr>
          </w:p>
        </w:tc>
        <w:tc>
          <w:tcPr>
            <w:tcW w:w="1095" w:type="pct"/>
            <w:gridSpan w:val="2"/>
            <w:shd w:val="clear" w:color="auto" w:fill="auto"/>
            <w:vAlign w:val="center"/>
          </w:tcPr>
          <w:p w:rsidR="008C1B35" w:rsidRPr="001E0D4D" w:rsidRDefault="008C1B35" w:rsidP="001E0D4D">
            <w:pPr>
              <w:pStyle w:val="TableBodyText"/>
              <w:jc w:val="left"/>
            </w:pPr>
            <w:r w:rsidRPr="001E0D4D">
              <w:t>Resuscitation</w:t>
            </w:r>
          </w:p>
        </w:tc>
        <w:tc>
          <w:tcPr>
            <w:tcW w:w="416" w:type="pct"/>
            <w:gridSpan w:val="2"/>
            <w:shd w:val="clear" w:color="auto" w:fill="auto"/>
            <w:vAlign w:val="center"/>
          </w:tcPr>
          <w:p w:rsidR="008C1B35" w:rsidRPr="00357687" w:rsidRDefault="008C1B35" w:rsidP="00357687">
            <w:pPr>
              <w:pStyle w:val="TableBodyText"/>
            </w:pPr>
            <w:r w:rsidRPr="00357687">
              <w:t>100</w:t>
            </w:r>
          </w:p>
        </w:tc>
        <w:tc>
          <w:tcPr>
            <w:tcW w:w="417" w:type="pct"/>
            <w:shd w:val="clear" w:color="auto" w:fill="auto"/>
            <w:vAlign w:val="center"/>
          </w:tcPr>
          <w:p w:rsidR="008C1B35" w:rsidRPr="00357687" w:rsidRDefault="008C1B35" w:rsidP="00357687">
            <w:pPr>
              <w:pStyle w:val="TableBodyText"/>
            </w:pPr>
            <w:r w:rsidRPr="00357687">
              <w:t>100</w:t>
            </w:r>
          </w:p>
        </w:tc>
        <w:tc>
          <w:tcPr>
            <w:tcW w:w="416" w:type="pct"/>
            <w:shd w:val="clear" w:color="auto" w:fill="auto"/>
            <w:vAlign w:val="center"/>
          </w:tcPr>
          <w:p w:rsidR="008C1B35" w:rsidRPr="00357687" w:rsidRDefault="008C1B35" w:rsidP="00357687">
            <w:pPr>
              <w:pStyle w:val="TableBodyText"/>
            </w:pPr>
            <w:r w:rsidRPr="00357687">
              <w:t>100</w:t>
            </w:r>
          </w:p>
        </w:tc>
        <w:tc>
          <w:tcPr>
            <w:tcW w:w="417" w:type="pct"/>
            <w:gridSpan w:val="2"/>
            <w:shd w:val="clear" w:color="auto" w:fill="auto"/>
            <w:vAlign w:val="center"/>
          </w:tcPr>
          <w:p w:rsidR="008C1B35" w:rsidRPr="00357687" w:rsidRDefault="008C1B35" w:rsidP="00357687">
            <w:pPr>
              <w:pStyle w:val="TableBodyText"/>
            </w:pPr>
            <w:r w:rsidRPr="00357687">
              <w:t>100</w:t>
            </w:r>
          </w:p>
        </w:tc>
        <w:tc>
          <w:tcPr>
            <w:tcW w:w="417" w:type="pct"/>
            <w:gridSpan w:val="2"/>
            <w:shd w:val="clear" w:color="auto" w:fill="auto"/>
            <w:vAlign w:val="center"/>
          </w:tcPr>
          <w:p w:rsidR="008C1B35" w:rsidRPr="00357687" w:rsidRDefault="008C1B35" w:rsidP="00357687">
            <w:pPr>
              <w:pStyle w:val="TableBodyText"/>
            </w:pPr>
            <w:r w:rsidRPr="00357687">
              <w:t>100</w:t>
            </w:r>
          </w:p>
        </w:tc>
        <w:tc>
          <w:tcPr>
            <w:tcW w:w="417" w:type="pct"/>
            <w:gridSpan w:val="2"/>
            <w:shd w:val="clear" w:color="auto" w:fill="auto"/>
            <w:vAlign w:val="center"/>
          </w:tcPr>
          <w:p w:rsidR="008C1B35" w:rsidRPr="00357687" w:rsidRDefault="008C1B35" w:rsidP="00357687">
            <w:pPr>
              <w:pStyle w:val="TableBodyText"/>
            </w:pPr>
            <w:r w:rsidRPr="00357687">
              <w:t>100</w:t>
            </w:r>
          </w:p>
        </w:tc>
        <w:tc>
          <w:tcPr>
            <w:tcW w:w="417" w:type="pct"/>
            <w:gridSpan w:val="3"/>
            <w:shd w:val="clear" w:color="auto" w:fill="auto"/>
            <w:vAlign w:val="center"/>
          </w:tcPr>
          <w:p w:rsidR="008C1B35" w:rsidRPr="00357687" w:rsidRDefault="008C1B35" w:rsidP="00357687">
            <w:pPr>
              <w:pStyle w:val="TableBodyText"/>
            </w:pPr>
            <w:r w:rsidRPr="00357687">
              <w:t>100</w:t>
            </w:r>
          </w:p>
        </w:tc>
        <w:tc>
          <w:tcPr>
            <w:tcW w:w="415" w:type="pct"/>
            <w:gridSpan w:val="3"/>
            <w:shd w:val="clear" w:color="auto" w:fill="auto"/>
            <w:vAlign w:val="center"/>
          </w:tcPr>
          <w:p w:rsidR="008C1B35" w:rsidRPr="00357687" w:rsidRDefault="008C1B35" w:rsidP="00357687">
            <w:pPr>
              <w:pStyle w:val="TableBodyText"/>
            </w:pPr>
            <w:r w:rsidRPr="00357687">
              <w:t>100</w:t>
            </w:r>
          </w:p>
        </w:tc>
        <w:tc>
          <w:tcPr>
            <w:tcW w:w="414" w:type="pct"/>
            <w:gridSpan w:val="2"/>
            <w:shd w:val="clear" w:color="auto" w:fill="auto"/>
            <w:vAlign w:val="center"/>
          </w:tcPr>
          <w:p w:rsidR="008C1B35" w:rsidRPr="00357687" w:rsidRDefault="008C1B35" w:rsidP="00357687">
            <w:pPr>
              <w:pStyle w:val="TableBodyText"/>
            </w:pPr>
            <w:r w:rsidRPr="00357687">
              <w:t>100</w:t>
            </w:r>
          </w:p>
        </w:tc>
      </w:tr>
      <w:tr w:rsidR="008C1B35" w:rsidRPr="00B817EA" w:rsidTr="00621F85">
        <w:tc>
          <w:tcPr>
            <w:tcW w:w="160" w:type="pct"/>
            <w:gridSpan w:val="2"/>
            <w:shd w:val="clear" w:color="auto" w:fill="auto"/>
          </w:tcPr>
          <w:p w:rsidR="008C1B35" w:rsidRPr="005825CD" w:rsidRDefault="008C1B35" w:rsidP="00AF66B0">
            <w:pPr>
              <w:pStyle w:val="TableBodyText"/>
              <w:jc w:val="left"/>
              <w:rPr>
                <w:vertAlign w:val="superscript"/>
              </w:rPr>
            </w:pPr>
          </w:p>
        </w:tc>
        <w:tc>
          <w:tcPr>
            <w:tcW w:w="1095" w:type="pct"/>
            <w:gridSpan w:val="2"/>
            <w:shd w:val="clear" w:color="auto" w:fill="auto"/>
            <w:vAlign w:val="center"/>
          </w:tcPr>
          <w:p w:rsidR="008C1B35" w:rsidRPr="001E0D4D" w:rsidRDefault="008C1B35" w:rsidP="001E0D4D">
            <w:pPr>
              <w:pStyle w:val="TableBodyText"/>
              <w:jc w:val="left"/>
            </w:pPr>
            <w:r w:rsidRPr="001E0D4D">
              <w:t>Emergency</w:t>
            </w:r>
          </w:p>
        </w:tc>
        <w:tc>
          <w:tcPr>
            <w:tcW w:w="416" w:type="pct"/>
            <w:gridSpan w:val="2"/>
            <w:shd w:val="clear" w:color="auto" w:fill="auto"/>
            <w:vAlign w:val="center"/>
          </w:tcPr>
          <w:p w:rsidR="008C1B35" w:rsidRPr="00357687" w:rsidRDefault="008C1B35" w:rsidP="00357687">
            <w:pPr>
              <w:pStyle w:val="TableBodyText"/>
            </w:pPr>
            <w:r w:rsidRPr="00357687">
              <w:t>83</w:t>
            </w:r>
          </w:p>
        </w:tc>
        <w:tc>
          <w:tcPr>
            <w:tcW w:w="417" w:type="pct"/>
            <w:shd w:val="clear" w:color="auto" w:fill="auto"/>
            <w:vAlign w:val="center"/>
          </w:tcPr>
          <w:p w:rsidR="008C1B35" w:rsidRPr="00357687" w:rsidRDefault="008C1B35" w:rsidP="00357687">
            <w:pPr>
              <w:pStyle w:val="TableBodyText"/>
            </w:pPr>
            <w:r w:rsidRPr="00357687">
              <w:t>84</w:t>
            </w:r>
          </w:p>
        </w:tc>
        <w:tc>
          <w:tcPr>
            <w:tcW w:w="416" w:type="pct"/>
            <w:shd w:val="clear" w:color="auto" w:fill="auto"/>
            <w:vAlign w:val="center"/>
          </w:tcPr>
          <w:p w:rsidR="008C1B35" w:rsidRPr="00357687" w:rsidRDefault="008C1B35" w:rsidP="00357687">
            <w:pPr>
              <w:pStyle w:val="TableBodyText"/>
            </w:pPr>
            <w:r w:rsidRPr="00357687">
              <w:t>84</w:t>
            </w:r>
          </w:p>
        </w:tc>
        <w:tc>
          <w:tcPr>
            <w:tcW w:w="417" w:type="pct"/>
            <w:gridSpan w:val="2"/>
            <w:shd w:val="clear" w:color="auto" w:fill="auto"/>
            <w:vAlign w:val="center"/>
          </w:tcPr>
          <w:p w:rsidR="008C1B35" w:rsidRPr="00357687" w:rsidRDefault="008C1B35" w:rsidP="00357687">
            <w:pPr>
              <w:pStyle w:val="TableBodyText"/>
            </w:pPr>
            <w:r w:rsidRPr="00357687">
              <w:t>81</w:t>
            </w:r>
          </w:p>
        </w:tc>
        <w:tc>
          <w:tcPr>
            <w:tcW w:w="417" w:type="pct"/>
            <w:gridSpan w:val="2"/>
            <w:shd w:val="clear" w:color="auto" w:fill="auto"/>
            <w:vAlign w:val="center"/>
          </w:tcPr>
          <w:p w:rsidR="008C1B35" w:rsidRPr="00357687" w:rsidRDefault="008C1B35" w:rsidP="00357687">
            <w:pPr>
              <w:pStyle w:val="TableBodyText"/>
            </w:pPr>
            <w:r w:rsidRPr="00357687">
              <w:t>75</w:t>
            </w:r>
          </w:p>
        </w:tc>
        <w:tc>
          <w:tcPr>
            <w:tcW w:w="417" w:type="pct"/>
            <w:gridSpan w:val="2"/>
            <w:shd w:val="clear" w:color="auto" w:fill="auto"/>
            <w:vAlign w:val="center"/>
          </w:tcPr>
          <w:p w:rsidR="008C1B35" w:rsidRPr="00357687" w:rsidRDefault="008C1B35" w:rsidP="00357687">
            <w:pPr>
              <w:pStyle w:val="TableBodyText"/>
            </w:pPr>
            <w:r w:rsidRPr="00357687">
              <w:t>83</w:t>
            </w:r>
          </w:p>
        </w:tc>
        <w:tc>
          <w:tcPr>
            <w:tcW w:w="417" w:type="pct"/>
            <w:gridSpan w:val="3"/>
            <w:shd w:val="clear" w:color="auto" w:fill="auto"/>
            <w:vAlign w:val="center"/>
          </w:tcPr>
          <w:p w:rsidR="008C1B35" w:rsidRPr="00357687" w:rsidRDefault="008C1B35" w:rsidP="00357687">
            <w:pPr>
              <w:pStyle w:val="TableBodyText"/>
            </w:pPr>
            <w:r w:rsidRPr="00357687">
              <w:t>74</w:t>
            </w:r>
          </w:p>
        </w:tc>
        <w:tc>
          <w:tcPr>
            <w:tcW w:w="415" w:type="pct"/>
            <w:gridSpan w:val="3"/>
            <w:shd w:val="clear" w:color="auto" w:fill="auto"/>
            <w:vAlign w:val="center"/>
          </w:tcPr>
          <w:p w:rsidR="008C1B35" w:rsidRPr="00357687" w:rsidRDefault="008C1B35" w:rsidP="00357687">
            <w:pPr>
              <w:pStyle w:val="TableBodyText"/>
            </w:pPr>
            <w:r w:rsidRPr="00357687">
              <w:t>66</w:t>
            </w:r>
          </w:p>
        </w:tc>
        <w:tc>
          <w:tcPr>
            <w:tcW w:w="414" w:type="pct"/>
            <w:gridSpan w:val="2"/>
            <w:shd w:val="clear" w:color="auto" w:fill="auto"/>
            <w:vAlign w:val="center"/>
          </w:tcPr>
          <w:p w:rsidR="008C1B35" w:rsidRPr="00357687" w:rsidRDefault="008C1B35" w:rsidP="00357687">
            <w:pPr>
              <w:pStyle w:val="TableBodyText"/>
            </w:pPr>
            <w:r w:rsidRPr="00357687">
              <w:t>82</w:t>
            </w:r>
          </w:p>
        </w:tc>
      </w:tr>
      <w:tr w:rsidR="008C1B35" w:rsidRPr="00B817EA" w:rsidTr="00621F85">
        <w:tc>
          <w:tcPr>
            <w:tcW w:w="160" w:type="pct"/>
            <w:gridSpan w:val="2"/>
            <w:shd w:val="clear" w:color="auto" w:fill="auto"/>
          </w:tcPr>
          <w:p w:rsidR="008C1B35" w:rsidRPr="005825CD" w:rsidRDefault="008C1B35" w:rsidP="00AF66B0">
            <w:pPr>
              <w:pStyle w:val="TableBodyText"/>
              <w:jc w:val="left"/>
              <w:rPr>
                <w:vertAlign w:val="superscript"/>
              </w:rPr>
            </w:pPr>
          </w:p>
        </w:tc>
        <w:tc>
          <w:tcPr>
            <w:tcW w:w="1095" w:type="pct"/>
            <w:gridSpan w:val="2"/>
            <w:shd w:val="clear" w:color="auto" w:fill="auto"/>
            <w:vAlign w:val="center"/>
          </w:tcPr>
          <w:p w:rsidR="008C1B35" w:rsidRPr="001E0D4D" w:rsidRDefault="008C1B35" w:rsidP="001E0D4D">
            <w:pPr>
              <w:pStyle w:val="TableBodyText"/>
              <w:jc w:val="left"/>
            </w:pPr>
            <w:r w:rsidRPr="001E0D4D">
              <w:t>Urgent</w:t>
            </w:r>
          </w:p>
        </w:tc>
        <w:tc>
          <w:tcPr>
            <w:tcW w:w="416" w:type="pct"/>
            <w:gridSpan w:val="2"/>
            <w:shd w:val="clear" w:color="auto" w:fill="auto"/>
            <w:vAlign w:val="center"/>
          </w:tcPr>
          <w:p w:rsidR="008C1B35" w:rsidRPr="00357687" w:rsidRDefault="008C1B35" w:rsidP="00357687">
            <w:pPr>
              <w:pStyle w:val="TableBodyText"/>
            </w:pPr>
            <w:r w:rsidRPr="00357687">
              <w:t>73</w:t>
            </w:r>
          </w:p>
        </w:tc>
        <w:tc>
          <w:tcPr>
            <w:tcW w:w="417" w:type="pct"/>
            <w:shd w:val="clear" w:color="auto" w:fill="auto"/>
            <w:vAlign w:val="center"/>
          </w:tcPr>
          <w:p w:rsidR="008C1B35" w:rsidRPr="00357687" w:rsidRDefault="008C1B35" w:rsidP="00357687">
            <w:pPr>
              <w:pStyle w:val="TableBodyText"/>
            </w:pPr>
            <w:r w:rsidRPr="00357687">
              <w:t>72</w:t>
            </w:r>
          </w:p>
        </w:tc>
        <w:tc>
          <w:tcPr>
            <w:tcW w:w="416" w:type="pct"/>
            <w:shd w:val="clear" w:color="auto" w:fill="auto"/>
            <w:vAlign w:val="center"/>
          </w:tcPr>
          <w:p w:rsidR="008C1B35" w:rsidRPr="00357687" w:rsidRDefault="008C1B35" w:rsidP="00357687">
            <w:pPr>
              <w:pStyle w:val="TableBodyText"/>
            </w:pPr>
            <w:r w:rsidRPr="00357687">
              <w:t>68</w:t>
            </w:r>
          </w:p>
        </w:tc>
        <w:tc>
          <w:tcPr>
            <w:tcW w:w="417" w:type="pct"/>
            <w:gridSpan w:val="2"/>
            <w:shd w:val="clear" w:color="auto" w:fill="auto"/>
            <w:vAlign w:val="center"/>
          </w:tcPr>
          <w:p w:rsidR="008C1B35" w:rsidRPr="00357687" w:rsidRDefault="008C1B35" w:rsidP="00357687">
            <w:pPr>
              <w:pStyle w:val="TableBodyText"/>
            </w:pPr>
            <w:r w:rsidRPr="00357687">
              <w:t>52</w:t>
            </w:r>
          </w:p>
        </w:tc>
        <w:tc>
          <w:tcPr>
            <w:tcW w:w="417" w:type="pct"/>
            <w:gridSpan w:val="2"/>
            <w:shd w:val="clear" w:color="auto" w:fill="auto"/>
            <w:vAlign w:val="center"/>
          </w:tcPr>
          <w:p w:rsidR="008C1B35" w:rsidRPr="00357687" w:rsidRDefault="008C1B35" w:rsidP="00357687">
            <w:pPr>
              <w:pStyle w:val="TableBodyText"/>
            </w:pPr>
            <w:r w:rsidRPr="00357687">
              <w:t>66</w:t>
            </w:r>
          </w:p>
        </w:tc>
        <w:tc>
          <w:tcPr>
            <w:tcW w:w="417" w:type="pct"/>
            <w:gridSpan w:val="2"/>
            <w:shd w:val="clear" w:color="auto" w:fill="auto"/>
            <w:vAlign w:val="center"/>
          </w:tcPr>
          <w:p w:rsidR="008C1B35" w:rsidRPr="00357687" w:rsidRDefault="008C1B35" w:rsidP="00357687">
            <w:pPr>
              <w:pStyle w:val="TableBodyText"/>
            </w:pPr>
            <w:r w:rsidRPr="00357687">
              <w:t>65</w:t>
            </w:r>
          </w:p>
        </w:tc>
        <w:tc>
          <w:tcPr>
            <w:tcW w:w="417" w:type="pct"/>
            <w:gridSpan w:val="3"/>
            <w:shd w:val="clear" w:color="auto" w:fill="auto"/>
            <w:vAlign w:val="center"/>
          </w:tcPr>
          <w:p w:rsidR="008C1B35" w:rsidRPr="00357687" w:rsidRDefault="008C1B35" w:rsidP="00357687">
            <w:pPr>
              <w:pStyle w:val="TableBodyText"/>
            </w:pPr>
            <w:r w:rsidRPr="00357687">
              <w:t>43</w:t>
            </w:r>
          </w:p>
        </w:tc>
        <w:tc>
          <w:tcPr>
            <w:tcW w:w="415" w:type="pct"/>
            <w:gridSpan w:val="3"/>
            <w:shd w:val="clear" w:color="auto" w:fill="auto"/>
            <w:vAlign w:val="center"/>
          </w:tcPr>
          <w:p w:rsidR="008C1B35" w:rsidRPr="00357687" w:rsidRDefault="008C1B35" w:rsidP="00357687">
            <w:pPr>
              <w:pStyle w:val="TableBodyText"/>
            </w:pPr>
            <w:r w:rsidRPr="00357687">
              <w:t>52</w:t>
            </w:r>
          </w:p>
        </w:tc>
        <w:tc>
          <w:tcPr>
            <w:tcW w:w="414" w:type="pct"/>
            <w:gridSpan w:val="2"/>
            <w:shd w:val="clear" w:color="auto" w:fill="auto"/>
            <w:vAlign w:val="center"/>
          </w:tcPr>
          <w:p w:rsidR="008C1B35" w:rsidRPr="00357687" w:rsidRDefault="008C1B35" w:rsidP="00357687">
            <w:pPr>
              <w:pStyle w:val="TableBodyText"/>
            </w:pPr>
            <w:r w:rsidRPr="00357687">
              <w:t>68</w:t>
            </w:r>
          </w:p>
        </w:tc>
      </w:tr>
      <w:tr w:rsidR="008C1B35" w:rsidRPr="00B817EA" w:rsidTr="00621F85">
        <w:tc>
          <w:tcPr>
            <w:tcW w:w="160" w:type="pct"/>
            <w:gridSpan w:val="2"/>
            <w:shd w:val="clear" w:color="auto" w:fill="auto"/>
          </w:tcPr>
          <w:p w:rsidR="008C1B35" w:rsidRPr="005825CD" w:rsidRDefault="008C1B35" w:rsidP="00AF66B0">
            <w:pPr>
              <w:pStyle w:val="TableBodyText"/>
              <w:jc w:val="left"/>
              <w:rPr>
                <w:vertAlign w:val="superscript"/>
              </w:rPr>
            </w:pPr>
          </w:p>
        </w:tc>
        <w:tc>
          <w:tcPr>
            <w:tcW w:w="1095" w:type="pct"/>
            <w:gridSpan w:val="2"/>
            <w:shd w:val="clear" w:color="auto" w:fill="auto"/>
            <w:vAlign w:val="center"/>
          </w:tcPr>
          <w:p w:rsidR="008C1B35" w:rsidRPr="001E0D4D" w:rsidRDefault="008C1B35" w:rsidP="001E0D4D">
            <w:pPr>
              <w:pStyle w:val="TableBodyText"/>
              <w:jc w:val="left"/>
            </w:pPr>
            <w:r w:rsidRPr="001E0D4D">
              <w:t>Semi-urgent</w:t>
            </w:r>
          </w:p>
        </w:tc>
        <w:tc>
          <w:tcPr>
            <w:tcW w:w="416" w:type="pct"/>
            <w:gridSpan w:val="2"/>
            <w:shd w:val="clear" w:color="auto" w:fill="auto"/>
            <w:vAlign w:val="center"/>
          </w:tcPr>
          <w:p w:rsidR="008C1B35" w:rsidRPr="00357687" w:rsidRDefault="008C1B35" w:rsidP="00357687">
            <w:pPr>
              <w:pStyle w:val="TableBodyText"/>
            </w:pPr>
            <w:r w:rsidRPr="00357687">
              <w:t>77</w:t>
            </w:r>
          </w:p>
        </w:tc>
        <w:tc>
          <w:tcPr>
            <w:tcW w:w="417" w:type="pct"/>
            <w:shd w:val="clear" w:color="auto" w:fill="auto"/>
            <w:vAlign w:val="center"/>
          </w:tcPr>
          <w:p w:rsidR="008C1B35" w:rsidRPr="00357687" w:rsidRDefault="008C1B35" w:rsidP="00357687">
            <w:pPr>
              <w:pStyle w:val="TableBodyText"/>
            </w:pPr>
            <w:r w:rsidRPr="00357687">
              <w:t>68</w:t>
            </w:r>
          </w:p>
        </w:tc>
        <w:tc>
          <w:tcPr>
            <w:tcW w:w="416" w:type="pct"/>
            <w:shd w:val="clear" w:color="auto" w:fill="auto"/>
            <w:vAlign w:val="center"/>
          </w:tcPr>
          <w:p w:rsidR="008C1B35" w:rsidRPr="00357687" w:rsidRDefault="008C1B35" w:rsidP="00357687">
            <w:pPr>
              <w:pStyle w:val="TableBodyText"/>
            </w:pPr>
            <w:r w:rsidRPr="00357687">
              <w:t>74</w:t>
            </w:r>
          </w:p>
        </w:tc>
        <w:tc>
          <w:tcPr>
            <w:tcW w:w="417" w:type="pct"/>
            <w:gridSpan w:val="2"/>
            <w:shd w:val="clear" w:color="auto" w:fill="auto"/>
            <w:vAlign w:val="center"/>
          </w:tcPr>
          <w:p w:rsidR="008C1B35" w:rsidRPr="00357687" w:rsidRDefault="008C1B35" w:rsidP="00357687">
            <w:pPr>
              <w:pStyle w:val="TableBodyText"/>
            </w:pPr>
            <w:r w:rsidRPr="00357687">
              <w:t>67</w:t>
            </w:r>
          </w:p>
        </w:tc>
        <w:tc>
          <w:tcPr>
            <w:tcW w:w="417" w:type="pct"/>
            <w:gridSpan w:val="2"/>
            <w:shd w:val="clear" w:color="auto" w:fill="auto"/>
            <w:vAlign w:val="center"/>
          </w:tcPr>
          <w:p w:rsidR="008C1B35" w:rsidRPr="00357687" w:rsidRDefault="008C1B35" w:rsidP="00357687">
            <w:pPr>
              <w:pStyle w:val="TableBodyText"/>
            </w:pPr>
            <w:r w:rsidRPr="00357687">
              <w:t>78</w:t>
            </w:r>
          </w:p>
        </w:tc>
        <w:tc>
          <w:tcPr>
            <w:tcW w:w="417" w:type="pct"/>
            <w:gridSpan w:val="2"/>
            <w:shd w:val="clear" w:color="auto" w:fill="auto"/>
            <w:vAlign w:val="center"/>
          </w:tcPr>
          <w:p w:rsidR="008C1B35" w:rsidRPr="00357687" w:rsidRDefault="008C1B35" w:rsidP="00357687">
            <w:pPr>
              <w:pStyle w:val="TableBodyText"/>
            </w:pPr>
            <w:r w:rsidRPr="00357687">
              <w:t>70</w:t>
            </w:r>
          </w:p>
        </w:tc>
        <w:tc>
          <w:tcPr>
            <w:tcW w:w="417" w:type="pct"/>
            <w:gridSpan w:val="3"/>
            <w:shd w:val="clear" w:color="auto" w:fill="auto"/>
            <w:vAlign w:val="center"/>
          </w:tcPr>
          <w:p w:rsidR="008C1B35" w:rsidRPr="00357687" w:rsidRDefault="008C1B35" w:rsidP="00357687">
            <w:pPr>
              <w:pStyle w:val="TableBodyText"/>
            </w:pPr>
            <w:r w:rsidRPr="00357687">
              <w:t>46</w:t>
            </w:r>
          </w:p>
        </w:tc>
        <w:tc>
          <w:tcPr>
            <w:tcW w:w="415" w:type="pct"/>
            <w:gridSpan w:val="3"/>
            <w:shd w:val="clear" w:color="auto" w:fill="auto"/>
            <w:vAlign w:val="center"/>
          </w:tcPr>
          <w:p w:rsidR="008C1B35" w:rsidRPr="00357687" w:rsidRDefault="008C1B35" w:rsidP="00357687">
            <w:pPr>
              <w:pStyle w:val="TableBodyText"/>
            </w:pPr>
            <w:r w:rsidRPr="00357687">
              <w:t>52</w:t>
            </w:r>
          </w:p>
        </w:tc>
        <w:tc>
          <w:tcPr>
            <w:tcW w:w="414" w:type="pct"/>
            <w:gridSpan w:val="2"/>
            <w:shd w:val="clear" w:color="auto" w:fill="auto"/>
            <w:vAlign w:val="center"/>
          </w:tcPr>
          <w:p w:rsidR="008C1B35" w:rsidRPr="00357687" w:rsidRDefault="008C1B35" w:rsidP="00357687">
            <w:pPr>
              <w:pStyle w:val="TableBodyText"/>
            </w:pPr>
            <w:r w:rsidRPr="00357687">
              <w:t>72</w:t>
            </w:r>
          </w:p>
        </w:tc>
      </w:tr>
      <w:tr w:rsidR="008C1B35" w:rsidRPr="00B817EA" w:rsidTr="00621F85">
        <w:tc>
          <w:tcPr>
            <w:tcW w:w="160" w:type="pct"/>
            <w:gridSpan w:val="2"/>
            <w:shd w:val="clear" w:color="auto" w:fill="auto"/>
          </w:tcPr>
          <w:p w:rsidR="008C1B35" w:rsidRPr="005825CD" w:rsidRDefault="008C1B35" w:rsidP="00AF66B0">
            <w:pPr>
              <w:pStyle w:val="TableBodyText"/>
              <w:jc w:val="left"/>
              <w:rPr>
                <w:vertAlign w:val="superscript"/>
              </w:rPr>
            </w:pPr>
          </w:p>
        </w:tc>
        <w:tc>
          <w:tcPr>
            <w:tcW w:w="1095" w:type="pct"/>
            <w:gridSpan w:val="2"/>
            <w:shd w:val="clear" w:color="auto" w:fill="auto"/>
            <w:vAlign w:val="center"/>
          </w:tcPr>
          <w:p w:rsidR="008C1B35" w:rsidRPr="001E0D4D" w:rsidRDefault="008C1B35" w:rsidP="001E0D4D">
            <w:pPr>
              <w:pStyle w:val="TableBodyText"/>
              <w:jc w:val="left"/>
            </w:pPr>
            <w:r w:rsidRPr="001E0D4D">
              <w:t>Non-urgent</w:t>
            </w:r>
          </w:p>
        </w:tc>
        <w:tc>
          <w:tcPr>
            <w:tcW w:w="416" w:type="pct"/>
            <w:gridSpan w:val="2"/>
            <w:shd w:val="clear" w:color="auto" w:fill="auto"/>
            <w:vAlign w:val="center"/>
          </w:tcPr>
          <w:p w:rsidR="008C1B35" w:rsidRPr="00357687" w:rsidRDefault="008C1B35" w:rsidP="00357687">
            <w:pPr>
              <w:pStyle w:val="TableBodyText"/>
            </w:pPr>
            <w:r w:rsidRPr="00357687">
              <w:t>92</w:t>
            </w:r>
          </w:p>
        </w:tc>
        <w:tc>
          <w:tcPr>
            <w:tcW w:w="417" w:type="pct"/>
            <w:shd w:val="clear" w:color="auto" w:fill="auto"/>
            <w:vAlign w:val="center"/>
          </w:tcPr>
          <w:p w:rsidR="008C1B35" w:rsidRPr="00357687" w:rsidRDefault="008C1B35" w:rsidP="00357687">
            <w:pPr>
              <w:pStyle w:val="TableBodyText"/>
            </w:pPr>
            <w:r w:rsidRPr="00357687">
              <w:t>87</w:t>
            </w:r>
          </w:p>
        </w:tc>
        <w:tc>
          <w:tcPr>
            <w:tcW w:w="416" w:type="pct"/>
            <w:shd w:val="clear" w:color="auto" w:fill="auto"/>
            <w:vAlign w:val="center"/>
          </w:tcPr>
          <w:p w:rsidR="008C1B35" w:rsidRPr="00357687" w:rsidRDefault="008C1B35" w:rsidP="00357687">
            <w:pPr>
              <w:pStyle w:val="TableBodyText"/>
            </w:pPr>
            <w:r w:rsidRPr="00357687">
              <w:t>92</w:t>
            </w:r>
          </w:p>
        </w:tc>
        <w:tc>
          <w:tcPr>
            <w:tcW w:w="417" w:type="pct"/>
            <w:gridSpan w:val="2"/>
            <w:shd w:val="clear" w:color="auto" w:fill="auto"/>
            <w:vAlign w:val="center"/>
          </w:tcPr>
          <w:p w:rsidR="008C1B35" w:rsidRPr="00357687" w:rsidRDefault="008C1B35" w:rsidP="00357687">
            <w:pPr>
              <w:pStyle w:val="TableBodyText"/>
            </w:pPr>
            <w:r w:rsidRPr="00357687">
              <w:t>93</w:t>
            </w:r>
          </w:p>
        </w:tc>
        <w:tc>
          <w:tcPr>
            <w:tcW w:w="417" w:type="pct"/>
            <w:gridSpan w:val="2"/>
            <w:shd w:val="clear" w:color="auto" w:fill="auto"/>
            <w:vAlign w:val="center"/>
          </w:tcPr>
          <w:p w:rsidR="008C1B35" w:rsidRPr="00357687" w:rsidRDefault="008C1B35" w:rsidP="00357687">
            <w:pPr>
              <w:pStyle w:val="TableBodyText"/>
            </w:pPr>
            <w:r w:rsidRPr="00357687">
              <w:t>92</w:t>
            </w:r>
          </w:p>
        </w:tc>
        <w:tc>
          <w:tcPr>
            <w:tcW w:w="417" w:type="pct"/>
            <w:gridSpan w:val="2"/>
            <w:shd w:val="clear" w:color="auto" w:fill="auto"/>
            <w:vAlign w:val="center"/>
          </w:tcPr>
          <w:p w:rsidR="008C1B35" w:rsidRPr="00357687" w:rsidRDefault="008C1B35" w:rsidP="00357687">
            <w:pPr>
              <w:pStyle w:val="TableBodyText"/>
            </w:pPr>
            <w:r w:rsidRPr="00357687">
              <w:t>90</w:t>
            </w:r>
          </w:p>
        </w:tc>
        <w:tc>
          <w:tcPr>
            <w:tcW w:w="417" w:type="pct"/>
            <w:gridSpan w:val="3"/>
            <w:shd w:val="clear" w:color="auto" w:fill="auto"/>
            <w:vAlign w:val="center"/>
          </w:tcPr>
          <w:p w:rsidR="008C1B35" w:rsidRPr="00357687" w:rsidRDefault="008C1B35" w:rsidP="00357687">
            <w:pPr>
              <w:pStyle w:val="TableBodyText"/>
            </w:pPr>
            <w:r w:rsidRPr="00357687">
              <w:t>79</w:t>
            </w:r>
          </w:p>
        </w:tc>
        <w:tc>
          <w:tcPr>
            <w:tcW w:w="415" w:type="pct"/>
            <w:gridSpan w:val="3"/>
            <w:shd w:val="clear" w:color="auto" w:fill="auto"/>
            <w:vAlign w:val="center"/>
          </w:tcPr>
          <w:p w:rsidR="008C1B35" w:rsidRPr="00357687" w:rsidRDefault="008C1B35" w:rsidP="00357687">
            <w:pPr>
              <w:pStyle w:val="TableBodyText"/>
            </w:pPr>
            <w:r w:rsidRPr="00357687">
              <w:t>89</w:t>
            </w:r>
          </w:p>
        </w:tc>
        <w:tc>
          <w:tcPr>
            <w:tcW w:w="414" w:type="pct"/>
            <w:gridSpan w:val="2"/>
            <w:shd w:val="clear" w:color="auto" w:fill="auto"/>
            <w:vAlign w:val="center"/>
          </w:tcPr>
          <w:p w:rsidR="008C1B35" w:rsidRPr="00357687" w:rsidRDefault="008C1B35" w:rsidP="00357687">
            <w:pPr>
              <w:pStyle w:val="TableBodyText"/>
            </w:pPr>
            <w:r w:rsidRPr="00357687">
              <w:t>91</w:t>
            </w:r>
          </w:p>
        </w:tc>
      </w:tr>
      <w:tr w:rsidR="008C1B35" w:rsidRPr="00B817EA" w:rsidTr="00621F85">
        <w:tc>
          <w:tcPr>
            <w:tcW w:w="160" w:type="pct"/>
            <w:gridSpan w:val="2"/>
            <w:shd w:val="clear" w:color="auto" w:fill="auto"/>
          </w:tcPr>
          <w:p w:rsidR="008C1B35" w:rsidRPr="005825CD" w:rsidRDefault="008C1B35" w:rsidP="00AF66B0">
            <w:pPr>
              <w:pStyle w:val="TableBodyText"/>
              <w:jc w:val="left"/>
              <w:rPr>
                <w:vertAlign w:val="superscript"/>
              </w:rPr>
            </w:pPr>
          </w:p>
        </w:tc>
        <w:tc>
          <w:tcPr>
            <w:tcW w:w="1095" w:type="pct"/>
            <w:gridSpan w:val="2"/>
            <w:shd w:val="clear" w:color="auto" w:fill="auto"/>
            <w:vAlign w:val="center"/>
          </w:tcPr>
          <w:p w:rsidR="008C1B35" w:rsidRPr="001E0D4D" w:rsidRDefault="008C1B35" w:rsidP="001E0D4D">
            <w:pPr>
              <w:pStyle w:val="TableBodyText"/>
              <w:jc w:val="left"/>
            </w:pPr>
            <w:r w:rsidRPr="001E0D4D">
              <w:t>Total</w:t>
            </w:r>
          </w:p>
        </w:tc>
        <w:tc>
          <w:tcPr>
            <w:tcW w:w="416" w:type="pct"/>
            <w:gridSpan w:val="2"/>
            <w:shd w:val="clear" w:color="auto" w:fill="auto"/>
            <w:vAlign w:val="center"/>
          </w:tcPr>
          <w:p w:rsidR="008C1B35" w:rsidRPr="00357687" w:rsidRDefault="008C1B35" w:rsidP="00357687">
            <w:pPr>
              <w:pStyle w:val="TableBodyText"/>
            </w:pPr>
            <w:r w:rsidRPr="00357687">
              <w:t>78</w:t>
            </w:r>
          </w:p>
        </w:tc>
        <w:tc>
          <w:tcPr>
            <w:tcW w:w="417" w:type="pct"/>
            <w:shd w:val="clear" w:color="auto" w:fill="auto"/>
            <w:vAlign w:val="center"/>
          </w:tcPr>
          <w:p w:rsidR="008C1B35" w:rsidRPr="00357687" w:rsidRDefault="008C1B35" w:rsidP="00357687">
            <w:pPr>
              <w:pStyle w:val="TableBodyText"/>
            </w:pPr>
            <w:r w:rsidRPr="00357687">
              <w:t>73</w:t>
            </w:r>
          </w:p>
        </w:tc>
        <w:tc>
          <w:tcPr>
            <w:tcW w:w="416" w:type="pct"/>
            <w:shd w:val="clear" w:color="auto" w:fill="auto"/>
            <w:vAlign w:val="center"/>
          </w:tcPr>
          <w:p w:rsidR="008C1B35" w:rsidRPr="00357687" w:rsidRDefault="008C1B35" w:rsidP="00357687">
            <w:pPr>
              <w:pStyle w:val="TableBodyText"/>
            </w:pPr>
            <w:r w:rsidRPr="00357687">
              <w:t>74</w:t>
            </w:r>
          </w:p>
        </w:tc>
        <w:tc>
          <w:tcPr>
            <w:tcW w:w="417" w:type="pct"/>
            <w:gridSpan w:val="2"/>
            <w:shd w:val="clear" w:color="auto" w:fill="auto"/>
            <w:vAlign w:val="center"/>
          </w:tcPr>
          <w:p w:rsidR="008C1B35" w:rsidRPr="00357687" w:rsidRDefault="008C1B35" w:rsidP="00357687">
            <w:pPr>
              <w:pStyle w:val="TableBodyText"/>
            </w:pPr>
            <w:r w:rsidRPr="00357687">
              <w:t>66</w:t>
            </w:r>
          </w:p>
        </w:tc>
        <w:tc>
          <w:tcPr>
            <w:tcW w:w="417" w:type="pct"/>
            <w:gridSpan w:val="2"/>
            <w:shd w:val="clear" w:color="auto" w:fill="auto"/>
            <w:vAlign w:val="center"/>
          </w:tcPr>
          <w:p w:rsidR="008C1B35" w:rsidRPr="00357687" w:rsidRDefault="008C1B35" w:rsidP="00357687">
            <w:pPr>
              <w:pStyle w:val="TableBodyText"/>
            </w:pPr>
            <w:r w:rsidRPr="00357687">
              <w:t>75</w:t>
            </w:r>
          </w:p>
        </w:tc>
        <w:tc>
          <w:tcPr>
            <w:tcW w:w="417" w:type="pct"/>
            <w:gridSpan w:val="2"/>
            <w:shd w:val="clear" w:color="auto" w:fill="auto"/>
            <w:vAlign w:val="center"/>
          </w:tcPr>
          <w:p w:rsidR="008C1B35" w:rsidRPr="00357687" w:rsidRDefault="008C1B35" w:rsidP="00357687">
            <w:pPr>
              <w:pStyle w:val="TableBodyText"/>
            </w:pPr>
            <w:r w:rsidRPr="00357687">
              <w:t>71</w:t>
            </w:r>
          </w:p>
        </w:tc>
        <w:tc>
          <w:tcPr>
            <w:tcW w:w="417" w:type="pct"/>
            <w:gridSpan w:val="3"/>
            <w:shd w:val="clear" w:color="auto" w:fill="auto"/>
            <w:vAlign w:val="center"/>
          </w:tcPr>
          <w:p w:rsidR="008C1B35" w:rsidRPr="00357687" w:rsidRDefault="008C1B35" w:rsidP="00357687">
            <w:pPr>
              <w:pStyle w:val="TableBodyText"/>
            </w:pPr>
            <w:r w:rsidRPr="00357687">
              <w:t>51</w:t>
            </w:r>
          </w:p>
        </w:tc>
        <w:tc>
          <w:tcPr>
            <w:tcW w:w="415" w:type="pct"/>
            <w:gridSpan w:val="3"/>
            <w:shd w:val="clear" w:color="auto" w:fill="auto"/>
            <w:vAlign w:val="center"/>
          </w:tcPr>
          <w:p w:rsidR="008C1B35" w:rsidRPr="00357687" w:rsidRDefault="008C1B35" w:rsidP="00357687">
            <w:pPr>
              <w:pStyle w:val="TableBodyText"/>
            </w:pPr>
            <w:r w:rsidRPr="00357687">
              <w:t>57</w:t>
            </w:r>
          </w:p>
        </w:tc>
        <w:tc>
          <w:tcPr>
            <w:tcW w:w="414" w:type="pct"/>
            <w:gridSpan w:val="2"/>
            <w:shd w:val="clear" w:color="auto" w:fill="auto"/>
            <w:vAlign w:val="center"/>
          </w:tcPr>
          <w:p w:rsidR="008C1B35" w:rsidRPr="00357687" w:rsidRDefault="008C1B35" w:rsidP="00357687">
            <w:pPr>
              <w:pStyle w:val="TableBodyText"/>
            </w:pPr>
            <w:r w:rsidRPr="00357687">
              <w:t>73</w:t>
            </w:r>
          </w:p>
        </w:tc>
      </w:tr>
      <w:tr w:rsidR="00350E6D" w:rsidRPr="005825CD" w:rsidTr="00621F85">
        <w:trPr>
          <w:trHeight w:val="273"/>
        </w:trPr>
        <w:tc>
          <w:tcPr>
            <w:tcW w:w="5000" w:type="pct"/>
            <w:gridSpan w:val="22"/>
            <w:shd w:val="clear" w:color="auto" w:fill="auto"/>
          </w:tcPr>
          <w:p w:rsidR="00350E6D" w:rsidRPr="005825CD" w:rsidRDefault="00350E6D" w:rsidP="001B520B">
            <w:pPr>
              <w:pStyle w:val="TableColumnHeading"/>
              <w:jc w:val="left"/>
            </w:pPr>
            <w:r>
              <w:t xml:space="preserve">Waiting times for </w:t>
            </w:r>
            <w:r w:rsidR="001B520B">
              <w:t>admitted patient services</w:t>
            </w:r>
            <w:r w:rsidRPr="005825CD">
              <w:t xml:space="preserve"> </w:t>
            </w:r>
          </w:p>
        </w:tc>
      </w:tr>
      <w:tr w:rsidR="00350E6D" w:rsidRPr="005825CD" w:rsidTr="00621F85">
        <w:trPr>
          <w:trHeight w:val="177"/>
        </w:trPr>
        <w:tc>
          <w:tcPr>
            <w:tcW w:w="5000" w:type="pct"/>
            <w:gridSpan w:val="22"/>
            <w:shd w:val="clear" w:color="auto" w:fill="auto"/>
          </w:tcPr>
          <w:p w:rsidR="00350E6D" w:rsidRPr="00FE49D9" w:rsidRDefault="00350E6D" w:rsidP="00B7459F">
            <w:pPr>
              <w:pStyle w:val="TableBodyText"/>
              <w:jc w:val="left"/>
            </w:pPr>
            <w:r w:rsidRPr="005825CD">
              <w:t xml:space="preserve">  </w:t>
            </w:r>
            <w:r w:rsidR="00DB2A49">
              <w:t xml:space="preserve">Elective surgery waiting times: </w:t>
            </w:r>
            <w:r>
              <w:t>Number of days waited</w:t>
            </w:r>
            <w:r w:rsidR="00B34F09">
              <w:t>,</w:t>
            </w:r>
            <w:r w:rsidR="001B520B">
              <w:t xml:space="preserve"> </w:t>
            </w:r>
            <w:r w:rsidR="001B520B" w:rsidRPr="00D04085">
              <w:t>2012-13</w:t>
            </w:r>
            <w:r w:rsidR="00226A12">
              <w:br/>
            </w:r>
            <w:r w:rsidR="00B7459F" w:rsidRPr="00D04085">
              <w:rPr>
                <w:sz w:val="16"/>
                <w:szCs w:val="16"/>
              </w:rPr>
              <w:t xml:space="preserve">  </w:t>
            </w:r>
            <w:r w:rsidR="00226A12" w:rsidRPr="00D04085">
              <w:rPr>
                <w:sz w:val="16"/>
                <w:szCs w:val="16"/>
              </w:rPr>
              <w:t xml:space="preserve">Most recent data for this </w:t>
            </w:r>
            <w:r w:rsidR="00B7459F" w:rsidRPr="00D04085">
              <w:rPr>
                <w:sz w:val="16"/>
                <w:szCs w:val="16"/>
              </w:rPr>
              <w:t>measure</w:t>
            </w:r>
            <w:r w:rsidR="00226A12" w:rsidRPr="00D04085">
              <w:rPr>
                <w:sz w:val="16"/>
                <w:szCs w:val="16"/>
              </w:rPr>
              <w:t xml:space="preserve"> are complete but not directly comparable (chapter 10)</w:t>
            </w:r>
          </w:p>
        </w:tc>
      </w:tr>
      <w:tr w:rsidR="008C1B35" w:rsidRPr="00703837" w:rsidTr="00621F85">
        <w:tc>
          <w:tcPr>
            <w:tcW w:w="160" w:type="pct"/>
            <w:gridSpan w:val="2"/>
            <w:shd w:val="clear" w:color="auto" w:fill="auto"/>
          </w:tcPr>
          <w:p w:rsidR="008C1B35" w:rsidRPr="005825CD" w:rsidRDefault="008C1B35" w:rsidP="00116E8F">
            <w:pPr>
              <w:pStyle w:val="TableBodyText"/>
              <w:jc w:val="left"/>
              <w:rPr>
                <w:vertAlign w:val="superscript"/>
              </w:rPr>
            </w:pPr>
          </w:p>
        </w:tc>
        <w:tc>
          <w:tcPr>
            <w:tcW w:w="1095" w:type="pct"/>
            <w:gridSpan w:val="2"/>
            <w:shd w:val="clear" w:color="auto" w:fill="auto"/>
          </w:tcPr>
          <w:p w:rsidR="008C1B35" w:rsidRPr="005825CD" w:rsidRDefault="008C1B35" w:rsidP="00116E8F">
            <w:pPr>
              <w:pStyle w:val="TableBodyText"/>
              <w:jc w:val="left"/>
            </w:pPr>
            <w:r>
              <w:t>50</w:t>
            </w:r>
            <w:r w:rsidRPr="00AC3076">
              <w:rPr>
                <w:vertAlign w:val="superscript"/>
              </w:rPr>
              <w:t>th</w:t>
            </w:r>
            <w:r>
              <w:rPr>
                <w:vertAlign w:val="superscript"/>
              </w:rPr>
              <w:t xml:space="preserve"> </w:t>
            </w:r>
            <w:r>
              <w:t>percentile</w:t>
            </w:r>
          </w:p>
        </w:tc>
        <w:tc>
          <w:tcPr>
            <w:tcW w:w="416" w:type="pct"/>
            <w:gridSpan w:val="2"/>
            <w:shd w:val="clear" w:color="auto" w:fill="auto"/>
            <w:vAlign w:val="center"/>
          </w:tcPr>
          <w:p w:rsidR="008C1B35" w:rsidRPr="00357687" w:rsidRDefault="008C1B35" w:rsidP="00357687">
            <w:pPr>
              <w:pStyle w:val="TableBodyText"/>
            </w:pPr>
            <w:r w:rsidRPr="00357687">
              <w:t xml:space="preserve">  50</w:t>
            </w:r>
          </w:p>
        </w:tc>
        <w:tc>
          <w:tcPr>
            <w:tcW w:w="417" w:type="pct"/>
            <w:shd w:val="clear" w:color="auto" w:fill="auto"/>
            <w:vAlign w:val="center"/>
          </w:tcPr>
          <w:p w:rsidR="008C1B35" w:rsidRPr="00357687" w:rsidRDefault="008C1B35" w:rsidP="00357687">
            <w:pPr>
              <w:pStyle w:val="TableBodyText"/>
            </w:pPr>
            <w:r w:rsidRPr="00357687">
              <w:t xml:space="preserve">  36</w:t>
            </w:r>
          </w:p>
        </w:tc>
        <w:tc>
          <w:tcPr>
            <w:tcW w:w="416" w:type="pct"/>
            <w:shd w:val="clear" w:color="auto" w:fill="auto"/>
            <w:vAlign w:val="center"/>
          </w:tcPr>
          <w:p w:rsidR="008C1B35" w:rsidRPr="00357687" w:rsidRDefault="008C1B35" w:rsidP="00357687">
            <w:pPr>
              <w:pStyle w:val="TableBodyText"/>
            </w:pPr>
            <w:r w:rsidRPr="00357687">
              <w:t xml:space="preserve">  27</w:t>
            </w:r>
          </w:p>
        </w:tc>
        <w:tc>
          <w:tcPr>
            <w:tcW w:w="417" w:type="pct"/>
            <w:gridSpan w:val="2"/>
            <w:shd w:val="clear" w:color="auto" w:fill="auto"/>
            <w:vAlign w:val="center"/>
          </w:tcPr>
          <w:p w:rsidR="008C1B35" w:rsidRPr="00357687" w:rsidRDefault="008C1B35" w:rsidP="00357687">
            <w:pPr>
              <w:pStyle w:val="TableBodyText"/>
            </w:pPr>
            <w:r w:rsidRPr="00357687">
              <w:t xml:space="preserve">  30</w:t>
            </w:r>
          </w:p>
        </w:tc>
        <w:tc>
          <w:tcPr>
            <w:tcW w:w="417" w:type="pct"/>
            <w:gridSpan w:val="2"/>
            <w:shd w:val="clear" w:color="auto" w:fill="auto"/>
            <w:vAlign w:val="center"/>
          </w:tcPr>
          <w:p w:rsidR="008C1B35" w:rsidRPr="00357687" w:rsidRDefault="008C1B35" w:rsidP="00357687">
            <w:pPr>
              <w:pStyle w:val="TableBodyText"/>
            </w:pPr>
            <w:r w:rsidRPr="00357687">
              <w:t xml:space="preserve">  34</w:t>
            </w:r>
          </w:p>
        </w:tc>
        <w:tc>
          <w:tcPr>
            <w:tcW w:w="417" w:type="pct"/>
            <w:gridSpan w:val="2"/>
            <w:shd w:val="clear" w:color="auto" w:fill="auto"/>
            <w:vAlign w:val="center"/>
          </w:tcPr>
          <w:p w:rsidR="008C1B35" w:rsidRPr="00357687" w:rsidRDefault="008C1B35" w:rsidP="00357687">
            <w:pPr>
              <w:pStyle w:val="TableBodyText"/>
            </w:pPr>
            <w:r w:rsidRPr="00357687">
              <w:t xml:space="preserve">  41</w:t>
            </w:r>
          </w:p>
        </w:tc>
        <w:tc>
          <w:tcPr>
            <w:tcW w:w="417" w:type="pct"/>
            <w:gridSpan w:val="3"/>
            <w:shd w:val="clear" w:color="auto" w:fill="auto"/>
            <w:vAlign w:val="center"/>
          </w:tcPr>
          <w:p w:rsidR="008C1B35" w:rsidRPr="00357687" w:rsidRDefault="008C1B35" w:rsidP="00357687">
            <w:pPr>
              <w:pStyle w:val="TableBodyText"/>
            </w:pPr>
            <w:r w:rsidRPr="00357687">
              <w:t xml:space="preserve">  51</w:t>
            </w:r>
          </w:p>
        </w:tc>
        <w:tc>
          <w:tcPr>
            <w:tcW w:w="415" w:type="pct"/>
            <w:gridSpan w:val="3"/>
            <w:shd w:val="clear" w:color="auto" w:fill="auto"/>
            <w:vAlign w:val="center"/>
          </w:tcPr>
          <w:p w:rsidR="008C1B35" w:rsidRPr="00357687" w:rsidRDefault="008C1B35" w:rsidP="00357687">
            <w:pPr>
              <w:pStyle w:val="TableBodyText"/>
            </w:pPr>
            <w:r w:rsidRPr="00357687">
              <w:t xml:space="preserve">  40</w:t>
            </w:r>
          </w:p>
        </w:tc>
        <w:tc>
          <w:tcPr>
            <w:tcW w:w="414" w:type="pct"/>
            <w:gridSpan w:val="2"/>
            <w:shd w:val="clear" w:color="auto" w:fill="auto"/>
            <w:vAlign w:val="center"/>
          </w:tcPr>
          <w:p w:rsidR="008C1B35" w:rsidRPr="00357687" w:rsidRDefault="008C1B35" w:rsidP="00357687">
            <w:pPr>
              <w:pStyle w:val="TableBodyText"/>
            </w:pPr>
            <w:r w:rsidRPr="00357687">
              <w:t xml:space="preserve">  36</w:t>
            </w:r>
          </w:p>
        </w:tc>
      </w:tr>
      <w:tr w:rsidR="008C1B35" w:rsidRPr="00703837" w:rsidTr="00621F85">
        <w:tc>
          <w:tcPr>
            <w:tcW w:w="160" w:type="pct"/>
            <w:gridSpan w:val="2"/>
            <w:shd w:val="clear" w:color="auto" w:fill="auto"/>
          </w:tcPr>
          <w:p w:rsidR="008C1B35" w:rsidRPr="005825CD" w:rsidRDefault="008C1B35" w:rsidP="00116E8F">
            <w:pPr>
              <w:pStyle w:val="TableBodyText"/>
              <w:jc w:val="left"/>
              <w:rPr>
                <w:vertAlign w:val="superscript"/>
              </w:rPr>
            </w:pPr>
          </w:p>
        </w:tc>
        <w:tc>
          <w:tcPr>
            <w:tcW w:w="1095" w:type="pct"/>
            <w:gridSpan w:val="2"/>
            <w:shd w:val="clear" w:color="auto" w:fill="auto"/>
          </w:tcPr>
          <w:p w:rsidR="008C1B35" w:rsidRPr="005825CD" w:rsidRDefault="008C1B35" w:rsidP="00116E8F">
            <w:pPr>
              <w:pStyle w:val="TableBodyText"/>
              <w:jc w:val="left"/>
            </w:pPr>
            <w:r>
              <w:t>90</w:t>
            </w:r>
            <w:r w:rsidRPr="00AC3076">
              <w:rPr>
                <w:vertAlign w:val="superscript"/>
              </w:rPr>
              <w:t>th</w:t>
            </w:r>
            <w:r>
              <w:t xml:space="preserve"> percentile</w:t>
            </w:r>
          </w:p>
        </w:tc>
        <w:tc>
          <w:tcPr>
            <w:tcW w:w="416" w:type="pct"/>
            <w:gridSpan w:val="2"/>
            <w:shd w:val="clear" w:color="auto" w:fill="auto"/>
            <w:vAlign w:val="center"/>
          </w:tcPr>
          <w:p w:rsidR="008C1B35" w:rsidRPr="00357687" w:rsidRDefault="008C1B35" w:rsidP="00357687">
            <w:pPr>
              <w:pStyle w:val="TableBodyText"/>
            </w:pPr>
            <w:r w:rsidRPr="00357687">
              <w:t xml:space="preserve">  335</w:t>
            </w:r>
          </w:p>
        </w:tc>
        <w:tc>
          <w:tcPr>
            <w:tcW w:w="417" w:type="pct"/>
            <w:shd w:val="clear" w:color="auto" w:fill="auto"/>
            <w:vAlign w:val="center"/>
          </w:tcPr>
          <w:p w:rsidR="008C1B35" w:rsidRPr="00357687" w:rsidRDefault="008C1B35" w:rsidP="00357687">
            <w:pPr>
              <w:pStyle w:val="TableBodyText"/>
            </w:pPr>
            <w:r w:rsidRPr="00357687">
              <w:t xml:space="preserve">  223</w:t>
            </w:r>
          </w:p>
        </w:tc>
        <w:tc>
          <w:tcPr>
            <w:tcW w:w="416" w:type="pct"/>
            <w:shd w:val="clear" w:color="auto" w:fill="auto"/>
            <w:vAlign w:val="center"/>
          </w:tcPr>
          <w:p w:rsidR="008C1B35" w:rsidRPr="00357687" w:rsidRDefault="008C1B35" w:rsidP="00357687">
            <w:pPr>
              <w:pStyle w:val="TableBodyText"/>
            </w:pPr>
            <w:r w:rsidRPr="00357687">
              <w:t xml:space="preserve">  163</w:t>
            </w:r>
          </w:p>
        </w:tc>
        <w:tc>
          <w:tcPr>
            <w:tcW w:w="417" w:type="pct"/>
            <w:gridSpan w:val="2"/>
            <w:shd w:val="clear" w:color="auto" w:fill="auto"/>
            <w:vAlign w:val="center"/>
          </w:tcPr>
          <w:p w:rsidR="008C1B35" w:rsidRPr="00357687" w:rsidRDefault="008C1B35" w:rsidP="00357687">
            <w:pPr>
              <w:pStyle w:val="TableBodyText"/>
            </w:pPr>
            <w:r w:rsidRPr="00357687">
              <w:t xml:space="preserve">  159</w:t>
            </w:r>
          </w:p>
        </w:tc>
        <w:tc>
          <w:tcPr>
            <w:tcW w:w="417" w:type="pct"/>
            <w:gridSpan w:val="2"/>
            <w:shd w:val="clear" w:color="auto" w:fill="auto"/>
            <w:vAlign w:val="center"/>
          </w:tcPr>
          <w:p w:rsidR="008C1B35" w:rsidRPr="00357687" w:rsidRDefault="008C1B35" w:rsidP="00357687">
            <w:pPr>
              <w:pStyle w:val="TableBodyText"/>
            </w:pPr>
            <w:r w:rsidRPr="00357687">
              <w:t xml:space="preserve">  182</w:t>
            </w:r>
          </w:p>
        </w:tc>
        <w:tc>
          <w:tcPr>
            <w:tcW w:w="417" w:type="pct"/>
            <w:gridSpan w:val="2"/>
            <w:shd w:val="clear" w:color="auto" w:fill="auto"/>
            <w:vAlign w:val="center"/>
          </w:tcPr>
          <w:p w:rsidR="008C1B35" w:rsidRPr="00357687" w:rsidRDefault="008C1B35" w:rsidP="00357687">
            <w:pPr>
              <w:pStyle w:val="TableBodyText"/>
            </w:pPr>
            <w:r w:rsidRPr="00357687">
              <w:t xml:space="preserve">  406</w:t>
            </w:r>
          </w:p>
        </w:tc>
        <w:tc>
          <w:tcPr>
            <w:tcW w:w="417" w:type="pct"/>
            <w:gridSpan w:val="3"/>
            <w:shd w:val="clear" w:color="auto" w:fill="auto"/>
            <w:vAlign w:val="center"/>
          </w:tcPr>
          <w:p w:rsidR="008C1B35" w:rsidRPr="00357687" w:rsidRDefault="008C1B35" w:rsidP="00357687">
            <w:pPr>
              <w:pStyle w:val="TableBodyText"/>
            </w:pPr>
            <w:r w:rsidRPr="00357687">
              <w:t xml:space="preserve">  277</w:t>
            </w:r>
          </w:p>
        </w:tc>
        <w:tc>
          <w:tcPr>
            <w:tcW w:w="415" w:type="pct"/>
            <w:gridSpan w:val="3"/>
            <w:shd w:val="clear" w:color="auto" w:fill="auto"/>
            <w:vAlign w:val="center"/>
          </w:tcPr>
          <w:p w:rsidR="008C1B35" w:rsidRPr="00357687" w:rsidRDefault="008C1B35" w:rsidP="00357687">
            <w:pPr>
              <w:pStyle w:val="TableBodyText"/>
            </w:pPr>
            <w:r w:rsidRPr="00357687">
              <w:t xml:space="preserve">  196</w:t>
            </w:r>
          </w:p>
        </w:tc>
        <w:tc>
          <w:tcPr>
            <w:tcW w:w="414" w:type="pct"/>
            <w:gridSpan w:val="2"/>
            <w:shd w:val="clear" w:color="auto" w:fill="auto"/>
            <w:vAlign w:val="center"/>
          </w:tcPr>
          <w:p w:rsidR="008C1B35" w:rsidRPr="00357687" w:rsidRDefault="008C1B35" w:rsidP="00357687">
            <w:pPr>
              <w:pStyle w:val="TableBodyText"/>
            </w:pPr>
            <w:r w:rsidRPr="00357687">
              <w:t xml:space="preserve">  265</w:t>
            </w:r>
          </w:p>
        </w:tc>
      </w:tr>
      <w:tr w:rsidR="00350E6D" w:rsidRPr="00703837" w:rsidTr="00621F85">
        <w:trPr>
          <w:trHeight w:val="177"/>
        </w:trPr>
        <w:tc>
          <w:tcPr>
            <w:tcW w:w="5000" w:type="pct"/>
            <w:gridSpan w:val="22"/>
            <w:shd w:val="clear" w:color="auto" w:fill="auto"/>
          </w:tcPr>
          <w:p w:rsidR="00350E6D" w:rsidRPr="00703837" w:rsidRDefault="00350E6D" w:rsidP="00B7459F">
            <w:pPr>
              <w:pStyle w:val="TableBodyText"/>
              <w:jc w:val="left"/>
            </w:pPr>
            <w:r w:rsidRPr="00703837">
              <w:t xml:space="preserve">  </w:t>
            </w:r>
            <w:r w:rsidR="00DB2A49" w:rsidRPr="00DB2A49">
              <w:t xml:space="preserve">  Elective surgery waiting times:</w:t>
            </w:r>
            <w:r w:rsidR="00DB2A49">
              <w:t xml:space="preserve"> </w:t>
            </w:r>
            <w:r w:rsidRPr="00703837">
              <w:t>Proportion who waited more than 365 days</w:t>
            </w:r>
            <w:r w:rsidR="00B34F09">
              <w:t>,</w:t>
            </w:r>
            <w:r w:rsidR="001B520B">
              <w:t xml:space="preserve"> </w:t>
            </w:r>
            <w:r w:rsidR="001B520B" w:rsidRPr="001B520B">
              <w:t>2012-13</w:t>
            </w:r>
            <w:r w:rsidR="00226A12">
              <w:br/>
            </w:r>
            <w:r w:rsidR="00B7459F" w:rsidRPr="00D04085">
              <w:rPr>
                <w:sz w:val="16"/>
                <w:szCs w:val="16"/>
              </w:rPr>
              <w:t xml:space="preserve">    </w:t>
            </w:r>
            <w:r w:rsidR="00226A12" w:rsidRPr="00D04085">
              <w:rPr>
                <w:sz w:val="16"/>
                <w:szCs w:val="16"/>
              </w:rPr>
              <w:t xml:space="preserve">Most recent data for this </w:t>
            </w:r>
            <w:r w:rsidR="00B7459F" w:rsidRPr="00D04085">
              <w:rPr>
                <w:sz w:val="16"/>
                <w:szCs w:val="16"/>
              </w:rPr>
              <w:t>measure</w:t>
            </w:r>
            <w:r w:rsidR="00226A12" w:rsidRPr="00D04085">
              <w:rPr>
                <w:sz w:val="16"/>
                <w:szCs w:val="16"/>
              </w:rPr>
              <w:t xml:space="preserve"> are complete but not directly comparable (chapter 10)</w:t>
            </w:r>
          </w:p>
        </w:tc>
      </w:tr>
      <w:tr w:rsidR="008C1B35" w:rsidRPr="00703837" w:rsidTr="00621F85">
        <w:tc>
          <w:tcPr>
            <w:tcW w:w="160" w:type="pct"/>
            <w:gridSpan w:val="2"/>
            <w:shd w:val="clear" w:color="auto" w:fill="auto"/>
          </w:tcPr>
          <w:p w:rsidR="008C1B35" w:rsidRPr="005825CD" w:rsidRDefault="008C1B35" w:rsidP="00116E8F">
            <w:pPr>
              <w:pStyle w:val="TableBodyText"/>
              <w:jc w:val="left"/>
              <w:rPr>
                <w:vertAlign w:val="superscript"/>
              </w:rPr>
            </w:pPr>
          </w:p>
        </w:tc>
        <w:tc>
          <w:tcPr>
            <w:tcW w:w="1095" w:type="pct"/>
            <w:gridSpan w:val="2"/>
            <w:shd w:val="clear" w:color="auto" w:fill="auto"/>
          </w:tcPr>
          <w:p w:rsidR="008C1B35" w:rsidRPr="005825CD" w:rsidRDefault="008C1B35" w:rsidP="00116E8F">
            <w:pPr>
              <w:pStyle w:val="TableBodyText"/>
              <w:jc w:val="left"/>
            </w:pPr>
            <w:r w:rsidRPr="005825CD">
              <w:t>%</w:t>
            </w:r>
          </w:p>
        </w:tc>
        <w:tc>
          <w:tcPr>
            <w:tcW w:w="416" w:type="pct"/>
            <w:gridSpan w:val="2"/>
            <w:shd w:val="clear" w:color="auto" w:fill="auto"/>
            <w:vAlign w:val="center"/>
          </w:tcPr>
          <w:p w:rsidR="008C1B35" w:rsidRPr="00357687" w:rsidRDefault="008C1B35" w:rsidP="00357687">
            <w:pPr>
              <w:pStyle w:val="TableBodyText"/>
            </w:pPr>
            <w:r w:rsidRPr="00357687">
              <w:t xml:space="preserve">  2.8</w:t>
            </w:r>
          </w:p>
        </w:tc>
        <w:tc>
          <w:tcPr>
            <w:tcW w:w="417" w:type="pct"/>
            <w:shd w:val="clear" w:color="auto" w:fill="auto"/>
            <w:vAlign w:val="center"/>
          </w:tcPr>
          <w:p w:rsidR="008C1B35" w:rsidRPr="00357687" w:rsidRDefault="008C1B35" w:rsidP="00357687">
            <w:pPr>
              <w:pStyle w:val="TableBodyText"/>
            </w:pPr>
            <w:r w:rsidRPr="00357687">
              <w:t xml:space="preserve">  3.3</w:t>
            </w:r>
          </w:p>
        </w:tc>
        <w:tc>
          <w:tcPr>
            <w:tcW w:w="416" w:type="pct"/>
            <w:shd w:val="clear" w:color="auto" w:fill="auto"/>
            <w:vAlign w:val="center"/>
          </w:tcPr>
          <w:p w:rsidR="008C1B35" w:rsidRPr="00357687" w:rsidRDefault="008C1B35" w:rsidP="00357687">
            <w:pPr>
              <w:pStyle w:val="TableBodyText"/>
            </w:pPr>
            <w:r w:rsidRPr="00357687">
              <w:t xml:space="preserve">  2.5</w:t>
            </w:r>
          </w:p>
        </w:tc>
        <w:tc>
          <w:tcPr>
            <w:tcW w:w="417" w:type="pct"/>
            <w:gridSpan w:val="2"/>
            <w:shd w:val="clear" w:color="auto" w:fill="auto"/>
            <w:vAlign w:val="center"/>
          </w:tcPr>
          <w:p w:rsidR="008C1B35" w:rsidRPr="00357687" w:rsidRDefault="008C1B35" w:rsidP="00357687">
            <w:pPr>
              <w:pStyle w:val="TableBodyText"/>
            </w:pPr>
            <w:r w:rsidRPr="00357687">
              <w:t xml:space="preserve">  1.5</w:t>
            </w:r>
          </w:p>
        </w:tc>
        <w:tc>
          <w:tcPr>
            <w:tcW w:w="417" w:type="pct"/>
            <w:gridSpan w:val="2"/>
            <w:shd w:val="clear" w:color="auto" w:fill="auto"/>
            <w:vAlign w:val="center"/>
          </w:tcPr>
          <w:p w:rsidR="008C1B35" w:rsidRPr="00357687" w:rsidRDefault="008C1B35" w:rsidP="00357687">
            <w:pPr>
              <w:pStyle w:val="TableBodyText"/>
            </w:pPr>
            <w:r w:rsidRPr="00357687">
              <w:t xml:space="preserve">  1.0</w:t>
            </w:r>
          </w:p>
        </w:tc>
        <w:tc>
          <w:tcPr>
            <w:tcW w:w="417" w:type="pct"/>
            <w:gridSpan w:val="2"/>
            <w:shd w:val="clear" w:color="auto" w:fill="auto"/>
            <w:vAlign w:val="center"/>
          </w:tcPr>
          <w:p w:rsidR="008C1B35" w:rsidRPr="00357687" w:rsidRDefault="008C1B35" w:rsidP="00357687">
            <w:pPr>
              <w:pStyle w:val="TableBodyText"/>
            </w:pPr>
            <w:r w:rsidRPr="00357687">
              <w:t xml:space="preserve">  11.5</w:t>
            </w:r>
          </w:p>
        </w:tc>
        <w:tc>
          <w:tcPr>
            <w:tcW w:w="417" w:type="pct"/>
            <w:gridSpan w:val="3"/>
            <w:shd w:val="clear" w:color="auto" w:fill="auto"/>
            <w:vAlign w:val="center"/>
          </w:tcPr>
          <w:p w:rsidR="008C1B35" w:rsidRPr="00357687" w:rsidRDefault="008C1B35" w:rsidP="00357687">
            <w:pPr>
              <w:pStyle w:val="TableBodyText"/>
            </w:pPr>
            <w:r w:rsidRPr="00357687">
              <w:t xml:space="preserve">  4.1</w:t>
            </w:r>
          </w:p>
        </w:tc>
        <w:tc>
          <w:tcPr>
            <w:tcW w:w="415" w:type="pct"/>
            <w:gridSpan w:val="3"/>
            <w:shd w:val="clear" w:color="auto" w:fill="auto"/>
            <w:vAlign w:val="center"/>
          </w:tcPr>
          <w:p w:rsidR="008C1B35" w:rsidRPr="00357687" w:rsidRDefault="008C1B35" w:rsidP="00357687">
            <w:pPr>
              <w:pStyle w:val="TableBodyText"/>
            </w:pPr>
            <w:r w:rsidRPr="00357687">
              <w:t xml:space="preserve">  3.3</w:t>
            </w:r>
          </w:p>
        </w:tc>
        <w:tc>
          <w:tcPr>
            <w:tcW w:w="414" w:type="pct"/>
            <w:gridSpan w:val="2"/>
            <w:shd w:val="clear" w:color="auto" w:fill="auto"/>
            <w:vAlign w:val="center"/>
          </w:tcPr>
          <w:p w:rsidR="008C1B35" w:rsidRPr="00357687" w:rsidRDefault="008C1B35" w:rsidP="00357687">
            <w:pPr>
              <w:pStyle w:val="TableBodyText"/>
            </w:pPr>
            <w:r w:rsidRPr="00357687">
              <w:t xml:space="preserve">  2.7</w:t>
            </w:r>
          </w:p>
        </w:tc>
      </w:tr>
      <w:tr w:rsidR="008C1B35" w:rsidRPr="005825CD" w:rsidTr="00621F85">
        <w:trPr>
          <w:trHeight w:val="177"/>
        </w:trPr>
        <w:tc>
          <w:tcPr>
            <w:tcW w:w="5000" w:type="pct"/>
            <w:gridSpan w:val="22"/>
            <w:shd w:val="clear" w:color="auto" w:fill="auto"/>
          </w:tcPr>
          <w:p w:rsidR="008C1B35" w:rsidRPr="00FE49D9" w:rsidRDefault="008C1B35" w:rsidP="00DB2A49">
            <w:pPr>
              <w:pStyle w:val="TableBodyText"/>
              <w:jc w:val="left"/>
            </w:pPr>
            <w:r w:rsidRPr="005825CD">
              <w:t xml:space="preserve">  </w:t>
            </w:r>
            <w:r w:rsidR="00DB2A49" w:rsidRPr="008C1B35">
              <w:t xml:space="preserve">Proportion of presentations to emergency departments with a length of stay of 4 hours or less </w:t>
            </w:r>
            <w:r w:rsidR="00DB2A49">
              <w:br/>
              <w:t xml:space="preserve">  </w:t>
            </w:r>
            <w:r w:rsidR="00DB2A49" w:rsidRPr="008C1B35">
              <w:t>ending in admission, public hospitals</w:t>
            </w:r>
            <w:r w:rsidR="00DB2A49">
              <w:t xml:space="preserve"> (per cent)</w:t>
            </w:r>
            <w:r w:rsidR="00B34F09">
              <w:t xml:space="preserve">, </w:t>
            </w:r>
            <w:r w:rsidR="00B34F09" w:rsidRPr="00B34F09">
              <w:t>2012-13</w:t>
            </w:r>
            <w:r w:rsidR="001B520B">
              <w:br/>
            </w:r>
            <w:r w:rsidR="001B520B" w:rsidRPr="00D04085">
              <w:rPr>
                <w:sz w:val="16"/>
                <w:szCs w:val="16"/>
              </w:rPr>
              <w:t xml:space="preserve">  Most recent data for this measure are complete but not directly comparable (chapter 10)</w:t>
            </w:r>
          </w:p>
        </w:tc>
      </w:tr>
      <w:tr w:rsidR="00703837" w:rsidRPr="00B817EA" w:rsidTr="00621F85">
        <w:tc>
          <w:tcPr>
            <w:tcW w:w="160" w:type="pct"/>
            <w:gridSpan w:val="2"/>
            <w:shd w:val="clear" w:color="auto" w:fill="auto"/>
          </w:tcPr>
          <w:p w:rsidR="00703837" w:rsidRPr="005825CD" w:rsidRDefault="00703837" w:rsidP="00703837">
            <w:pPr>
              <w:pStyle w:val="TableBodyText"/>
              <w:jc w:val="left"/>
              <w:rPr>
                <w:vertAlign w:val="superscript"/>
              </w:rPr>
            </w:pPr>
          </w:p>
        </w:tc>
        <w:tc>
          <w:tcPr>
            <w:tcW w:w="1095" w:type="pct"/>
            <w:gridSpan w:val="2"/>
            <w:shd w:val="clear" w:color="auto" w:fill="auto"/>
            <w:vAlign w:val="center"/>
          </w:tcPr>
          <w:p w:rsidR="00703837" w:rsidRPr="001E0D4D" w:rsidRDefault="00703837" w:rsidP="00703837">
            <w:pPr>
              <w:pStyle w:val="TableBodyText"/>
              <w:jc w:val="left"/>
            </w:pPr>
            <w:r w:rsidRPr="001E0D4D">
              <w:t>Resuscitation</w:t>
            </w:r>
          </w:p>
        </w:tc>
        <w:tc>
          <w:tcPr>
            <w:tcW w:w="416" w:type="pct"/>
            <w:gridSpan w:val="2"/>
            <w:shd w:val="clear" w:color="auto" w:fill="auto"/>
            <w:vAlign w:val="center"/>
          </w:tcPr>
          <w:p w:rsidR="00703837" w:rsidRPr="00B17252" w:rsidRDefault="00703837" w:rsidP="00703837">
            <w:pPr>
              <w:pStyle w:val="TableBodyText"/>
            </w:pPr>
            <w:r w:rsidRPr="00B17252">
              <w:t>44</w:t>
            </w:r>
          </w:p>
        </w:tc>
        <w:tc>
          <w:tcPr>
            <w:tcW w:w="417" w:type="pct"/>
            <w:shd w:val="clear" w:color="auto" w:fill="auto"/>
            <w:vAlign w:val="center"/>
          </w:tcPr>
          <w:p w:rsidR="00703837" w:rsidRPr="00B17252" w:rsidRDefault="00703837" w:rsidP="00703837">
            <w:pPr>
              <w:pStyle w:val="TableBodyText"/>
            </w:pPr>
            <w:r w:rsidRPr="00B17252">
              <w:t>56</w:t>
            </w:r>
          </w:p>
        </w:tc>
        <w:tc>
          <w:tcPr>
            <w:tcW w:w="416" w:type="pct"/>
            <w:shd w:val="clear" w:color="auto" w:fill="auto"/>
            <w:vAlign w:val="center"/>
          </w:tcPr>
          <w:p w:rsidR="00703837" w:rsidRPr="00B17252" w:rsidRDefault="00703837" w:rsidP="00703837">
            <w:pPr>
              <w:pStyle w:val="TableBodyText"/>
            </w:pPr>
            <w:r w:rsidRPr="00B17252">
              <w:t>54</w:t>
            </w:r>
          </w:p>
        </w:tc>
        <w:tc>
          <w:tcPr>
            <w:tcW w:w="417" w:type="pct"/>
            <w:gridSpan w:val="2"/>
            <w:shd w:val="clear" w:color="auto" w:fill="auto"/>
            <w:vAlign w:val="center"/>
          </w:tcPr>
          <w:p w:rsidR="00703837" w:rsidRPr="00B17252" w:rsidRDefault="00703837" w:rsidP="00703837">
            <w:pPr>
              <w:pStyle w:val="TableBodyText"/>
            </w:pPr>
            <w:r w:rsidRPr="00B17252">
              <w:t>59</w:t>
            </w:r>
          </w:p>
        </w:tc>
        <w:tc>
          <w:tcPr>
            <w:tcW w:w="417" w:type="pct"/>
            <w:gridSpan w:val="2"/>
            <w:shd w:val="clear" w:color="auto" w:fill="auto"/>
            <w:vAlign w:val="center"/>
          </w:tcPr>
          <w:p w:rsidR="00703837" w:rsidRPr="00B17252" w:rsidRDefault="00703837" w:rsidP="00703837">
            <w:pPr>
              <w:pStyle w:val="TableBodyText"/>
            </w:pPr>
            <w:r w:rsidRPr="00B17252">
              <w:t>55</w:t>
            </w:r>
          </w:p>
        </w:tc>
        <w:tc>
          <w:tcPr>
            <w:tcW w:w="417" w:type="pct"/>
            <w:gridSpan w:val="2"/>
            <w:shd w:val="clear" w:color="auto" w:fill="auto"/>
            <w:vAlign w:val="center"/>
          </w:tcPr>
          <w:p w:rsidR="00703837" w:rsidRPr="00B17252" w:rsidRDefault="00703837" w:rsidP="00703837">
            <w:pPr>
              <w:pStyle w:val="TableBodyText"/>
            </w:pPr>
            <w:r w:rsidRPr="00B17252">
              <w:t>56</w:t>
            </w:r>
          </w:p>
        </w:tc>
        <w:tc>
          <w:tcPr>
            <w:tcW w:w="417" w:type="pct"/>
            <w:gridSpan w:val="3"/>
            <w:shd w:val="clear" w:color="auto" w:fill="auto"/>
            <w:vAlign w:val="center"/>
          </w:tcPr>
          <w:p w:rsidR="00703837" w:rsidRPr="00B17252" w:rsidRDefault="00703837" w:rsidP="00703837">
            <w:pPr>
              <w:pStyle w:val="TableBodyText"/>
            </w:pPr>
            <w:r w:rsidRPr="00B17252">
              <w:t>62</w:t>
            </w:r>
          </w:p>
        </w:tc>
        <w:tc>
          <w:tcPr>
            <w:tcW w:w="415" w:type="pct"/>
            <w:gridSpan w:val="3"/>
            <w:shd w:val="clear" w:color="auto" w:fill="auto"/>
            <w:vAlign w:val="center"/>
          </w:tcPr>
          <w:p w:rsidR="00703837" w:rsidRPr="00B17252" w:rsidRDefault="00703837" w:rsidP="00703837">
            <w:pPr>
              <w:pStyle w:val="TableBodyText"/>
            </w:pPr>
            <w:r w:rsidRPr="00B17252">
              <w:t>48</w:t>
            </w:r>
          </w:p>
        </w:tc>
        <w:tc>
          <w:tcPr>
            <w:tcW w:w="414" w:type="pct"/>
            <w:gridSpan w:val="2"/>
            <w:shd w:val="clear" w:color="auto" w:fill="auto"/>
            <w:vAlign w:val="center"/>
          </w:tcPr>
          <w:p w:rsidR="00703837" w:rsidRPr="00B17252" w:rsidRDefault="00703837" w:rsidP="00703837">
            <w:pPr>
              <w:pStyle w:val="TableBodyText"/>
            </w:pPr>
            <w:r w:rsidRPr="00B17252">
              <w:t>52</w:t>
            </w:r>
          </w:p>
        </w:tc>
      </w:tr>
      <w:tr w:rsidR="00703837" w:rsidRPr="00B817EA" w:rsidTr="00621F85">
        <w:tc>
          <w:tcPr>
            <w:tcW w:w="160" w:type="pct"/>
            <w:gridSpan w:val="2"/>
            <w:shd w:val="clear" w:color="auto" w:fill="auto"/>
          </w:tcPr>
          <w:p w:rsidR="00703837" w:rsidRPr="005825CD" w:rsidRDefault="00703837" w:rsidP="00703837">
            <w:pPr>
              <w:pStyle w:val="TableBodyText"/>
              <w:jc w:val="left"/>
              <w:rPr>
                <w:vertAlign w:val="superscript"/>
              </w:rPr>
            </w:pPr>
          </w:p>
        </w:tc>
        <w:tc>
          <w:tcPr>
            <w:tcW w:w="1095" w:type="pct"/>
            <w:gridSpan w:val="2"/>
            <w:shd w:val="clear" w:color="auto" w:fill="auto"/>
            <w:vAlign w:val="center"/>
          </w:tcPr>
          <w:p w:rsidR="00703837" w:rsidRPr="001E0D4D" w:rsidRDefault="00703837" w:rsidP="00703837">
            <w:pPr>
              <w:pStyle w:val="TableBodyText"/>
              <w:jc w:val="left"/>
            </w:pPr>
            <w:r w:rsidRPr="001E0D4D">
              <w:t>Emergency</w:t>
            </w:r>
          </w:p>
        </w:tc>
        <w:tc>
          <w:tcPr>
            <w:tcW w:w="416" w:type="pct"/>
            <w:gridSpan w:val="2"/>
            <w:shd w:val="clear" w:color="auto" w:fill="auto"/>
            <w:vAlign w:val="center"/>
          </w:tcPr>
          <w:p w:rsidR="00703837" w:rsidRPr="00B17252" w:rsidRDefault="00703837" w:rsidP="00703837">
            <w:pPr>
              <w:pStyle w:val="TableBodyText"/>
            </w:pPr>
            <w:r w:rsidRPr="00B17252">
              <w:t>32</w:t>
            </w:r>
          </w:p>
        </w:tc>
        <w:tc>
          <w:tcPr>
            <w:tcW w:w="417" w:type="pct"/>
            <w:shd w:val="clear" w:color="auto" w:fill="auto"/>
            <w:vAlign w:val="center"/>
          </w:tcPr>
          <w:p w:rsidR="00703837" w:rsidRPr="00B17252" w:rsidRDefault="00703837" w:rsidP="00703837">
            <w:pPr>
              <w:pStyle w:val="TableBodyText"/>
            </w:pPr>
            <w:r w:rsidRPr="00B17252">
              <w:t>44</w:t>
            </w:r>
          </w:p>
        </w:tc>
        <w:tc>
          <w:tcPr>
            <w:tcW w:w="416" w:type="pct"/>
            <w:shd w:val="clear" w:color="auto" w:fill="auto"/>
            <w:vAlign w:val="center"/>
          </w:tcPr>
          <w:p w:rsidR="00703837" w:rsidRPr="00B17252" w:rsidRDefault="00703837" w:rsidP="00703837">
            <w:pPr>
              <w:pStyle w:val="TableBodyText"/>
            </w:pPr>
            <w:r w:rsidRPr="00B17252">
              <w:t>40</w:t>
            </w:r>
          </w:p>
        </w:tc>
        <w:tc>
          <w:tcPr>
            <w:tcW w:w="417" w:type="pct"/>
            <w:gridSpan w:val="2"/>
            <w:shd w:val="clear" w:color="auto" w:fill="auto"/>
            <w:vAlign w:val="center"/>
          </w:tcPr>
          <w:p w:rsidR="00703837" w:rsidRPr="00B17252" w:rsidRDefault="00703837" w:rsidP="00703837">
            <w:pPr>
              <w:pStyle w:val="TableBodyText"/>
            </w:pPr>
            <w:r w:rsidRPr="00B17252">
              <w:t>52</w:t>
            </w:r>
          </w:p>
        </w:tc>
        <w:tc>
          <w:tcPr>
            <w:tcW w:w="417" w:type="pct"/>
            <w:gridSpan w:val="2"/>
            <w:shd w:val="clear" w:color="auto" w:fill="auto"/>
            <w:vAlign w:val="center"/>
          </w:tcPr>
          <w:p w:rsidR="00703837" w:rsidRPr="00B17252" w:rsidRDefault="00703837" w:rsidP="00703837">
            <w:pPr>
              <w:pStyle w:val="TableBodyText"/>
            </w:pPr>
            <w:r w:rsidRPr="00B17252">
              <w:t>41</w:t>
            </w:r>
          </w:p>
        </w:tc>
        <w:tc>
          <w:tcPr>
            <w:tcW w:w="417" w:type="pct"/>
            <w:gridSpan w:val="2"/>
            <w:shd w:val="clear" w:color="auto" w:fill="auto"/>
            <w:vAlign w:val="center"/>
          </w:tcPr>
          <w:p w:rsidR="00703837" w:rsidRPr="00B17252" w:rsidRDefault="00703837" w:rsidP="00703837">
            <w:pPr>
              <w:pStyle w:val="TableBodyText"/>
            </w:pPr>
            <w:r w:rsidRPr="00B17252">
              <w:t>32</w:t>
            </w:r>
          </w:p>
        </w:tc>
        <w:tc>
          <w:tcPr>
            <w:tcW w:w="417" w:type="pct"/>
            <w:gridSpan w:val="3"/>
            <w:shd w:val="clear" w:color="auto" w:fill="auto"/>
            <w:vAlign w:val="center"/>
          </w:tcPr>
          <w:p w:rsidR="00703837" w:rsidRPr="00B17252" w:rsidRDefault="00703837" w:rsidP="00703837">
            <w:pPr>
              <w:pStyle w:val="TableBodyText"/>
            </w:pPr>
            <w:r w:rsidRPr="00B17252">
              <w:t>40</w:t>
            </w:r>
          </w:p>
        </w:tc>
        <w:tc>
          <w:tcPr>
            <w:tcW w:w="415" w:type="pct"/>
            <w:gridSpan w:val="3"/>
            <w:shd w:val="clear" w:color="auto" w:fill="auto"/>
            <w:vAlign w:val="center"/>
          </w:tcPr>
          <w:p w:rsidR="00703837" w:rsidRPr="00B17252" w:rsidRDefault="00703837" w:rsidP="00703837">
            <w:pPr>
              <w:pStyle w:val="TableBodyText"/>
            </w:pPr>
            <w:r w:rsidRPr="00B17252">
              <w:t>23</w:t>
            </w:r>
          </w:p>
        </w:tc>
        <w:tc>
          <w:tcPr>
            <w:tcW w:w="414" w:type="pct"/>
            <w:gridSpan w:val="2"/>
            <w:shd w:val="clear" w:color="auto" w:fill="auto"/>
            <w:vAlign w:val="center"/>
          </w:tcPr>
          <w:p w:rsidR="00703837" w:rsidRPr="00B17252" w:rsidRDefault="00703837" w:rsidP="00703837">
            <w:pPr>
              <w:pStyle w:val="TableBodyText"/>
            </w:pPr>
            <w:r w:rsidRPr="00B17252">
              <w:t>39</w:t>
            </w:r>
          </w:p>
        </w:tc>
      </w:tr>
      <w:tr w:rsidR="00703837" w:rsidRPr="00B817EA" w:rsidTr="00621F85">
        <w:tc>
          <w:tcPr>
            <w:tcW w:w="160" w:type="pct"/>
            <w:gridSpan w:val="2"/>
            <w:shd w:val="clear" w:color="auto" w:fill="auto"/>
          </w:tcPr>
          <w:p w:rsidR="00703837" w:rsidRPr="005825CD" w:rsidRDefault="00703837" w:rsidP="00703837">
            <w:pPr>
              <w:pStyle w:val="TableBodyText"/>
              <w:jc w:val="left"/>
              <w:rPr>
                <w:vertAlign w:val="superscript"/>
              </w:rPr>
            </w:pPr>
          </w:p>
        </w:tc>
        <w:tc>
          <w:tcPr>
            <w:tcW w:w="1095" w:type="pct"/>
            <w:gridSpan w:val="2"/>
            <w:shd w:val="clear" w:color="auto" w:fill="auto"/>
            <w:vAlign w:val="center"/>
          </w:tcPr>
          <w:p w:rsidR="00703837" w:rsidRPr="001E0D4D" w:rsidRDefault="00703837" w:rsidP="00703837">
            <w:pPr>
              <w:pStyle w:val="TableBodyText"/>
              <w:jc w:val="left"/>
            </w:pPr>
            <w:r w:rsidRPr="001E0D4D">
              <w:t>Urgent</w:t>
            </w:r>
          </w:p>
        </w:tc>
        <w:tc>
          <w:tcPr>
            <w:tcW w:w="416" w:type="pct"/>
            <w:gridSpan w:val="2"/>
            <w:shd w:val="clear" w:color="auto" w:fill="auto"/>
            <w:vAlign w:val="center"/>
          </w:tcPr>
          <w:p w:rsidR="00703837" w:rsidRPr="00B17252" w:rsidRDefault="00703837" w:rsidP="00703837">
            <w:pPr>
              <w:pStyle w:val="TableBodyText"/>
            </w:pPr>
            <w:r w:rsidRPr="00B17252">
              <w:t>27</w:t>
            </w:r>
          </w:p>
        </w:tc>
        <w:tc>
          <w:tcPr>
            <w:tcW w:w="417" w:type="pct"/>
            <w:shd w:val="clear" w:color="auto" w:fill="auto"/>
            <w:vAlign w:val="center"/>
          </w:tcPr>
          <w:p w:rsidR="00703837" w:rsidRPr="00B17252" w:rsidRDefault="00703837" w:rsidP="00703837">
            <w:pPr>
              <w:pStyle w:val="TableBodyText"/>
            </w:pPr>
            <w:r w:rsidRPr="00B17252">
              <w:t>36</w:t>
            </w:r>
          </w:p>
        </w:tc>
        <w:tc>
          <w:tcPr>
            <w:tcW w:w="416" w:type="pct"/>
            <w:shd w:val="clear" w:color="auto" w:fill="auto"/>
            <w:vAlign w:val="center"/>
          </w:tcPr>
          <w:p w:rsidR="00703837" w:rsidRPr="00B17252" w:rsidRDefault="00703837" w:rsidP="00703837">
            <w:pPr>
              <w:pStyle w:val="TableBodyText"/>
            </w:pPr>
            <w:r w:rsidRPr="00B17252">
              <w:t>39</w:t>
            </w:r>
          </w:p>
        </w:tc>
        <w:tc>
          <w:tcPr>
            <w:tcW w:w="417" w:type="pct"/>
            <w:gridSpan w:val="2"/>
            <w:shd w:val="clear" w:color="auto" w:fill="auto"/>
            <w:vAlign w:val="center"/>
          </w:tcPr>
          <w:p w:rsidR="00703837" w:rsidRPr="00B17252" w:rsidRDefault="00703837" w:rsidP="00703837">
            <w:pPr>
              <w:pStyle w:val="TableBodyText"/>
            </w:pPr>
            <w:r w:rsidRPr="00B17252">
              <w:t>43</w:t>
            </w:r>
          </w:p>
        </w:tc>
        <w:tc>
          <w:tcPr>
            <w:tcW w:w="417" w:type="pct"/>
            <w:gridSpan w:val="2"/>
            <w:shd w:val="clear" w:color="auto" w:fill="auto"/>
            <w:vAlign w:val="center"/>
          </w:tcPr>
          <w:p w:rsidR="00703837" w:rsidRPr="00B17252" w:rsidRDefault="00703837" w:rsidP="00703837">
            <w:pPr>
              <w:pStyle w:val="TableBodyText"/>
            </w:pPr>
            <w:r w:rsidRPr="00B17252">
              <w:t>38</w:t>
            </w:r>
          </w:p>
        </w:tc>
        <w:tc>
          <w:tcPr>
            <w:tcW w:w="417" w:type="pct"/>
            <w:gridSpan w:val="2"/>
            <w:shd w:val="clear" w:color="auto" w:fill="auto"/>
            <w:vAlign w:val="center"/>
          </w:tcPr>
          <w:p w:rsidR="00703837" w:rsidRPr="00B17252" w:rsidRDefault="00703837" w:rsidP="00703837">
            <w:pPr>
              <w:pStyle w:val="TableBodyText"/>
            </w:pPr>
            <w:r w:rsidRPr="00B17252">
              <w:t>22</w:t>
            </w:r>
          </w:p>
        </w:tc>
        <w:tc>
          <w:tcPr>
            <w:tcW w:w="417" w:type="pct"/>
            <w:gridSpan w:val="3"/>
            <w:shd w:val="clear" w:color="auto" w:fill="auto"/>
            <w:vAlign w:val="center"/>
          </w:tcPr>
          <w:p w:rsidR="00703837" w:rsidRPr="00B17252" w:rsidRDefault="00703837" w:rsidP="00703837">
            <w:pPr>
              <w:pStyle w:val="TableBodyText"/>
            </w:pPr>
            <w:r w:rsidRPr="00B17252">
              <w:t>24</w:t>
            </w:r>
          </w:p>
        </w:tc>
        <w:tc>
          <w:tcPr>
            <w:tcW w:w="415" w:type="pct"/>
            <w:gridSpan w:val="3"/>
            <w:shd w:val="clear" w:color="auto" w:fill="auto"/>
            <w:vAlign w:val="center"/>
          </w:tcPr>
          <w:p w:rsidR="00703837" w:rsidRPr="00B17252" w:rsidRDefault="00703837" w:rsidP="00703837">
            <w:pPr>
              <w:pStyle w:val="TableBodyText"/>
            </w:pPr>
            <w:r w:rsidRPr="00B17252">
              <w:t>23</w:t>
            </w:r>
          </w:p>
        </w:tc>
        <w:tc>
          <w:tcPr>
            <w:tcW w:w="414" w:type="pct"/>
            <w:gridSpan w:val="2"/>
            <w:shd w:val="clear" w:color="auto" w:fill="auto"/>
            <w:vAlign w:val="center"/>
          </w:tcPr>
          <w:p w:rsidR="00703837" w:rsidRPr="00B17252" w:rsidRDefault="00703837" w:rsidP="00703837">
            <w:pPr>
              <w:pStyle w:val="TableBodyText"/>
            </w:pPr>
            <w:r w:rsidRPr="00B17252">
              <w:t>34</w:t>
            </w:r>
          </w:p>
        </w:tc>
      </w:tr>
      <w:tr w:rsidR="00703837" w:rsidRPr="00B817EA" w:rsidTr="00621F85">
        <w:tc>
          <w:tcPr>
            <w:tcW w:w="160" w:type="pct"/>
            <w:gridSpan w:val="2"/>
            <w:shd w:val="clear" w:color="auto" w:fill="auto"/>
          </w:tcPr>
          <w:p w:rsidR="00703837" w:rsidRPr="005825CD" w:rsidRDefault="00703837" w:rsidP="00703837">
            <w:pPr>
              <w:pStyle w:val="TableBodyText"/>
              <w:jc w:val="left"/>
              <w:rPr>
                <w:vertAlign w:val="superscript"/>
              </w:rPr>
            </w:pPr>
          </w:p>
        </w:tc>
        <w:tc>
          <w:tcPr>
            <w:tcW w:w="1095" w:type="pct"/>
            <w:gridSpan w:val="2"/>
            <w:shd w:val="clear" w:color="auto" w:fill="auto"/>
            <w:vAlign w:val="center"/>
          </w:tcPr>
          <w:p w:rsidR="00703837" w:rsidRPr="001E0D4D" w:rsidRDefault="00703837" w:rsidP="00703837">
            <w:pPr>
              <w:pStyle w:val="TableBodyText"/>
              <w:jc w:val="left"/>
            </w:pPr>
            <w:r w:rsidRPr="001E0D4D">
              <w:t>Semi-urgent</w:t>
            </w:r>
          </w:p>
        </w:tc>
        <w:tc>
          <w:tcPr>
            <w:tcW w:w="416" w:type="pct"/>
            <w:gridSpan w:val="2"/>
            <w:shd w:val="clear" w:color="auto" w:fill="auto"/>
            <w:vAlign w:val="center"/>
          </w:tcPr>
          <w:p w:rsidR="00703837" w:rsidRPr="00B17252" w:rsidRDefault="00703837" w:rsidP="00703837">
            <w:pPr>
              <w:pStyle w:val="TableBodyText"/>
            </w:pPr>
            <w:r w:rsidRPr="00B17252">
              <w:t>30</w:t>
            </w:r>
          </w:p>
        </w:tc>
        <w:tc>
          <w:tcPr>
            <w:tcW w:w="417" w:type="pct"/>
            <w:shd w:val="clear" w:color="auto" w:fill="auto"/>
            <w:vAlign w:val="center"/>
          </w:tcPr>
          <w:p w:rsidR="00703837" w:rsidRPr="00B17252" w:rsidRDefault="00703837" w:rsidP="00703837">
            <w:pPr>
              <w:pStyle w:val="TableBodyText"/>
            </w:pPr>
            <w:r w:rsidRPr="00B17252">
              <w:t>36</w:t>
            </w:r>
          </w:p>
        </w:tc>
        <w:tc>
          <w:tcPr>
            <w:tcW w:w="416" w:type="pct"/>
            <w:shd w:val="clear" w:color="auto" w:fill="auto"/>
            <w:vAlign w:val="center"/>
          </w:tcPr>
          <w:p w:rsidR="00703837" w:rsidRPr="00B17252" w:rsidRDefault="00703837" w:rsidP="00703837">
            <w:pPr>
              <w:pStyle w:val="TableBodyText"/>
            </w:pPr>
            <w:r w:rsidRPr="00B17252">
              <w:t>45</w:t>
            </w:r>
          </w:p>
        </w:tc>
        <w:tc>
          <w:tcPr>
            <w:tcW w:w="417" w:type="pct"/>
            <w:gridSpan w:val="2"/>
            <w:shd w:val="clear" w:color="auto" w:fill="auto"/>
            <w:vAlign w:val="center"/>
          </w:tcPr>
          <w:p w:rsidR="00703837" w:rsidRPr="00B17252" w:rsidRDefault="00703837" w:rsidP="00703837">
            <w:pPr>
              <w:pStyle w:val="TableBodyText"/>
            </w:pPr>
            <w:r w:rsidRPr="00B17252">
              <w:t>45</w:t>
            </w:r>
          </w:p>
        </w:tc>
        <w:tc>
          <w:tcPr>
            <w:tcW w:w="417" w:type="pct"/>
            <w:gridSpan w:val="2"/>
            <w:shd w:val="clear" w:color="auto" w:fill="auto"/>
            <w:vAlign w:val="center"/>
          </w:tcPr>
          <w:p w:rsidR="00703837" w:rsidRPr="00B17252" w:rsidRDefault="00703837" w:rsidP="00703837">
            <w:pPr>
              <w:pStyle w:val="TableBodyText"/>
            </w:pPr>
            <w:r w:rsidRPr="00B17252">
              <w:t>43</w:t>
            </w:r>
          </w:p>
        </w:tc>
        <w:tc>
          <w:tcPr>
            <w:tcW w:w="417" w:type="pct"/>
            <w:gridSpan w:val="2"/>
            <w:shd w:val="clear" w:color="auto" w:fill="auto"/>
            <w:vAlign w:val="center"/>
          </w:tcPr>
          <w:p w:rsidR="00703837" w:rsidRPr="00B17252" w:rsidRDefault="00703837" w:rsidP="00703837">
            <w:pPr>
              <w:pStyle w:val="TableBodyText"/>
            </w:pPr>
            <w:r w:rsidRPr="00B17252">
              <w:t>24</w:t>
            </w:r>
          </w:p>
        </w:tc>
        <w:tc>
          <w:tcPr>
            <w:tcW w:w="417" w:type="pct"/>
            <w:gridSpan w:val="3"/>
            <w:shd w:val="clear" w:color="auto" w:fill="auto"/>
            <w:vAlign w:val="center"/>
          </w:tcPr>
          <w:p w:rsidR="00703837" w:rsidRPr="00B17252" w:rsidRDefault="00703837" w:rsidP="00703837">
            <w:pPr>
              <w:pStyle w:val="TableBodyText"/>
            </w:pPr>
            <w:r w:rsidRPr="00B17252">
              <w:t>28</w:t>
            </w:r>
          </w:p>
        </w:tc>
        <w:tc>
          <w:tcPr>
            <w:tcW w:w="415" w:type="pct"/>
            <w:gridSpan w:val="3"/>
            <w:shd w:val="clear" w:color="auto" w:fill="auto"/>
            <w:vAlign w:val="center"/>
          </w:tcPr>
          <w:p w:rsidR="00703837" w:rsidRPr="00B17252" w:rsidRDefault="00703837" w:rsidP="00703837">
            <w:pPr>
              <w:pStyle w:val="TableBodyText"/>
            </w:pPr>
            <w:r w:rsidRPr="00B17252">
              <w:t>24</w:t>
            </w:r>
          </w:p>
        </w:tc>
        <w:tc>
          <w:tcPr>
            <w:tcW w:w="414" w:type="pct"/>
            <w:gridSpan w:val="2"/>
            <w:shd w:val="clear" w:color="auto" w:fill="auto"/>
            <w:vAlign w:val="center"/>
          </w:tcPr>
          <w:p w:rsidR="00703837" w:rsidRPr="00B17252" w:rsidRDefault="00703837" w:rsidP="00703837">
            <w:pPr>
              <w:pStyle w:val="TableBodyText"/>
            </w:pPr>
            <w:r w:rsidRPr="00B17252">
              <w:t>35</w:t>
            </w:r>
          </w:p>
        </w:tc>
      </w:tr>
      <w:tr w:rsidR="00703837" w:rsidRPr="00B817EA" w:rsidTr="00621F85">
        <w:tc>
          <w:tcPr>
            <w:tcW w:w="160" w:type="pct"/>
            <w:gridSpan w:val="2"/>
            <w:shd w:val="clear" w:color="auto" w:fill="auto"/>
          </w:tcPr>
          <w:p w:rsidR="00703837" w:rsidRPr="005825CD" w:rsidRDefault="00703837" w:rsidP="00703837">
            <w:pPr>
              <w:pStyle w:val="TableBodyText"/>
              <w:jc w:val="left"/>
              <w:rPr>
                <w:vertAlign w:val="superscript"/>
              </w:rPr>
            </w:pPr>
          </w:p>
        </w:tc>
        <w:tc>
          <w:tcPr>
            <w:tcW w:w="1095" w:type="pct"/>
            <w:gridSpan w:val="2"/>
            <w:shd w:val="clear" w:color="auto" w:fill="auto"/>
            <w:vAlign w:val="center"/>
          </w:tcPr>
          <w:p w:rsidR="00703837" w:rsidRPr="001E0D4D" w:rsidRDefault="00703837" w:rsidP="00703837">
            <w:pPr>
              <w:pStyle w:val="TableBodyText"/>
              <w:jc w:val="left"/>
            </w:pPr>
            <w:r w:rsidRPr="001E0D4D">
              <w:t>Non-urgent</w:t>
            </w:r>
          </w:p>
        </w:tc>
        <w:tc>
          <w:tcPr>
            <w:tcW w:w="416" w:type="pct"/>
            <w:gridSpan w:val="2"/>
            <w:shd w:val="clear" w:color="auto" w:fill="auto"/>
            <w:vAlign w:val="center"/>
          </w:tcPr>
          <w:p w:rsidR="00703837" w:rsidRPr="00B17252" w:rsidRDefault="00703837" w:rsidP="00703837">
            <w:pPr>
              <w:pStyle w:val="TableBodyText"/>
            </w:pPr>
            <w:r w:rsidRPr="00B17252">
              <w:t>53</w:t>
            </w:r>
          </w:p>
        </w:tc>
        <w:tc>
          <w:tcPr>
            <w:tcW w:w="417" w:type="pct"/>
            <w:shd w:val="clear" w:color="auto" w:fill="auto"/>
            <w:vAlign w:val="center"/>
          </w:tcPr>
          <w:p w:rsidR="00703837" w:rsidRPr="00B17252" w:rsidRDefault="00703837" w:rsidP="00703837">
            <w:pPr>
              <w:pStyle w:val="TableBodyText"/>
            </w:pPr>
            <w:r w:rsidRPr="00B17252">
              <w:t>53</w:t>
            </w:r>
          </w:p>
        </w:tc>
        <w:tc>
          <w:tcPr>
            <w:tcW w:w="416" w:type="pct"/>
            <w:shd w:val="clear" w:color="auto" w:fill="auto"/>
            <w:vAlign w:val="center"/>
          </w:tcPr>
          <w:p w:rsidR="00703837" w:rsidRPr="00B17252" w:rsidRDefault="00703837" w:rsidP="00703837">
            <w:pPr>
              <w:pStyle w:val="TableBodyText"/>
            </w:pPr>
            <w:r w:rsidRPr="00B17252">
              <w:t>62</w:t>
            </w:r>
          </w:p>
        </w:tc>
        <w:tc>
          <w:tcPr>
            <w:tcW w:w="417" w:type="pct"/>
            <w:gridSpan w:val="2"/>
            <w:shd w:val="clear" w:color="auto" w:fill="auto"/>
            <w:vAlign w:val="center"/>
          </w:tcPr>
          <w:p w:rsidR="00703837" w:rsidRPr="00B17252" w:rsidRDefault="00703837" w:rsidP="00703837">
            <w:pPr>
              <w:pStyle w:val="TableBodyText"/>
            </w:pPr>
            <w:r w:rsidRPr="00B17252">
              <w:t>55</w:t>
            </w:r>
          </w:p>
        </w:tc>
        <w:tc>
          <w:tcPr>
            <w:tcW w:w="417" w:type="pct"/>
            <w:gridSpan w:val="2"/>
            <w:shd w:val="clear" w:color="auto" w:fill="auto"/>
            <w:vAlign w:val="center"/>
          </w:tcPr>
          <w:p w:rsidR="00703837" w:rsidRPr="00B17252" w:rsidRDefault="00703837" w:rsidP="00703837">
            <w:pPr>
              <w:pStyle w:val="TableBodyText"/>
            </w:pPr>
            <w:r w:rsidRPr="00B17252">
              <w:t>61</w:t>
            </w:r>
          </w:p>
        </w:tc>
        <w:tc>
          <w:tcPr>
            <w:tcW w:w="417" w:type="pct"/>
            <w:gridSpan w:val="2"/>
            <w:shd w:val="clear" w:color="auto" w:fill="auto"/>
            <w:vAlign w:val="center"/>
          </w:tcPr>
          <w:p w:rsidR="00703837" w:rsidRPr="00B17252" w:rsidRDefault="00703837" w:rsidP="00703837">
            <w:pPr>
              <w:pStyle w:val="TableBodyText"/>
            </w:pPr>
            <w:r w:rsidRPr="00B17252">
              <w:t>47</w:t>
            </w:r>
          </w:p>
        </w:tc>
        <w:tc>
          <w:tcPr>
            <w:tcW w:w="417" w:type="pct"/>
            <w:gridSpan w:val="3"/>
            <w:shd w:val="clear" w:color="auto" w:fill="auto"/>
            <w:vAlign w:val="center"/>
          </w:tcPr>
          <w:p w:rsidR="00703837" w:rsidRPr="00B17252" w:rsidRDefault="00703837" w:rsidP="00703837">
            <w:pPr>
              <w:pStyle w:val="TableBodyText"/>
            </w:pPr>
            <w:r w:rsidRPr="00B17252">
              <w:t>40</w:t>
            </w:r>
          </w:p>
        </w:tc>
        <w:tc>
          <w:tcPr>
            <w:tcW w:w="415" w:type="pct"/>
            <w:gridSpan w:val="3"/>
            <w:shd w:val="clear" w:color="auto" w:fill="auto"/>
            <w:vAlign w:val="center"/>
          </w:tcPr>
          <w:p w:rsidR="00703837" w:rsidRPr="00B17252" w:rsidRDefault="00703837" w:rsidP="00703837">
            <w:pPr>
              <w:pStyle w:val="TableBodyText"/>
            </w:pPr>
            <w:r w:rsidRPr="00B17252">
              <w:t>50</w:t>
            </w:r>
          </w:p>
        </w:tc>
        <w:tc>
          <w:tcPr>
            <w:tcW w:w="414" w:type="pct"/>
            <w:gridSpan w:val="2"/>
            <w:shd w:val="clear" w:color="auto" w:fill="auto"/>
            <w:vAlign w:val="center"/>
          </w:tcPr>
          <w:p w:rsidR="00703837" w:rsidRPr="00B17252" w:rsidRDefault="00703837" w:rsidP="00703837">
            <w:pPr>
              <w:pStyle w:val="TableBodyText"/>
            </w:pPr>
            <w:r w:rsidRPr="00B17252">
              <w:t>54</w:t>
            </w:r>
          </w:p>
        </w:tc>
      </w:tr>
      <w:tr w:rsidR="00703837" w:rsidRPr="00B817EA" w:rsidTr="00621F85">
        <w:tc>
          <w:tcPr>
            <w:tcW w:w="160" w:type="pct"/>
            <w:gridSpan w:val="2"/>
            <w:shd w:val="clear" w:color="auto" w:fill="auto"/>
          </w:tcPr>
          <w:p w:rsidR="00703837" w:rsidRPr="005825CD" w:rsidRDefault="00703837" w:rsidP="00703837">
            <w:pPr>
              <w:pStyle w:val="TableBodyText"/>
              <w:jc w:val="left"/>
              <w:rPr>
                <w:vertAlign w:val="superscript"/>
              </w:rPr>
            </w:pPr>
          </w:p>
        </w:tc>
        <w:tc>
          <w:tcPr>
            <w:tcW w:w="1095" w:type="pct"/>
            <w:gridSpan w:val="2"/>
            <w:shd w:val="clear" w:color="auto" w:fill="auto"/>
            <w:vAlign w:val="center"/>
          </w:tcPr>
          <w:p w:rsidR="00703837" w:rsidRPr="001E0D4D" w:rsidRDefault="00703837" w:rsidP="00703837">
            <w:pPr>
              <w:pStyle w:val="TableBodyText"/>
              <w:jc w:val="left"/>
            </w:pPr>
            <w:r w:rsidRPr="001E0D4D">
              <w:t>Total</w:t>
            </w:r>
          </w:p>
        </w:tc>
        <w:tc>
          <w:tcPr>
            <w:tcW w:w="416" w:type="pct"/>
            <w:gridSpan w:val="2"/>
            <w:shd w:val="clear" w:color="auto" w:fill="auto"/>
            <w:vAlign w:val="center"/>
          </w:tcPr>
          <w:p w:rsidR="00703837" w:rsidRPr="00357687" w:rsidRDefault="00703837" w:rsidP="00703837">
            <w:pPr>
              <w:pStyle w:val="TableBodyText"/>
            </w:pPr>
            <w:r w:rsidRPr="00357687">
              <w:t>30</w:t>
            </w:r>
          </w:p>
        </w:tc>
        <w:tc>
          <w:tcPr>
            <w:tcW w:w="417" w:type="pct"/>
            <w:shd w:val="clear" w:color="auto" w:fill="auto"/>
            <w:vAlign w:val="center"/>
          </w:tcPr>
          <w:p w:rsidR="00703837" w:rsidRPr="00357687" w:rsidRDefault="00703837" w:rsidP="00703837">
            <w:pPr>
              <w:pStyle w:val="TableBodyText"/>
            </w:pPr>
            <w:r w:rsidRPr="00357687">
              <w:t>38</w:t>
            </w:r>
          </w:p>
        </w:tc>
        <w:tc>
          <w:tcPr>
            <w:tcW w:w="416" w:type="pct"/>
            <w:shd w:val="clear" w:color="auto" w:fill="auto"/>
            <w:vAlign w:val="center"/>
          </w:tcPr>
          <w:p w:rsidR="00703837" w:rsidRPr="00357687" w:rsidRDefault="00703837" w:rsidP="00703837">
            <w:pPr>
              <w:pStyle w:val="TableBodyText"/>
            </w:pPr>
            <w:r w:rsidRPr="00357687">
              <w:t>41</w:t>
            </w:r>
          </w:p>
        </w:tc>
        <w:tc>
          <w:tcPr>
            <w:tcW w:w="417" w:type="pct"/>
            <w:gridSpan w:val="2"/>
            <w:shd w:val="clear" w:color="auto" w:fill="auto"/>
            <w:vAlign w:val="center"/>
          </w:tcPr>
          <w:p w:rsidR="00703837" w:rsidRPr="00357687" w:rsidRDefault="00703837" w:rsidP="00703837">
            <w:pPr>
              <w:pStyle w:val="TableBodyText"/>
            </w:pPr>
            <w:r w:rsidRPr="00357687">
              <w:t>46</w:t>
            </w:r>
          </w:p>
        </w:tc>
        <w:tc>
          <w:tcPr>
            <w:tcW w:w="417" w:type="pct"/>
            <w:gridSpan w:val="2"/>
            <w:shd w:val="clear" w:color="auto" w:fill="auto"/>
            <w:vAlign w:val="center"/>
          </w:tcPr>
          <w:p w:rsidR="00703837" w:rsidRPr="00357687" w:rsidRDefault="00703837" w:rsidP="00703837">
            <w:pPr>
              <w:pStyle w:val="TableBodyText"/>
            </w:pPr>
            <w:r w:rsidRPr="00357687">
              <w:t>41</w:t>
            </w:r>
          </w:p>
        </w:tc>
        <w:tc>
          <w:tcPr>
            <w:tcW w:w="417" w:type="pct"/>
            <w:gridSpan w:val="2"/>
            <w:shd w:val="clear" w:color="auto" w:fill="auto"/>
            <w:vAlign w:val="center"/>
          </w:tcPr>
          <w:p w:rsidR="00703837" w:rsidRPr="00357687" w:rsidRDefault="00703837" w:rsidP="00703837">
            <w:pPr>
              <w:pStyle w:val="TableBodyText"/>
            </w:pPr>
            <w:r w:rsidRPr="00357687">
              <w:t>25</w:t>
            </w:r>
          </w:p>
        </w:tc>
        <w:tc>
          <w:tcPr>
            <w:tcW w:w="417" w:type="pct"/>
            <w:gridSpan w:val="3"/>
            <w:shd w:val="clear" w:color="auto" w:fill="auto"/>
            <w:vAlign w:val="center"/>
          </w:tcPr>
          <w:p w:rsidR="00703837" w:rsidRPr="00357687" w:rsidRDefault="00703837" w:rsidP="00703837">
            <w:pPr>
              <w:pStyle w:val="TableBodyText"/>
            </w:pPr>
            <w:r w:rsidRPr="00357687">
              <w:t>29</w:t>
            </w:r>
          </w:p>
        </w:tc>
        <w:tc>
          <w:tcPr>
            <w:tcW w:w="415" w:type="pct"/>
            <w:gridSpan w:val="3"/>
            <w:shd w:val="clear" w:color="auto" w:fill="auto"/>
            <w:vAlign w:val="center"/>
          </w:tcPr>
          <w:p w:rsidR="00703837" w:rsidRPr="00357687" w:rsidRDefault="00703837" w:rsidP="00703837">
            <w:pPr>
              <w:pStyle w:val="TableBodyText"/>
            </w:pPr>
            <w:r w:rsidRPr="00357687">
              <w:t>24</w:t>
            </w:r>
          </w:p>
        </w:tc>
        <w:tc>
          <w:tcPr>
            <w:tcW w:w="414" w:type="pct"/>
            <w:gridSpan w:val="2"/>
            <w:shd w:val="clear" w:color="auto" w:fill="auto"/>
            <w:vAlign w:val="center"/>
          </w:tcPr>
          <w:p w:rsidR="00703837" w:rsidRPr="00357687" w:rsidRDefault="00703837" w:rsidP="00703837">
            <w:pPr>
              <w:pStyle w:val="TableBodyText"/>
            </w:pPr>
            <w:r w:rsidRPr="00357687">
              <w:t>36</w:t>
            </w:r>
          </w:p>
        </w:tc>
      </w:tr>
      <w:tr w:rsidR="008C1B35" w:rsidRPr="005825CD" w:rsidTr="00621F85">
        <w:trPr>
          <w:trHeight w:val="273"/>
        </w:trPr>
        <w:tc>
          <w:tcPr>
            <w:tcW w:w="5000" w:type="pct"/>
            <w:gridSpan w:val="22"/>
            <w:shd w:val="clear" w:color="auto" w:fill="auto"/>
          </w:tcPr>
          <w:p w:rsidR="008C1B35" w:rsidRPr="00B5543B" w:rsidRDefault="008C1B35" w:rsidP="00621F85">
            <w:pPr>
              <w:pStyle w:val="Source"/>
              <w:spacing w:before="60" w:after="60"/>
            </w:pPr>
            <w:r w:rsidRPr="00B5543B">
              <w:t>Source: table</w:t>
            </w:r>
            <w:r>
              <w:t>s</w:t>
            </w:r>
            <w:r w:rsidRPr="00B5543B">
              <w:t xml:space="preserve"> </w:t>
            </w:r>
            <w:proofErr w:type="spellStart"/>
            <w:r w:rsidRPr="00D04085">
              <w:t>10A.17</w:t>
            </w:r>
            <w:proofErr w:type="spellEnd"/>
            <w:r w:rsidR="000A47EB" w:rsidRPr="00D04085">
              <w:t>,</w:t>
            </w:r>
            <w:r w:rsidRPr="00D04085">
              <w:t xml:space="preserve"> </w:t>
            </w:r>
            <w:proofErr w:type="spellStart"/>
            <w:r w:rsidRPr="00D04085">
              <w:t>10A.2</w:t>
            </w:r>
            <w:r w:rsidR="00787F55">
              <w:t>2</w:t>
            </w:r>
            <w:proofErr w:type="spellEnd"/>
            <w:r w:rsidR="000A47EB" w:rsidRPr="00D04085">
              <w:t xml:space="preserve"> and </w:t>
            </w:r>
            <w:proofErr w:type="spellStart"/>
            <w:r w:rsidR="000A47EB" w:rsidRPr="00D04085">
              <w:t>10A.44</w:t>
            </w:r>
            <w:proofErr w:type="spellEnd"/>
            <w:r w:rsidR="000A47EB" w:rsidRPr="00D04085">
              <w:t>.</w:t>
            </w:r>
          </w:p>
        </w:tc>
      </w:tr>
      <w:tr w:rsidR="008C1B35" w:rsidRPr="001E0D4D" w:rsidTr="00621F85">
        <w:trPr>
          <w:trHeight w:val="273"/>
        </w:trPr>
        <w:tc>
          <w:tcPr>
            <w:tcW w:w="5000" w:type="pct"/>
            <w:gridSpan w:val="22"/>
            <w:shd w:val="clear" w:color="auto" w:fill="auto"/>
          </w:tcPr>
          <w:p w:rsidR="008C1B35" w:rsidRPr="001E0D4D" w:rsidRDefault="008C1B35" w:rsidP="005E5D0A">
            <w:pPr>
              <w:pStyle w:val="TableColumnHeading"/>
              <w:keepNext w:val="0"/>
              <w:jc w:val="left"/>
              <w:rPr>
                <w:b/>
                <w:i w:val="0"/>
              </w:rPr>
            </w:pPr>
            <w:r w:rsidRPr="001E0D4D">
              <w:rPr>
                <w:b/>
                <w:i w:val="0"/>
              </w:rPr>
              <w:t>Effectiveness — Appropriateness indicators</w:t>
            </w:r>
          </w:p>
        </w:tc>
      </w:tr>
      <w:tr w:rsidR="008C1B35" w:rsidRPr="005825CD" w:rsidTr="00621F85">
        <w:trPr>
          <w:trHeight w:val="273"/>
        </w:trPr>
        <w:tc>
          <w:tcPr>
            <w:tcW w:w="5000" w:type="pct"/>
            <w:gridSpan w:val="22"/>
            <w:shd w:val="clear" w:color="auto" w:fill="auto"/>
          </w:tcPr>
          <w:p w:rsidR="008C1B35" w:rsidRPr="005825CD" w:rsidRDefault="008C1B35" w:rsidP="00621F85">
            <w:pPr>
              <w:pStyle w:val="TableColumnHeading"/>
              <w:keepNext w:val="0"/>
              <w:spacing w:before="40" w:after="40"/>
              <w:ind w:right="0"/>
              <w:jc w:val="left"/>
            </w:pPr>
            <w:r>
              <w:t>Separation rates for selected procedures</w:t>
            </w:r>
            <w:r w:rsidRPr="005825CD">
              <w:t xml:space="preserve">, </w:t>
            </w:r>
            <w:r w:rsidR="00083D3E" w:rsidRPr="00D04085">
              <w:t>public</w:t>
            </w:r>
            <w:r>
              <w:t xml:space="preserve"> hospitals, per 1000 people (age</w:t>
            </w:r>
            <w:r>
              <w:noBreakHyphen/>
              <w:t>standardised),</w:t>
            </w:r>
            <w:r>
              <w:br/>
            </w:r>
            <w:r w:rsidRPr="00D04085">
              <w:t>201</w:t>
            </w:r>
            <w:r w:rsidR="000A47EB" w:rsidRPr="00D04085">
              <w:t>1</w:t>
            </w:r>
            <w:r w:rsidRPr="00D04085">
              <w:t>-1</w:t>
            </w:r>
            <w:r w:rsidR="000A47EB" w:rsidRPr="00D04085">
              <w:t>2</w:t>
            </w:r>
            <w:r w:rsidRPr="005825CD">
              <w:br/>
            </w:r>
            <w:r w:rsidR="001B520B" w:rsidRPr="00D04085">
              <w:rPr>
                <w:i w:val="0"/>
                <w:sz w:val="16"/>
                <w:szCs w:val="16"/>
              </w:rPr>
              <w:t xml:space="preserve">Most recent data for this indicator are complete and comparable </w:t>
            </w:r>
            <w:r w:rsidRPr="00D04085">
              <w:rPr>
                <w:i w:val="0"/>
                <w:sz w:val="16"/>
                <w:szCs w:val="16"/>
              </w:rPr>
              <w:t>(ch</w:t>
            </w:r>
            <w:r w:rsidRPr="00A16ED4">
              <w:rPr>
                <w:i w:val="0"/>
                <w:sz w:val="16"/>
                <w:szCs w:val="16"/>
              </w:rPr>
              <w:t>apter 10)</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5E5D0A">
            <w:pPr>
              <w:pStyle w:val="TableBodyText"/>
              <w:keepNext w:val="0"/>
              <w:jc w:val="left"/>
            </w:pPr>
            <w:r w:rsidRPr="00820E10">
              <w:t>Cataract extraction</w:t>
            </w:r>
          </w:p>
        </w:tc>
        <w:tc>
          <w:tcPr>
            <w:tcW w:w="416" w:type="pct"/>
            <w:gridSpan w:val="2"/>
            <w:shd w:val="clear" w:color="auto" w:fill="auto"/>
            <w:vAlign w:val="center"/>
          </w:tcPr>
          <w:p w:rsidR="005845E0" w:rsidRPr="00410309" w:rsidRDefault="005845E0" w:rsidP="00D94485">
            <w:pPr>
              <w:pStyle w:val="TableBodyText"/>
            </w:pPr>
            <w:r w:rsidRPr="00410309">
              <w:t>2.6</w:t>
            </w:r>
          </w:p>
        </w:tc>
        <w:tc>
          <w:tcPr>
            <w:tcW w:w="417" w:type="pct"/>
            <w:shd w:val="clear" w:color="auto" w:fill="auto"/>
            <w:vAlign w:val="center"/>
          </w:tcPr>
          <w:p w:rsidR="005845E0" w:rsidRPr="00410309" w:rsidRDefault="005845E0" w:rsidP="00D94485">
            <w:pPr>
              <w:pStyle w:val="TableBodyText"/>
            </w:pPr>
            <w:r w:rsidRPr="00410309">
              <w:t>3.1</w:t>
            </w:r>
          </w:p>
        </w:tc>
        <w:tc>
          <w:tcPr>
            <w:tcW w:w="416" w:type="pct"/>
            <w:shd w:val="clear" w:color="auto" w:fill="auto"/>
            <w:vAlign w:val="center"/>
          </w:tcPr>
          <w:p w:rsidR="005845E0" w:rsidRPr="00410309" w:rsidRDefault="005845E0" w:rsidP="00D94485">
            <w:pPr>
              <w:pStyle w:val="TableBodyText"/>
            </w:pPr>
            <w:r w:rsidRPr="00410309">
              <w:t>1.6</w:t>
            </w:r>
          </w:p>
        </w:tc>
        <w:tc>
          <w:tcPr>
            <w:tcW w:w="417" w:type="pct"/>
            <w:gridSpan w:val="2"/>
            <w:shd w:val="clear" w:color="auto" w:fill="auto"/>
            <w:vAlign w:val="center"/>
          </w:tcPr>
          <w:p w:rsidR="005845E0" w:rsidRPr="00410309" w:rsidRDefault="005845E0" w:rsidP="00D94485">
            <w:pPr>
              <w:pStyle w:val="TableBodyText"/>
            </w:pPr>
            <w:r w:rsidRPr="00410309">
              <w:t>4.3</w:t>
            </w:r>
          </w:p>
        </w:tc>
        <w:tc>
          <w:tcPr>
            <w:tcW w:w="417" w:type="pct"/>
            <w:gridSpan w:val="2"/>
            <w:shd w:val="clear" w:color="auto" w:fill="auto"/>
            <w:vAlign w:val="center"/>
          </w:tcPr>
          <w:p w:rsidR="005845E0" w:rsidRPr="00410309" w:rsidRDefault="005845E0" w:rsidP="00D94485">
            <w:pPr>
              <w:pStyle w:val="TableBodyText"/>
            </w:pPr>
            <w:r w:rsidRPr="00410309">
              <w:t>3.5</w:t>
            </w:r>
          </w:p>
        </w:tc>
        <w:tc>
          <w:tcPr>
            <w:tcW w:w="453" w:type="pct"/>
            <w:gridSpan w:val="4"/>
            <w:shd w:val="clear" w:color="auto" w:fill="auto"/>
            <w:vAlign w:val="center"/>
          </w:tcPr>
          <w:p w:rsidR="005845E0" w:rsidRPr="00410309" w:rsidRDefault="005845E0" w:rsidP="00D94485">
            <w:pPr>
              <w:pStyle w:val="TableBodyText"/>
            </w:pPr>
            <w:r w:rsidRPr="00410309">
              <w:t>1.3</w:t>
            </w:r>
          </w:p>
        </w:tc>
        <w:tc>
          <w:tcPr>
            <w:tcW w:w="413" w:type="pct"/>
            <w:gridSpan w:val="3"/>
            <w:shd w:val="clear" w:color="auto" w:fill="auto"/>
            <w:vAlign w:val="center"/>
          </w:tcPr>
          <w:p w:rsidR="005845E0" w:rsidRPr="00410309" w:rsidRDefault="005845E0" w:rsidP="00D94485">
            <w:pPr>
              <w:pStyle w:val="TableBodyText"/>
            </w:pPr>
            <w:r w:rsidRPr="00410309">
              <w:t>3.5</w:t>
            </w:r>
          </w:p>
        </w:tc>
        <w:tc>
          <w:tcPr>
            <w:tcW w:w="383" w:type="pct"/>
            <w:shd w:val="clear" w:color="auto" w:fill="auto"/>
            <w:vAlign w:val="center"/>
          </w:tcPr>
          <w:p w:rsidR="005845E0" w:rsidRPr="00410309" w:rsidRDefault="005845E0" w:rsidP="00D94485">
            <w:pPr>
              <w:pStyle w:val="TableBodyText"/>
            </w:pPr>
            <w:r w:rsidRPr="00410309">
              <w:t>5.1</w:t>
            </w:r>
          </w:p>
        </w:tc>
        <w:tc>
          <w:tcPr>
            <w:tcW w:w="414" w:type="pct"/>
            <w:gridSpan w:val="2"/>
            <w:shd w:val="clear" w:color="auto" w:fill="auto"/>
            <w:vAlign w:val="center"/>
          </w:tcPr>
          <w:p w:rsidR="005845E0" w:rsidRPr="00410309" w:rsidRDefault="005845E0" w:rsidP="00D94485">
            <w:pPr>
              <w:pStyle w:val="TableBodyText"/>
            </w:pPr>
            <w:r w:rsidRPr="00410309">
              <w:t>2.7</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5E5D0A">
            <w:pPr>
              <w:pStyle w:val="TableBodyText"/>
              <w:keepNext w:val="0"/>
              <w:jc w:val="left"/>
            </w:pPr>
            <w:r w:rsidRPr="00820E10">
              <w:t>Cholecystectomy</w:t>
            </w:r>
          </w:p>
        </w:tc>
        <w:tc>
          <w:tcPr>
            <w:tcW w:w="416" w:type="pct"/>
            <w:gridSpan w:val="2"/>
            <w:shd w:val="clear" w:color="auto" w:fill="auto"/>
            <w:vAlign w:val="center"/>
          </w:tcPr>
          <w:p w:rsidR="005845E0" w:rsidRPr="00410309" w:rsidRDefault="005845E0" w:rsidP="00D94485">
            <w:pPr>
              <w:pStyle w:val="TableBodyText"/>
            </w:pPr>
            <w:r w:rsidRPr="00410309">
              <w:t>1.4</w:t>
            </w:r>
          </w:p>
        </w:tc>
        <w:tc>
          <w:tcPr>
            <w:tcW w:w="417" w:type="pct"/>
            <w:shd w:val="clear" w:color="auto" w:fill="auto"/>
            <w:vAlign w:val="center"/>
          </w:tcPr>
          <w:p w:rsidR="005845E0" w:rsidRPr="00410309" w:rsidRDefault="005845E0" w:rsidP="00D94485">
            <w:pPr>
              <w:pStyle w:val="TableBodyText"/>
            </w:pPr>
            <w:r w:rsidRPr="00410309">
              <w:t>1.4</w:t>
            </w:r>
          </w:p>
        </w:tc>
        <w:tc>
          <w:tcPr>
            <w:tcW w:w="416" w:type="pct"/>
            <w:shd w:val="clear" w:color="auto" w:fill="auto"/>
            <w:vAlign w:val="center"/>
          </w:tcPr>
          <w:p w:rsidR="005845E0" w:rsidRPr="00410309" w:rsidRDefault="005845E0" w:rsidP="00D94485">
            <w:pPr>
              <w:pStyle w:val="TableBodyText"/>
            </w:pPr>
            <w:r w:rsidRPr="00410309">
              <w:t>1.2</w:t>
            </w:r>
          </w:p>
        </w:tc>
        <w:tc>
          <w:tcPr>
            <w:tcW w:w="417" w:type="pct"/>
            <w:gridSpan w:val="2"/>
            <w:shd w:val="clear" w:color="auto" w:fill="auto"/>
            <w:vAlign w:val="center"/>
          </w:tcPr>
          <w:p w:rsidR="005845E0" w:rsidRPr="00410309" w:rsidRDefault="005845E0" w:rsidP="00D94485">
            <w:pPr>
              <w:pStyle w:val="TableBodyText"/>
            </w:pPr>
            <w:r w:rsidRPr="00410309">
              <w:t>1.1</w:t>
            </w:r>
          </w:p>
        </w:tc>
        <w:tc>
          <w:tcPr>
            <w:tcW w:w="417" w:type="pct"/>
            <w:gridSpan w:val="2"/>
            <w:shd w:val="clear" w:color="auto" w:fill="auto"/>
            <w:vAlign w:val="center"/>
          </w:tcPr>
          <w:p w:rsidR="005845E0" w:rsidRPr="00410309" w:rsidRDefault="005845E0" w:rsidP="00D94485">
            <w:pPr>
              <w:pStyle w:val="TableBodyText"/>
            </w:pPr>
            <w:r w:rsidRPr="00410309">
              <w:t>1.4</w:t>
            </w:r>
          </w:p>
        </w:tc>
        <w:tc>
          <w:tcPr>
            <w:tcW w:w="453" w:type="pct"/>
            <w:gridSpan w:val="4"/>
            <w:shd w:val="clear" w:color="auto" w:fill="auto"/>
            <w:vAlign w:val="center"/>
          </w:tcPr>
          <w:p w:rsidR="005845E0" w:rsidRPr="00410309" w:rsidRDefault="005845E0" w:rsidP="00D94485">
            <w:pPr>
              <w:pStyle w:val="TableBodyText"/>
            </w:pPr>
            <w:r w:rsidRPr="00410309">
              <w:t>1.4</w:t>
            </w:r>
          </w:p>
        </w:tc>
        <w:tc>
          <w:tcPr>
            <w:tcW w:w="413" w:type="pct"/>
            <w:gridSpan w:val="3"/>
            <w:shd w:val="clear" w:color="auto" w:fill="auto"/>
            <w:vAlign w:val="center"/>
          </w:tcPr>
          <w:p w:rsidR="005845E0" w:rsidRPr="00410309" w:rsidRDefault="005845E0" w:rsidP="00D94485">
            <w:pPr>
              <w:pStyle w:val="TableBodyText"/>
            </w:pPr>
            <w:r w:rsidRPr="00410309">
              <w:t>1.4</w:t>
            </w:r>
          </w:p>
        </w:tc>
        <w:tc>
          <w:tcPr>
            <w:tcW w:w="383" w:type="pct"/>
            <w:shd w:val="clear" w:color="auto" w:fill="auto"/>
            <w:vAlign w:val="center"/>
          </w:tcPr>
          <w:p w:rsidR="005845E0" w:rsidRPr="00410309" w:rsidRDefault="005845E0" w:rsidP="00D94485">
            <w:pPr>
              <w:pStyle w:val="TableBodyText"/>
            </w:pPr>
            <w:r w:rsidRPr="00410309">
              <w:t>1.2</w:t>
            </w:r>
          </w:p>
        </w:tc>
        <w:tc>
          <w:tcPr>
            <w:tcW w:w="414" w:type="pct"/>
            <w:gridSpan w:val="2"/>
            <w:shd w:val="clear" w:color="auto" w:fill="auto"/>
            <w:vAlign w:val="center"/>
          </w:tcPr>
          <w:p w:rsidR="005845E0" w:rsidRPr="00410309" w:rsidRDefault="005845E0" w:rsidP="00D94485">
            <w:pPr>
              <w:pStyle w:val="TableBodyText"/>
            </w:pPr>
            <w:r w:rsidRPr="00410309">
              <w:t>1.3</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17097F">
            <w:pPr>
              <w:pStyle w:val="TableBodyText"/>
              <w:keepNext w:val="0"/>
              <w:ind w:right="-70"/>
              <w:jc w:val="left"/>
            </w:pPr>
            <w:r w:rsidRPr="00820E10">
              <w:t>Coronary angioplasty</w:t>
            </w:r>
          </w:p>
        </w:tc>
        <w:tc>
          <w:tcPr>
            <w:tcW w:w="416" w:type="pct"/>
            <w:gridSpan w:val="2"/>
            <w:shd w:val="clear" w:color="auto" w:fill="auto"/>
            <w:vAlign w:val="center"/>
          </w:tcPr>
          <w:p w:rsidR="005845E0" w:rsidRPr="00410309" w:rsidRDefault="005845E0" w:rsidP="00D94485">
            <w:pPr>
              <w:pStyle w:val="TableBodyText"/>
            </w:pPr>
            <w:r w:rsidRPr="00410309">
              <w:t>0.9</w:t>
            </w:r>
          </w:p>
        </w:tc>
        <w:tc>
          <w:tcPr>
            <w:tcW w:w="417" w:type="pct"/>
            <w:shd w:val="clear" w:color="auto" w:fill="auto"/>
            <w:vAlign w:val="center"/>
          </w:tcPr>
          <w:p w:rsidR="005845E0" w:rsidRPr="00410309" w:rsidRDefault="005845E0" w:rsidP="00D94485">
            <w:pPr>
              <w:pStyle w:val="TableBodyText"/>
            </w:pPr>
            <w:r w:rsidRPr="00410309">
              <w:t>0.8</w:t>
            </w:r>
          </w:p>
        </w:tc>
        <w:tc>
          <w:tcPr>
            <w:tcW w:w="416" w:type="pct"/>
            <w:shd w:val="clear" w:color="auto" w:fill="auto"/>
            <w:vAlign w:val="center"/>
          </w:tcPr>
          <w:p w:rsidR="005845E0" w:rsidRPr="00410309" w:rsidRDefault="005845E0" w:rsidP="00D94485">
            <w:pPr>
              <w:pStyle w:val="TableBodyText"/>
            </w:pPr>
            <w:r w:rsidRPr="00410309">
              <w:t>0.8</w:t>
            </w:r>
          </w:p>
        </w:tc>
        <w:tc>
          <w:tcPr>
            <w:tcW w:w="417" w:type="pct"/>
            <w:gridSpan w:val="2"/>
            <w:shd w:val="clear" w:color="auto" w:fill="auto"/>
            <w:vAlign w:val="center"/>
          </w:tcPr>
          <w:p w:rsidR="005845E0" w:rsidRPr="00410309" w:rsidRDefault="005845E0" w:rsidP="00D94485">
            <w:pPr>
              <w:pStyle w:val="TableBodyText"/>
            </w:pPr>
            <w:r w:rsidRPr="00410309">
              <w:t>0.9</w:t>
            </w:r>
          </w:p>
        </w:tc>
        <w:tc>
          <w:tcPr>
            <w:tcW w:w="417" w:type="pct"/>
            <w:gridSpan w:val="2"/>
            <w:shd w:val="clear" w:color="auto" w:fill="auto"/>
            <w:vAlign w:val="center"/>
          </w:tcPr>
          <w:p w:rsidR="005845E0" w:rsidRPr="00410309" w:rsidRDefault="005845E0" w:rsidP="00D94485">
            <w:pPr>
              <w:pStyle w:val="TableBodyText"/>
            </w:pPr>
            <w:r w:rsidRPr="00410309">
              <w:t>1.0</w:t>
            </w:r>
          </w:p>
        </w:tc>
        <w:tc>
          <w:tcPr>
            <w:tcW w:w="453" w:type="pct"/>
            <w:gridSpan w:val="4"/>
            <w:shd w:val="clear" w:color="auto" w:fill="auto"/>
            <w:vAlign w:val="center"/>
          </w:tcPr>
          <w:p w:rsidR="005845E0" w:rsidRPr="00410309" w:rsidRDefault="005845E0" w:rsidP="00D94485">
            <w:pPr>
              <w:pStyle w:val="TableBodyText"/>
            </w:pPr>
            <w:r w:rsidRPr="00410309">
              <w:t>1.0</w:t>
            </w:r>
          </w:p>
        </w:tc>
        <w:tc>
          <w:tcPr>
            <w:tcW w:w="413" w:type="pct"/>
            <w:gridSpan w:val="3"/>
            <w:shd w:val="clear" w:color="auto" w:fill="auto"/>
            <w:vAlign w:val="center"/>
          </w:tcPr>
          <w:p w:rsidR="005845E0" w:rsidRPr="00410309" w:rsidRDefault="005845E0" w:rsidP="00D94485">
            <w:pPr>
              <w:pStyle w:val="TableBodyText"/>
            </w:pPr>
            <w:r w:rsidRPr="00410309">
              <w:t>1.9</w:t>
            </w:r>
          </w:p>
        </w:tc>
        <w:tc>
          <w:tcPr>
            <w:tcW w:w="383" w:type="pct"/>
            <w:shd w:val="clear" w:color="auto" w:fill="auto"/>
            <w:vAlign w:val="center"/>
          </w:tcPr>
          <w:p w:rsidR="005845E0" w:rsidRPr="00410309" w:rsidRDefault="005845E0" w:rsidP="00D94485">
            <w:pPr>
              <w:pStyle w:val="TableBodyText"/>
            </w:pPr>
            <w:r w:rsidRPr="00410309">
              <w:t>..</w:t>
            </w:r>
          </w:p>
        </w:tc>
        <w:tc>
          <w:tcPr>
            <w:tcW w:w="414" w:type="pct"/>
            <w:gridSpan w:val="2"/>
            <w:shd w:val="clear" w:color="auto" w:fill="auto"/>
            <w:vAlign w:val="center"/>
          </w:tcPr>
          <w:p w:rsidR="005845E0" w:rsidRPr="00410309" w:rsidRDefault="005845E0" w:rsidP="00D94485">
            <w:pPr>
              <w:pStyle w:val="TableBodyText"/>
            </w:pPr>
            <w:r w:rsidRPr="00410309">
              <w:t>0.9</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5E5D0A">
            <w:pPr>
              <w:pStyle w:val="TableBodyText"/>
              <w:keepNext w:val="0"/>
              <w:jc w:val="left"/>
            </w:pPr>
            <w:r w:rsidRPr="00820E10">
              <w:t>Coronary artery bypass graft</w:t>
            </w:r>
          </w:p>
        </w:tc>
        <w:tc>
          <w:tcPr>
            <w:tcW w:w="416" w:type="pct"/>
            <w:gridSpan w:val="2"/>
            <w:shd w:val="clear" w:color="auto" w:fill="auto"/>
            <w:vAlign w:val="center"/>
          </w:tcPr>
          <w:p w:rsidR="005845E0" w:rsidRPr="00410309" w:rsidRDefault="005845E0" w:rsidP="00D94485">
            <w:pPr>
              <w:pStyle w:val="TableBodyText"/>
            </w:pPr>
            <w:r w:rsidRPr="00410309">
              <w:t>0.3</w:t>
            </w:r>
          </w:p>
        </w:tc>
        <w:tc>
          <w:tcPr>
            <w:tcW w:w="417" w:type="pct"/>
            <w:shd w:val="clear" w:color="auto" w:fill="auto"/>
            <w:vAlign w:val="center"/>
          </w:tcPr>
          <w:p w:rsidR="005845E0" w:rsidRPr="00410309" w:rsidRDefault="005845E0" w:rsidP="00D94485">
            <w:pPr>
              <w:pStyle w:val="TableBodyText"/>
            </w:pPr>
            <w:r w:rsidRPr="00410309">
              <w:t>0.3</w:t>
            </w:r>
          </w:p>
        </w:tc>
        <w:tc>
          <w:tcPr>
            <w:tcW w:w="416" w:type="pct"/>
            <w:shd w:val="clear" w:color="auto" w:fill="auto"/>
            <w:vAlign w:val="center"/>
          </w:tcPr>
          <w:p w:rsidR="005845E0" w:rsidRPr="00410309" w:rsidRDefault="005845E0" w:rsidP="00D94485">
            <w:pPr>
              <w:pStyle w:val="TableBodyText"/>
            </w:pPr>
            <w:r w:rsidRPr="00410309">
              <w:t>0.3</w:t>
            </w:r>
          </w:p>
        </w:tc>
        <w:tc>
          <w:tcPr>
            <w:tcW w:w="417" w:type="pct"/>
            <w:gridSpan w:val="2"/>
            <w:shd w:val="clear" w:color="auto" w:fill="auto"/>
            <w:vAlign w:val="center"/>
          </w:tcPr>
          <w:p w:rsidR="005845E0" w:rsidRPr="00410309" w:rsidRDefault="005845E0" w:rsidP="00D94485">
            <w:pPr>
              <w:pStyle w:val="TableBodyText"/>
            </w:pPr>
            <w:r w:rsidRPr="00410309">
              <w:t>0.2</w:t>
            </w:r>
          </w:p>
        </w:tc>
        <w:tc>
          <w:tcPr>
            <w:tcW w:w="417" w:type="pct"/>
            <w:gridSpan w:val="2"/>
            <w:shd w:val="clear" w:color="auto" w:fill="auto"/>
            <w:vAlign w:val="center"/>
          </w:tcPr>
          <w:p w:rsidR="005845E0" w:rsidRPr="00410309" w:rsidRDefault="005845E0" w:rsidP="00D94485">
            <w:pPr>
              <w:pStyle w:val="TableBodyText"/>
            </w:pPr>
            <w:r w:rsidRPr="00410309">
              <w:t>0.3</w:t>
            </w:r>
          </w:p>
        </w:tc>
        <w:tc>
          <w:tcPr>
            <w:tcW w:w="453" w:type="pct"/>
            <w:gridSpan w:val="4"/>
            <w:shd w:val="clear" w:color="auto" w:fill="auto"/>
            <w:vAlign w:val="center"/>
          </w:tcPr>
          <w:p w:rsidR="005845E0" w:rsidRPr="00410309" w:rsidRDefault="005845E0" w:rsidP="00D94485">
            <w:pPr>
              <w:pStyle w:val="TableBodyText"/>
            </w:pPr>
            <w:r w:rsidRPr="00410309">
              <w:t>0.4</w:t>
            </w:r>
          </w:p>
        </w:tc>
        <w:tc>
          <w:tcPr>
            <w:tcW w:w="413" w:type="pct"/>
            <w:gridSpan w:val="3"/>
            <w:shd w:val="clear" w:color="auto" w:fill="auto"/>
            <w:vAlign w:val="center"/>
          </w:tcPr>
          <w:p w:rsidR="005845E0" w:rsidRPr="00410309" w:rsidRDefault="005845E0" w:rsidP="00D94485">
            <w:pPr>
              <w:pStyle w:val="TableBodyText"/>
            </w:pPr>
            <w:r w:rsidRPr="00410309">
              <w:t>0.6</w:t>
            </w:r>
          </w:p>
        </w:tc>
        <w:tc>
          <w:tcPr>
            <w:tcW w:w="383" w:type="pct"/>
            <w:shd w:val="clear" w:color="auto" w:fill="auto"/>
            <w:vAlign w:val="center"/>
          </w:tcPr>
          <w:p w:rsidR="005845E0" w:rsidRPr="00410309" w:rsidRDefault="005845E0" w:rsidP="00D94485">
            <w:pPr>
              <w:pStyle w:val="TableBodyText"/>
            </w:pPr>
            <w:r w:rsidRPr="00410309">
              <w:t>..</w:t>
            </w:r>
          </w:p>
        </w:tc>
        <w:tc>
          <w:tcPr>
            <w:tcW w:w="414" w:type="pct"/>
            <w:gridSpan w:val="2"/>
            <w:shd w:val="clear" w:color="auto" w:fill="auto"/>
            <w:vAlign w:val="center"/>
          </w:tcPr>
          <w:p w:rsidR="005845E0" w:rsidRPr="00410309" w:rsidRDefault="005845E0" w:rsidP="00D94485">
            <w:pPr>
              <w:pStyle w:val="TableBodyText"/>
            </w:pPr>
            <w:r w:rsidRPr="00410309">
              <w:t>0.3</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5E5D0A">
            <w:pPr>
              <w:pStyle w:val="TableBodyText"/>
              <w:keepNext w:val="0"/>
              <w:jc w:val="left"/>
            </w:pPr>
            <w:r w:rsidRPr="00820E10">
              <w:t>Cystoscopy</w:t>
            </w:r>
          </w:p>
        </w:tc>
        <w:tc>
          <w:tcPr>
            <w:tcW w:w="416" w:type="pct"/>
            <w:gridSpan w:val="2"/>
            <w:shd w:val="clear" w:color="auto" w:fill="auto"/>
            <w:vAlign w:val="center"/>
          </w:tcPr>
          <w:p w:rsidR="005845E0" w:rsidRPr="00410309" w:rsidRDefault="005845E0" w:rsidP="00D94485">
            <w:pPr>
              <w:pStyle w:val="TableBodyText"/>
            </w:pPr>
            <w:r w:rsidRPr="00410309">
              <w:t>1.6</w:t>
            </w:r>
          </w:p>
        </w:tc>
        <w:tc>
          <w:tcPr>
            <w:tcW w:w="417" w:type="pct"/>
            <w:shd w:val="clear" w:color="auto" w:fill="auto"/>
            <w:vAlign w:val="center"/>
          </w:tcPr>
          <w:p w:rsidR="005845E0" w:rsidRPr="00410309" w:rsidRDefault="005845E0" w:rsidP="00D94485">
            <w:pPr>
              <w:pStyle w:val="TableBodyText"/>
            </w:pPr>
            <w:r w:rsidRPr="00410309">
              <w:t>2.8</w:t>
            </w:r>
          </w:p>
        </w:tc>
        <w:tc>
          <w:tcPr>
            <w:tcW w:w="416" w:type="pct"/>
            <w:shd w:val="clear" w:color="auto" w:fill="auto"/>
            <w:vAlign w:val="center"/>
          </w:tcPr>
          <w:p w:rsidR="005845E0" w:rsidRPr="00410309" w:rsidRDefault="005845E0" w:rsidP="00D94485">
            <w:pPr>
              <w:pStyle w:val="TableBodyText"/>
            </w:pPr>
            <w:r w:rsidRPr="00410309">
              <w:t>2.0</w:t>
            </w:r>
          </w:p>
        </w:tc>
        <w:tc>
          <w:tcPr>
            <w:tcW w:w="417" w:type="pct"/>
            <w:gridSpan w:val="2"/>
            <w:shd w:val="clear" w:color="auto" w:fill="auto"/>
            <w:vAlign w:val="center"/>
          </w:tcPr>
          <w:p w:rsidR="005845E0" w:rsidRPr="00410309" w:rsidRDefault="005845E0" w:rsidP="00D94485">
            <w:pPr>
              <w:pStyle w:val="TableBodyText"/>
            </w:pPr>
            <w:r w:rsidRPr="00410309">
              <w:t>3.0</w:t>
            </w:r>
          </w:p>
        </w:tc>
        <w:tc>
          <w:tcPr>
            <w:tcW w:w="417" w:type="pct"/>
            <w:gridSpan w:val="2"/>
            <w:shd w:val="clear" w:color="auto" w:fill="auto"/>
            <w:vAlign w:val="center"/>
          </w:tcPr>
          <w:p w:rsidR="005845E0" w:rsidRPr="00410309" w:rsidRDefault="005845E0" w:rsidP="00D94485">
            <w:pPr>
              <w:pStyle w:val="TableBodyText"/>
            </w:pPr>
            <w:r w:rsidRPr="00410309">
              <w:t>2.6</w:t>
            </w:r>
          </w:p>
        </w:tc>
        <w:tc>
          <w:tcPr>
            <w:tcW w:w="453" w:type="pct"/>
            <w:gridSpan w:val="4"/>
            <w:shd w:val="clear" w:color="auto" w:fill="auto"/>
            <w:vAlign w:val="center"/>
          </w:tcPr>
          <w:p w:rsidR="005845E0" w:rsidRPr="00410309" w:rsidRDefault="005845E0" w:rsidP="00D94485">
            <w:pPr>
              <w:pStyle w:val="TableBodyText"/>
            </w:pPr>
            <w:r w:rsidRPr="00410309">
              <w:t>1.5</w:t>
            </w:r>
          </w:p>
        </w:tc>
        <w:tc>
          <w:tcPr>
            <w:tcW w:w="413" w:type="pct"/>
            <w:gridSpan w:val="3"/>
            <w:shd w:val="clear" w:color="auto" w:fill="auto"/>
            <w:vAlign w:val="center"/>
          </w:tcPr>
          <w:p w:rsidR="005845E0" w:rsidRPr="00410309" w:rsidRDefault="005845E0" w:rsidP="00D94485">
            <w:pPr>
              <w:pStyle w:val="TableBodyText"/>
            </w:pPr>
            <w:r w:rsidRPr="00410309">
              <w:t>2.4</w:t>
            </w:r>
          </w:p>
        </w:tc>
        <w:tc>
          <w:tcPr>
            <w:tcW w:w="383" w:type="pct"/>
            <w:shd w:val="clear" w:color="auto" w:fill="auto"/>
            <w:vAlign w:val="center"/>
          </w:tcPr>
          <w:p w:rsidR="005845E0" w:rsidRPr="00410309" w:rsidRDefault="005845E0" w:rsidP="00D94485">
            <w:pPr>
              <w:pStyle w:val="TableBodyText"/>
            </w:pPr>
            <w:r w:rsidRPr="00410309">
              <w:t>1.7</w:t>
            </w:r>
          </w:p>
        </w:tc>
        <w:tc>
          <w:tcPr>
            <w:tcW w:w="414" w:type="pct"/>
            <w:gridSpan w:val="2"/>
            <w:shd w:val="clear" w:color="auto" w:fill="auto"/>
            <w:vAlign w:val="center"/>
          </w:tcPr>
          <w:p w:rsidR="005845E0" w:rsidRPr="00410309" w:rsidRDefault="005845E0" w:rsidP="00D94485">
            <w:pPr>
              <w:pStyle w:val="TableBodyText"/>
            </w:pPr>
            <w:r w:rsidRPr="00410309">
              <w:t>2.2</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5E5D0A">
            <w:pPr>
              <w:pStyle w:val="TableBodyText"/>
              <w:keepNext w:val="0"/>
              <w:jc w:val="left"/>
            </w:pPr>
            <w:r w:rsidRPr="00820E10">
              <w:t>Haemorrhoidectomy</w:t>
            </w:r>
          </w:p>
        </w:tc>
        <w:tc>
          <w:tcPr>
            <w:tcW w:w="416" w:type="pct"/>
            <w:gridSpan w:val="2"/>
            <w:shd w:val="clear" w:color="auto" w:fill="auto"/>
            <w:vAlign w:val="center"/>
          </w:tcPr>
          <w:p w:rsidR="005845E0" w:rsidRPr="00410309" w:rsidRDefault="005845E0" w:rsidP="00D94485">
            <w:pPr>
              <w:pStyle w:val="TableBodyText"/>
            </w:pPr>
            <w:r w:rsidRPr="00410309">
              <w:t>1.0</w:t>
            </w:r>
          </w:p>
        </w:tc>
        <w:tc>
          <w:tcPr>
            <w:tcW w:w="417" w:type="pct"/>
            <w:shd w:val="clear" w:color="auto" w:fill="auto"/>
            <w:vAlign w:val="center"/>
          </w:tcPr>
          <w:p w:rsidR="005845E0" w:rsidRPr="00410309" w:rsidRDefault="005845E0" w:rsidP="00D94485">
            <w:pPr>
              <w:pStyle w:val="TableBodyText"/>
            </w:pPr>
            <w:r w:rsidRPr="00410309">
              <w:t>0.8</w:t>
            </w:r>
          </w:p>
        </w:tc>
        <w:tc>
          <w:tcPr>
            <w:tcW w:w="416" w:type="pct"/>
            <w:shd w:val="clear" w:color="auto" w:fill="auto"/>
            <w:vAlign w:val="center"/>
          </w:tcPr>
          <w:p w:rsidR="005845E0" w:rsidRPr="00410309" w:rsidRDefault="005845E0" w:rsidP="00D94485">
            <w:pPr>
              <w:pStyle w:val="TableBodyText"/>
            </w:pPr>
            <w:r w:rsidRPr="00410309">
              <w:t>0.4</w:t>
            </w:r>
          </w:p>
        </w:tc>
        <w:tc>
          <w:tcPr>
            <w:tcW w:w="417" w:type="pct"/>
            <w:gridSpan w:val="2"/>
            <w:shd w:val="clear" w:color="auto" w:fill="auto"/>
            <w:vAlign w:val="center"/>
          </w:tcPr>
          <w:p w:rsidR="005845E0" w:rsidRPr="00410309" w:rsidRDefault="005845E0" w:rsidP="00D94485">
            <w:pPr>
              <w:pStyle w:val="TableBodyText"/>
            </w:pPr>
            <w:r w:rsidRPr="00410309">
              <w:t>0.5</w:t>
            </w:r>
          </w:p>
        </w:tc>
        <w:tc>
          <w:tcPr>
            <w:tcW w:w="417" w:type="pct"/>
            <w:gridSpan w:val="2"/>
            <w:shd w:val="clear" w:color="auto" w:fill="auto"/>
            <w:vAlign w:val="center"/>
          </w:tcPr>
          <w:p w:rsidR="005845E0" w:rsidRPr="00410309" w:rsidRDefault="005845E0" w:rsidP="00D94485">
            <w:pPr>
              <w:pStyle w:val="TableBodyText"/>
            </w:pPr>
            <w:r w:rsidRPr="00410309">
              <w:t>0.5</w:t>
            </w:r>
          </w:p>
        </w:tc>
        <w:tc>
          <w:tcPr>
            <w:tcW w:w="453" w:type="pct"/>
            <w:gridSpan w:val="4"/>
            <w:shd w:val="clear" w:color="auto" w:fill="auto"/>
            <w:vAlign w:val="center"/>
          </w:tcPr>
          <w:p w:rsidR="005845E0" w:rsidRPr="00410309" w:rsidRDefault="005845E0" w:rsidP="00D94485">
            <w:pPr>
              <w:pStyle w:val="TableBodyText"/>
            </w:pPr>
            <w:r w:rsidRPr="00410309">
              <w:t>0.7</w:t>
            </w:r>
          </w:p>
        </w:tc>
        <w:tc>
          <w:tcPr>
            <w:tcW w:w="413" w:type="pct"/>
            <w:gridSpan w:val="3"/>
            <w:shd w:val="clear" w:color="auto" w:fill="auto"/>
            <w:vAlign w:val="center"/>
          </w:tcPr>
          <w:p w:rsidR="005845E0" w:rsidRPr="00410309" w:rsidRDefault="005845E0" w:rsidP="00D94485">
            <w:pPr>
              <w:pStyle w:val="TableBodyText"/>
            </w:pPr>
            <w:r w:rsidRPr="00410309">
              <w:t>0.4</w:t>
            </w:r>
          </w:p>
        </w:tc>
        <w:tc>
          <w:tcPr>
            <w:tcW w:w="383" w:type="pct"/>
            <w:shd w:val="clear" w:color="auto" w:fill="auto"/>
            <w:vAlign w:val="center"/>
          </w:tcPr>
          <w:p w:rsidR="005845E0" w:rsidRPr="00410309" w:rsidRDefault="005845E0" w:rsidP="00D94485">
            <w:pPr>
              <w:pStyle w:val="TableBodyText"/>
            </w:pPr>
            <w:r w:rsidRPr="00410309">
              <w:t>0.9</w:t>
            </w:r>
          </w:p>
        </w:tc>
        <w:tc>
          <w:tcPr>
            <w:tcW w:w="414" w:type="pct"/>
            <w:gridSpan w:val="2"/>
            <w:shd w:val="clear" w:color="auto" w:fill="auto"/>
            <w:vAlign w:val="center"/>
          </w:tcPr>
          <w:p w:rsidR="005845E0" w:rsidRPr="00410309" w:rsidRDefault="005845E0" w:rsidP="00D94485">
            <w:pPr>
              <w:pStyle w:val="TableBodyText"/>
            </w:pPr>
            <w:r w:rsidRPr="00410309">
              <w:t>0.7</w:t>
            </w:r>
          </w:p>
        </w:tc>
      </w:tr>
      <w:tr w:rsidR="005845E0"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095" w:type="pct"/>
            <w:gridSpan w:val="2"/>
            <w:shd w:val="clear" w:color="auto" w:fill="auto"/>
          </w:tcPr>
          <w:p w:rsidR="005845E0" w:rsidRPr="00820E10" w:rsidRDefault="005845E0" w:rsidP="005E5D0A">
            <w:pPr>
              <w:pStyle w:val="TableBodyText"/>
              <w:keepNext w:val="0"/>
              <w:jc w:val="left"/>
            </w:pPr>
            <w:r w:rsidRPr="00820E10">
              <w:t>Hip replacement</w:t>
            </w:r>
          </w:p>
        </w:tc>
        <w:tc>
          <w:tcPr>
            <w:tcW w:w="416" w:type="pct"/>
            <w:gridSpan w:val="2"/>
            <w:shd w:val="clear" w:color="auto" w:fill="auto"/>
            <w:vAlign w:val="center"/>
          </w:tcPr>
          <w:p w:rsidR="005845E0" w:rsidRPr="00410309" w:rsidRDefault="005845E0" w:rsidP="00D94485">
            <w:pPr>
              <w:pStyle w:val="TableBodyText"/>
            </w:pPr>
            <w:r w:rsidRPr="00410309">
              <w:t>0.7</w:t>
            </w:r>
          </w:p>
        </w:tc>
        <w:tc>
          <w:tcPr>
            <w:tcW w:w="417" w:type="pct"/>
            <w:shd w:val="clear" w:color="auto" w:fill="auto"/>
            <w:vAlign w:val="center"/>
          </w:tcPr>
          <w:p w:rsidR="005845E0" w:rsidRPr="00410309" w:rsidRDefault="005845E0" w:rsidP="00D94485">
            <w:pPr>
              <w:pStyle w:val="TableBodyText"/>
            </w:pPr>
            <w:r w:rsidRPr="00410309">
              <w:t>0.7</w:t>
            </w:r>
          </w:p>
        </w:tc>
        <w:tc>
          <w:tcPr>
            <w:tcW w:w="416" w:type="pct"/>
            <w:shd w:val="clear" w:color="auto" w:fill="auto"/>
            <w:vAlign w:val="center"/>
          </w:tcPr>
          <w:p w:rsidR="005845E0" w:rsidRPr="00410309" w:rsidRDefault="005845E0" w:rsidP="00D94485">
            <w:pPr>
              <w:pStyle w:val="TableBodyText"/>
            </w:pPr>
            <w:r w:rsidRPr="00410309">
              <w:t>0.5</w:t>
            </w:r>
          </w:p>
        </w:tc>
        <w:tc>
          <w:tcPr>
            <w:tcW w:w="417" w:type="pct"/>
            <w:gridSpan w:val="2"/>
            <w:shd w:val="clear" w:color="auto" w:fill="auto"/>
            <w:vAlign w:val="center"/>
          </w:tcPr>
          <w:p w:rsidR="005845E0" w:rsidRPr="00410309" w:rsidRDefault="005845E0" w:rsidP="00D94485">
            <w:pPr>
              <w:pStyle w:val="TableBodyText"/>
            </w:pPr>
            <w:r w:rsidRPr="00410309">
              <w:t>0.8</w:t>
            </w:r>
          </w:p>
        </w:tc>
        <w:tc>
          <w:tcPr>
            <w:tcW w:w="417" w:type="pct"/>
            <w:gridSpan w:val="2"/>
            <w:shd w:val="clear" w:color="auto" w:fill="auto"/>
            <w:vAlign w:val="center"/>
          </w:tcPr>
          <w:p w:rsidR="005845E0" w:rsidRPr="00410309" w:rsidRDefault="005845E0" w:rsidP="00D94485">
            <w:pPr>
              <w:pStyle w:val="TableBodyText"/>
            </w:pPr>
            <w:r w:rsidRPr="00410309">
              <w:t>0.7</w:t>
            </w:r>
          </w:p>
        </w:tc>
        <w:tc>
          <w:tcPr>
            <w:tcW w:w="453" w:type="pct"/>
            <w:gridSpan w:val="4"/>
            <w:shd w:val="clear" w:color="auto" w:fill="auto"/>
            <w:vAlign w:val="center"/>
          </w:tcPr>
          <w:p w:rsidR="005845E0" w:rsidRPr="00410309" w:rsidRDefault="005845E0" w:rsidP="00D94485">
            <w:pPr>
              <w:pStyle w:val="TableBodyText"/>
            </w:pPr>
            <w:r w:rsidRPr="00410309">
              <w:t>0.6</w:t>
            </w:r>
          </w:p>
        </w:tc>
        <w:tc>
          <w:tcPr>
            <w:tcW w:w="413" w:type="pct"/>
            <w:gridSpan w:val="3"/>
            <w:shd w:val="clear" w:color="auto" w:fill="auto"/>
            <w:vAlign w:val="center"/>
          </w:tcPr>
          <w:p w:rsidR="005845E0" w:rsidRPr="00410309" w:rsidRDefault="005845E0" w:rsidP="00D94485">
            <w:pPr>
              <w:pStyle w:val="TableBodyText"/>
            </w:pPr>
            <w:r w:rsidRPr="00410309">
              <w:t>1.0</w:t>
            </w:r>
          </w:p>
        </w:tc>
        <w:tc>
          <w:tcPr>
            <w:tcW w:w="383" w:type="pct"/>
            <w:shd w:val="clear" w:color="auto" w:fill="auto"/>
            <w:vAlign w:val="center"/>
          </w:tcPr>
          <w:p w:rsidR="005845E0" w:rsidRPr="00410309" w:rsidRDefault="005845E0" w:rsidP="00D94485">
            <w:pPr>
              <w:pStyle w:val="TableBodyText"/>
            </w:pPr>
            <w:r w:rsidRPr="00410309">
              <w:t>0.6</w:t>
            </w:r>
          </w:p>
        </w:tc>
        <w:tc>
          <w:tcPr>
            <w:tcW w:w="414" w:type="pct"/>
            <w:gridSpan w:val="2"/>
            <w:shd w:val="clear" w:color="auto" w:fill="auto"/>
            <w:vAlign w:val="center"/>
          </w:tcPr>
          <w:p w:rsidR="005845E0" w:rsidRPr="00410309" w:rsidRDefault="005845E0" w:rsidP="00D94485">
            <w:pPr>
              <w:pStyle w:val="TableBodyText"/>
            </w:pPr>
            <w:r w:rsidRPr="00410309">
              <w:t>0.6</w:t>
            </w:r>
          </w:p>
        </w:tc>
      </w:tr>
      <w:tr w:rsidR="005845E0" w:rsidRPr="00121ECD" w:rsidTr="00621F85">
        <w:tc>
          <w:tcPr>
            <w:tcW w:w="160" w:type="pct"/>
            <w:gridSpan w:val="2"/>
            <w:shd w:val="clear" w:color="auto" w:fill="auto"/>
          </w:tcPr>
          <w:p w:rsidR="005845E0" w:rsidRPr="00121ECD" w:rsidRDefault="005845E0" w:rsidP="005E5D0A">
            <w:pPr>
              <w:pStyle w:val="TableBodyText"/>
              <w:keepNext w:val="0"/>
              <w:jc w:val="left"/>
              <w:rPr>
                <w:b/>
                <w:vertAlign w:val="superscript"/>
              </w:rPr>
            </w:pPr>
          </w:p>
        </w:tc>
        <w:tc>
          <w:tcPr>
            <w:tcW w:w="1095" w:type="pct"/>
            <w:gridSpan w:val="2"/>
            <w:shd w:val="clear" w:color="auto" w:fill="auto"/>
          </w:tcPr>
          <w:p w:rsidR="005845E0" w:rsidRPr="00972DCE" w:rsidRDefault="005845E0" w:rsidP="005E5D0A">
            <w:pPr>
              <w:pStyle w:val="TableBodyText"/>
              <w:keepNext w:val="0"/>
              <w:jc w:val="left"/>
            </w:pPr>
            <w:r w:rsidRPr="00972DCE">
              <w:t>Hysterectomy</w:t>
            </w:r>
          </w:p>
        </w:tc>
        <w:tc>
          <w:tcPr>
            <w:tcW w:w="416" w:type="pct"/>
            <w:gridSpan w:val="2"/>
            <w:shd w:val="clear" w:color="auto" w:fill="auto"/>
            <w:vAlign w:val="center"/>
          </w:tcPr>
          <w:p w:rsidR="005845E0" w:rsidRPr="00410309" w:rsidRDefault="005845E0" w:rsidP="00D94485">
            <w:pPr>
              <w:pStyle w:val="TableBodyText"/>
            </w:pPr>
            <w:r w:rsidRPr="00410309">
              <w:t>1.0</w:t>
            </w:r>
          </w:p>
        </w:tc>
        <w:tc>
          <w:tcPr>
            <w:tcW w:w="417" w:type="pct"/>
            <w:shd w:val="clear" w:color="auto" w:fill="auto"/>
            <w:vAlign w:val="center"/>
          </w:tcPr>
          <w:p w:rsidR="005845E0" w:rsidRPr="00410309" w:rsidRDefault="005845E0" w:rsidP="00D94485">
            <w:pPr>
              <w:pStyle w:val="TableBodyText"/>
            </w:pPr>
            <w:r w:rsidRPr="00410309">
              <w:t>1.1</w:t>
            </w:r>
          </w:p>
        </w:tc>
        <w:tc>
          <w:tcPr>
            <w:tcW w:w="416" w:type="pct"/>
            <w:shd w:val="clear" w:color="auto" w:fill="auto"/>
            <w:vAlign w:val="center"/>
          </w:tcPr>
          <w:p w:rsidR="005845E0" w:rsidRPr="00410309" w:rsidRDefault="005845E0" w:rsidP="00D94485">
            <w:pPr>
              <w:pStyle w:val="TableBodyText"/>
            </w:pPr>
            <w:r w:rsidRPr="00410309">
              <w:t>1.0</w:t>
            </w:r>
          </w:p>
        </w:tc>
        <w:tc>
          <w:tcPr>
            <w:tcW w:w="417" w:type="pct"/>
            <w:gridSpan w:val="2"/>
            <w:shd w:val="clear" w:color="auto" w:fill="auto"/>
            <w:vAlign w:val="center"/>
          </w:tcPr>
          <w:p w:rsidR="005845E0" w:rsidRPr="00410309" w:rsidRDefault="005845E0" w:rsidP="00D94485">
            <w:pPr>
              <w:pStyle w:val="TableBodyText"/>
            </w:pPr>
            <w:r w:rsidRPr="00410309">
              <w:t>1.1</w:t>
            </w:r>
          </w:p>
        </w:tc>
        <w:tc>
          <w:tcPr>
            <w:tcW w:w="417" w:type="pct"/>
            <w:gridSpan w:val="2"/>
            <w:shd w:val="clear" w:color="auto" w:fill="auto"/>
            <w:vAlign w:val="center"/>
          </w:tcPr>
          <w:p w:rsidR="005845E0" w:rsidRPr="00410309" w:rsidRDefault="005845E0" w:rsidP="00D94485">
            <w:pPr>
              <w:pStyle w:val="TableBodyText"/>
            </w:pPr>
            <w:r w:rsidRPr="00410309">
              <w:t>1.3</w:t>
            </w:r>
          </w:p>
        </w:tc>
        <w:tc>
          <w:tcPr>
            <w:tcW w:w="453" w:type="pct"/>
            <w:gridSpan w:val="4"/>
            <w:shd w:val="clear" w:color="auto" w:fill="auto"/>
            <w:vAlign w:val="center"/>
          </w:tcPr>
          <w:p w:rsidR="005845E0" w:rsidRPr="00410309" w:rsidRDefault="005845E0" w:rsidP="00D94485">
            <w:pPr>
              <w:pStyle w:val="TableBodyText"/>
            </w:pPr>
            <w:r w:rsidRPr="00410309">
              <w:t>1.1</w:t>
            </w:r>
          </w:p>
        </w:tc>
        <w:tc>
          <w:tcPr>
            <w:tcW w:w="413" w:type="pct"/>
            <w:gridSpan w:val="3"/>
            <w:shd w:val="clear" w:color="auto" w:fill="auto"/>
            <w:vAlign w:val="center"/>
          </w:tcPr>
          <w:p w:rsidR="005845E0" w:rsidRPr="00410309" w:rsidRDefault="005845E0" w:rsidP="00D94485">
            <w:pPr>
              <w:pStyle w:val="TableBodyText"/>
            </w:pPr>
            <w:r w:rsidRPr="00410309">
              <w:t>0.7</w:t>
            </w:r>
          </w:p>
        </w:tc>
        <w:tc>
          <w:tcPr>
            <w:tcW w:w="383" w:type="pct"/>
            <w:shd w:val="clear" w:color="auto" w:fill="auto"/>
            <w:vAlign w:val="center"/>
          </w:tcPr>
          <w:p w:rsidR="005845E0" w:rsidRPr="00410309" w:rsidRDefault="005845E0" w:rsidP="00D94485">
            <w:pPr>
              <w:pStyle w:val="TableBodyText"/>
            </w:pPr>
            <w:r w:rsidRPr="00410309">
              <w:t>0.8</w:t>
            </w:r>
          </w:p>
        </w:tc>
        <w:tc>
          <w:tcPr>
            <w:tcW w:w="414" w:type="pct"/>
            <w:gridSpan w:val="2"/>
            <w:shd w:val="clear" w:color="auto" w:fill="auto"/>
            <w:vAlign w:val="center"/>
          </w:tcPr>
          <w:p w:rsidR="005845E0" w:rsidRPr="00410309" w:rsidRDefault="005845E0" w:rsidP="00D94485">
            <w:pPr>
              <w:pStyle w:val="TableBodyText"/>
            </w:pPr>
            <w:r w:rsidRPr="00410309">
              <w:t>1.0</w:t>
            </w:r>
          </w:p>
        </w:tc>
      </w:tr>
      <w:tr w:rsidR="00C47A89" w:rsidRPr="00B817EA" w:rsidTr="00621F85">
        <w:tc>
          <w:tcPr>
            <w:tcW w:w="160" w:type="pct"/>
            <w:gridSpan w:val="2"/>
            <w:shd w:val="clear" w:color="auto" w:fill="auto"/>
          </w:tcPr>
          <w:p w:rsidR="005845E0" w:rsidRPr="005825CD" w:rsidRDefault="005845E0" w:rsidP="005E5D0A">
            <w:pPr>
              <w:pStyle w:val="TableBodyText"/>
              <w:keepNext w:val="0"/>
              <w:jc w:val="left"/>
              <w:rPr>
                <w:vertAlign w:val="superscript"/>
              </w:rPr>
            </w:pPr>
          </w:p>
        </w:tc>
        <w:tc>
          <w:tcPr>
            <w:tcW w:w="1167" w:type="pct"/>
            <w:gridSpan w:val="3"/>
            <w:shd w:val="clear" w:color="auto" w:fill="auto"/>
          </w:tcPr>
          <w:p w:rsidR="005845E0" w:rsidRPr="00972DCE" w:rsidRDefault="005845E0" w:rsidP="00391E16">
            <w:pPr>
              <w:pStyle w:val="TableBodyText"/>
              <w:keepNext w:val="0"/>
              <w:ind w:right="0"/>
              <w:jc w:val="left"/>
            </w:pPr>
            <w:r>
              <w:t xml:space="preserve">Inguinal </w:t>
            </w:r>
            <w:proofErr w:type="spellStart"/>
            <w:r>
              <w:t>herniorrhaphy</w:t>
            </w:r>
            <w:proofErr w:type="spellEnd"/>
          </w:p>
        </w:tc>
        <w:tc>
          <w:tcPr>
            <w:tcW w:w="344" w:type="pct"/>
            <w:shd w:val="clear" w:color="auto" w:fill="auto"/>
            <w:vAlign w:val="center"/>
          </w:tcPr>
          <w:p w:rsidR="005845E0" w:rsidRPr="00410309" w:rsidRDefault="005845E0" w:rsidP="00D94485">
            <w:pPr>
              <w:pStyle w:val="TableBodyText"/>
            </w:pPr>
            <w:r w:rsidRPr="00410309">
              <w:t>1.0</w:t>
            </w:r>
          </w:p>
        </w:tc>
        <w:tc>
          <w:tcPr>
            <w:tcW w:w="417" w:type="pct"/>
            <w:shd w:val="clear" w:color="auto" w:fill="auto"/>
            <w:vAlign w:val="center"/>
          </w:tcPr>
          <w:p w:rsidR="005845E0" w:rsidRPr="00410309" w:rsidRDefault="005845E0" w:rsidP="00D94485">
            <w:pPr>
              <w:pStyle w:val="TableBodyText"/>
            </w:pPr>
            <w:r w:rsidRPr="00410309">
              <w:t>1.0</w:t>
            </w:r>
          </w:p>
        </w:tc>
        <w:tc>
          <w:tcPr>
            <w:tcW w:w="416" w:type="pct"/>
            <w:shd w:val="clear" w:color="auto" w:fill="auto"/>
            <w:vAlign w:val="center"/>
          </w:tcPr>
          <w:p w:rsidR="005845E0" w:rsidRPr="00410309" w:rsidRDefault="005845E0" w:rsidP="00D94485">
            <w:pPr>
              <w:pStyle w:val="TableBodyText"/>
            </w:pPr>
            <w:r w:rsidRPr="00410309">
              <w:t>0.8</w:t>
            </w:r>
          </w:p>
        </w:tc>
        <w:tc>
          <w:tcPr>
            <w:tcW w:w="417" w:type="pct"/>
            <w:gridSpan w:val="2"/>
            <w:shd w:val="clear" w:color="auto" w:fill="auto"/>
            <w:vAlign w:val="center"/>
          </w:tcPr>
          <w:p w:rsidR="005845E0" w:rsidRPr="00410309" w:rsidRDefault="005845E0" w:rsidP="00D94485">
            <w:pPr>
              <w:pStyle w:val="TableBodyText"/>
            </w:pPr>
            <w:r w:rsidRPr="00410309">
              <w:t>0.9</w:t>
            </w:r>
          </w:p>
        </w:tc>
        <w:tc>
          <w:tcPr>
            <w:tcW w:w="417" w:type="pct"/>
            <w:gridSpan w:val="2"/>
            <w:shd w:val="clear" w:color="auto" w:fill="auto"/>
            <w:vAlign w:val="center"/>
          </w:tcPr>
          <w:p w:rsidR="005845E0" w:rsidRPr="00410309" w:rsidRDefault="005845E0" w:rsidP="00D94485">
            <w:pPr>
              <w:pStyle w:val="TableBodyText"/>
            </w:pPr>
            <w:r w:rsidRPr="00410309">
              <w:t>1.0</w:t>
            </w:r>
          </w:p>
        </w:tc>
        <w:tc>
          <w:tcPr>
            <w:tcW w:w="453" w:type="pct"/>
            <w:gridSpan w:val="4"/>
            <w:shd w:val="clear" w:color="auto" w:fill="auto"/>
            <w:vAlign w:val="center"/>
          </w:tcPr>
          <w:p w:rsidR="005845E0" w:rsidRPr="00410309" w:rsidRDefault="005845E0" w:rsidP="00C47A89">
            <w:pPr>
              <w:pStyle w:val="TableBodyText"/>
            </w:pPr>
            <w:r w:rsidRPr="00410309">
              <w:t>1.1</w:t>
            </w:r>
          </w:p>
        </w:tc>
        <w:tc>
          <w:tcPr>
            <w:tcW w:w="413" w:type="pct"/>
            <w:gridSpan w:val="3"/>
            <w:shd w:val="clear" w:color="auto" w:fill="auto"/>
            <w:vAlign w:val="center"/>
          </w:tcPr>
          <w:p w:rsidR="005845E0" w:rsidRPr="00410309" w:rsidRDefault="005845E0" w:rsidP="00D94485">
            <w:pPr>
              <w:pStyle w:val="TableBodyText"/>
            </w:pPr>
            <w:r w:rsidRPr="00410309">
              <w:t>0.9</w:t>
            </w:r>
          </w:p>
        </w:tc>
        <w:tc>
          <w:tcPr>
            <w:tcW w:w="383" w:type="pct"/>
            <w:shd w:val="clear" w:color="auto" w:fill="auto"/>
            <w:vAlign w:val="center"/>
          </w:tcPr>
          <w:p w:rsidR="005845E0" w:rsidRPr="00410309" w:rsidRDefault="005845E0" w:rsidP="00D94485">
            <w:pPr>
              <w:pStyle w:val="TableBodyText"/>
            </w:pPr>
            <w:r w:rsidRPr="00410309">
              <w:t>0.9</w:t>
            </w:r>
          </w:p>
        </w:tc>
        <w:tc>
          <w:tcPr>
            <w:tcW w:w="414" w:type="pct"/>
            <w:gridSpan w:val="2"/>
            <w:shd w:val="clear" w:color="auto" w:fill="auto"/>
            <w:vAlign w:val="center"/>
          </w:tcPr>
          <w:p w:rsidR="005845E0" w:rsidRPr="00410309" w:rsidRDefault="005845E0" w:rsidP="00D94485">
            <w:pPr>
              <w:pStyle w:val="TableBodyText"/>
            </w:pPr>
            <w:r w:rsidRPr="00410309">
              <w:t>1.0</w:t>
            </w:r>
          </w:p>
        </w:tc>
      </w:tr>
      <w:tr w:rsidR="00F44BBF" w:rsidRPr="00B817EA" w:rsidTr="00621F85">
        <w:tc>
          <w:tcPr>
            <w:tcW w:w="149" w:type="pct"/>
            <w:shd w:val="clear" w:color="auto" w:fill="auto"/>
          </w:tcPr>
          <w:p w:rsidR="00F44BBF" w:rsidRPr="005825CD" w:rsidRDefault="00F44BBF" w:rsidP="00E759C3">
            <w:pPr>
              <w:pStyle w:val="TableBodyText"/>
              <w:keepNext w:val="0"/>
              <w:jc w:val="left"/>
              <w:rPr>
                <w:vertAlign w:val="superscript"/>
              </w:rPr>
            </w:pPr>
          </w:p>
        </w:tc>
        <w:tc>
          <w:tcPr>
            <w:tcW w:w="1093" w:type="pct"/>
            <w:gridSpan w:val="2"/>
            <w:shd w:val="clear" w:color="auto" w:fill="auto"/>
          </w:tcPr>
          <w:p w:rsidR="00F44BBF" w:rsidRPr="00972DCE" w:rsidRDefault="00F44BBF" w:rsidP="00E759C3">
            <w:pPr>
              <w:pStyle w:val="TableBodyText"/>
              <w:keepNext w:val="0"/>
              <w:jc w:val="left"/>
            </w:pPr>
            <w:r w:rsidRPr="00972DCE">
              <w:t>Knee replacement</w:t>
            </w:r>
          </w:p>
        </w:tc>
        <w:tc>
          <w:tcPr>
            <w:tcW w:w="429" w:type="pct"/>
            <w:gridSpan w:val="3"/>
            <w:shd w:val="clear" w:color="auto" w:fill="auto"/>
            <w:vAlign w:val="center"/>
          </w:tcPr>
          <w:p w:rsidR="00F44BBF" w:rsidRPr="00410309" w:rsidRDefault="00F44BBF" w:rsidP="00E759C3">
            <w:pPr>
              <w:pStyle w:val="TableBodyText"/>
            </w:pPr>
            <w:r w:rsidRPr="00410309">
              <w:t>0.7</w:t>
            </w:r>
          </w:p>
        </w:tc>
        <w:tc>
          <w:tcPr>
            <w:tcW w:w="417" w:type="pct"/>
            <w:shd w:val="clear" w:color="auto" w:fill="auto"/>
            <w:vAlign w:val="center"/>
          </w:tcPr>
          <w:p w:rsidR="00F44BBF" w:rsidRPr="00410309" w:rsidRDefault="00F44BBF" w:rsidP="00E759C3">
            <w:pPr>
              <w:pStyle w:val="TableBodyText"/>
            </w:pPr>
            <w:r w:rsidRPr="00410309">
              <w:t>0.5</w:t>
            </w:r>
          </w:p>
        </w:tc>
        <w:tc>
          <w:tcPr>
            <w:tcW w:w="420" w:type="pct"/>
            <w:gridSpan w:val="2"/>
            <w:shd w:val="clear" w:color="auto" w:fill="auto"/>
            <w:vAlign w:val="center"/>
          </w:tcPr>
          <w:p w:rsidR="00F44BBF" w:rsidRPr="00410309" w:rsidRDefault="00F44BBF" w:rsidP="00E759C3">
            <w:pPr>
              <w:pStyle w:val="TableBodyText"/>
            </w:pPr>
            <w:r w:rsidRPr="00410309">
              <w:t>0.5</w:t>
            </w:r>
          </w:p>
        </w:tc>
        <w:tc>
          <w:tcPr>
            <w:tcW w:w="417" w:type="pct"/>
            <w:gridSpan w:val="2"/>
            <w:shd w:val="clear" w:color="auto" w:fill="auto"/>
            <w:vAlign w:val="center"/>
          </w:tcPr>
          <w:p w:rsidR="00F44BBF" w:rsidRPr="00410309" w:rsidRDefault="00F44BBF" w:rsidP="00E759C3">
            <w:pPr>
              <w:pStyle w:val="TableBodyText"/>
            </w:pPr>
            <w:r w:rsidRPr="00410309">
              <w:t>0.7</w:t>
            </w:r>
          </w:p>
        </w:tc>
        <w:tc>
          <w:tcPr>
            <w:tcW w:w="417" w:type="pct"/>
            <w:gridSpan w:val="2"/>
            <w:shd w:val="clear" w:color="auto" w:fill="auto"/>
            <w:vAlign w:val="center"/>
          </w:tcPr>
          <w:p w:rsidR="00F44BBF" w:rsidRPr="00410309" w:rsidRDefault="00F44BBF" w:rsidP="00E759C3">
            <w:pPr>
              <w:pStyle w:val="TableBodyText"/>
            </w:pPr>
            <w:r w:rsidRPr="00410309">
              <w:t>0.6</w:t>
            </w:r>
          </w:p>
        </w:tc>
        <w:tc>
          <w:tcPr>
            <w:tcW w:w="417" w:type="pct"/>
            <w:gridSpan w:val="2"/>
            <w:shd w:val="clear" w:color="auto" w:fill="auto"/>
            <w:vAlign w:val="center"/>
          </w:tcPr>
          <w:p w:rsidR="00F44BBF" w:rsidRPr="00410309" w:rsidRDefault="00F44BBF" w:rsidP="00E759C3">
            <w:pPr>
              <w:pStyle w:val="TableBodyText"/>
            </w:pPr>
            <w:r w:rsidRPr="00410309">
              <w:t>0.3</w:t>
            </w:r>
          </w:p>
        </w:tc>
        <w:tc>
          <w:tcPr>
            <w:tcW w:w="417" w:type="pct"/>
            <w:gridSpan w:val="3"/>
            <w:shd w:val="clear" w:color="auto" w:fill="auto"/>
            <w:vAlign w:val="center"/>
          </w:tcPr>
          <w:p w:rsidR="00F44BBF" w:rsidRPr="00410309" w:rsidRDefault="00F44BBF" w:rsidP="00E759C3">
            <w:pPr>
              <w:pStyle w:val="TableBodyText"/>
            </w:pPr>
            <w:r w:rsidRPr="00410309">
              <w:t>0.9</w:t>
            </w:r>
          </w:p>
        </w:tc>
        <w:tc>
          <w:tcPr>
            <w:tcW w:w="417" w:type="pct"/>
            <w:gridSpan w:val="3"/>
            <w:shd w:val="clear" w:color="auto" w:fill="auto"/>
            <w:vAlign w:val="center"/>
          </w:tcPr>
          <w:p w:rsidR="00F44BBF" w:rsidRPr="00410309" w:rsidRDefault="00F44BBF" w:rsidP="00E759C3">
            <w:pPr>
              <w:pStyle w:val="TableBodyText"/>
            </w:pPr>
            <w:r w:rsidRPr="00410309">
              <w:t>0.4</w:t>
            </w:r>
          </w:p>
        </w:tc>
        <w:tc>
          <w:tcPr>
            <w:tcW w:w="408" w:type="pct"/>
            <w:shd w:val="clear" w:color="auto" w:fill="auto"/>
            <w:vAlign w:val="center"/>
          </w:tcPr>
          <w:p w:rsidR="00F44BBF" w:rsidRPr="00410309" w:rsidRDefault="00F44BBF" w:rsidP="00E759C3">
            <w:pPr>
              <w:pStyle w:val="TableBodyText"/>
            </w:pPr>
            <w:r w:rsidRPr="00410309">
              <w:t>0.6</w:t>
            </w:r>
          </w:p>
        </w:tc>
      </w:tr>
      <w:tr w:rsidR="00F44BBF" w:rsidRPr="00B817EA" w:rsidTr="00621F85">
        <w:tc>
          <w:tcPr>
            <w:tcW w:w="149" w:type="pct"/>
            <w:shd w:val="clear" w:color="auto" w:fill="auto"/>
          </w:tcPr>
          <w:p w:rsidR="00F44BBF" w:rsidRPr="005825CD" w:rsidRDefault="00F44BBF" w:rsidP="00E759C3">
            <w:pPr>
              <w:pStyle w:val="TableBodyText"/>
              <w:keepNext w:val="0"/>
              <w:jc w:val="left"/>
              <w:rPr>
                <w:vertAlign w:val="superscript"/>
              </w:rPr>
            </w:pPr>
          </w:p>
        </w:tc>
        <w:tc>
          <w:tcPr>
            <w:tcW w:w="1093" w:type="pct"/>
            <w:gridSpan w:val="2"/>
            <w:shd w:val="clear" w:color="auto" w:fill="auto"/>
          </w:tcPr>
          <w:p w:rsidR="00F44BBF" w:rsidRPr="00972DCE" w:rsidRDefault="00F44BBF" w:rsidP="00E759C3">
            <w:pPr>
              <w:pStyle w:val="TableBodyText"/>
              <w:keepNext w:val="0"/>
              <w:jc w:val="left"/>
            </w:pPr>
            <w:proofErr w:type="spellStart"/>
            <w:r w:rsidRPr="00972DCE">
              <w:t>Myringotomy</w:t>
            </w:r>
            <w:proofErr w:type="spellEnd"/>
          </w:p>
        </w:tc>
        <w:tc>
          <w:tcPr>
            <w:tcW w:w="429" w:type="pct"/>
            <w:gridSpan w:val="3"/>
            <w:shd w:val="clear" w:color="auto" w:fill="auto"/>
            <w:vAlign w:val="center"/>
          </w:tcPr>
          <w:p w:rsidR="00F44BBF" w:rsidRPr="00410309" w:rsidRDefault="00F44BBF" w:rsidP="00E759C3">
            <w:pPr>
              <w:pStyle w:val="TableBodyText"/>
            </w:pPr>
            <w:r w:rsidRPr="00410309">
              <w:t>0.5</w:t>
            </w:r>
          </w:p>
        </w:tc>
        <w:tc>
          <w:tcPr>
            <w:tcW w:w="417" w:type="pct"/>
            <w:shd w:val="clear" w:color="auto" w:fill="auto"/>
            <w:vAlign w:val="center"/>
          </w:tcPr>
          <w:p w:rsidR="00F44BBF" w:rsidRPr="00410309" w:rsidRDefault="00F44BBF" w:rsidP="00E759C3">
            <w:pPr>
              <w:pStyle w:val="TableBodyText"/>
            </w:pPr>
            <w:r w:rsidRPr="00410309">
              <w:t>0.8</w:t>
            </w:r>
          </w:p>
        </w:tc>
        <w:tc>
          <w:tcPr>
            <w:tcW w:w="420" w:type="pct"/>
            <w:gridSpan w:val="2"/>
            <w:shd w:val="clear" w:color="auto" w:fill="auto"/>
            <w:vAlign w:val="center"/>
          </w:tcPr>
          <w:p w:rsidR="00F44BBF" w:rsidRPr="00410309" w:rsidRDefault="00F44BBF" w:rsidP="00E759C3">
            <w:pPr>
              <w:pStyle w:val="TableBodyText"/>
            </w:pPr>
            <w:r w:rsidRPr="00410309">
              <w:t>0.7</w:t>
            </w:r>
          </w:p>
        </w:tc>
        <w:tc>
          <w:tcPr>
            <w:tcW w:w="417" w:type="pct"/>
            <w:gridSpan w:val="2"/>
            <w:shd w:val="clear" w:color="auto" w:fill="auto"/>
            <w:vAlign w:val="center"/>
          </w:tcPr>
          <w:p w:rsidR="00F44BBF" w:rsidRPr="00410309" w:rsidRDefault="00F44BBF" w:rsidP="00E759C3">
            <w:pPr>
              <w:pStyle w:val="TableBodyText"/>
            </w:pPr>
            <w:r w:rsidRPr="00410309">
              <w:t>0.7</w:t>
            </w:r>
          </w:p>
        </w:tc>
        <w:tc>
          <w:tcPr>
            <w:tcW w:w="417" w:type="pct"/>
            <w:gridSpan w:val="2"/>
            <w:shd w:val="clear" w:color="auto" w:fill="auto"/>
            <w:vAlign w:val="center"/>
          </w:tcPr>
          <w:p w:rsidR="00F44BBF" w:rsidRPr="00410309" w:rsidRDefault="00F44BBF" w:rsidP="00E759C3">
            <w:pPr>
              <w:pStyle w:val="TableBodyText"/>
            </w:pPr>
            <w:r w:rsidRPr="00410309">
              <w:t>1.3</w:t>
            </w:r>
          </w:p>
        </w:tc>
        <w:tc>
          <w:tcPr>
            <w:tcW w:w="417" w:type="pct"/>
            <w:gridSpan w:val="2"/>
            <w:shd w:val="clear" w:color="auto" w:fill="auto"/>
            <w:vAlign w:val="center"/>
          </w:tcPr>
          <w:p w:rsidR="00F44BBF" w:rsidRPr="00410309" w:rsidRDefault="00F44BBF" w:rsidP="00E759C3">
            <w:pPr>
              <w:pStyle w:val="TableBodyText"/>
            </w:pPr>
            <w:r w:rsidRPr="00410309">
              <w:t>0.6</w:t>
            </w:r>
          </w:p>
        </w:tc>
        <w:tc>
          <w:tcPr>
            <w:tcW w:w="417" w:type="pct"/>
            <w:gridSpan w:val="3"/>
            <w:shd w:val="clear" w:color="auto" w:fill="auto"/>
            <w:vAlign w:val="center"/>
          </w:tcPr>
          <w:p w:rsidR="00F44BBF" w:rsidRPr="00410309" w:rsidRDefault="00F44BBF" w:rsidP="00E759C3">
            <w:pPr>
              <w:pStyle w:val="TableBodyText"/>
            </w:pPr>
            <w:r w:rsidRPr="00410309">
              <w:t>0.8</w:t>
            </w:r>
          </w:p>
        </w:tc>
        <w:tc>
          <w:tcPr>
            <w:tcW w:w="417" w:type="pct"/>
            <w:gridSpan w:val="3"/>
            <w:shd w:val="clear" w:color="auto" w:fill="auto"/>
            <w:vAlign w:val="center"/>
          </w:tcPr>
          <w:p w:rsidR="00F44BBF" w:rsidRPr="00410309" w:rsidRDefault="00F44BBF" w:rsidP="00E759C3">
            <w:pPr>
              <w:pStyle w:val="TableBodyText"/>
            </w:pPr>
            <w:r w:rsidRPr="00410309">
              <w:t>0.6</w:t>
            </w:r>
          </w:p>
        </w:tc>
        <w:tc>
          <w:tcPr>
            <w:tcW w:w="408" w:type="pct"/>
            <w:shd w:val="clear" w:color="auto" w:fill="auto"/>
            <w:vAlign w:val="center"/>
          </w:tcPr>
          <w:p w:rsidR="00F44BBF" w:rsidRPr="00410309" w:rsidRDefault="00F44BBF" w:rsidP="00E759C3">
            <w:pPr>
              <w:pStyle w:val="TableBodyText"/>
            </w:pPr>
            <w:r w:rsidRPr="00410309">
              <w:t>0.7</w:t>
            </w:r>
          </w:p>
        </w:tc>
      </w:tr>
      <w:tr w:rsidR="00621F85" w:rsidRPr="00121ECD" w:rsidTr="00621F85">
        <w:tc>
          <w:tcPr>
            <w:tcW w:w="149" w:type="pct"/>
            <w:shd w:val="clear" w:color="auto" w:fill="auto"/>
          </w:tcPr>
          <w:p w:rsidR="00621F85" w:rsidRPr="00621F85" w:rsidRDefault="00621F85" w:rsidP="00E759C3">
            <w:pPr>
              <w:pStyle w:val="TableBodyText"/>
              <w:keepNext w:val="0"/>
              <w:jc w:val="left"/>
              <w:rPr>
                <w:vertAlign w:val="superscript"/>
              </w:rPr>
            </w:pPr>
          </w:p>
        </w:tc>
        <w:tc>
          <w:tcPr>
            <w:tcW w:w="1093" w:type="pct"/>
            <w:gridSpan w:val="2"/>
            <w:shd w:val="clear" w:color="auto" w:fill="auto"/>
          </w:tcPr>
          <w:p w:rsidR="00621F85" w:rsidRPr="00972DCE" w:rsidRDefault="00621F85" w:rsidP="00E759C3">
            <w:pPr>
              <w:pStyle w:val="TableBodyText"/>
              <w:keepNext w:val="0"/>
              <w:jc w:val="left"/>
            </w:pPr>
            <w:r w:rsidRPr="00972DCE">
              <w:t>Prostatectomy</w:t>
            </w:r>
          </w:p>
        </w:tc>
        <w:tc>
          <w:tcPr>
            <w:tcW w:w="429" w:type="pct"/>
            <w:gridSpan w:val="3"/>
            <w:shd w:val="clear" w:color="auto" w:fill="auto"/>
            <w:vAlign w:val="center"/>
          </w:tcPr>
          <w:p w:rsidR="00621F85" w:rsidRPr="00410309" w:rsidRDefault="00621F85" w:rsidP="00E759C3">
            <w:pPr>
              <w:pStyle w:val="TableBodyText"/>
            </w:pPr>
            <w:r w:rsidRPr="00410309">
              <w:t>0.9</w:t>
            </w:r>
          </w:p>
        </w:tc>
        <w:tc>
          <w:tcPr>
            <w:tcW w:w="417" w:type="pct"/>
            <w:shd w:val="clear" w:color="auto" w:fill="auto"/>
            <w:vAlign w:val="center"/>
          </w:tcPr>
          <w:p w:rsidR="00621F85" w:rsidRPr="00410309" w:rsidRDefault="00621F85" w:rsidP="00E759C3">
            <w:pPr>
              <w:pStyle w:val="TableBodyText"/>
            </w:pPr>
            <w:r w:rsidRPr="00410309">
              <w:t>1.1</w:t>
            </w:r>
          </w:p>
        </w:tc>
        <w:tc>
          <w:tcPr>
            <w:tcW w:w="420" w:type="pct"/>
            <w:gridSpan w:val="2"/>
            <w:shd w:val="clear" w:color="auto" w:fill="auto"/>
            <w:vAlign w:val="center"/>
          </w:tcPr>
          <w:p w:rsidR="00621F85" w:rsidRPr="00410309" w:rsidRDefault="00621F85" w:rsidP="00E759C3">
            <w:pPr>
              <w:pStyle w:val="TableBodyText"/>
            </w:pPr>
            <w:r w:rsidRPr="00410309">
              <w:t>0.8</w:t>
            </w:r>
          </w:p>
        </w:tc>
        <w:tc>
          <w:tcPr>
            <w:tcW w:w="417" w:type="pct"/>
            <w:gridSpan w:val="2"/>
            <w:shd w:val="clear" w:color="auto" w:fill="auto"/>
            <w:vAlign w:val="center"/>
          </w:tcPr>
          <w:p w:rsidR="00621F85" w:rsidRPr="00410309" w:rsidRDefault="00621F85" w:rsidP="00E759C3">
            <w:pPr>
              <w:pStyle w:val="TableBodyText"/>
            </w:pPr>
            <w:r w:rsidRPr="00410309">
              <w:t>0.8</w:t>
            </w:r>
          </w:p>
        </w:tc>
        <w:tc>
          <w:tcPr>
            <w:tcW w:w="417" w:type="pct"/>
            <w:gridSpan w:val="2"/>
            <w:shd w:val="clear" w:color="auto" w:fill="auto"/>
            <w:vAlign w:val="center"/>
          </w:tcPr>
          <w:p w:rsidR="00621F85" w:rsidRPr="00410309" w:rsidRDefault="00621F85" w:rsidP="00E759C3">
            <w:pPr>
              <w:pStyle w:val="TableBodyText"/>
            </w:pPr>
            <w:r w:rsidRPr="00410309">
              <w:t>1.0</w:t>
            </w:r>
          </w:p>
        </w:tc>
        <w:tc>
          <w:tcPr>
            <w:tcW w:w="417" w:type="pct"/>
            <w:gridSpan w:val="2"/>
            <w:shd w:val="clear" w:color="auto" w:fill="auto"/>
            <w:vAlign w:val="center"/>
          </w:tcPr>
          <w:p w:rsidR="00621F85" w:rsidRPr="00410309" w:rsidRDefault="00621F85" w:rsidP="00E759C3">
            <w:pPr>
              <w:pStyle w:val="TableBodyText"/>
            </w:pPr>
            <w:r w:rsidRPr="00410309">
              <w:t>0.8</w:t>
            </w:r>
          </w:p>
        </w:tc>
        <w:tc>
          <w:tcPr>
            <w:tcW w:w="417" w:type="pct"/>
            <w:gridSpan w:val="3"/>
            <w:shd w:val="clear" w:color="auto" w:fill="auto"/>
            <w:vAlign w:val="center"/>
          </w:tcPr>
          <w:p w:rsidR="00621F85" w:rsidRPr="00410309" w:rsidRDefault="00621F85" w:rsidP="00E759C3">
            <w:pPr>
              <w:pStyle w:val="TableBodyText"/>
            </w:pPr>
            <w:r w:rsidRPr="00410309">
              <w:t>0.9</w:t>
            </w:r>
          </w:p>
        </w:tc>
        <w:tc>
          <w:tcPr>
            <w:tcW w:w="417" w:type="pct"/>
            <w:gridSpan w:val="3"/>
            <w:shd w:val="clear" w:color="auto" w:fill="auto"/>
            <w:vAlign w:val="center"/>
          </w:tcPr>
          <w:p w:rsidR="00621F85" w:rsidRPr="00410309" w:rsidRDefault="00621F85" w:rsidP="00E759C3">
            <w:pPr>
              <w:pStyle w:val="TableBodyText"/>
            </w:pPr>
            <w:r w:rsidRPr="00410309">
              <w:t>1.0</w:t>
            </w:r>
          </w:p>
        </w:tc>
        <w:tc>
          <w:tcPr>
            <w:tcW w:w="408" w:type="pct"/>
            <w:shd w:val="clear" w:color="auto" w:fill="auto"/>
            <w:vAlign w:val="center"/>
          </w:tcPr>
          <w:p w:rsidR="00621F85" w:rsidRPr="00410309" w:rsidRDefault="00621F85" w:rsidP="00E759C3">
            <w:pPr>
              <w:pStyle w:val="TableBodyText"/>
            </w:pPr>
            <w:r w:rsidRPr="00410309">
              <w:t>0.9</w:t>
            </w:r>
          </w:p>
        </w:tc>
      </w:tr>
    </w:tbl>
    <w:p w:rsidR="00C47A89" w:rsidRDefault="00C47A89" w:rsidP="00D94485">
      <w:pPr>
        <w:pStyle w:val="Continued"/>
        <w:pBdr>
          <w:bottom w:val="single" w:sz="4" w:space="1" w:color="auto"/>
        </w:pBdr>
        <w:spacing w:before="0"/>
      </w:pPr>
      <w:r>
        <w:t>(Continued next page)</w:t>
      </w:r>
    </w:p>
    <w:p w:rsidR="00C47A89" w:rsidRPr="00B903AA" w:rsidRDefault="00C47A89" w:rsidP="00C47A89">
      <w:pPr>
        <w:pStyle w:val="TableTitle"/>
        <w:rPr>
          <w:rStyle w:val="DraftingNote"/>
          <w:color w:val="auto"/>
        </w:rPr>
      </w:pPr>
      <w:r w:rsidRPr="00B903AA">
        <w:rPr>
          <w:b w:val="0"/>
        </w:rPr>
        <w:lastRenderedPageBreak/>
        <w:t xml:space="preserve">Table </w:t>
      </w:r>
      <w:proofErr w:type="spellStart"/>
      <w:r w:rsidRPr="00F07431">
        <w:rPr>
          <w:b w:val="0"/>
        </w:rPr>
        <w:t>E.5</w:t>
      </w:r>
      <w:proofErr w:type="spellEnd"/>
      <w:r w:rsidRPr="00B903AA">
        <w:rPr>
          <w:b w:val="0"/>
        </w:rPr>
        <w:tab/>
      </w:r>
      <w:r w:rsidRPr="00B903AA">
        <w:rPr>
          <w:sz w:val="18"/>
          <w:szCs w:val="18"/>
        </w:rPr>
        <w:t>(continued)</w:t>
      </w:r>
    </w:p>
    <w:tbl>
      <w:tblPr>
        <w:tblW w:w="5010" w:type="pct"/>
        <w:tblCellMar>
          <w:left w:w="0" w:type="dxa"/>
          <w:right w:w="0" w:type="dxa"/>
        </w:tblCellMar>
        <w:tblLook w:val="0000" w:firstRow="0" w:lastRow="0" w:firstColumn="0" w:lastColumn="0" w:noHBand="0" w:noVBand="0"/>
      </w:tblPr>
      <w:tblGrid>
        <w:gridCol w:w="261"/>
        <w:gridCol w:w="30"/>
        <w:gridCol w:w="1629"/>
        <w:gridCol w:w="26"/>
        <w:gridCol w:w="176"/>
        <w:gridCol w:w="55"/>
        <w:gridCol w:w="513"/>
        <w:gridCol w:w="19"/>
        <w:gridCol w:w="224"/>
        <w:gridCol w:w="530"/>
        <w:gridCol w:w="206"/>
        <w:gridCol w:w="738"/>
        <w:gridCol w:w="733"/>
        <w:gridCol w:w="733"/>
        <w:gridCol w:w="639"/>
        <w:gridCol w:w="93"/>
        <w:gridCol w:w="738"/>
        <w:gridCol w:w="740"/>
        <w:gridCol w:w="712"/>
        <w:gridCol w:w="12"/>
      </w:tblGrid>
      <w:tr w:rsidR="00C47A89" w:rsidRPr="004C2CF4" w:rsidTr="00621F85">
        <w:trPr>
          <w:cantSplit/>
          <w:tblHeader/>
        </w:trPr>
        <w:tc>
          <w:tcPr>
            <w:tcW w:w="1205" w:type="pct"/>
            <w:gridSpan w:val="5"/>
            <w:tcBorders>
              <w:top w:val="single" w:sz="6" w:space="0" w:color="auto"/>
              <w:bottom w:val="single" w:sz="4" w:space="0" w:color="auto"/>
            </w:tcBorders>
            <w:shd w:val="clear" w:color="auto" w:fill="auto"/>
          </w:tcPr>
          <w:p w:rsidR="00C47A89" w:rsidRPr="00B817EA" w:rsidRDefault="00C47A89" w:rsidP="00D94485">
            <w:pPr>
              <w:pStyle w:val="TableColumnHeading"/>
              <w:jc w:val="left"/>
            </w:pPr>
          </w:p>
        </w:tc>
        <w:tc>
          <w:tcPr>
            <w:tcW w:w="460" w:type="pct"/>
            <w:gridSpan w:val="4"/>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NSW</w:t>
            </w:r>
          </w:p>
        </w:tc>
        <w:tc>
          <w:tcPr>
            <w:tcW w:w="418" w:type="pct"/>
            <w:gridSpan w:val="2"/>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Vic</w:t>
            </w:r>
          </w:p>
        </w:tc>
        <w:tc>
          <w:tcPr>
            <w:tcW w:w="419" w:type="pct"/>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Qld</w:t>
            </w:r>
          </w:p>
        </w:tc>
        <w:tc>
          <w:tcPr>
            <w:tcW w:w="416" w:type="pct"/>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WA</w:t>
            </w:r>
          </w:p>
        </w:tc>
        <w:tc>
          <w:tcPr>
            <w:tcW w:w="416" w:type="pct"/>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SA</w:t>
            </w:r>
          </w:p>
        </w:tc>
        <w:tc>
          <w:tcPr>
            <w:tcW w:w="416" w:type="pct"/>
            <w:gridSpan w:val="2"/>
            <w:tcBorders>
              <w:top w:val="single" w:sz="6" w:space="0" w:color="auto"/>
              <w:bottom w:val="single" w:sz="4" w:space="0" w:color="auto"/>
            </w:tcBorders>
            <w:shd w:val="clear" w:color="auto" w:fill="auto"/>
          </w:tcPr>
          <w:p w:rsidR="00C47A89" w:rsidRPr="00B817EA" w:rsidRDefault="00C47A89" w:rsidP="00D94485">
            <w:pPr>
              <w:pStyle w:val="TableColumnHeading"/>
            </w:pPr>
            <w:proofErr w:type="spellStart"/>
            <w:r w:rsidRPr="00B817EA">
              <w:t>Tas</w:t>
            </w:r>
            <w:proofErr w:type="spellEnd"/>
          </w:p>
        </w:tc>
        <w:tc>
          <w:tcPr>
            <w:tcW w:w="419" w:type="pct"/>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ACT</w:t>
            </w:r>
          </w:p>
        </w:tc>
        <w:tc>
          <w:tcPr>
            <w:tcW w:w="420" w:type="pct"/>
            <w:tcBorders>
              <w:top w:val="single" w:sz="6" w:space="0" w:color="auto"/>
              <w:bottom w:val="single" w:sz="4" w:space="0" w:color="auto"/>
            </w:tcBorders>
            <w:shd w:val="clear" w:color="auto" w:fill="auto"/>
          </w:tcPr>
          <w:p w:rsidR="00C47A89" w:rsidRPr="00B817EA" w:rsidRDefault="00C47A89" w:rsidP="00D94485">
            <w:pPr>
              <w:pStyle w:val="TableColumnHeading"/>
            </w:pPr>
            <w:r w:rsidRPr="00B817EA">
              <w:t>NT</w:t>
            </w:r>
          </w:p>
        </w:tc>
        <w:tc>
          <w:tcPr>
            <w:tcW w:w="411" w:type="pct"/>
            <w:gridSpan w:val="2"/>
            <w:tcBorders>
              <w:top w:val="single" w:sz="6" w:space="0" w:color="auto"/>
              <w:bottom w:val="single" w:sz="4" w:space="0" w:color="auto"/>
            </w:tcBorders>
          </w:tcPr>
          <w:p w:rsidR="00C47A89" w:rsidRPr="004C2CF4" w:rsidRDefault="00C47A89" w:rsidP="00D94485">
            <w:pPr>
              <w:pStyle w:val="TableColumnHeading"/>
            </w:pPr>
            <w:proofErr w:type="spellStart"/>
            <w:r w:rsidRPr="00B817EA">
              <w:t>Aust</w:t>
            </w:r>
            <w:proofErr w:type="spellEnd"/>
          </w:p>
        </w:tc>
      </w:tr>
      <w:tr w:rsidR="00C47A89" w:rsidRPr="00B817EA" w:rsidTr="00621F85">
        <w:tc>
          <w:tcPr>
            <w:tcW w:w="148" w:type="pct"/>
            <w:shd w:val="clear" w:color="auto" w:fill="auto"/>
          </w:tcPr>
          <w:p w:rsidR="005845E0" w:rsidRPr="005825CD" w:rsidRDefault="005845E0" w:rsidP="005E5D0A">
            <w:pPr>
              <w:pStyle w:val="TableBodyText"/>
              <w:keepNext w:val="0"/>
              <w:jc w:val="left"/>
              <w:rPr>
                <w:vertAlign w:val="superscript"/>
              </w:rPr>
            </w:pPr>
          </w:p>
        </w:tc>
        <w:tc>
          <w:tcPr>
            <w:tcW w:w="1088" w:type="pct"/>
            <w:gridSpan w:val="5"/>
            <w:shd w:val="clear" w:color="auto" w:fill="auto"/>
          </w:tcPr>
          <w:p w:rsidR="005845E0" w:rsidRPr="00820E10" w:rsidRDefault="005845E0" w:rsidP="005E5D0A">
            <w:pPr>
              <w:pStyle w:val="TableBodyText"/>
              <w:keepNext w:val="0"/>
              <w:jc w:val="left"/>
            </w:pPr>
            <w:proofErr w:type="spellStart"/>
            <w:r>
              <w:t>Septoplasty</w:t>
            </w:r>
            <w:proofErr w:type="spellEnd"/>
          </w:p>
        </w:tc>
        <w:tc>
          <w:tcPr>
            <w:tcW w:w="429" w:type="pct"/>
            <w:gridSpan w:val="3"/>
            <w:shd w:val="clear" w:color="auto" w:fill="auto"/>
            <w:vAlign w:val="center"/>
          </w:tcPr>
          <w:p w:rsidR="005845E0" w:rsidRPr="00410309" w:rsidRDefault="005845E0" w:rsidP="00D94485">
            <w:pPr>
              <w:pStyle w:val="TableBodyText"/>
            </w:pPr>
            <w:r w:rsidRPr="00410309">
              <w:t>0.3</w:t>
            </w:r>
          </w:p>
        </w:tc>
        <w:tc>
          <w:tcPr>
            <w:tcW w:w="418" w:type="pct"/>
            <w:gridSpan w:val="2"/>
            <w:shd w:val="clear" w:color="auto" w:fill="auto"/>
            <w:vAlign w:val="center"/>
          </w:tcPr>
          <w:p w:rsidR="005845E0" w:rsidRPr="00410309" w:rsidRDefault="005845E0" w:rsidP="00D94485">
            <w:pPr>
              <w:pStyle w:val="TableBodyText"/>
            </w:pPr>
            <w:r w:rsidRPr="00410309">
              <w:t>0.5</w:t>
            </w:r>
          </w:p>
        </w:tc>
        <w:tc>
          <w:tcPr>
            <w:tcW w:w="419" w:type="pct"/>
            <w:shd w:val="clear" w:color="auto" w:fill="auto"/>
            <w:vAlign w:val="center"/>
          </w:tcPr>
          <w:p w:rsidR="005845E0" w:rsidRPr="00410309" w:rsidRDefault="005845E0" w:rsidP="00D94485">
            <w:pPr>
              <w:pStyle w:val="TableBodyText"/>
            </w:pPr>
            <w:r w:rsidRPr="00410309">
              <w:t>0.2</w:t>
            </w:r>
          </w:p>
        </w:tc>
        <w:tc>
          <w:tcPr>
            <w:tcW w:w="416" w:type="pct"/>
            <w:shd w:val="clear" w:color="auto" w:fill="auto"/>
            <w:vAlign w:val="center"/>
          </w:tcPr>
          <w:p w:rsidR="005845E0" w:rsidRPr="00410309" w:rsidRDefault="005845E0" w:rsidP="00D94485">
            <w:pPr>
              <w:pStyle w:val="TableBodyText"/>
            </w:pPr>
            <w:r w:rsidRPr="00410309">
              <w:t>0.2</w:t>
            </w:r>
          </w:p>
        </w:tc>
        <w:tc>
          <w:tcPr>
            <w:tcW w:w="416" w:type="pct"/>
            <w:shd w:val="clear" w:color="auto" w:fill="auto"/>
            <w:vAlign w:val="center"/>
          </w:tcPr>
          <w:p w:rsidR="005845E0" w:rsidRPr="00410309" w:rsidRDefault="005845E0" w:rsidP="00D94485">
            <w:pPr>
              <w:pStyle w:val="TableBodyText"/>
            </w:pPr>
            <w:r w:rsidRPr="00410309">
              <w:t>0.4</w:t>
            </w:r>
          </w:p>
        </w:tc>
        <w:tc>
          <w:tcPr>
            <w:tcW w:w="416" w:type="pct"/>
            <w:gridSpan w:val="2"/>
            <w:shd w:val="clear" w:color="auto" w:fill="auto"/>
            <w:vAlign w:val="center"/>
          </w:tcPr>
          <w:p w:rsidR="005845E0" w:rsidRPr="00410309" w:rsidRDefault="005845E0" w:rsidP="00D94485">
            <w:pPr>
              <w:pStyle w:val="TableBodyText"/>
            </w:pPr>
            <w:r w:rsidRPr="00410309">
              <w:t>0.1</w:t>
            </w:r>
          </w:p>
        </w:tc>
        <w:tc>
          <w:tcPr>
            <w:tcW w:w="419" w:type="pct"/>
            <w:shd w:val="clear" w:color="auto" w:fill="auto"/>
            <w:vAlign w:val="center"/>
          </w:tcPr>
          <w:p w:rsidR="005845E0" w:rsidRPr="00410309" w:rsidRDefault="005845E0" w:rsidP="00D94485">
            <w:pPr>
              <w:pStyle w:val="TableBodyText"/>
            </w:pPr>
            <w:r w:rsidRPr="00410309">
              <w:t>0.4</w:t>
            </w:r>
          </w:p>
        </w:tc>
        <w:tc>
          <w:tcPr>
            <w:tcW w:w="420" w:type="pct"/>
            <w:shd w:val="clear" w:color="auto" w:fill="auto"/>
            <w:vAlign w:val="center"/>
          </w:tcPr>
          <w:p w:rsidR="005845E0" w:rsidRPr="00410309" w:rsidRDefault="005845E0" w:rsidP="00D94485">
            <w:pPr>
              <w:pStyle w:val="TableBodyText"/>
            </w:pPr>
            <w:r w:rsidRPr="00410309">
              <w:t>0.1</w:t>
            </w:r>
          </w:p>
        </w:tc>
        <w:tc>
          <w:tcPr>
            <w:tcW w:w="411" w:type="pct"/>
            <w:gridSpan w:val="2"/>
            <w:shd w:val="clear" w:color="auto" w:fill="auto"/>
            <w:vAlign w:val="center"/>
          </w:tcPr>
          <w:p w:rsidR="005845E0" w:rsidRPr="00410309" w:rsidRDefault="005845E0" w:rsidP="00D94485">
            <w:pPr>
              <w:pStyle w:val="TableBodyText"/>
            </w:pPr>
            <w:r w:rsidRPr="00410309">
              <w:t>0.3</w:t>
            </w:r>
          </w:p>
        </w:tc>
      </w:tr>
      <w:tr w:rsidR="00C47A89" w:rsidRPr="00B817EA" w:rsidTr="00621F85">
        <w:tc>
          <w:tcPr>
            <w:tcW w:w="148" w:type="pct"/>
            <w:shd w:val="clear" w:color="auto" w:fill="auto"/>
          </w:tcPr>
          <w:p w:rsidR="005845E0" w:rsidRPr="005825CD" w:rsidRDefault="005845E0" w:rsidP="005E5D0A">
            <w:pPr>
              <w:pStyle w:val="TableBodyText"/>
              <w:keepNext w:val="0"/>
              <w:jc w:val="left"/>
              <w:rPr>
                <w:vertAlign w:val="superscript"/>
              </w:rPr>
            </w:pPr>
          </w:p>
        </w:tc>
        <w:tc>
          <w:tcPr>
            <w:tcW w:w="1088" w:type="pct"/>
            <w:gridSpan w:val="5"/>
            <w:shd w:val="clear" w:color="auto" w:fill="auto"/>
          </w:tcPr>
          <w:p w:rsidR="005845E0" w:rsidRPr="00820E10" w:rsidRDefault="005845E0" w:rsidP="005E5D0A">
            <w:pPr>
              <w:pStyle w:val="TableBodyText"/>
              <w:keepNext w:val="0"/>
              <w:jc w:val="left"/>
            </w:pPr>
            <w:r w:rsidRPr="00820E10">
              <w:t>Tonsillectomy</w:t>
            </w:r>
          </w:p>
        </w:tc>
        <w:tc>
          <w:tcPr>
            <w:tcW w:w="429" w:type="pct"/>
            <w:gridSpan w:val="3"/>
            <w:shd w:val="clear" w:color="auto" w:fill="auto"/>
            <w:vAlign w:val="center"/>
          </w:tcPr>
          <w:p w:rsidR="005845E0" w:rsidRPr="00410309" w:rsidRDefault="005845E0" w:rsidP="00D94485">
            <w:pPr>
              <w:pStyle w:val="TableBodyText"/>
            </w:pPr>
            <w:r w:rsidRPr="00410309">
              <w:t>0.9</w:t>
            </w:r>
          </w:p>
        </w:tc>
        <w:tc>
          <w:tcPr>
            <w:tcW w:w="418" w:type="pct"/>
            <w:gridSpan w:val="2"/>
            <w:shd w:val="clear" w:color="auto" w:fill="auto"/>
            <w:vAlign w:val="center"/>
          </w:tcPr>
          <w:p w:rsidR="005845E0" w:rsidRPr="00410309" w:rsidRDefault="005845E0" w:rsidP="00D94485">
            <w:pPr>
              <w:pStyle w:val="TableBodyText"/>
            </w:pPr>
            <w:r w:rsidRPr="00410309">
              <w:t>1.2</w:t>
            </w:r>
          </w:p>
        </w:tc>
        <w:tc>
          <w:tcPr>
            <w:tcW w:w="419" w:type="pct"/>
            <w:shd w:val="clear" w:color="auto" w:fill="auto"/>
            <w:vAlign w:val="center"/>
          </w:tcPr>
          <w:p w:rsidR="005845E0" w:rsidRPr="00410309" w:rsidRDefault="005845E0" w:rsidP="00D94485">
            <w:pPr>
              <w:pStyle w:val="TableBodyText"/>
            </w:pPr>
            <w:r w:rsidRPr="00410309">
              <w:t>0.9</w:t>
            </w:r>
          </w:p>
        </w:tc>
        <w:tc>
          <w:tcPr>
            <w:tcW w:w="416" w:type="pct"/>
            <w:shd w:val="clear" w:color="auto" w:fill="auto"/>
            <w:vAlign w:val="center"/>
          </w:tcPr>
          <w:p w:rsidR="005845E0" w:rsidRPr="00410309" w:rsidRDefault="005845E0" w:rsidP="00D94485">
            <w:pPr>
              <w:pStyle w:val="TableBodyText"/>
            </w:pPr>
            <w:r w:rsidRPr="00410309">
              <w:t>1.0</w:t>
            </w:r>
          </w:p>
        </w:tc>
        <w:tc>
          <w:tcPr>
            <w:tcW w:w="416" w:type="pct"/>
            <w:shd w:val="clear" w:color="auto" w:fill="auto"/>
            <w:vAlign w:val="center"/>
          </w:tcPr>
          <w:p w:rsidR="005845E0" w:rsidRPr="00410309" w:rsidRDefault="005845E0" w:rsidP="00D94485">
            <w:pPr>
              <w:pStyle w:val="TableBodyText"/>
            </w:pPr>
            <w:r w:rsidRPr="00410309">
              <w:t>1.3</w:t>
            </w:r>
          </w:p>
        </w:tc>
        <w:tc>
          <w:tcPr>
            <w:tcW w:w="416" w:type="pct"/>
            <w:gridSpan w:val="2"/>
            <w:shd w:val="clear" w:color="auto" w:fill="auto"/>
            <w:vAlign w:val="center"/>
          </w:tcPr>
          <w:p w:rsidR="005845E0" w:rsidRPr="00410309" w:rsidRDefault="005845E0" w:rsidP="00D94485">
            <w:pPr>
              <w:pStyle w:val="TableBodyText"/>
            </w:pPr>
            <w:r w:rsidRPr="00410309">
              <w:t>0.8</w:t>
            </w:r>
          </w:p>
        </w:tc>
        <w:tc>
          <w:tcPr>
            <w:tcW w:w="419" w:type="pct"/>
            <w:shd w:val="clear" w:color="auto" w:fill="auto"/>
            <w:vAlign w:val="center"/>
          </w:tcPr>
          <w:p w:rsidR="005845E0" w:rsidRPr="00410309" w:rsidRDefault="005845E0" w:rsidP="00D94485">
            <w:pPr>
              <w:pStyle w:val="TableBodyText"/>
            </w:pPr>
            <w:r w:rsidRPr="00410309">
              <w:t>1.0</w:t>
            </w:r>
          </w:p>
        </w:tc>
        <w:tc>
          <w:tcPr>
            <w:tcW w:w="420" w:type="pct"/>
            <w:shd w:val="clear" w:color="auto" w:fill="auto"/>
            <w:vAlign w:val="center"/>
          </w:tcPr>
          <w:p w:rsidR="005845E0" w:rsidRPr="00410309" w:rsidRDefault="005845E0" w:rsidP="00D94485">
            <w:pPr>
              <w:pStyle w:val="TableBodyText"/>
            </w:pPr>
            <w:r w:rsidRPr="00410309">
              <w:t>0.7</w:t>
            </w:r>
          </w:p>
        </w:tc>
        <w:tc>
          <w:tcPr>
            <w:tcW w:w="411" w:type="pct"/>
            <w:gridSpan w:val="2"/>
            <w:shd w:val="clear" w:color="auto" w:fill="auto"/>
            <w:vAlign w:val="center"/>
          </w:tcPr>
          <w:p w:rsidR="005845E0" w:rsidRPr="00410309" w:rsidRDefault="005845E0" w:rsidP="00D94485">
            <w:pPr>
              <w:pStyle w:val="TableBodyText"/>
            </w:pPr>
            <w:r w:rsidRPr="00410309">
              <w:t>1.0</w:t>
            </w:r>
          </w:p>
        </w:tc>
      </w:tr>
      <w:tr w:rsidR="00C47A89" w:rsidRPr="00B817EA" w:rsidTr="00621F85">
        <w:tc>
          <w:tcPr>
            <w:tcW w:w="148" w:type="pct"/>
            <w:shd w:val="clear" w:color="auto" w:fill="auto"/>
          </w:tcPr>
          <w:p w:rsidR="005845E0" w:rsidRPr="005825CD" w:rsidRDefault="005845E0" w:rsidP="005E5D0A">
            <w:pPr>
              <w:pStyle w:val="TableBodyText"/>
              <w:keepNext w:val="0"/>
              <w:jc w:val="left"/>
              <w:rPr>
                <w:vertAlign w:val="superscript"/>
              </w:rPr>
            </w:pPr>
          </w:p>
        </w:tc>
        <w:tc>
          <w:tcPr>
            <w:tcW w:w="1088" w:type="pct"/>
            <w:gridSpan w:val="5"/>
            <w:shd w:val="clear" w:color="auto" w:fill="auto"/>
          </w:tcPr>
          <w:p w:rsidR="005845E0" w:rsidRPr="00295A16" w:rsidRDefault="005845E0" w:rsidP="0017097F">
            <w:pPr>
              <w:pStyle w:val="TableBodyText"/>
              <w:keepNext w:val="0"/>
              <w:ind w:right="0"/>
              <w:jc w:val="left"/>
            </w:pPr>
            <w:r w:rsidRPr="00295A16">
              <w:t>Varicose veins, stripping and ligation</w:t>
            </w:r>
          </w:p>
        </w:tc>
        <w:tc>
          <w:tcPr>
            <w:tcW w:w="429" w:type="pct"/>
            <w:gridSpan w:val="3"/>
            <w:shd w:val="clear" w:color="auto" w:fill="auto"/>
            <w:vAlign w:val="center"/>
          </w:tcPr>
          <w:p w:rsidR="005845E0" w:rsidRPr="00410309" w:rsidRDefault="005845E0" w:rsidP="00D94485">
            <w:pPr>
              <w:pStyle w:val="TableBodyText"/>
            </w:pPr>
            <w:r w:rsidRPr="00410309">
              <w:t>0.2</w:t>
            </w:r>
          </w:p>
        </w:tc>
        <w:tc>
          <w:tcPr>
            <w:tcW w:w="418" w:type="pct"/>
            <w:gridSpan w:val="2"/>
            <w:shd w:val="clear" w:color="auto" w:fill="auto"/>
            <w:vAlign w:val="center"/>
          </w:tcPr>
          <w:p w:rsidR="005845E0" w:rsidRPr="00410309" w:rsidRDefault="005845E0" w:rsidP="00D94485">
            <w:pPr>
              <w:pStyle w:val="TableBodyText"/>
            </w:pPr>
            <w:r w:rsidRPr="00410309">
              <w:t>0.3</w:t>
            </w:r>
          </w:p>
        </w:tc>
        <w:tc>
          <w:tcPr>
            <w:tcW w:w="419" w:type="pct"/>
            <w:shd w:val="clear" w:color="auto" w:fill="auto"/>
            <w:vAlign w:val="center"/>
          </w:tcPr>
          <w:p w:rsidR="005845E0" w:rsidRPr="00410309" w:rsidRDefault="005845E0" w:rsidP="00D94485">
            <w:pPr>
              <w:pStyle w:val="TableBodyText"/>
            </w:pPr>
            <w:r w:rsidRPr="00410309">
              <w:t>0.1</w:t>
            </w:r>
          </w:p>
        </w:tc>
        <w:tc>
          <w:tcPr>
            <w:tcW w:w="416" w:type="pct"/>
            <w:shd w:val="clear" w:color="auto" w:fill="auto"/>
            <w:vAlign w:val="center"/>
          </w:tcPr>
          <w:p w:rsidR="005845E0" w:rsidRPr="00410309" w:rsidRDefault="005845E0" w:rsidP="00D94485">
            <w:pPr>
              <w:pStyle w:val="TableBodyText"/>
            </w:pPr>
            <w:r w:rsidRPr="00410309">
              <w:t>0.1</w:t>
            </w:r>
          </w:p>
        </w:tc>
        <w:tc>
          <w:tcPr>
            <w:tcW w:w="416" w:type="pct"/>
            <w:shd w:val="clear" w:color="auto" w:fill="auto"/>
            <w:vAlign w:val="center"/>
          </w:tcPr>
          <w:p w:rsidR="005845E0" w:rsidRPr="00410309" w:rsidRDefault="005845E0" w:rsidP="00D94485">
            <w:pPr>
              <w:pStyle w:val="TableBodyText"/>
            </w:pPr>
            <w:r w:rsidRPr="00410309">
              <w:t>0.3</w:t>
            </w:r>
          </w:p>
        </w:tc>
        <w:tc>
          <w:tcPr>
            <w:tcW w:w="416" w:type="pct"/>
            <w:gridSpan w:val="2"/>
            <w:shd w:val="clear" w:color="auto" w:fill="auto"/>
            <w:vAlign w:val="center"/>
          </w:tcPr>
          <w:p w:rsidR="005845E0" w:rsidRPr="00410309" w:rsidRDefault="005845E0" w:rsidP="00D94485">
            <w:pPr>
              <w:pStyle w:val="TableBodyText"/>
            </w:pPr>
            <w:r w:rsidRPr="00410309">
              <w:t>0.1</w:t>
            </w:r>
          </w:p>
        </w:tc>
        <w:tc>
          <w:tcPr>
            <w:tcW w:w="419" w:type="pct"/>
            <w:shd w:val="clear" w:color="auto" w:fill="auto"/>
            <w:vAlign w:val="center"/>
          </w:tcPr>
          <w:p w:rsidR="005845E0" w:rsidRPr="00410309" w:rsidRDefault="005845E0" w:rsidP="00D94485">
            <w:pPr>
              <w:pStyle w:val="TableBodyText"/>
            </w:pPr>
            <w:r w:rsidRPr="00410309">
              <w:t>0.6</w:t>
            </w:r>
          </w:p>
        </w:tc>
        <w:tc>
          <w:tcPr>
            <w:tcW w:w="420" w:type="pct"/>
            <w:shd w:val="clear" w:color="auto" w:fill="auto"/>
            <w:vAlign w:val="center"/>
          </w:tcPr>
          <w:p w:rsidR="005845E0" w:rsidRPr="00410309" w:rsidRDefault="005845E0" w:rsidP="00D94485">
            <w:pPr>
              <w:pStyle w:val="TableBodyText"/>
            </w:pPr>
            <w:r w:rsidRPr="00410309">
              <w:t>0.2</w:t>
            </w:r>
          </w:p>
        </w:tc>
        <w:tc>
          <w:tcPr>
            <w:tcW w:w="411" w:type="pct"/>
            <w:gridSpan w:val="2"/>
            <w:shd w:val="clear" w:color="auto" w:fill="auto"/>
            <w:vAlign w:val="center"/>
          </w:tcPr>
          <w:p w:rsidR="005845E0" w:rsidRPr="00410309" w:rsidRDefault="005845E0" w:rsidP="00D94485">
            <w:pPr>
              <w:pStyle w:val="TableBodyText"/>
            </w:pPr>
            <w:r w:rsidRPr="00410309">
              <w:t>0.2</w:t>
            </w:r>
          </w:p>
        </w:tc>
      </w:tr>
      <w:tr w:rsidR="005845E0" w:rsidRPr="005825CD" w:rsidTr="00F44BBF">
        <w:trPr>
          <w:trHeight w:val="273"/>
        </w:trPr>
        <w:tc>
          <w:tcPr>
            <w:tcW w:w="5000" w:type="pct"/>
            <w:gridSpan w:val="20"/>
            <w:shd w:val="clear" w:color="auto" w:fill="auto"/>
          </w:tcPr>
          <w:p w:rsidR="005845E0" w:rsidRPr="00B5543B" w:rsidRDefault="005845E0" w:rsidP="00ED7F26">
            <w:pPr>
              <w:pStyle w:val="Source"/>
              <w:spacing w:before="40" w:after="60"/>
            </w:pPr>
            <w:r w:rsidRPr="00B5543B">
              <w:t xml:space="preserve">Source: table </w:t>
            </w:r>
            <w:proofErr w:type="spellStart"/>
            <w:r w:rsidRPr="00815C12">
              <w:t>10A.45</w:t>
            </w:r>
            <w:proofErr w:type="spellEnd"/>
            <w:r w:rsidRPr="00815C12">
              <w:t>.</w:t>
            </w:r>
          </w:p>
        </w:tc>
      </w:tr>
      <w:tr w:rsidR="00B17EAF" w:rsidRPr="001E0D4D" w:rsidTr="00F44BBF">
        <w:trPr>
          <w:gridAfter w:val="1"/>
          <w:wAfter w:w="7" w:type="pct"/>
          <w:trHeight w:val="273"/>
        </w:trPr>
        <w:tc>
          <w:tcPr>
            <w:tcW w:w="4993" w:type="pct"/>
            <w:gridSpan w:val="19"/>
            <w:shd w:val="clear" w:color="auto" w:fill="auto"/>
          </w:tcPr>
          <w:p w:rsidR="00B17EAF" w:rsidRPr="001E0D4D" w:rsidRDefault="00B17EAF" w:rsidP="00AF66B0">
            <w:pPr>
              <w:pStyle w:val="TableColumnHeading"/>
              <w:jc w:val="left"/>
              <w:rPr>
                <w:b/>
                <w:i w:val="0"/>
              </w:rPr>
            </w:pPr>
            <w:r w:rsidRPr="001E0D4D">
              <w:rPr>
                <w:b/>
                <w:i w:val="0"/>
              </w:rPr>
              <w:t>Effectiveness — Quality — Safety indicators</w:t>
            </w:r>
          </w:p>
        </w:tc>
      </w:tr>
      <w:tr w:rsidR="00B17EAF" w:rsidRPr="005825CD" w:rsidTr="00F44BBF">
        <w:trPr>
          <w:gridAfter w:val="1"/>
          <w:wAfter w:w="7" w:type="pct"/>
          <w:trHeight w:val="273"/>
        </w:trPr>
        <w:tc>
          <w:tcPr>
            <w:tcW w:w="4993" w:type="pct"/>
            <w:gridSpan w:val="19"/>
            <w:shd w:val="clear" w:color="auto" w:fill="auto"/>
          </w:tcPr>
          <w:p w:rsidR="00B17EAF" w:rsidRPr="005825CD" w:rsidRDefault="00F71DBC" w:rsidP="00ED7F26">
            <w:pPr>
              <w:pStyle w:val="TableColumnHeading"/>
              <w:spacing w:before="60" w:after="40"/>
              <w:jc w:val="left"/>
            </w:pPr>
            <w:r>
              <w:t>Unplanned hospital</w:t>
            </w:r>
            <w:r w:rsidR="00B17EAF">
              <w:t xml:space="preserve"> readmissions within 28 days of selected surgical admissions</w:t>
            </w:r>
            <w:r w:rsidR="00B17EAF" w:rsidRPr="005825CD">
              <w:t xml:space="preserve">, </w:t>
            </w:r>
            <w:r w:rsidR="00B17EAF" w:rsidRPr="001822CF">
              <w:t>20</w:t>
            </w:r>
            <w:r w:rsidR="00472872" w:rsidRPr="001822CF">
              <w:t>1</w:t>
            </w:r>
            <w:r w:rsidR="009A7823" w:rsidRPr="001822CF">
              <w:t>1</w:t>
            </w:r>
            <w:r w:rsidR="00B17EAF" w:rsidRPr="001822CF">
              <w:t>-</w:t>
            </w:r>
            <w:r w:rsidR="00AF66B0" w:rsidRPr="001822CF">
              <w:t>1</w:t>
            </w:r>
            <w:r w:rsidR="009A7823" w:rsidRPr="001822CF">
              <w:t>2</w:t>
            </w:r>
            <w:r w:rsidR="00B17EAF" w:rsidRPr="005825CD">
              <w:br/>
            </w:r>
            <w:r w:rsidR="001B520B" w:rsidRPr="001822CF">
              <w:rPr>
                <w:i w:val="0"/>
                <w:sz w:val="16"/>
                <w:szCs w:val="16"/>
              </w:rPr>
              <w:t xml:space="preserve">  Most recent data for this indicator are complete but not directly comparable </w:t>
            </w:r>
            <w:r w:rsidR="00B17EAF" w:rsidRPr="001822CF">
              <w:rPr>
                <w:i w:val="0"/>
                <w:sz w:val="16"/>
                <w:szCs w:val="16"/>
              </w:rPr>
              <w:t>(</w:t>
            </w:r>
            <w:r w:rsidR="00B17EAF" w:rsidRPr="00A16ED4">
              <w:rPr>
                <w:i w:val="0"/>
                <w:sz w:val="16"/>
                <w:szCs w:val="16"/>
              </w:rPr>
              <w:t>chapter 10)</w:t>
            </w:r>
          </w:p>
        </w:tc>
      </w:tr>
      <w:tr w:rsidR="00B17EAF" w:rsidRPr="005825CD" w:rsidTr="00F44BBF">
        <w:trPr>
          <w:gridAfter w:val="1"/>
          <w:wAfter w:w="7" w:type="pct"/>
          <w:trHeight w:val="177"/>
        </w:trPr>
        <w:tc>
          <w:tcPr>
            <w:tcW w:w="4993" w:type="pct"/>
            <w:gridSpan w:val="19"/>
            <w:shd w:val="clear" w:color="auto" w:fill="auto"/>
          </w:tcPr>
          <w:p w:rsidR="00B17EAF" w:rsidRPr="00517A92" w:rsidRDefault="00B17EAF" w:rsidP="00AF66B0">
            <w:pPr>
              <w:pStyle w:val="TableBodyText"/>
              <w:jc w:val="left"/>
            </w:pPr>
            <w:r w:rsidRPr="005825CD">
              <w:t xml:space="preserve">  </w:t>
            </w:r>
            <w:r>
              <w:t>Surgical,</w:t>
            </w:r>
            <w:r w:rsidR="00125D37">
              <w:t xml:space="preserve"> </w:t>
            </w:r>
            <w:r>
              <w:t>procedure prior to separation, rate per 1000 separations</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6B14A9">
            <w:pPr>
              <w:pStyle w:val="TableBodyText"/>
              <w:ind w:right="-124"/>
              <w:jc w:val="left"/>
            </w:pPr>
            <w:r>
              <w:t>Knee replacement</w:t>
            </w:r>
          </w:p>
        </w:tc>
        <w:tc>
          <w:tcPr>
            <w:tcW w:w="460" w:type="pct"/>
            <w:gridSpan w:val="4"/>
            <w:shd w:val="clear" w:color="auto" w:fill="auto"/>
            <w:vAlign w:val="center"/>
          </w:tcPr>
          <w:p w:rsidR="005845E0" w:rsidRPr="009277F0" w:rsidRDefault="005845E0" w:rsidP="00D94485">
            <w:pPr>
              <w:pStyle w:val="TableBodyText"/>
            </w:pPr>
            <w:r w:rsidRPr="009277F0">
              <w:t xml:space="preserve">  18.5</w:t>
            </w:r>
          </w:p>
        </w:tc>
        <w:tc>
          <w:tcPr>
            <w:tcW w:w="418" w:type="pct"/>
            <w:gridSpan w:val="2"/>
            <w:shd w:val="clear" w:color="auto" w:fill="auto"/>
            <w:vAlign w:val="center"/>
          </w:tcPr>
          <w:p w:rsidR="005845E0" w:rsidRPr="009277F0" w:rsidRDefault="005845E0" w:rsidP="00D94485">
            <w:pPr>
              <w:pStyle w:val="TableBodyText"/>
            </w:pPr>
            <w:r w:rsidRPr="009277F0">
              <w:t xml:space="preserve">  19.1</w:t>
            </w:r>
          </w:p>
        </w:tc>
        <w:tc>
          <w:tcPr>
            <w:tcW w:w="419" w:type="pct"/>
            <w:shd w:val="clear" w:color="auto" w:fill="auto"/>
            <w:vAlign w:val="center"/>
          </w:tcPr>
          <w:p w:rsidR="005845E0" w:rsidRPr="009277F0" w:rsidRDefault="005845E0" w:rsidP="00D94485">
            <w:pPr>
              <w:pStyle w:val="TableBodyText"/>
            </w:pPr>
            <w:r w:rsidRPr="009277F0">
              <w:t xml:space="preserve">  26.9</w:t>
            </w:r>
          </w:p>
        </w:tc>
        <w:tc>
          <w:tcPr>
            <w:tcW w:w="416" w:type="pct"/>
            <w:shd w:val="clear" w:color="auto" w:fill="auto"/>
            <w:vAlign w:val="center"/>
          </w:tcPr>
          <w:p w:rsidR="005845E0" w:rsidRPr="009277F0" w:rsidRDefault="005845E0" w:rsidP="00D94485">
            <w:pPr>
              <w:pStyle w:val="TableBodyText"/>
            </w:pPr>
            <w:r w:rsidRPr="009277F0">
              <w:t xml:space="preserve">  17.4</w:t>
            </w:r>
          </w:p>
        </w:tc>
        <w:tc>
          <w:tcPr>
            <w:tcW w:w="416" w:type="pct"/>
            <w:shd w:val="clear" w:color="auto" w:fill="auto"/>
            <w:vAlign w:val="center"/>
          </w:tcPr>
          <w:p w:rsidR="005845E0" w:rsidRPr="009277F0" w:rsidRDefault="005845E0" w:rsidP="00D94485">
            <w:pPr>
              <w:pStyle w:val="TableBodyText"/>
            </w:pPr>
            <w:r w:rsidRPr="009277F0">
              <w:t xml:space="preserve">  17.7</w:t>
            </w:r>
          </w:p>
        </w:tc>
        <w:tc>
          <w:tcPr>
            <w:tcW w:w="416" w:type="pct"/>
            <w:gridSpan w:val="2"/>
            <w:shd w:val="clear" w:color="auto" w:fill="auto"/>
            <w:vAlign w:val="center"/>
          </w:tcPr>
          <w:p w:rsidR="005845E0" w:rsidRPr="009277F0" w:rsidRDefault="005845E0" w:rsidP="00D94485">
            <w:pPr>
              <w:pStyle w:val="TableBodyText"/>
            </w:pPr>
            <w:proofErr w:type="spellStart"/>
            <w:r w:rsidRPr="009277F0">
              <w:t>np</w:t>
            </w:r>
            <w:proofErr w:type="spellEnd"/>
          </w:p>
        </w:tc>
        <w:tc>
          <w:tcPr>
            <w:tcW w:w="419"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20"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04" w:type="pct"/>
            <w:shd w:val="clear" w:color="auto" w:fill="auto"/>
            <w:vAlign w:val="center"/>
          </w:tcPr>
          <w:p w:rsidR="005845E0" w:rsidRPr="009277F0" w:rsidRDefault="005845E0" w:rsidP="00D94485">
            <w:pPr>
              <w:pStyle w:val="TableBodyText"/>
            </w:pPr>
            <w:r w:rsidRPr="009277F0">
              <w:t>20.0</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116E8F">
            <w:pPr>
              <w:pStyle w:val="TableBodyText"/>
              <w:jc w:val="left"/>
            </w:pPr>
            <w:r>
              <w:t>Hip replacement</w:t>
            </w:r>
          </w:p>
        </w:tc>
        <w:tc>
          <w:tcPr>
            <w:tcW w:w="460" w:type="pct"/>
            <w:gridSpan w:val="4"/>
            <w:shd w:val="clear" w:color="auto" w:fill="auto"/>
            <w:vAlign w:val="center"/>
          </w:tcPr>
          <w:p w:rsidR="005845E0" w:rsidRPr="009277F0" w:rsidRDefault="005845E0" w:rsidP="00D94485">
            <w:pPr>
              <w:pStyle w:val="TableBodyText"/>
            </w:pPr>
            <w:r w:rsidRPr="009277F0">
              <w:t xml:space="preserve">  17.7</w:t>
            </w:r>
          </w:p>
        </w:tc>
        <w:tc>
          <w:tcPr>
            <w:tcW w:w="418" w:type="pct"/>
            <w:gridSpan w:val="2"/>
            <w:shd w:val="clear" w:color="auto" w:fill="auto"/>
            <w:vAlign w:val="center"/>
          </w:tcPr>
          <w:p w:rsidR="005845E0" w:rsidRPr="009277F0" w:rsidRDefault="005845E0" w:rsidP="00D94485">
            <w:pPr>
              <w:pStyle w:val="TableBodyText"/>
            </w:pPr>
            <w:r w:rsidRPr="009277F0">
              <w:t xml:space="preserve">  17.4</w:t>
            </w:r>
          </w:p>
        </w:tc>
        <w:tc>
          <w:tcPr>
            <w:tcW w:w="419" w:type="pct"/>
            <w:shd w:val="clear" w:color="auto" w:fill="auto"/>
            <w:vAlign w:val="center"/>
          </w:tcPr>
          <w:p w:rsidR="005845E0" w:rsidRPr="009277F0" w:rsidRDefault="005845E0" w:rsidP="00D94485">
            <w:pPr>
              <w:pStyle w:val="TableBodyText"/>
            </w:pPr>
            <w:r w:rsidRPr="009277F0">
              <w:t xml:space="preserve">  14.2</w:t>
            </w:r>
          </w:p>
        </w:tc>
        <w:tc>
          <w:tcPr>
            <w:tcW w:w="416" w:type="pct"/>
            <w:shd w:val="clear" w:color="auto" w:fill="auto"/>
            <w:vAlign w:val="center"/>
          </w:tcPr>
          <w:p w:rsidR="005845E0" w:rsidRPr="009277F0" w:rsidRDefault="005845E0" w:rsidP="00D94485">
            <w:pPr>
              <w:pStyle w:val="TableBodyText"/>
            </w:pPr>
            <w:r w:rsidRPr="009277F0">
              <w:t xml:space="preserve">  22.5</w:t>
            </w:r>
          </w:p>
        </w:tc>
        <w:tc>
          <w:tcPr>
            <w:tcW w:w="416" w:type="pct"/>
            <w:shd w:val="clear" w:color="auto" w:fill="auto"/>
            <w:vAlign w:val="center"/>
          </w:tcPr>
          <w:p w:rsidR="005845E0" w:rsidRPr="009277F0" w:rsidRDefault="005845E0" w:rsidP="00D94485">
            <w:pPr>
              <w:pStyle w:val="TableBodyText"/>
            </w:pPr>
            <w:r w:rsidRPr="009277F0">
              <w:t xml:space="preserve">  23.7</w:t>
            </w:r>
          </w:p>
        </w:tc>
        <w:tc>
          <w:tcPr>
            <w:tcW w:w="416" w:type="pct"/>
            <w:gridSpan w:val="2"/>
            <w:shd w:val="clear" w:color="auto" w:fill="auto"/>
            <w:vAlign w:val="center"/>
          </w:tcPr>
          <w:p w:rsidR="005845E0" w:rsidRPr="009277F0" w:rsidRDefault="005845E0" w:rsidP="00D94485">
            <w:pPr>
              <w:pStyle w:val="TableBodyText"/>
            </w:pPr>
            <w:proofErr w:type="spellStart"/>
            <w:r w:rsidRPr="009277F0">
              <w:t>np</w:t>
            </w:r>
            <w:proofErr w:type="spellEnd"/>
          </w:p>
        </w:tc>
        <w:tc>
          <w:tcPr>
            <w:tcW w:w="419"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20"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04" w:type="pct"/>
            <w:shd w:val="clear" w:color="auto" w:fill="auto"/>
            <w:vAlign w:val="center"/>
          </w:tcPr>
          <w:p w:rsidR="005845E0" w:rsidRPr="009277F0" w:rsidRDefault="005845E0" w:rsidP="00D94485">
            <w:pPr>
              <w:pStyle w:val="TableBodyText"/>
            </w:pPr>
            <w:r w:rsidRPr="009277F0">
              <w:t>17.7</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6B14A9">
            <w:pPr>
              <w:pStyle w:val="TableBodyText"/>
              <w:ind w:right="-124"/>
              <w:jc w:val="left"/>
            </w:pPr>
            <w:r>
              <w:t>Tonsillectomy and adenoidectomy</w:t>
            </w:r>
          </w:p>
        </w:tc>
        <w:tc>
          <w:tcPr>
            <w:tcW w:w="460" w:type="pct"/>
            <w:gridSpan w:val="4"/>
            <w:shd w:val="clear" w:color="auto" w:fill="auto"/>
            <w:vAlign w:val="center"/>
          </w:tcPr>
          <w:p w:rsidR="005845E0" w:rsidRPr="009277F0" w:rsidRDefault="005845E0" w:rsidP="00D94485">
            <w:pPr>
              <w:pStyle w:val="TableBodyText"/>
            </w:pPr>
            <w:r w:rsidRPr="009277F0">
              <w:t xml:space="preserve">  24.8</w:t>
            </w:r>
          </w:p>
        </w:tc>
        <w:tc>
          <w:tcPr>
            <w:tcW w:w="418" w:type="pct"/>
            <w:gridSpan w:val="2"/>
            <w:shd w:val="clear" w:color="auto" w:fill="auto"/>
            <w:vAlign w:val="center"/>
          </w:tcPr>
          <w:p w:rsidR="005845E0" w:rsidRPr="009277F0" w:rsidRDefault="005845E0" w:rsidP="00D94485">
            <w:pPr>
              <w:pStyle w:val="TableBodyText"/>
            </w:pPr>
            <w:r w:rsidRPr="009277F0">
              <w:t xml:space="preserve">  23.7</w:t>
            </w:r>
          </w:p>
        </w:tc>
        <w:tc>
          <w:tcPr>
            <w:tcW w:w="419" w:type="pct"/>
            <w:shd w:val="clear" w:color="auto" w:fill="auto"/>
            <w:vAlign w:val="center"/>
          </w:tcPr>
          <w:p w:rsidR="005845E0" w:rsidRPr="009277F0" w:rsidRDefault="005845E0" w:rsidP="00D94485">
            <w:pPr>
              <w:pStyle w:val="TableBodyText"/>
            </w:pPr>
            <w:r w:rsidRPr="009277F0">
              <w:t xml:space="preserve">  32.6</w:t>
            </w:r>
          </w:p>
        </w:tc>
        <w:tc>
          <w:tcPr>
            <w:tcW w:w="416" w:type="pct"/>
            <w:shd w:val="clear" w:color="auto" w:fill="auto"/>
            <w:vAlign w:val="center"/>
          </w:tcPr>
          <w:p w:rsidR="005845E0" w:rsidRPr="009277F0" w:rsidRDefault="005845E0" w:rsidP="00D94485">
            <w:pPr>
              <w:pStyle w:val="TableBodyText"/>
            </w:pPr>
            <w:r w:rsidRPr="009277F0">
              <w:t xml:space="preserve">  33.3</w:t>
            </w:r>
          </w:p>
        </w:tc>
        <w:tc>
          <w:tcPr>
            <w:tcW w:w="416" w:type="pct"/>
            <w:shd w:val="clear" w:color="auto" w:fill="auto"/>
            <w:vAlign w:val="center"/>
          </w:tcPr>
          <w:p w:rsidR="005845E0" w:rsidRPr="009277F0" w:rsidRDefault="005845E0" w:rsidP="00D94485">
            <w:pPr>
              <w:pStyle w:val="TableBodyText"/>
            </w:pPr>
            <w:r w:rsidRPr="009277F0">
              <w:t xml:space="preserve">  33.7</w:t>
            </w:r>
          </w:p>
        </w:tc>
        <w:tc>
          <w:tcPr>
            <w:tcW w:w="416" w:type="pct"/>
            <w:gridSpan w:val="2"/>
            <w:shd w:val="clear" w:color="auto" w:fill="auto"/>
            <w:vAlign w:val="center"/>
          </w:tcPr>
          <w:p w:rsidR="005845E0" w:rsidRPr="009277F0" w:rsidRDefault="005845E0" w:rsidP="00D94485">
            <w:pPr>
              <w:pStyle w:val="TableBodyText"/>
            </w:pPr>
            <w:r w:rsidRPr="009277F0">
              <w:t xml:space="preserve">  60.6</w:t>
            </w:r>
          </w:p>
        </w:tc>
        <w:tc>
          <w:tcPr>
            <w:tcW w:w="419" w:type="pct"/>
            <w:shd w:val="clear" w:color="auto" w:fill="auto"/>
            <w:vAlign w:val="center"/>
          </w:tcPr>
          <w:p w:rsidR="005845E0" w:rsidRPr="009277F0" w:rsidRDefault="005845E0" w:rsidP="00D94485">
            <w:pPr>
              <w:pStyle w:val="TableBodyText"/>
            </w:pPr>
            <w:r w:rsidRPr="009277F0">
              <w:t xml:space="preserve">  18.3</w:t>
            </w:r>
          </w:p>
        </w:tc>
        <w:tc>
          <w:tcPr>
            <w:tcW w:w="420"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04" w:type="pct"/>
            <w:shd w:val="clear" w:color="auto" w:fill="auto"/>
            <w:vAlign w:val="center"/>
          </w:tcPr>
          <w:p w:rsidR="005845E0" w:rsidRPr="009277F0" w:rsidRDefault="005845E0" w:rsidP="00D94485">
            <w:pPr>
              <w:pStyle w:val="TableBodyText"/>
            </w:pPr>
            <w:r w:rsidRPr="009277F0">
              <w:t>27.8</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116E8F">
            <w:pPr>
              <w:pStyle w:val="TableBodyText"/>
              <w:jc w:val="left"/>
            </w:pPr>
            <w:r w:rsidRPr="00517A92">
              <w:t>Hysterectomy</w:t>
            </w:r>
          </w:p>
        </w:tc>
        <w:tc>
          <w:tcPr>
            <w:tcW w:w="460" w:type="pct"/>
            <w:gridSpan w:val="4"/>
            <w:shd w:val="clear" w:color="auto" w:fill="auto"/>
            <w:vAlign w:val="center"/>
          </w:tcPr>
          <w:p w:rsidR="005845E0" w:rsidRPr="009277F0" w:rsidRDefault="005845E0" w:rsidP="00D94485">
            <w:pPr>
              <w:pStyle w:val="TableBodyText"/>
            </w:pPr>
            <w:r w:rsidRPr="009277F0">
              <w:t xml:space="preserve">  27.9</w:t>
            </w:r>
          </w:p>
        </w:tc>
        <w:tc>
          <w:tcPr>
            <w:tcW w:w="418" w:type="pct"/>
            <w:gridSpan w:val="2"/>
            <w:shd w:val="clear" w:color="auto" w:fill="auto"/>
            <w:vAlign w:val="center"/>
          </w:tcPr>
          <w:p w:rsidR="005845E0" w:rsidRPr="009277F0" w:rsidRDefault="005845E0" w:rsidP="00D94485">
            <w:pPr>
              <w:pStyle w:val="TableBodyText"/>
            </w:pPr>
            <w:r w:rsidRPr="009277F0">
              <w:t xml:space="preserve">  32.4</w:t>
            </w:r>
          </w:p>
        </w:tc>
        <w:tc>
          <w:tcPr>
            <w:tcW w:w="419" w:type="pct"/>
            <w:shd w:val="clear" w:color="auto" w:fill="auto"/>
            <w:vAlign w:val="center"/>
          </w:tcPr>
          <w:p w:rsidR="005845E0" w:rsidRPr="009277F0" w:rsidRDefault="005845E0" w:rsidP="00D94485">
            <w:pPr>
              <w:pStyle w:val="TableBodyText"/>
            </w:pPr>
            <w:r w:rsidRPr="009277F0">
              <w:t xml:space="preserve">  33.2</w:t>
            </w:r>
          </w:p>
        </w:tc>
        <w:tc>
          <w:tcPr>
            <w:tcW w:w="416" w:type="pct"/>
            <w:shd w:val="clear" w:color="auto" w:fill="auto"/>
            <w:vAlign w:val="center"/>
          </w:tcPr>
          <w:p w:rsidR="005845E0" w:rsidRPr="009277F0" w:rsidRDefault="005845E0" w:rsidP="00D94485">
            <w:pPr>
              <w:pStyle w:val="TableBodyText"/>
            </w:pPr>
            <w:r w:rsidRPr="009277F0">
              <w:t xml:space="preserve">  31.5</w:t>
            </w:r>
          </w:p>
        </w:tc>
        <w:tc>
          <w:tcPr>
            <w:tcW w:w="416" w:type="pct"/>
            <w:shd w:val="clear" w:color="auto" w:fill="auto"/>
            <w:vAlign w:val="center"/>
          </w:tcPr>
          <w:p w:rsidR="005845E0" w:rsidRPr="009277F0" w:rsidRDefault="005845E0" w:rsidP="00D94485">
            <w:pPr>
              <w:pStyle w:val="TableBodyText"/>
            </w:pPr>
            <w:r w:rsidRPr="009277F0">
              <w:t xml:space="preserve">  28.1</w:t>
            </w:r>
          </w:p>
        </w:tc>
        <w:tc>
          <w:tcPr>
            <w:tcW w:w="416" w:type="pct"/>
            <w:gridSpan w:val="2"/>
            <w:shd w:val="clear" w:color="auto" w:fill="auto"/>
            <w:vAlign w:val="center"/>
          </w:tcPr>
          <w:p w:rsidR="005845E0" w:rsidRPr="009277F0" w:rsidRDefault="005845E0" w:rsidP="00D94485">
            <w:pPr>
              <w:pStyle w:val="TableBodyText"/>
            </w:pPr>
            <w:r w:rsidRPr="009277F0">
              <w:t xml:space="preserve">  28.1</w:t>
            </w:r>
          </w:p>
        </w:tc>
        <w:tc>
          <w:tcPr>
            <w:tcW w:w="419"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20"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04" w:type="pct"/>
            <w:shd w:val="clear" w:color="auto" w:fill="auto"/>
            <w:vAlign w:val="center"/>
          </w:tcPr>
          <w:p w:rsidR="005845E0" w:rsidRPr="009277F0" w:rsidRDefault="005845E0" w:rsidP="00D94485">
            <w:pPr>
              <w:pStyle w:val="TableBodyText"/>
            </w:pPr>
            <w:r w:rsidRPr="009277F0">
              <w:t>30.9</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116E8F">
            <w:pPr>
              <w:pStyle w:val="TableBodyText"/>
              <w:jc w:val="left"/>
            </w:pPr>
            <w:r w:rsidRPr="00517A92">
              <w:t>Prostatectomy</w:t>
            </w:r>
          </w:p>
        </w:tc>
        <w:tc>
          <w:tcPr>
            <w:tcW w:w="460" w:type="pct"/>
            <w:gridSpan w:val="4"/>
            <w:shd w:val="clear" w:color="auto" w:fill="auto"/>
            <w:vAlign w:val="center"/>
          </w:tcPr>
          <w:p w:rsidR="005845E0" w:rsidRPr="009277F0" w:rsidRDefault="005845E0" w:rsidP="00D94485">
            <w:pPr>
              <w:pStyle w:val="TableBodyText"/>
            </w:pPr>
            <w:r w:rsidRPr="009277F0">
              <w:t xml:space="preserve">  22.7</w:t>
            </w:r>
          </w:p>
        </w:tc>
        <w:tc>
          <w:tcPr>
            <w:tcW w:w="418" w:type="pct"/>
            <w:gridSpan w:val="2"/>
            <w:shd w:val="clear" w:color="auto" w:fill="auto"/>
            <w:vAlign w:val="center"/>
          </w:tcPr>
          <w:p w:rsidR="005845E0" w:rsidRPr="009277F0" w:rsidRDefault="005845E0" w:rsidP="00D94485">
            <w:pPr>
              <w:pStyle w:val="TableBodyText"/>
            </w:pPr>
            <w:r w:rsidRPr="009277F0">
              <w:t xml:space="preserve">  26.4</w:t>
            </w:r>
          </w:p>
        </w:tc>
        <w:tc>
          <w:tcPr>
            <w:tcW w:w="419" w:type="pct"/>
            <w:shd w:val="clear" w:color="auto" w:fill="auto"/>
            <w:vAlign w:val="center"/>
          </w:tcPr>
          <w:p w:rsidR="005845E0" w:rsidRPr="009277F0" w:rsidRDefault="005845E0" w:rsidP="00D94485">
            <w:pPr>
              <w:pStyle w:val="TableBodyText"/>
            </w:pPr>
            <w:r w:rsidRPr="009277F0">
              <w:t xml:space="preserve">  36.3</w:t>
            </w:r>
          </w:p>
        </w:tc>
        <w:tc>
          <w:tcPr>
            <w:tcW w:w="416" w:type="pct"/>
            <w:shd w:val="clear" w:color="auto" w:fill="auto"/>
            <w:vAlign w:val="center"/>
          </w:tcPr>
          <w:p w:rsidR="005845E0" w:rsidRPr="009277F0" w:rsidRDefault="005845E0" w:rsidP="00D94485">
            <w:pPr>
              <w:pStyle w:val="TableBodyText"/>
            </w:pPr>
            <w:r w:rsidRPr="009277F0">
              <w:t xml:space="preserve">  50.3</w:t>
            </w:r>
          </w:p>
        </w:tc>
        <w:tc>
          <w:tcPr>
            <w:tcW w:w="416" w:type="pct"/>
            <w:shd w:val="clear" w:color="auto" w:fill="auto"/>
            <w:vAlign w:val="center"/>
          </w:tcPr>
          <w:p w:rsidR="005845E0" w:rsidRPr="009277F0" w:rsidRDefault="005845E0" w:rsidP="00D94485">
            <w:pPr>
              <w:pStyle w:val="TableBodyText"/>
            </w:pPr>
            <w:r w:rsidRPr="009277F0">
              <w:t xml:space="preserve">  25.9</w:t>
            </w:r>
          </w:p>
        </w:tc>
        <w:tc>
          <w:tcPr>
            <w:tcW w:w="416" w:type="pct"/>
            <w:gridSpan w:val="2"/>
            <w:shd w:val="clear" w:color="auto" w:fill="auto"/>
            <w:vAlign w:val="center"/>
          </w:tcPr>
          <w:p w:rsidR="005845E0" w:rsidRPr="009277F0" w:rsidRDefault="0042170F" w:rsidP="00D94485">
            <w:pPr>
              <w:pStyle w:val="TableBodyText"/>
            </w:pPr>
            <w:proofErr w:type="spellStart"/>
            <w:r>
              <w:t>n</w:t>
            </w:r>
            <w:r w:rsidR="005845E0" w:rsidRPr="009277F0">
              <w:t>p</w:t>
            </w:r>
            <w:proofErr w:type="spellEnd"/>
          </w:p>
        </w:tc>
        <w:tc>
          <w:tcPr>
            <w:tcW w:w="419"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20" w:type="pct"/>
            <w:shd w:val="clear" w:color="auto" w:fill="auto"/>
            <w:vAlign w:val="center"/>
          </w:tcPr>
          <w:p w:rsidR="005845E0" w:rsidRPr="009277F0" w:rsidRDefault="005845E0" w:rsidP="00D94485">
            <w:pPr>
              <w:pStyle w:val="TableBodyText"/>
            </w:pPr>
            <w:proofErr w:type="spellStart"/>
            <w:r w:rsidRPr="009277F0">
              <w:t>np</w:t>
            </w:r>
            <w:proofErr w:type="spellEnd"/>
          </w:p>
        </w:tc>
        <w:tc>
          <w:tcPr>
            <w:tcW w:w="404" w:type="pct"/>
            <w:shd w:val="clear" w:color="auto" w:fill="auto"/>
            <w:vAlign w:val="center"/>
          </w:tcPr>
          <w:p w:rsidR="005845E0" w:rsidRPr="009277F0" w:rsidRDefault="005845E0" w:rsidP="00D94485">
            <w:pPr>
              <w:pStyle w:val="TableBodyText"/>
            </w:pPr>
            <w:r w:rsidRPr="009277F0">
              <w:t>27.2</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116E8F">
            <w:pPr>
              <w:pStyle w:val="TableBodyText"/>
              <w:jc w:val="left"/>
            </w:pPr>
            <w:r>
              <w:t>Cataract surgery</w:t>
            </w:r>
          </w:p>
        </w:tc>
        <w:tc>
          <w:tcPr>
            <w:tcW w:w="460" w:type="pct"/>
            <w:gridSpan w:val="4"/>
            <w:shd w:val="clear" w:color="auto" w:fill="auto"/>
            <w:vAlign w:val="center"/>
          </w:tcPr>
          <w:p w:rsidR="005845E0" w:rsidRPr="009277F0" w:rsidRDefault="005845E0" w:rsidP="00D94485">
            <w:pPr>
              <w:pStyle w:val="TableBodyText"/>
            </w:pPr>
            <w:r w:rsidRPr="009277F0">
              <w:t xml:space="preserve">  2.8</w:t>
            </w:r>
          </w:p>
        </w:tc>
        <w:tc>
          <w:tcPr>
            <w:tcW w:w="418" w:type="pct"/>
            <w:gridSpan w:val="2"/>
            <w:shd w:val="clear" w:color="auto" w:fill="auto"/>
            <w:vAlign w:val="center"/>
          </w:tcPr>
          <w:p w:rsidR="005845E0" w:rsidRPr="009277F0" w:rsidRDefault="005845E0" w:rsidP="00D94485">
            <w:pPr>
              <w:pStyle w:val="TableBodyText"/>
            </w:pPr>
            <w:r w:rsidRPr="009277F0">
              <w:t xml:space="preserve">  3.2</w:t>
            </w:r>
          </w:p>
        </w:tc>
        <w:tc>
          <w:tcPr>
            <w:tcW w:w="419" w:type="pct"/>
            <w:shd w:val="clear" w:color="auto" w:fill="auto"/>
            <w:vAlign w:val="center"/>
          </w:tcPr>
          <w:p w:rsidR="005845E0" w:rsidRPr="009277F0" w:rsidRDefault="005845E0" w:rsidP="00D94485">
            <w:pPr>
              <w:pStyle w:val="TableBodyText"/>
            </w:pPr>
            <w:r w:rsidRPr="009277F0">
              <w:t xml:space="preserve">  4.0</w:t>
            </w:r>
          </w:p>
        </w:tc>
        <w:tc>
          <w:tcPr>
            <w:tcW w:w="416" w:type="pct"/>
            <w:shd w:val="clear" w:color="auto" w:fill="auto"/>
            <w:vAlign w:val="center"/>
          </w:tcPr>
          <w:p w:rsidR="005845E0" w:rsidRPr="009277F0" w:rsidRDefault="005845E0" w:rsidP="00D94485">
            <w:pPr>
              <w:pStyle w:val="TableBodyText"/>
            </w:pPr>
            <w:r w:rsidRPr="009277F0">
              <w:t xml:space="preserve">  2.6</w:t>
            </w:r>
          </w:p>
        </w:tc>
        <w:tc>
          <w:tcPr>
            <w:tcW w:w="416" w:type="pct"/>
            <w:shd w:val="clear" w:color="auto" w:fill="auto"/>
            <w:vAlign w:val="center"/>
          </w:tcPr>
          <w:p w:rsidR="005845E0" w:rsidRPr="009277F0" w:rsidRDefault="005845E0" w:rsidP="00D94485">
            <w:pPr>
              <w:pStyle w:val="TableBodyText"/>
            </w:pPr>
            <w:r w:rsidRPr="009277F0">
              <w:t xml:space="preserve">  3.3</w:t>
            </w:r>
          </w:p>
        </w:tc>
        <w:tc>
          <w:tcPr>
            <w:tcW w:w="416" w:type="pct"/>
            <w:gridSpan w:val="2"/>
            <w:shd w:val="clear" w:color="auto" w:fill="auto"/>
            <w:vAlign w:val="center"/>
          </w:tcPr>
          <w:p w:rsidR="005845E0" w:rsidRPr="009277F0" w:rsidRDefault="005845E0" w:rsidP="00D94485">
            <w:pPr>
              <w:pStyle w:val="TableBodyText"/>
            </w:pPr>
            <w:r w:rsidRPr="009277F0">
              <w:t xml:space="preserve">  7.2</w:t>
            </w:r>
          </w:p>
        </w:tc>
        <w:tc>
          <w:tcPr>
            <w:tcW w:w="419" w:type="pct"/>
            <w:shd w:val="clear" w:color="auto" w:fill="auto"/>
            <w:vAlign w:val="center"/>
          </w:tcPr>
          <w:p w:rsidR="005845E0" w:rsidRPr="009277F0" w:rsidRDefault="005845E0" w:rsidP="00D94485">
            <w:pPr>
              <w:pStyle w:val="TableBodyText"/>
            </w:pPr>
            <w:r w:rsidRPr="009277F0">
              <w:t>–</w:t>
            </w:r>
          </w:p>
        </w:tc>
        <w:tc>
          <w:tcPr>
            <w:tcW w:w="420" w:type="pct"/>
            <w:shd w:val="clear" w:color="auto" w:fill="auto"/>
            <w:vAlign w:val="center"/>
          </w:tcPr>
          <w:p w:rsidR="005845E0" w:rsidRPr="009277F0" w:rsidRDefault="005845E0" w:rsidP="00514A07">
            <w:pPr>
              <w:pStyle w:val="TableBodyText"/>
            </w:pPr>
            <w:r w:rsidRPr="009277F0">
              <w:t xml:space="preserve">  </w:t>
            </w:r>
            <w:proofErr w:type="spellStart"/>
            <w:r w:rsidR="00514A07">
              <w:t>np</w:t>
            </w:r>
            <w:proofErr w:type="spellEnd"/>
          </w:p>
        </w:tc>
        <w:tc>
          <w:tcPr>
            <w:tcW w:w="404" w:type="pct"/>
            <w:shd w:val="clear" w:color="auto" w:fill="auto"/>
            <w:vAlign w:val="center"/>
          </w:tcPr>
          <w:p w:rsidR="005845E0" w:rsidRPr="009277F0" w:rsidRDefault="005845E0" w:rsidP="00D94485">
            <w:pPr>
              <w:pStyle w:val="TableBodyText"/>
            </w:pPr>
            <w:r w:rsidRPr="009277F0">
              <w:t>3.2</w:t>
            </w:r>
          </w:p>
        </w:tc>
      </w:tr>
      <w:tr w:rsidR="00083D3E" w:rsidRPr="00B817EA" w:rsidTr="00621F85">
        <w:trPr>
          <w:gridAfter w:val="1"/>
          <w:wAfter w:w="7" w:type="pct"/>
        </w:trPr>
        <w:tc>
          <w:tcPr>
            <w:tcW w:w="148" w:type="pct"/>
            <w:shd w:val="clear" w:color="auto" w:fill="auto"/>
          </w:tcPr>
          <w:p w:rsidR="005845E0" w:rsidRPr="005825CD" w:rsidRDefault="005845E0" w:rsidP="00116E8F">
            <w:pPr>
              <w:pStyle w:val="TableBodyText"/>
              <w:jc w:val="left"/>
              <w:rPr>
                <w:vertAlign w:val="superscript"/>
              </w:rPr>
            </w:pPr>
          </w:p>
        </w:tc>
        <w:tc>
          <w:tcPr>
            <w:tcW w:w="1057" w:type="pct"/>
            <w:gridSpan w:val="4"/>
            <w:shd w:val="clear" w:color="auto" w:fill="auto"/>
          </w:tcPr>
          <w:p w:rsidR="005845E0" w:rsidRPr="005825CD" w:rsidRDefault="005845E0" w:rsidP="00116E8F">
            <w:pPr>
              <w:pStyle w:val="TableBodyText"/>
              <w:jc w:val="left"/>
            </w:pPr>
            <w:proofErr w:type="spellStart"/>
            <w:r w:rsidRPr="00C804F5">
              <w:t>Appendicectomy</w:t>
            </w:r>
            <w:proofErr w:type="spellEnd"/>
          </w:p>
        </w:tc>
        <w:tc>
          <w:tcPr>
            <w:tcW w:w="460" w:type="pct"/>
            <w:gridSpan w:val="4"/>
            <w:shd w:val="clear" w:color="auto" w:fill="auto"/>
            <w:vAlign w:val="center"/>
          </w:tcPr>
          <w:p w:rsidR="005845E0" w:rsidRPr="009277F0" w:rsidRDefault="005845E0" w:rsidP="00D94485">
            <w:pPr>
              <w:pStyle w:val="TableBodyText"/>
            </w:pPr>
            <w:r w:rsidRPr="009277F0">
              <w:t xml:space="preserve">  23.5</w:t>
            </w:r>
          </w:p>
        </w:tc>
        <w:tc>
          <w:tcPr>
            <w:tcW w:w="418" w:type="pct"/>
            <w:gridSpan w:val="2"/>
            <w:shd w:val="clear" w:color="auto" w:fill="auto"/>
            <w:vAlign w:val="center"/>
          </w:tcPr>
          <w:p w:rsidR="005845E0" w:rsidRPr="009277F0" w:rsidRDefault="005845E0" w:rsidP="00D94485">
            <w:pPr>
              <w:pStyle w:val="TableBodyText"/>
            </w:pPr>
            <w:r w:rsidRPr="009277F0">
              <w:t xml:space="preserve">  24.5</w:t>
            </w:r>
          </w:p>
        </w:tc>
        <w:tc>
          <w:tcPr>
            <w:tcW w:w="419" w:type="pct"/>
            <w:shd w:val="clear" w:color="auto" w:fill="auto"/>
            <w:vAlign w:val="center"/>
          </w:tcPr>
          <w:p w:rsidR="005845E0" w:rsidRPr="009277F0" w:rsidRDefault="005845E0" w:rsidP="00D94485">
            <w:pPr>
              <w:pStyle w:val="TableBodyText"/>
            </w:pPr>
            <w:r w:rsidRPr="009277F0">
              <w:t xml:space="preserve">  20.4</w:t>
            </w:r>
          </w:p>
        </w:tc>
        <w:tc>
          <w:tcPr>
            <w:tcW w:w="416" w:type="pct"/>
            <w:shd w:val="clear" w:color="auto" w:fill="auto"/>
            <w:vAlign w:val="center"/>
          </w:tcPr>
          <w:p w:rsidR="005845E0" w:rsidRPr="009277F0" w:rsidRDefault="005845E0" w:rsidP="00D94485">
            <w:pPr>
              <w:pStyle w:val="TableBodyText"/>
            </w:pPr>
            <w:r w:rsidRPr="009277F0">
              <w:t xml:space="preserve">  31.3</w:t>
            </w:r>
          </w:p>
        </w:tc>
        <w:tc>
          <w:tcPr>
            <w:tcW w:w="416" w:type="pct"/>
            <w:shd w:val="clear" w:color="auto" w:fill="auto"/>
            <w:vAlign w:val="center"/>
          </w:tcPr>
          <w:p w:rsidR="005845E0" w:rsidRPr="009277F0" w:rsidRDefault="005845E0" w:rsidP="00D94485">
            <w:pPr>
              <w:pStyle w:val="TableBodyText"/>
            </w:pPr>
            <w:r w:rsidRPr="009277F0">
              <w:t xml:space="preserve">  36.0</w:t>
            </w:r>
          </w:p>
        </w:tc>
        <w:tc>
          <w:tcPr>
            <w:tcW w:w="416" w:type="pct"/>
            <w:gridSpan w:val="2"/>
            <w:shd w:val="clear" w:color="auto" w:fill="auto"/>
            <w:vAlign w:val="center"/>
          </w:tcPr>
          <w:p w:rsidR="005845E0" w:rsidRPr="009277F0" w:rsidRDefault="005845E0" w:rsidP="00D94485">
            <w:pPr>
              <w:pStyle w:val="TableBodyText"/>
            </w:pPr>
            <w:r w:rsidRPr="009277F0">
              <w:t xml:space="preserve">  29.8</w:t>
            </w:r>
          </w:p>
        </w:tc>
        <w:tc>
          <w:tcPr>
            <w:tcW w:w="419" w:type="pct"/>
            <w:shd w:val="clear" w:color="auto" w:fill="auto"/>
            <w:vAlign w:val="center"/>
          </w:tcPr>
          <w:p w:rsidR="005845E0" w:rsidRPr="009277F0" w:rsidRDefault="005845E0" w:rsidP="00D94485">
            <w:pPr>
              <w:pStyle w:val="TableBodyText"/>
            </w:pPr>
            <w:r w:rsidRPr="009277F0">
              <w:t xml:space="preserve">  26.3</w:t>
            </w:r>
          </w:p>
        </w:tc>
        <w:tc>
          <w:tcPr>
            <w:tcW w:w="420" w:type="pct"/>
            <w:shd w:val="clear" w:color="auto" w:fill="auto"/>
            <w:vAlign w:val="center"/>
          </w:tcPr>
          <w:p w:rsidR="005845E0" w:rsidRPr="009277F0" w:rsidRDefault="005845E0" w:rsidP="00D94485">
            <w:pPr>
              <w:pStyle w:val="TableBodyText"/>
            </w:pPr>
            <w:r w:rsidRPr="009277F0">
              <w:t xml:space="preserve">  49.6</w:t>
            </w:r>
          </w:p>
        </w:tc>
        <w:tc>
          <w:tcPr>
            <w:tcW w:w="404" w:type="pct"/>
            <w:shd w:val="clear" w:color="auto" w:fill="auto"/>
            <w:vAlign w:val="center"/>
          </w:tcPr>
          <w:p w:rsidR="005845E0" w:rsidRPr="009277F0" w:rsidRDefault="005845E0" w:rsidP="00D94485">
            <w:pPr>
              <w:pStyle w:val="TableBodyText"/>
            </w:pPr>
            <w:r w:rsidRPr="009277F0">
              <w:t>24.7</w:t>
            </w:r>
          </w:p>
        </w:tc>
      </w:tr>
      <w:tr w:rsidR="005845E0" w:rsidRPr="005825CD" w:rsidTr="00F44BBF">
        <w:trPr>
          <w:gridAfter w:val="1"/>
          <w:wAfter w:w="7" w:type="pct"/>
          <w:trHeight w:val="273"/>
        </w:trPr>
        <w:tc>
          <w:tcPr>
            <w:tcW w:w="4993" w:type="pct"/>
            <w:gridSpan w:val="19"/>
            <w:shd w:val="clear" w:color="auto" w:fill="auto"/>
          </w:tcPr>
          <w:p w:rsidR="005845E0" w:rsidRPr="005825CD" w:rsidRDefault="005845E0" w:rsidP="00ED7F26">
            <w:pPr>
              <w:pStyle w:val="TableColumnHeading"/>
              <w:spacing w:before="60" w:after="40"/>
              <w:jc w:val="left"/>
            </w:pPr>
            <w:r>
              <w:t>Accreditation</w:t>
            </w:r>
            <w:r w:rsidRPr="005825CD">
              <w:t xml:space="preserve">, </w:t>
            </w:r>
            <w:r>
              <w:t>proportion of accredited beds, public hospitals</w:t>
            </w:r>
            <w:r w:rsidRPr="005825CD">
              <w:t xml:space="preserve"> </w:t>
            </w:r>
            <w:r w:rsidRPr="001822CF">
              <w:t>201</w:t>
            </w:r>
            <w:r w:rsidR="009A7823" w:rsidRPr="001822CF">
              <w:t>1</w:t>
            </w:r>
            <w:r w:rsidRPr="001822CF">
              <w:t>-1</w:t>
            </w:r>
            <w:r w:rsidR="009A7823" w:rsidRPr="001822CF">
              <w:t>2</w:t>
            </w:r>
            <w:r w:rsidRPr="009C3750">
              <w:br/>
            </w:r>
            <w:r w:rsidR="001B520B" w:rsidRPr="001822CF">
              <w:rPr>
                <w:i w:val="0"/>
                <w:sz w:val="16"/>
                <w:szCs w:val="16"/>
              </w:rPr>
              <w:t xml:space="preserve">Most recent data for this </w:t>
            </w:r>
            <w:r w:rsidR="00B34F09" w:rsidRPr="001822CF">
              <w:rPr>
                <w:i w:val="0"/>
                <w:sz w:val="16"/>
                <w:szCs w:val="16"/>
              </w:rPr>
              <w:t>measure</w:t>
            </w:r>
            <w:r w:rsidR="001B520B" w:rsidRPr="001822CF">
              <w:rPr>
                <w:i w:val="0"/>
                <w:sz w:val="16"/>
                <w:szCs w:val="16"/>
              </w:rPr>
              <w:t xml:space="preserve"> are complete and comparable </w:t>
            </w:r>
            <w:r w:rsidRPr="001822CF">
              <w:rPr>
                <w:i w:val="0"/>
                <w:sz w:val="16"/>
                <w:szCs w:val="16"/>
              </w:rPr>
              <w:t>(ch</w:t>
            </w:r>
            <w:r w:rsidRPr="00A16ED4">
              <w:rPr>
                <w:i w:val="0"/>
                <w:sz w:val="16"/>
                <w:szCs w:val="16"/>
              </w:rPr>
              <w:t>apter 10)</w:t>
            </w:r>
          </w:p>
        </w:tc>
      </w:tr>
      <w:tr w:rsidR="00083D3E" w:rsidRPr="00B817EA" w:rsidTr="00621F85">
        <w:trPr>
          <w:gridAfter w:val="1"/>
          <w:wAfter w:w="7" w:type="pct"/>
        </w:trPr>
        <w:tc>
          <w:tcPr>
            <w:tcW w:w="148" w:type="pct"/>
            <w:shd w:val="clear" w:color="auto" w:fill="auto"/>
          </w:tcPr>
          <w:p w:rsidR="009A7823" w:rsidRPr="005825CD" w:rsidRDefault="009A7823" w:rsidP="005A0184">
            <w:pPr>
              <w:pStyle w:val="TableBodyText"/>
              <w:jc w:val="left"/>
              <w:rPr>
                <w:vertAlign w:val="superscript"/>
              </w:rPr>
            </w:pPr>
          </w:p>
        </w:tc>
        <w:tc>
          <w:tcPr>
            <w:tcW w:w="1057" w:type="pct"/>
            <w:gridSpan w:val="4"/>
            <w:shd w:val="clear" w:color="auto" w:fill="auto"/>
          </w:tcPr>
          <w:p w:rsidR="009A7823" w:rsidRPr="005D2E28" w:rsidRDefault="009A7823" w:rsidP="005A0184">
            <w:pPr>
              <w:pStyle w:val="TableBodyText"/>
              <w:jc w:val="left"/>
            </w:pPr>
            <w:r w:rsidRPr="005D2E28">
              <w:t>%</w:t>
            </w:r>
          </w:p>
        </w:tc>
        <w:tc>
          <w:tcPr>
            <w:tcW w:w="460" w:type="pct"/>
            <w:gridSpan w:val="4"/>
            <w:shd w:val="clear" w:color="auto" w:fill="auto"/>
            <w:vAlign w:val="center"/>
          </w:tcPr>
          <w:p w:rsidR="009A7823" w:rsidRPr="009A7823" w:rsidRDefault="009A7823" w:rsidP="009A7823">
            <w:pPr>
              <w:pStyle w:val="TableBodyText"/>
            </w:pPr>
            <w:r w:rsidRPr="009A7823">
              <w:t>97</w:t>
            </w:r>
          </w:p>
        </w:tc>
        <w:tc>
          <w:tcPr>
            <w:tcW w:w="418" w:type="pct"/>
            <w:gridSpan w:val="2"/>
            <w:shd w:val="clear" w:color="auto" w:fill="auto"/>
            <w:vAlign w:val="center"/>
          </w:tcPr>
          <w:p w:rsidR="009A7823" w:rsidRPr="009A7823" w:rsidRDefault="009A7823" w:rsidP="009A7823">
            <w:pPr>
              <w:pStyle w:val="TableBodyText"/>
            </w:pPr>
            <w:r w:rsidRPr="009A7823">
              <w:t>100</w:t>
            </w:r>
          </w:p>
        </w:tc>
        <w:tc>
          <w:tcPr>
            <w:tcW w:w="419" w:type="pct"/>
            <w:shd w:val="clear" w:color="auto" w:fill="auto"/>
            <w:vAlign w:val="center"/>
          </w:tcPr>
          <w:p w:rsidR="009A7823" w:rsidRPr="009A7823" w:rsidRDefault="009A7823" w:rsidP="009A7823">
            <w:pPr>
              <w:pStyle w:val="TableBodyText"/>
            </w:pPr>
            <w:r w:rsidRPr="009A7823">
              <w:t>100</w:t>
            </w:r>
          </w:p>
        </w:tc>
        <w:tc>
          <w:tcPr>
            <w:tcW w:w="416" w:type="pct"/>
            <w:shd w:val="clear" w:color="auto" w:fill="auto"/>
            <w:vAlign w:val="center"/>
          </w:tcPr>
          <w:p w:rsidR="009A7823" w:rsidRPr="009A7823" w:rsidRDefault="009A7823" w:rsidP="009A7823">
            <w:pPr>
              <w:pStyle w:val="TableBodyText"/>
            </w:pPr>
            <w:r w:rsidRPr="009A7823">
              <w:t>100</w:t>
            </w:r>
          </w:p>
        </w:tc>
        <w:tc>
          <w:tcPr>
            <w:tcW w:w="416" w:type="pct"/>
            <w:shd w:val="clear" w:color="auto" w:fill="auto"/>
            <w:vAlign w:val="center"/>
          </w:tcPr>
          <w:p w:rsidR="009A7823" w:rsidRPr="009A7823" w:rsidRDefault="009A7823" w:rsidP="009A7823">
            <w:pPr>
              <w:pStyle w:val="TableBodyText"/>
            </w:pPr>
            <w:r w:rsidRPr="009A7823">
              <w:t>100</w:t>
            </w:r>
          </w:p>
        </w:tc>
        <w:tc>
          <w:tcPr>
            <w:tcW w:w="416" w:type="pct"/>
            <w:gridSpan w:val="2"/>
            <w:shd w:val="clear" w:color="auto" w:fill="auto"/>
            <w:vAlign w:val="center"/>
          </w:tcPr>
          <w:p w:rsidR="009A7823" w:rsidRPr="009A7823" w:rsidRDefault="009A7823" w:rsidP="009A7823">
            <w:pPr>
              <w:pStyle w:val="TableBodyText"/>
            </w:pPr>
            <w:r w:rsidRPr="009A7823">
              <w:t>87</w:t>
            </w:r>
          </w:p>
        </w:tc>
        <w:tc>
          <w:tcPr>
            <w:tcW w:w="419" w:type="pct"/>
            <w:shd w:val="clear" w:color="auto" w:fill="auto"/>
            <w:vAlign w:val="center"/>
          </w:tcPr>
          <w:p w:rsidR="009A7823" w:rsidRPr="009A7823" w:rsidRDefault="009A7823" w:rsidP="009A7823">
            <w:pPr>
              <w:pStyle w:val="TableBodyText"/>
            </w:pPr>
            <w:r w:rsidRPr="009A7823">
              <w:t>100</w:t>
            </w:r>
          </w:p>
        </w:tc>
        <w:tc>
          <w:tcPr>
            <w:tcW w:w="420" w:type="pct"/>
            <w:shd w:val="clear" w:color="auto" w:fill="auto"/>
            <w:vAlign w:val="center"/>
          </w:tcPr>
          <w:p w:rsidR="009A7823" w:rsidRPr="009A7823" w:rsidRDefault="009A7823" w:rsidP="009A7823">
            <w:pPr>
              <w:pStyle w:val="TableBodyText"/>
            </w:pPr>
            <w:r w:rsidRPr="009A7823">
              <w:t>100</w:t>
            </w:r>
          </w:p>
        </w:tc>
        <w:tc>
          <w:tcPr>
            <w:tcW w:w="404" w:type="pct"/>
            <w:shd w:val="clear" w:color="auto" w:fill="auto"/>
            <w:vAlign w:val="center"/>
          </w:tcPr>
          <w:p w:rsidR="009A7823" w:rsidRPr="009A7823" w:rsidRDefault="009A7823" w:rsidP="009A7823">
            <w:pPr>
              <w:pStyle w:val="TableBodyText"/>
            </w:pPr>
            <w:r w:rsidRPr="009A7823">
              <w:t>99</w:t>
            </w:r>
          </w:p>
        </w:tc>
      </w:tr>
      <w:tr w:rsidR="009A7823" w:rsidRPr="005825CD" w:rsidTr="00F44BBF">
        <w:trPr>
          <w:gridAfter w:val="1"/>
          <w:wAfter w:w="7" w:type="pct"/>
          <w:trHeight w:val="273"/>
        </w:trPr>
        <w:tc>
          <w:tcPr>
            <w:tcW w:w="4993" w:type="pct"/>
            <w:gridSpan w:val="19"/>
            <w:shd w:val="clear" w:color="auto" w:fill="auto"/>
          </w:tcPr>
          <w:p w:rsidR="009A7823" w:rsidRPr="005825CD" w:rsidRDefault="00B34F09" w:rsidP="00B34F09">
            <w:pPr>
              <w:pStyle w:val="TableColumnHeading"/>
              <w:jc w:val="left"/>
            </w:pPr>
            <w:r w:rsidRPr="00B34F09">
              <w:t>Adverse events in public hospitals</w:t>
            </w:r>
          </w:p>
        </w:tc>
      </w:tr>
      <w:tr w:rsidR="009A7823" w:rsidRPr="00621F85" w:rsidTr="00F44BBF">
        <w:trPr>
          <w:gridAfter w:val="1"/>
          <w:wAfter w:w="7" w:type="pct"/>
          <w:trHeight w:val="177"/>
        </w:trPr>
        <w:tc>
          <w:tcPr>
            <w:tcW w:w="4993" w:type="pct"/>
            <w:gridSpan w:val="19"/>
            <w:shd w:val="clear" w:color="auto" w:fill="auto"/>
          </w:tcPr>
          <w:p w:rsidR="009A7823" w:rsidRPr="00621F85" w:rsidRDefault="009A7823" w:rsidP="00621F85">
            <w:pPr>
              <w:pStyle w:val="TableBodyText"/>
              <w:jc w:val="left"/>
            </w:pPr>
            <w:r w:rsidRPr="00621F85">
              <w:t xml:space="preserve">  </w:t>
            </w:r>
            <w:r w:rsidR="00B34F09" w:rsidRPr="00621F85">
              <w:t>Healthcare associated infections in acute care hospitals</w:t>
            </w:r>
            <w:r w:rsidRPr="00621F85">
              <w:t xml:space="preserve"> per 10</w:t>
            </w:r>
            <w:r w:rsidR="00F44BBF" w:rsidRPr="00621F85">
              <w:t> </w:t>
            </w:r>
            <w:r w:rsidRPr="00621F85">
              <w:t>000 patient days</w:t>
            </w:r>
            <w:r w:rsidR="00621F85" w:rsidRPr="00621F85">
              <w:t xml:space="preserve">, </w:t>
            </w:r>
            <w:r w:rsidR="00B34F09" w:rsidRPr="00621F85">
              <w:t>2012-13</w:t>
            </w:r>
            <w:r w:rsidR="00B34F09" w:rsidRPr="00621F85">
              <w:br/>
            </w:r>
            <w:r w:rsidR="00B34F09" w:rsidRPr="00621F85">
              <w:rPr>
                <w:sz w:val="16"/>
                <w:szCs w:val="16"/>
              </w:rPr>
              <w:t xml:space="preserve">  Data for this measure not complete or not directly comparable (chapter 10)</w:t>
            </w:r>
          </w:p>
        </w:tc>
      </w:tr>
      <w:tr w:rsidR="00083D3E" w:rsidRPr="00DB014B" w:rsidTr="00621F85">
        <w:trPr>
          <w:gridAfter w:val="1"/>
          <w:wAfter w:w="7" w:type="pct"/>
        </w:trPr>
        <w:tc>
          <w:tcPr>
            <w:tcW w:w="148" w:type="pct"/>
            <w:shd w:val="clear" w:color="auto" w:fill="auto"/>
          </w:tcPr>
          <w:p w:rsidR="009A7823" w:rsidRPr="005825CD" w:rsidRDefault="009A7823" w:rsidP="00116E8F">
            <w:pPr>
              <w:pStyle w:val="TableBodyText"/>
              <w:jc w:val="left"/>
              <w:rPr>
                <w:vertAlign w:val="superscript"/>
              </w:rPr>
            </w:pPr>
          </w:p>
        </w:tc>
        <w:tc>
          <w:tcPr>
            <w:tcW w:w="1057" w:type="pct"/>
            <w:gridSpan w:val="4"/>
            <w:shd w:val="clear" w:color="auto" w:fill="auto"/>
          </w:tcPr>
          <w:p w:rsidR="009A7823" w:rsidRPr="005825CD" w:rsidRDefault="009A7823" w:rsidP="00116E8F">
            <w:pPr>
              <w:pStyle w:val="TableBodyText"/>
              <w:jc w:val="left"/>
            </w:pPr>
          </w:p>
        </w:tc>
        <w:tc>
          <w:tcPr>
            <w:tcW w:w="460" w:type="pct"/>
            <w:gridSpan w:val="4"/>
            <w:shd w:val="clear" w:color="auto" w:fill="auto"/>
            <w:vAlign w:val="center"/>
          </w:tcPr>
          <w:p w:rsidR="009A7823" w:rsidRPr="009A7823" w:rsidRDefault="009A7823" w:rsidP="009A7823">
            <w:pPr>
              <w:pStyle w:val="TableBodyText"/>
            </w:pPr>
            <w:r w:rsidRPr="009A7823">
              <w:t xml:space="preserve">  1.0</w:t>
            </w:r>
          </w:p>
        </w:tc>
        <w:tc>
          <w:tcPr>
            <w:tcW w:w="418" w:type="pct"/>
            <w:gridSpan w:val="2"/>
            <w:shd w:val="clear" w:color="auto" w:fill="auto"/>
            <w:vAlign w:val="center"/>
          </w:tcPr>
          <w:p w:rsidR="009A7823" w:rsidRPr="009A7823" w:rsidRDefault="009A7823" w:rsidP="009A7823">
            <w:pPr>
              <w:pStyle w:val="TableBodyText"/>
            </w:pPr>
            <w:r w:rsidRPr="009A7823">
              <w:t xml:space="preserve">  0.9</w:t>
            </w:r>
          </w:p>
        </w:tc>
        <w:tc>
          <w:tcPr>
            <w:tcW w:w="419" w:type="pct"/>
            <w:shd w:val="clear" w:color="auto" w:fill="auto"/>
            <w:vAlign w:val="center"/>
          </w:tcPr>
          <w:p w:rsidR="009A7823" w:rsidRPr="009A7823" w:rsidRDefault="009A7823" w:rsidP="009A7823">
            <w:pPr>
              <w:pStyle w:val="TableBodyText"/>
            </w:pPr>
            <w:r w:rsidRPr="009A7823">
              <w:t xml:space="preserve">  1.0</w:t>
            </w:r>
          </w:p>
        </w:tc>
        <w:tc>
          <w:tcPr>
            <w:tcW w:w="416" w:type="pct"/>
            <w:shd w:val="clear" w:color="auto" w:fill="auto"/>
            <w:vAlign w:val="center"/>
          </w:tcPr>
          <w:p w:rsidR="009A7823" w:rsidRPr="009A7823" w:rsidRDefault="009A7823" w:rsidP="009A7823">
            <w:pPr>
              <w:pStyle w:val="TableBodyText"/>
            </w:pPr>
            <w:r w:rsidRPr="009A7823">
              <w:t xml:space="preserve">  0.8</w:t>
            </w:r>
          </w:p>
        </w:tc>
        <w:tc>
          <w:tcPr>
            <w:tcW w:w="416" w:type="pct"/>
            <w:shd w:val="clear" w:color="auto" w:fill="auto"/>
            <w:vAlign w:val="center"/>
          </w:tcPr>
          <w:p w:rsidR="009A7823" w:rsidRPr="009A7823" w:rsidRDefault="009A7823" w:rsidP="009A7823">
            <w:pPr>
              <w:pStyle w:val="TableBodyText"/>
            </w:pPr>
            <w:r w:rsidRPr="009A7823">
              <w:t xml:space="preserve">  0.8</w:t>
            </w:r>
          </w:p>
        </w:tc>
        <w:tc>
          <w:tcPr>
            <w:tcW w:w="416" w:type="pct"/>
            <w:gridSpan w:val="2"/>
            <w:shd w:val="clear" w:color="auto" w:fill="auto"/>
            <w:vAlign w:val="center"/>
          </w:tcPr>
          <w:p w:rsidR="009A7823" w:rsidRPr="009A7823" w:rsidRDefault="009A7823" w:rsidP="009A7823">
            <w:pPr>
              <w:pStyle w:val="TableBodyText"/>
            </w:pPr>
            <w:r w:rsidRPr="009A7823">
              <w:t xml:space="preserve">  1.0</w:t>
            </w:r>
          </w:p>
        </w:tc>
        <w:tc>
          <w:tcPr>
            <w:tcW w:w="419" w:type="pct"/>
            <w:shd w:val="clear" w:color="auto" w:fill="auto"/>
            <w:vAlign w:val="center"/>
          </w:tcPr>
          <w:p w:rsidR="009A7823" w:rsidRPr="009A7823" w:rsidRDefault="009A7823" w:rsidP="009A7823">
            <w:pPr>
              <w:pStyle w:val="TableBodyText"/>
            </w:pPr>
            <w:r w:rsidRPr="009A7823">
              <w:t xml:space="preserve">  1.3</w:t>
            </w:r>
          </w:p>
        </w:tc>
        <w:tc>
          <w:tcPr>
            <w:tcW w:w="420" w:type="pct"/>
            <w:shd w:val="clear" w:color="auto" w:fill="auto"/>
            <w:vAlign w:val="center"/>
          </w:tcPr>
          <w:p w:rsidR="009A7823" w:rsidRPr="009A7823" w:rsidRDefault="009A7823" w:rsidP="009A7823">
            <w:pPr>
              <w:pStyle w:val="TableBodyText"/>
            </w:pPr>
            <w:r w:rsidRPr="009A7823">
              <w:t xml:space="preserve">  0.7</w:t>
            </w:r>
          </w:p>
        </w:tc>
        <w:tc>
          <w:tcPr>
            <w:tcW w:w="404" w:type="pct"/>
            <w:shd w:val="clear" w:color="auto" w:fill="auto"/>
            <w:vAlign w:val="center"/>
          </w:tcPr>
          <w:p w:rsidR="009A7823" w:rsidRPr="009A7823" w:rsidRDefault="009A7823" w:rsidP="009A7823">
            <w:pPr>
              <w:pStyle w:val="TableBodyText"/>
            </w:pPr>
            <w:r w:rsidRPr="009A7823">
              <w:t xml:space="preserve">  0.9</w:t>
            </w:r>
          </w:p>
        </w:tc>
      </w:tr>
      <w:tr w:rsidR="009A7823" w:rsidRPr="00B45076" w:rsidTr="00F44BBF">
        <w:trPr>
          <w:gridAfter w:val="1"/>
          <w:wAfter w:w="7" w:type="pct"/>
          <w:trHeight w:val="273"/>
        </w:trPr>
        <w:tc>
          <w:tcPr>
            <w:tcW w:w="4993" w:type="pct"/>
            <w:gridSpan w:val="19"/>
            <w:shd w:val="clear" w:color="auto" w:fill="auto"/>
          </w:tcPr>
          <w:p w:rsidR="00B34F09" w:rsidRPr="005D2E28" w:rsidRDefault="009A7823" w:rsidP="00ED7F26">
            <w:pPr>
              <w:pStyle w:val="TableColumnHeading"/>
              <w:spacing w:before="60" w:after="40"/>
              <w:jc w:val="left"/>
              <w:rPr>
                <w:i w:val="0"/>
              </w:rPr>
            </w:pPr>
            <w:r w:rsidRPr="005D2E28">
              <w:t xml:space="preserve">  </w:t>
            </w:r>
            <w:r w:rsidR="00B34F09" w:rsidRPr="00F44BBF">
              <w:rPr>
                <w:i w:val="0"/>
              </w:rPr>
              <w:t xml:space="preserve">Separations with an adverse event, public hospitals: </w:t>
            </w:r>
            <w:r w:rsidRPr="00F44BBF">
              <w:rPr>
                <w:i w:val="0"/>
              </w:rPr>
              <w:t>Events per 100 separations</w:t>
            </w:r>
            <w:r w:rsidR="00B34F09" w:rsidRPr="00F44BBF">
              <w:rPr>
                <w:i w:val="0"/>
              </w:rPr>
              <w:t>, 2011-12</w:t>
            </w:r>
            <w:r w:rsidR="00B34F09">
              <w:br/>
              <w:t xml:space="preserve">  </w:t>
            </w:r>
            <w:r w:rsidR="00B34F09" w:rsidRPr="005D2E28">
              <w:rPr>
                <w:i w:val="0"/>
                <w:sz w:val="16"/>
                <w:szCs w:val="16"/>
              </w:rPr>
              <w:t>Data for this indicator not complete or not directly comparable (chapter 10)</w:t>
            </w:r>
          </w:p>
        </w:tc>
      </w:tr>
      <w:tr w:rsidR="002D77C3" w:rsidRPr="00B45076" w:rsidTr="00621F85">
        <w:trPr>
          <w:gridAfter w:val="1"/>
          <w:wAfter w:w="7" w:type="pct"/>
        </w:trPr>
        <w:tc>
          <w:tcPr>
            <w:tcW w:w="148" w:type="pct"/>
            <w:shd w:val="clear" w:color="auto" w:fill="auto"/>
          </w:tcPr>
          <w:p w:rsidR="0042170F" w:rsidRPr="00F71DBC" w:rsidRDefault="0042170F" w:rsidP="005A0184">
            <w:pPr>
              <w:pStyle w:val="TableBodyText"/>
              <w:jc w:val="left"/>
              <w:rPr>
                <w:highlight w:val="yellow"/>
                <w:vertAlign w:val="superscript"/>
              </w:rPr>
            </w:pPr>
          </w:p>
        </w:tc>
        <w:tc>
          <w:tcPr>
            <w:tcW w:w="1057" w:type="pct"/>
            <w:gridSpan w:val="4"/>
            <w:shd w:val="clear" w:color="auto" w:fill="auto"/>
          </w:tcPr>
          <w:p w:rsidR="0042170F" w:rsidRPr="005D2E28" w:rsidRDefault="0042170F" w:rsidP="005A0184">
            <w:pPr>
              <w:pStyle w:val="TableBodyText"/>
              <w:jc w:val="left"/>
            </w:pPr>
            <w:r w:rsidRPr="005D2E28">
              <w:t>Total</w:t>
            </w:r>
          </w:p>
        </w:tc>
        <w:tc>
          <w:tcPr>
            <w:tcW w:w="460" w:type="pct"/>
            <w:gridSpan w:val="4"/>
            <w:shd w:val="clear" w:color="auto" w:fill="auto"/>
            <w:vAlign w:val="bottom"/>
          </w:tcPr>
          <w:p w:rsidR="0042170F" w:rsidRPr="0042170F" w:rsidRDefault="0042170F" w:rsidP="0042170F">
            <w:pPr>
              <w:pStyle w:val="TableBodyText"/>
            </w:pPr>
            <w:r w:rsidRPr="0042170F">
              <w:t xml:space="preserve">  6.3</w:t>
            </w:r>
          </w:p>
        </w:tc>
        <w:tc>
          <w:tcPr>
            <w:tcW w:w="418" w:type="pct"/>
            <w:gridSpan w:val="2"/>
            <w:shd w:val="clear" w:color="auto" w:fill="auto"/>
            <w:vAlign w:val="bottom"/>
          </w:tcPr>
          <w:p w:rsidR="0042170F" w:rsidRPr="0042170F" w:rsidRDefault="0042170F" w:rsidP="0042170F">
            <w:pPr>
              <w:pStyle w:val="TableBodyText"/>
            </w:pPr>
            <w:r w:rsidRPr="0042170F">
              <w:t xml:space="preserve">  6.1</w:t>
            </w:r>
          </w:p>
        </w:tc>
        <w:tc>
          <w:tcPr>
            <w:tcW w:w="419" w:type="pct"/>
            <w:shd w:val="clear" w:color="auto" w:fill="auto"/>
            <w:vAlign w:val="bottom"/>
          </w:tcPr>
          <w:p w:rsidR="0042170F" w:rsidRPr="0042170F" w:rsidRDefault="0042170F" w:rsidP="0042170F">
            <w:pPr>
              <w:pStyle w:val="TableBodyText"/>
            </w:pPr>
            <w:r w:rsidRPr="0042170F">
              <w:t xml:space="preserve">  6.0</w:t>
            </w:r>
          </w:p>
        </w:tc>
        <w:tc>
          <w:tcPr>
            <w:tcW w:w="416" w:type="pct"/>
            <w:shd w:val="clear" w:color="auto" w:fill="auto"/>
            <w:vAlign w:val="bottom"/>
          </w:tcPr>
          <w:p w:rsidR="0042170F" w:rsidRPr="0042170F" w:rsidRDefault="0042170F" w:rsidP="0042170F">
            <w:pPr>
              <w:pStyle w:val="TableBodyText"/>
            </w:pPr>
            <w:r w:rsidRPr="0042170F">
              <w:t xml:space="preserve">  6.0</w:t>
            </w:r>
          </w:p>
        </w:tc>
        <w:tc>
          <w:tcPr>
            <w:tcW w:w="416" w:type="pct"/>
            <w:shd w:val="clear" w:color="auto" w:fill="auto"/>
            <w:vAlign w:val="bottom"/>
          </w:tcPr>
          <w:p w:rsidR="0042170F" w:rsidRPr="0042170F" w:rsidRDefault="0042170F" w:rsidP="0042170F">
            <w:pPr>
              <w:pStyle w:val="TableBodyText"/>
            </w:pPr>
            <w:r w:rsidRPr="0042170F">
              <w:t xml:space="preserve">  6.7</w:t>
            </w:r>
          </w:p>
        </w:tc>
        <w:tc>
          <w:tcPr>
            <w:tcW w:w="416" w:type="pct"/>
            <w:gridSpan w:val="2"/>
            <w:shd w:val="clear" w:color="auto" w:fill="auto"/>
            <w:vAlign w:val="bottom"/>
          </w:tcPr>
          <w:p w:rsidR="0042170F" w:rsidRPr="0042170F" w:rsidRDefault="0042170F" w:rsidP="0042170F">
            <w:pPr>
              <w:pStyle w:val="TableBodyText"/>
            </w:pPr>
            <w:r w:rsidRPr="0042170F">
              <w:t xml:space="preserve">  7.7</w:t>
            </w:r>
          </w:p>
        </w:tc>
        <w:tc>
          <w:tcPr>
            <w:tcW w:w="419" w:type="pct"/>
            <w:shd w:val="clear" w:color="auto" w:fill="auto"/>
            <w:vAlign w:val="bottom"/>
          </w:tcPr>
          <w:p w:rsidR="0042170F" w:rsidRPr="0042170F" w:rsidRDefault="0042170F" w:rsidP="0042170F">
            <w:pPr>
              <w:pStyle w:val="TableBodyText"/>
            </w:pPr>
            <w:r w:rsidRPr="0042170F">
              <w:t xml:space="preserve">  6.3</w:t>
            </w:r>
          </w:p>
        </w:tc>
        <w:tc>
          <w:tcPr>
            <w:tcW w:w="420" w:type="pct"/>
            <w:shd w:val="clear" w:color="auto" w:fill="auto"/>
            <w:vAlign w:val="bottom"/>
          </w:tcPr>
          <w:p w:rsidR="0042170F" w:rsidRPr="0042170F" w:rsidRDefault="0042170F" w:rsidP="0042170F">
            <w:pPr>
              <w:pStyle w:val="TableBodyText"/>
            </w:pPr>
            <w:r w:rsidRPr="0042170F">
              <w:t xml:space="preserve">  3.2</w:t>
            </w:r>
          </w:p>
        </w:tc>
        <w:tc>
          <w:tcPr>
            <w:tcW w:w="404" w:type="pct"/>
            <w:shd w:val="clear" w:color="auto" w:fill="auto"/>
            <w:vAlign w:val="bottom"/>
          </w:tcPr>
          <w:p w:rsidR="0042170F" w:rsidRPr="0042170F" w:rsidRDefault="0042170F" w:rsidP="0042170F">
            <w:pPr>
              <w:pStyle w:val="TableBodyText"/>
            </w:pPr>
            <w:r w:rsidRPr="0042170F">
              <w:t xml:space="preserve">  6.1</w:t>
            </w:r>
          </w:p>
        </w:tc>
      </w:tr>
      <w:tr w:rsidR="0042170F" w:rsidRPr="005825CD" w:rsidTr="00621F85">
        <w:trPr>
          <w:gridAfter w:val="1"/>
          <w:wAfter w:w="7" w:type="pct"/>
          <w:trHeight w:val="312"/>
        </w:trPr>
        <w:tc>
          <w:tcPr>
            <w:tcW w:w="4993" w:type="pct"/>
            <w:gridSpan w:val="19"/>
            <w:shd w:val="clear" w:color="auto" w:fill="auto"/>
          </w:tcPr>
          <w:p w:rsidR="0042170F" w:rsidRPr="005D2E28" w:rsidRDefault="0042170F" w:rsidP="00621F85">
            <w:pPr>
              <w:pStyle w:val="Source"/>
              <w:spacing w:before="60" w:after="60"/>
            </w:pPr>
            <w:r w:rsidRPr="005D2E28">
              <w:t xml:space="preserve">Source: tables </w:t>
            </w:r>
            <w:proofErr w:type="spellStart"/>
            <w:r w:rsidRPr="001822CF">
              <w:t>10A.4</w:t>
            </w:r>
            <w:r w:rsidR="005A7577" w:rsidRPr="001822CF">
              <w:t>7</w:t>
            </w:r>
            <w:proofErr w:type="spellEnd"/>
            <w:r w:rsidRPr="001822CF">
              <w:t>–</w:t>
            </w:r>
            <w:proofErr w:type="spellStart"/>
            <w:r w:rsidRPr="001822CF">
              <w:t>10A.</w:t>
            </w:r>
            <w:r w:rsidR="005A7577" w:rsidRPr="001822CF">
              <w:t>51</w:t>
            </w:r>
            <w:proofErr w:type="spellEnd"/>
            <w:r w:rsidRPr="001822CF">
              <w:t>.</w:t>
            </w:r>
            <w:r w:rsidRPr="005D2E28">
              <w:t xml:space="preserve">  </w:t>
            </w:r>
          </w:p>
        </w:tc>
      </w:tr>
      <w:tr w:rsidR="00E94F51" w:rsidRPr="00C2795B" w:rsidTr="00F44BBF">
        <w:trPr>
          <w:gridAfter w:val="1"/>
          <w:wAfter w:w="7" w:type="pct"/>
          <w:trHeight w:val="177"/>
        </w:trPr>
        <w:tc>
          <w:tcPr>
            <w:tcW w:w="4993" w:type="pct"/>
            <w:gridSpan w:val="19"/>
            <w:shd w:val="clear" w:color="auto" w:fill="auto"/>
          </w:tcPr>
          <w:p w:rsidR="00E94F51" w:rsidRPr="00C2795B" w:rsidRDefault="00E94F51" w:rsidP="00D94485">
            <w:pPr>
              <w:pStyle w:val="TableColumnHeading"/>
              <w:jc w:val="left"/>
              <w:rPr>
                <w:b/>
                <w:i w:val="0"/>
              </w:rPr>
            </w:pPr>
            <w:r w:rsidRPr="00C2795B">
              <w:rPr>
                <w:b/>
                <w:i w:val="0"/>
              </w:rPr>
              <w:t>Efficiency sustainability indicators</w:t>
            </w:r>
          </w:p>
        </w:tc>
      </w:tr>
      <w:tr w:rsidR="00E94F51" w:rsidRPr="005825CD" w:rsidTr="00F44BBF">
        <w:trPr>
          <w:gridAfter w:val="1"/>
          <w:wAfter w:w="7" w:type="pct"/>
          <w:trHeight w:val="177"/>
        </w:trPr>
        <w:tc>
          <w:tcPr>
            <w:tcW w:w="4993" w:type="pct"/>
            <w:gridSpan w:val="19"/>
            <w:shd w:val="clear" w:color="auto" w:fill="auto"/>
          </w:tcPr>
          <w:p w:rsidR="00E94F51" w:rsidRPr="005825CD" w:rsidRDefault="00E94F51" w:rsidP="00621F85">
            <w:pPr>
              <w:pStyle w:val="TableColumnHeading"/>
              <w:spacing w:after="40"/>
              <w:jc w:val="left"/>
            </w:pPr>
            <w:r>
              <w:t>Workforce sustainability</w:t>
            </w:r>
            <w:r w:rsidRPr="005825CD">
              <w:br/>
            </w:r>
            <w:r w:rsidR="001B520B" w:rsidRPr="001822CF">
              <w:rPr>
                <w:i w:val="0"/>
                <w:sz w:val="16"/>
                <w:szCs w:val="16"/>
              </w:rPr>
              <w:t xml:space="preserve">Most recent data for this </w:t>
            </w:r>
            <w:r w:rsidR="00B34F09" w:rsidRPr="001822CF">
              <w:rPr>
                <w:i w:val="0"/>
                <w:sz w:val="16"/>
                <w:szCs w:val="16"/>
              </w:rPr>
              <w:t>indicator</w:t>
            </w:r>
            <w:r w:rsidR="001B520B" w:rsidRPr="001822CF">
              <w:rPr>
                <w:i w:val="0"/>
                <w:sz w:val="16"/>
                <w:szCs w:val="16"/>
              </w:rPr>
              <w:t xml:space="preserve"> are complete and comparable (chapter 10) </w:t>
            </w:r>
          </w:p>
        </w:tc>
      </w:tr>
      <w:tr w:rsidR="00E94F51" w:rsidRPr="00517A92" w:rsidTr="00F44BBF">
        <w:trPr>
          <w:gridAfter w:val="1"/>
          <w:wAfter w:w="7" w:type="pct"/>
          <w:trHeight w:val="177"/>
        </w:trPr>
        <w:tc>
          <w:tcPr>
            <w:tcW w:w="4993" w:type="pct"/>
            <w:gridSpan w:val="19"/>
            <w:shd w:val="clear" w:color="auto" w:fill="auto"/>
          </w:tcPr>
          <w:p w:rsidR="00E94F51" w:rsidRPr="00517A92" w:rsidRDefault="00E94F51" w:rsidP="00D94485">
            <w:pPr>
              <w:pStyle w:val="TableBodyText"/>
              <w:keepNext w:val="0"/>
              <w:jc w:val="left"/>
            </w:pPr>
            <w:r w:rsidRPr="005825CD">
              <w:t xml:space="preserve">  </w:t>
            </w:r>
            <w:r>
              <w:t>Nursing workforce by age group (per cent)</w:t>
            </w:r>
            <w:r w:rsidRPr="005825CD">
              <w:t xml:space="preserve">, </w:t>
            </w:r>
            <w:r w:rsidRPr="001822CF">
              <w:t>2012</w:t>
            </w:r>
          </w:p>
        </w:tc>
      </w:tr>
      <w:tr w:rsidR="00E94F51" w:rsidRPr="005A7577" w:rsidTr="00621F85">
        <w:tc>
          <w:tcPr>
            <w:tcW w:w="148" w:type="pct"/>
            <w:shd w:val="clear" w:color="auto" w:fill="auto"/>
          </w:tcPr>
          <w:p w:rsidR="00E94F51" w:rsidRPr="005825CD" w:rsidRDefault="00E94F51" w:rsidP="00D94485">
            <w:pPr>
              <w:pStyle w:val="TableBodyText"/>
              <w:keepNext w:val="0"/>
              <w:jc w:val="left"/>
              <w:rPr>
                <w:vertAlign w:val="superscript"/>
              </w:rPr>
            </w:pPr>
          </w:p>
        </w:tc>
        <w:tc>
          <w:tcPr>
            <w:tcW w:w="942" w:type="pct"/>
            <w:gridSpan w:val="2"/>
            <w:shd w:val="clear" w:color="auto" w:fill="auto"/>
          </w:tcPr>
          <w:p w:rsidR="00E94F51" w:rsidRPr="00152D2E" w:rsidRDefault="00E94F51" w:rsidP="00D94485">
            <w:pPr>
              <w:pStyle w:val="TableBodyText"/>
              <w:keepNext w:val="0"/>
              <w:jc w:val="left"/>
            </w:pPr>
            <w:r>
              <w:t>&lt;30</w:t>
            </w:r>
          </w:p>
        </w:tc>
        <w:tc>
          <w:tcPr>
            <w:tcW w:w="437" w:type="pct"/>
            <w:gridSpan w:val="4"/>
            <w:shd w:val="clear" w:color="auto" w:fill="auto"/>
            <w:vAlign w:val="center"/>
          </w:tcPr>
          <w:p w:rsidR="00E94F51" w:rsidRPr="005A7577" w:rsidRDefault="00E94F51" w:rsidP="00D94485">
            <w:pPr>
              <w:pStyle w:val="TableBodyText"/>
            </w:pPr>
            <w:r w:rsidRPr="005A7577">
              <w:t xml:space="preserve">  13.8</w:t>
            </w:r>
          </w:p>
        </w:tc>
        <w:tc>
          <w:tcPr>
            <w:tcW w:w="556" w:type="pct"/>
            <w:gridSpan w:val="4"/>
            <w:shd w:val="clear" w:color="auto" w:fill="auto"/>
            <w:vAlign w:val="center"/>
          </w:tcPr>
          <w:p w:rsidR="00E94F51" w:rsidRPr="005A7577" w:rsidRDefault="00E94F51" w:rsidP="00D94485">
            <w:pPr>
              <w:pStyle w:val="TableBodyText"/>
            </w:pPr>
            <w:r w:rsidRPr="005A7577">
              <w:t xml:space="preserve">  17.0</w:t>
            </w:r>
          </w:p>
        </w:tc>
        <w:tc>
          <w:tcPr>
            <w:tcW w:w="419" w:type="pct"/>
            <w:shd w:val="clear" w:color="auto" w:fill="auto"/>
            <w:vAlign w:val="center"/>
          </w:tcPr>
          <w:p w:rsidR="00E94F51" w:rsidRPr="005A7577" w:rsidRDefault="00E94F51" w:rsidP="00D94485">
            <w:pPr>
              <w:pStyle w:val="TableBodyText"/>
            </w:pPr>
            <w:r w:rsidRPr="005A7577">
              <w:t xml:space="preserve">  14.7</w:t>
            </w:r>
          </w:p>
        </w:tc>
        <w:tc>
          <w:tcPr>
            <w:tcW w:w="416" w:type="pct"/>
            <w:shd w:val="clear" w:color="auto" w:fill="auto"/>
            <w:vAlign w:val="center"/>
          </w:tcPr>
          <w:p w:rsidR="00E94F51" w:rsidRPr="005A7577" w:rsidRDefault="00E94F51" w:rsidP="00D94485">
            <w:pPr>
              <w:pStyle w:val="TableBodyText"/>
            </w:pPr>
            <w:r w:rsidRPr="005A7577">
              <w:t xml:space="preserve">  16.0</w:t>
            </w:r>
          </w:p>
        </w:tc>
        <w:tc>
          <w:tcPr>
            <w:tcW w:w="416" w:type="pct"/>
            <w:shd w:val="clear" w:color="auto" w:fill="auto"/>
            <w:vAlign w:val="center"/>
          </w:tcPr>
          <w:p w:rsidR="00E94F51" w:rsidRPr="005A7577" w:rsidRDefault="00E94F51" w:rsidP="00D94485">
            <w:pPr>
              <w:pStyle w:val="TableBodyText"/>
            </w:pPr>
            <w:r w:rsidRPr="005A7577">
              <w:t xml:space="preserve">  14.1</w:t>
            </w:r>
          </w:p>
        </w:tc>
        <w:tc>
          <w:tcPr>
            <w:tcW w:w="416" w:type="pct"/>
            <w:gridSpan w:val="2"/>
            <w:shd w:val="clear" w:color="auto" w:fill="auto"/>
            <w:vAlign w:val="center"/>
          </w:tcPr>
          <w:p w:rsidR="00E94F51" w:rsidRPr="005A7577" w:rsidRDefault="00E94F51" w:rsidP="00D94485">
            <w:pPr>
              <w:pStyle w:val="TableBodyText"/>
            </w:pPr>
            <w:r w:rsidRPr="005A7577">
              <w:t xml:space="preserve">  12.0</w:t>
            </w:r>
          </w:p>
        </w:tc>
        <w:tc>
          <w:tcPr>
            <w:tcW w:w="419" w:type="pct"/>
            <w:shd w:val="clear" w:color="auto" w:fill="auto"/>
            <w:vAlign w:val="center"/>
          </w:tcPr>
          <w:p w:rsidR="00E94F51" w:rsidRPr="005A7577" w:rsidRDefault="00E94F51" w:rsidP="00D94485">
            <w:pPr>
              <w:pStyle w:val="TableBodyText"/>
            </w:pPr>
            <w:r w:rsidRPr="005A7577">
              <w:t xml:space="preserve">  15.4</w:t>
            </w:r>
          </w:p>
        </w:tc>
        <w:tc>
          <w:tcPr>
            <w:tcW w:w="420" w:type="pct"/>
            <w:shd w:val="clear" w:color="auto" w:fill="auto"/>
            <w:vAlign w:val="center"/>
          </w:tcPr>
          <w:p w:rsidR="00E94F51" w:rsidRPr="005A7577" w:rsidRDefault="00E94F51" w:rsidP="00D94485">
            <w:pPr>
              <w:pStyle w:val="TableBodyText"/>
            </w:pPr>
            <w:r w:rsidRPr="005A7577">
              <w:t xml:space="preserve">  17.9</w:t>
            </w:r>
          </w:p>
        </w:tc>
        <w:tc>
          <w:tcPr>
            <w:tcW w:w="411" w:type="pct"/>
            <w:gridSpan w:val="2"/>
            <w:shd w:val="clear" w:color="auto" w:fill="auto"/>
            <w:vAlign w:val="center"/>
          </w:tcPr>
          <w:p w:rsidR="00E94F51" w:rsidRPr="005A7577" w:rsidRDefault="00E94F51" w:rsidP="00D94485">
            <w:pPr>
              <w:pStyle w:val="TableBodyText"/>
            </w:pPr>
            <w:proofErr w:type="spellStart"/>
            <w:r>
              <w:t>n</w:t>
            </w:r>
            <w:r w:rsidRPr="005A7577">
              <w:t>a</w:t>
            </w:r>
            <w:proofErr w:type="spellEnd"/>
          </w:p>
        </w:tc>
      </w:tr>
      <w:tr w:rsidR="00E94F51" w:rsidRPr="005A7577" w:rsidTr="00621F85">
        <w:tc>
          <w:tcPr>
            <w:tcW w:w="148" w:type="pct"/>
            <w:shd w:val="clear" w:color="auto" w:fill="auto"/>
          </w:tcPr>
          <w:p w:rsidR="00E94F51" w:rsidRPr="005825CD" w:rsidRDefault="00E94F51" w:rsidP="00D94485">
            <w:pPr>
              <w:pStyle w:val="TableBodyText"/>
              <w:keepNext w:val="0"/>
              <w:jc w:val="left"/>
              <w:rPr>
                <w:vertAlign w:val="superscript"/>
              </w:rPr>
            </w:pPr>
          </w:p>
        </w:tc>
        <w:tc>
          <w:tcPr>
            <w:tcW w:w="942" w:type="pct"/>
            <w:gridSpan w:val="2"/>
            <w:shd w:val="clear" w:color="auto" w:fill="auto"/>
          </w:tcPr>
          <w:p w:rsidR="00E94F51" w:rsidRPr="00152D2E" w:rsidRDefault="00E94F51" w:rsidP="00D94485">
            <w:pPr>
              <w:pStyle w:val="TableBodyText"/>
              <w:keepNext w:val="0"/>
              <w:jc w:val="left"/>
            </w:pPr>
            <w:r w:rsidRPr="00152D2E">
              <w:t>30</w:t>
            </w:r>
            <w:r>
              <w:t>-39</w:t>
            </w:r>
          </w:p>
        </w:tc>
        <w:tc>
          <w:tcPr>
            <w:tcW w:w="437" w:type="pct"/>
            <w:gridSpan w:val="4"/>
            <w:shd w:val="clear" w:color="auto" w:fill="auto"/>
            <w:vAlign w:val="center"/>
          </w:tcPr>
          <w:p w:rsidR="00E94F51" w:rsidRPr="005A7577" w:rsidRDefault="00E94F51" w:rsidP="00D94485">
            <w:pPr>
              <w:pStyle w:val="TableBodyText"/>
            </w:pPr>
            <w:r w:rsidRPr="005A7577">
              <w:t xml:space="preserve">  20.1</w:t>
            </w:r>
          </w:p>
        </w:tc>
        <w:tc>
          <w:tcPr>
            <w:tcW w:w="556" w:type="pct"/>
            <w:gridSpan w:val="4"/>
            <w:shd w:val="clear" w:color="auto" w:fill="auto"/>
            <w:vAlign w:val="center"/>
          </w:tcPr>
          <w:p w:rsidR="00E94F51" w:rsidRPr="005A7577" w:rsidRDefault="00E94F51" w:rsidP="00D94485">
            <w:pPr>
              <w:pStyle w:val="TableBodyText"/>
            </w:pPr>
            <w:r w:rsidRPr="005A7577">
              <w:t xml:space="preserve">  21.3</w:t>
            </w:r>
          </w:p>
        </w:tc>
        <w:tc>
          <w:tcPr>
            <w:tcW w:w="419" w:type="pct"/>
            <w:shd w:val="clear" w:color="auto" w:fill="auto"/>
            <w:vAlign w:val="center"/>
          </w:tcPr>
          <w:p w:rsidR="00E94F51" w:rsidRPr="005A7577" w:rsidRDefault="00E94F51" w:rsidP="00D94485">
            <w:pPr>
              <w:pStyle w:val="TableBodyText"/>
            </w:pPr>
            <w:r w:rsidRPr="005A7577">
              <w:t xml:space="preserve">  20.7</w:t>
            </w:r>
          </w:p>
        </w:tc>
        <w:tc>
          <w:tcPr>
            <w:tcW w:w="416" w:type="pct"/>
            <w:shd w:val="clear" w:color="auto" w:fill="auto"/>
            <w:vAlign w:val="center"/>
          </w:tcPr>
          <w:p w:rsidR="00E94F51" w:rsidRPr="005A7577" w:rsidRDefault="00E94F51" w:rsidP="00D94485">
            <w:pPr>
              <w:pStyle w:val="TableBodyText"/>
            </w:pPr>
            <w:r w:rsidRPr="005A7577">
              <w:t xml:space="preserve">  20.1</w:t>
            </w:r>
          </w:p>
        </w:tc>
        <w:tc>
          <w:tcPr>
            <w:tcW w:w="416" w:type="pct"/>
            <w:shd w:val="clear" w:color="auto" w:fill="auto"/>
            <w:vAlign w:val="center"/>
          </w:tcPr>
          <w:p w:rsidR="00E94F51" w:rsidRPr="005A7577" w:rsidRDefault="00E94F51" w:rsidP="00D94485">
            <w:pPr>
              <w:pStyle w:val="TableBodyText"/>
            </w:pPr>
            <w:r w:rsidRPr="005A7577">
              <w:t xml:space="preserve">  18.9</w:t>
            </w:r>
          </w:p>
        </w:tc>
        <w:tc>
          <w:tcPr>
            <w:tcW w:w="416" w:type="pct"/>
            <w:gridSpan w:val="2"/>
            <w:shd w:val="clear" w:color="auto" w:fill="auto"/>
            <w:vAlign w:val="center"/>
          </w:tcPr>
          <w:p w:rsidR="00E94F51" w:rsidRPr="005A7577" w:rsidRDefault="00E94F51" w:rsidP="00D94485">
            <w:pPr>
              <w:pStyle w:val="TableBodyText"/>
            </w:pPr>
            <w:r w:rsidRPr="005A7577">
              <w:t xml:space="preserve">  15.5</w:t>
            </w:r>
          </w:p>
        </w:tc>
        <w:tc>
          <w:tcPr>
            <w:tcW w:w="419" w:type="pct"/>
            <w:shd w:val="clear" w:color="auto" w:fill="auto"/>
            <w:vAlign w:val="center"/>
          </w:tcPr>
          <w:p w:rsidR="00E94F51" w:rsidRPr="005A7577" w:rsidRDefault="00E94F51" w:rsidP="00D94485">
            <w:pPr>
              <w:pStyle w:val="TableBodyText"/>
            </w:pPr>
            <w:r w:rsidRPr="005A7577">
              <w:t xml:space="preserve">  21.7</w:t>
            </w:r>
          </w:p>
        </w:tc>
        <w:tc>
          <w:tcPr>
            <w:tcW w:w="420" w:type="pct"/>
            <w:shd w:val="clear" w:color="auto" w:fill="auto"/>
            <w:vAlign w:val="center"/>
          </w:tcPr>
          <w:p w:rsidR="00E94F51" w:rsidRPr="005A7577" w:rsidRDefault="00E94F51" w:rsidP="00D94485">
            <w:pPr>
              <w:pStyle w:val="TableBodyText"/>
            </w:pPr>
            <w:r w:rsidRPr="005A7577">
              <w:t xml:space="preserve">  25.6</w:t>
            </w:r>
          </w:p>
        </w:tc>
        <w:tc>
          <w:tcPr>
            <w:tcW w:w="411" w:type="pct"/>
            <w:gridSpan w:val="2"/>
            <w:shd w:val="clear" w:color="auto" w:fill="auto"/>
            <w:vAlign w:val="center"/>
          </w:tcPr>
          <w:p w:rsidR="00E94F51" w:rsidRPr="005A7577" w:rsidRDefault="00E94F51" w:rsidP="00D94485">
            <w:pPr>
              <w:pStyle w:val="TableBodyText"/>
            </w:pPr>
            <w:proofErr w:type="spellStart"/>
            <w:r>
              <w:t>na</w:t>
            </w:r>
            <w:proofErr w:type="spellEnd"/>
          </w:p>
        </w:tc>
      </w:tr>
      <w:tr w:rsidR="00E94F51" w:rsidRPr="005A7577" w:rsidTr="00621F85">
        <w:tc>
          <w:tcPr>
            <w:tcW w:w="148" w:type="pct"/>
            <w:shd w:val="clear" w:color="auto" w:fill="auto"/>
          </w:tcPr>
          <w:p w:rsidR="00E94F51" w:rsidRPr="005825CD" w:rsidRDefault="00E94F51" w:rsidP="00D94485">
            <w:pPr>
              <w:pStyle w:val="TableBodyText"/>
              <w:keepNext w:val="0"/>
              <w:jc w:val="left"/>
              <w:rPr>
                <w:vertAlign w:val="superscript"/>
              </w:rPr>
            </w:pPr>
          </w:p>
        </w:tc>
        <w:tc>
          <w:tcPr>
            <w:tcW w:w="942" w:type="pct"/>
            <w:gridSpan w:val="2"/>
            <w:shd w:val="clear" w:color="auto" w:fill="auto"/>
          </w:tcPr>
          <w:p w:rsidR="00E94F51" w:rsidRPr="007E4F4D" w:rsidRDefault="00E94F51" w:rsidP="00D94485">
            <w:pPr>
              <w:pStyle w:val="TableBodyText"/>
              <w:keepNext w:val="0"/>
              <w:jc w:val="left"/>
            </w:pPr>
            <w:r w:rsidRPr="007E4F4D">
              <w:t>40-49</w:t>
            </w:r>
          </w:p>
        </w:tc>
        <w:tc>
          <w:tcPr>
            <w:tcW w:w="437" w:type="pct"/>
            <w:gridSpan w:val="4"/>
            <w:shd w:val="clear" w:color="auto" w:fill="auto"/>
            <w:vAlign w:val="center"/>
          </w:tcPr>
          <w:p w:rsidR="00E94F51" w:rsidRPr="005A7577" w:rsidRDefault="00E94F51" w:rsidP="00D94485">
            <w:pPr>
              <w:pStyle w:val="TableBodyText"/>
            </w:pPr>
            <w:r w:rsidRPr="005A7577">
              <w:t xml:space="preserve">  24.5</w:t>
            </w:r>
          </w:p>
        </w:tc>
        <w:tc>
          <w:tcPr>
            <w:tcW w:w="556" w:type="pct"/>
            <w:gridSpan w:val="4"/>
            <w:shd w:val="clear" w:color="auto" w:fill="auto"/>
            <w:vAlign w:val="center"/>
          </w:tcPr>
          <w:p w:rsidR="00E94F51" w:rsidRPr="005A7577" w:rsidRDefault="00E94F51" w:rsidP="00D94485">
            <w:pPr>
              <w:pStyle w:val="TableBodyText"/>
            </w:pPr>
            <w:r w:rsidRPr="005A7577">
              <w:t xml:space="preserve">  25.9</w:t>
            </w:r>
          </w:p>
        </w:tc>
        <w:tc>
          <w:tcPr>
            <w:tcW w:w="419" w:type="pct"/>
            <w:shd w:val="clear" w:color="auto" w:fill="auto"/>
            <w:vAlign w:val="center"/>
          </w:tcPr>
          <w:p w:rsidR="00E94F51" w:rsidRPr="005A7577" w:rsidRDefault="00E94F51" w:rsidP="00D94485">
            <w:pPr>
              <w:pStyle w:val="TableBodyText"/>
            </w:pPr>
            <w:r w:rsidRPr="005A7577">
              <w:t xml:space="preserve">  27.8</w:t>
            </w:r>
          </w:p>
        </w:tc>
        <w:tc>
          <w:tcPr>
            <w:tcW w:w="416" w:type="pct"/>
            <w:shd w:val="clear" w:color="auto" w:fill="auto"/>
            <w:vAlign w:val="center"/>
          </w:tcPr>
          <w:p w:rsidR="00E94F51" w:rsidRPr="005A7577" w:rsidRDefault="00E94F51" w:rsidP="00D94485">
            <w:pPr>
              <w:pStyle w:val="TableBodyText"/>
            </w:pPr>
            <w:r w:rsidRPr="005A7577">
              <w:t xml:space="preserve">  26.7</w:t>
            </w:r>
          </w:p>
        </w:tc>
        <w:tc>
          <w:tcPr>
            <w:tcW w:w="416" w:type="pct"/>
            <w:shd w:val="clear" w:color="auto" w:fill="auto"/>
            <w:vAlign w:val="center"/>
          </w:tcPr>
          <w:p w:rsidR="00E94F51" w:rsidRPr="005A7577" w:rsidRDefault="00E94F51" w:rsidP="00D94485">
            <w:pPr>
              <w:pStyle w:val="TableBodyText"/>
            </w:pPr>
            <w:r w:rsidRPr="005A7577">
              <w:t xml:space="preserve">  26.7</w:t>
            </w:r>
          </w:p>
        </w:tc>
        <w:tc>
          <w:tcPr>
            <w:tcW w:w="416" w:type="pct"/>
            <w:gridSpan w:val="2"/>
            <w:shd w:val="clear" w:color="auto" w:fill="auto"/>
            <w:vAlign w:val="center"/>
          </w:tcPr>
          <w:p w:rsidR="00E94F51" w:rsidRPr="005A7577" w:rsidRDefault="00E94F51" w:rsidP="00D94485">
            <w:pPr>
              <w:pStyle w:val="TableBodyText"/>
            </w:pPr>
            <w:r w:rsidRPr="005A7577">
              <w:t xml:space="preserve">  27.7</w:t>
            </w:r>
          </w:p>
        </w:tc>
        <w:tc>
          <w:tcPr>
            <w:tcW w:w="419" w:type="pct"/>
            <w:shd w:val="clear" w:color="auto" w:fill="auto"/>
            <w:vAlign w:val="center"/>
          </w:tcPr>
          <w:p w:rsidR="00E94F51" w:rsidRPr="005A7577" w:rsidRDefault="00E94F51" w:rsidP="00D94485">
            <w:pPr>
              <w:pStyle w:val="TableBodyText"/>
            </w:pPr>
            <w:r w:rsidRPr="005A7577">
              <w:t xml:space="preserve">  25.6</w:t>
            </w:r>
          </w:p>
        </w:tc>
        <w:tc>
          <w:tcPr>
            <w:tcW w:w="420" w:type="pct"/>
            <w:shd w:val="clear" w:color="auto" w:fill="auto"/>
            <w:vAlign w:val="center"/>
          </w:tcPr>
          <w:p w:rsidR="00E94F51" w:rsidRPr="005A7577" w:rsidRDefault="00E94F51" w:rsidP="00D94485">
            <w:pPr>
              <w:pStyle w:val="TableBodyText"/>
            </w:pPr>
            <w:r w:rsidRPr="005A7577">
              <w:t xml:space="preserve">  22.8</w:t>
            </w:r>
          </w:p>
        </w:tc>
        <w:tc>
          <w:tcPr>
            <w:tcW w:w="411" w:type="pct"/>
            <w:gridSpan w:val="2"/>
            <w:shd w:val="clear" w:color="auto" w:fill="auto"/>
            <w:vAlign w:val="center"/>
          </w:tcPr>
          <w:p w:rsidR="00E94F51" w:rsidRPr="005A7577" w:rsidRDefault="00E94F51" w:rsidP="00D94485">
            <w:pPr>
              <w:pStyle w:val="TableBodyText"/>
            </w:pPr>
            <w:proofErr w:type="spellStart"/>
            <w:r>
              <w:t>na</w:t>
            </w:r>
            <w:proofErr w:type="spellEnd"/>
          </w:p>
        </w:tc>
      </w:tr>
      <w:tr w:rsidR="00E94F51" w:rsidRPr="005A7577" w:rsidTr="00621F85">
        <w:tc>
          <w:tcPr>
            <w:tcW w:w="148" w:type="pct"/>
            <w:shd w:val="clear" w:color="auto" w:fill="auto"/>
          </w:tcPr>
          <w:p w:rsidR="00E94F51" w:rsidRPr="005825CD" w:rsidRDefault="00E94F51" w:rsidP="00D94485">
            <w:pPr>
              <w:pStyle w:val="TableBodyText"/>
              <w:keepNext w:val="0"/>
              <w:jc w:val="left"/>
              <w:rPr>
                <w:vertAlign w:val="superscript"/>
              </w:rPr>
            </w:pPr>
          </w:p>
        </w:tc>
        <w:tc>
          <w:tcPr>
            <w:tcW w:w="942" w:type="pct"/>
            <w:gridSpan w:val="2"/>
            <w:shd w:val="clear" w:color="auto" w:fill="auto"/>
          </w:tcPr>
          <w:p w:rsidR="00E94F51" w:rsidRPr="007E4F4D" w:rsidRDefault="00E94F51" w:rsidP="00D94485">
            <w:pPr>
              <w:pStyle w:val="TableBodyText"/>
              <w:keepNext w:val="0"/>
              <w:jc w:val="left"/>
            </w:pPr>
            <w:r w:rsidRPr="007E4F4D">
              <w:t>50-59</w:t>
            </w:r>
          </w:p>
        </w:tc>
        <w:tc>
          <w:tcPr>
            <w:tcW w:w="437" w:type="pct"/>
            <w:gridSpan w:val="4"/>
            <w:shd w:val="clear" w:color="auto" w:fill="auto"/>
            <w:vAlign w:val="center"/>
          </w:tcPr>
          <w:p w:rsidR="00E94F51" w:rsidRPr="005A7577" w:rsidRDefault="00E94F51" w:rsidP="00D94485">
            <w:pPr>
              <w:pStyle w:val="TableBodyText"/>
            </w:pPr>
            <w:r w:rsidRPr="005A7577">
              <w:t xml:space="preserve">  30.3</w:t>
            </w:r>
          </w:p>
        </w:tc>
        <w:tc>
          <w:tcPr>
            <w:tcW w:w="556" w:type="pct"/>
            <w:gridSpan w:val="4"/>
            <w:shd w:val="clear" w:color="auto" w:fill="auto"/>
            <w:vAlign w:val="center"/>
          </w:tcPr>
          <w:p w:rsidR="00E94F51" w:rsidRPr="005A7577" w:rsidRDefault="00E94F51" w:rsidP="00D94485">
            <w:pPr>
              <w:pStyle w:val="TableBodyText"/>
            </w:pPr>
            <w:r w:rsidRPr="005A7577">
              <w:t xml:space="preserve">  26.3</w:t>
            </w:r>
          </w:p>
        </w:tc>
        <w:tc>
          <w:tcPr>
            <w:tcW w:w="419" w:type="pct"/>
            <w:shd w:val="clear" w:color="auto" w:fill="auto"/>
            <w:vAlign w:val="center"/>
          </w:tcPr>
          <w:p w:rsidR="00E94F51" w:rsidRPr="005A7577" w:rsidRDefault="00E94F51" w:rsidP="00D94485">
            <w:pPr>
              <w:pStyle w:val="TableBodyText"/>
            </w:pPr>
            <w:r w:rsidRPr="005A7577">
              <w:t xml:space="preserve">  26.7</w:t>
            </w:r>
          </w:p>
        </w:tc>
        <w:tc>
          <w:tcPr>
            <w:tcW w:w="416" w:type="pct"/>
            <w:shd w:val="clear" w:color="auto" w:fill="auto"/>
            <w:vAlign w:val="center"/>
          </w:tcPr>
          <w:p w:rsidR="00E94F51" w:rsidRPr="005A7577" w:rsidRDefault="00E94F51" w:rsidP="00D94485">
            <w:pPr>
              <w:pStyle w:val="TableBodyText"/>
            </w:pPr>
            <w:r w:rsidRPr="005A7577">
              <w:t xml:space="preserve">  26.8</w:t>
            </w:r>
          </w:p>
        </w:tc>
        <w:tc>
          <w:tcPr>
            <w:tcW w:w="416" w:type="pct"/>
            <w:shd w:val="clear" w:color="auto" w:fill="auto"/>
            <w:vAlign w:val="center"/>
          </w:tcPr>
          <w:p w:rsidR="00E94F51" w:rsidRPr="005A7577" w:rsidRDefault="00E94F51" w:rsidP="00D94485">
            <w:pPr>
              <w:pStyle w:val="TableBodyText"/>
            </w:pPr>
            <w:r w:rsidRPr="005A7577">
              <w:t xml:space="preserve">  31.0</w:t>
            </w:r>
          </w:p>
        </w:tc>
        <w:tc>
          <w:tcPr>
            <w:tcW w:w="416" w:type="pct"/>
            <w:gridSpan w:val="2"/>
            <w:shd w:val="clear" w:color="auto" w:fill="auto"/>
            <w:vAlign w:val="center"/>
          </w:tcPr>
          <w:p w:rsidR="00E94F51" w:rsidRPr="005A7577" w:rsidRDefault="00E94F51" w:rsidP="00D94485">
            <w:pPr>
              <w:pStyle w:val="TableBodyText"/>
            </w:pPr>
            <w:r w:rsidRPr="005A7577">
              <w:t xml:space="preserve">  34.2</w:t>
            </w:r>
          </w:p>
        </w:tc>
        <w:tc>
          <w:tcPr>
            <w:tcW w:w="419" w:type="pct"/>
            <w:shd w:val="clear" w:color="auto" w:fill="auto"/>
            <w:vAlign w:val="center"/>
          </w:tcPr>
          <w:p w:rsidR="00E94F51" w:rsidRPr="005A7577" w:rsidRDefault="00E94F51" w:rsidP="00D94485">
            <w:pPr>
              <w:pStyle w:val="TableBodyText"/>
            </w:pPr>
            <w:r w:rsidRPr="005A7577">
              <w:t xml:space="preserve">  28.3</w:t>
            </w:r>
          </w:p>
        </w:tc>
        <w:tc>
          <w:tcPr>
            <w:tcW w:w="420" w:type="pct"/>
            <w:shd w:val="clear" w:color="auto" w:fill="auto"/>
            <w:vAlign w:val="center"/>
          </w:tcPr>
          <w:p w:rsidR="00E94F51" w:rsidRPr="005A7577" w:rsidRDefault="00E94F51" w:rsidP="00D94485">
            <w:pPr>
              <w:pStyle w:val="TableBodyText"/>
            </w:pPr>
            <w:r w:rsidRPr="005A7577">
              <w:t xml:space="preserve">  25.3</w:t>
            </w:r>
          </w:p>
        </w:tc>
        <w:tc>
          <w:tcPr>
            <w:tcW w:w="411" w:type="pct"/>
            <w:gridSpan w:val="2"/>
            <w:shd w:val="clear" w:color="auto" w:fill="auto"/>
            <w:vAlign w:val="center"/>
          </w:tcPr>
          <w:p w:rsidR="00E94F51" w:rsidRPr="005A7577" w:rsidRDefault="00E94F51" w:rsidP="00D94485">
            <w:pPr>
              <w:pStyle w:val="TableBodyText"/>
            </w:pPr>
            <w:proofErr w:type="spellStart"/>
            <w:r>
              <w:t>na</w:t>
            </w:r>
            <w:proofErr w:type="spellEnd"/>
          </w:p>
        </w:tc>
      </w:tr>
      <w:tr w:rsidR="00E94F51" w:rsidRPr="005A7577" w:rsidTr="00621F85">
        <w:tc>
          <w:tcPr>
            <w:tcW w:w="148" w:type="pct"/>
            <w:shd w:val="clear" w:color="auto" w:fill="auto"/>
          </w:tcPr>
          <w:p w:rsidR="00E94F51" w:rsidRPr="005825CD" w:rsidRDefault="00E94F51" w:rsidP="00D94485">
            <w:pPr>
              <w:pStyle w:val="TableBodyText"/>
              <w:keepNext w:val="0"/>
              <w:jc w:val="left"/>
              <w:rPr>
                <w:vertAlign w:val="superscript"/>
              </w:rPr>
            </w:pPr>
          </w:p>
        </w:tc>
        <w:tc>
          <w:tcPr>
            <w:tcW w:w="942" w:type="pct"/>
            <w:gridSpan w:val="2"/>
            <w:shd w:val="clear" w:color="auto" w:fill="auto"/>
          </w:tcPr>
          <w:p w:rsidR="00E94F51" w:rsidRPr="007E4F4D" w:rsidRDefault="00E94F51" w:rsidP="00D94485">
            <w:pPr>
              <w:pStyle w:val="TableBodyText"/>
              <w:keepNext w:val="0"/>
              <w:jc w:val="left"/>
            </w:pPr>
            <w:r w:rsidRPr="007E4F4D">
              <w:t>60+</w:t>
            </w:r>
          </w:p>
        </w:tc>
        <w:tc>
          <w:tcPr>
            <w:tcW w:w="437" w:type="pct"/>
            <w:gridSpan w:val="4"/>
            <w:shd w:val="clear" w:color="auto" w:fill="auto"/>
            <w:vAlign w:val="center"/>
          </w:tcPr>
          <w:p w:rsidR="00E94F51" w:rsidRPr="005A7577" w:rsidRDefault="00E94F51" w:rsidP="00D94485">
            <w:pPr>
              <w:pStyle w:val="TableBodyText"/>
            </w:pPr>
            <w:r w:rsidRPr="005A7577">
              <w:t xml:space="preserve">  11.2</w:t>
            </w:r>
          </w:p>
        </w:tc>
        <w:tc>
          <w:tcPr>
            <w:tcW w:w="556" w:type="pct"/>
            <w:gridSpan w:val="4"/>
            <w:shd w:val="clear" w:color="auto" w:fill="auto"/>
            <w:vAlign w:val="center"/>
          </w:tcPr>
          <w:p w:rsidR="00E94F51" w:rsidRPr="005A7577" w:rsidRDefault="00E94F51" w:rsidP="00D94485">
            <w:pPr>
              <w:pStyle w:val="TableBodyText"/>
            </w:pPr>
            <w:r w:rsidRPr="005A7577">
              <w:t xml:space="preserve">  9.5</w:t>
            </w:r>
          </w:p>
        </w:tc>
        <w:tc>
          <w:tcPr>
            <w:tcW w:w="419" w:type="pct"/>
            <w:shd w:val="clear" w:color="auto" w:fill="auto"/>
            <w:vAlign w:val="center"/>
          </w:tcPr>
          <w:p w:rsidR="00E94F51" w:rsidRPr="005A7577" w:rsidRDefault="00E94F51" w:rsidP="00D94485">
            <w:pPr>
              <w:pStyle w:val="TableBodyText"/>
            </w:pPr>
            <w:r w:rsidRPr="005A7577">
              <w:t xml:space="preserve">  10.0</w:t>
            </w:r>
          </w:p>
        </w:tc>
        <w:tc>
          <w:tcPr>
            <w:tcW w:w="416" w:type="pct"/>
            <w:shd w:val="clear" w:color="auto" w:fill="auto"/>
            <w:vAlign w:val="center"/>
          </w:tcPr>
          <w:p w:rsidR="00E94F51" w:rsidRPr="005A7577" w:rsidRDefault="00E94F51" w:rsidP="00D94485">
            <w:pPr>
              <w:pStyle w:val="TableBodyText"/>
            </w:pPr>
            <w:r w:rsidRPr="005A7577">
              <w:t xml:space="preserve">  10.4</w:t>
            </w:r>
          </w:p>
        </w:tc>
        <w:tc>
          <w:tcPr>
            <w:tcW w:w="416" w:type="pct"/>
            <w:shd w:val="clear" w:color="auto" w:fill="auto"/>
            <w:vAlign w:val="center"/>
          </w:tcPr>
          <w:p w:rsidR="00E94F51" w:rsidRPr="005A7577" w:rsidRDefault="00E94F51" w:rsidP="00D94485">
            <w:pPr>
              <w:pStyle w:val="TableBodyText"/>
            </w:pPr>
            <w:r w:rsidRPr="005A7577">
              <w:t xml:space="preserve">  9.3</w:t>
            </w:r>
          </w:p>
        </w:tc>
        <w:tc>
          <w:tcPr>
            <w:tcW w:w="416" w:type="pct"/>
            <w:gridSpan w:val="2"/>
            <w:shd w:val="clear" w:color="auto" w:fill="auto"/>
            <w:vAlign w:val="center"/>
          </w:tcPr>
          <w:p w:rsidR="00E94F51" w:rsidRPr="005A7577" w:rsidRDefault="00E94F51" w:rsidP="00D94485">
            <w:pPr>
              <w:pStyle w:val="TableBodyText"/>
            </w:pPr>
            <w:r w:rsidRPr="005A7577">
              <w:t xml:space="preserve">  10.6</w:t>
            </w:r>
          </w:p>
        </w:tc>
        <w:tc>
          <w:tcPr>
            <w:tcW w:w="419" w:type="pct"/>
            <w:shd w:val="clear" w:color="auto" w:fill="auto"/>
            <w:vAlign w:val="center"/>
          </w:tcPr>
          <w:p w:rsidR="00E94F51" w:rsidRPr="005A7577" w:rsidRDefault="00E94F51" w:rsidP="00D94485">
            <w:pPr>
              <w:pStyle w:val="TableBodyText"/>
            </w:pPr>
            <w:r w:rsidRPr="005A7577">
              <w:t xml:space="preserve">  9.0</w:t>
            </w:r>
          </w:p>
        </w:tc>
        <w:tc>
          <w:tcPr>
            <w:tcW w:w="420" w:type="pct"/>
            <w:shd w:val="clear" w:color="auto" w:fill="auto"/>
            <w:vAlign w:val="center"/>
          </w:tcPr>
          <w:p w:rsidR="00E94F51" w:rsidRPr="005A7577" w:rsidRDefault="00E94F51" w:rsidP="00D94485">
            <w:pPr>
              <w:pStyle w:val="TableBodyText"/>
            </w:pPr>
            <w:r w:rsidRPr="005A7577">
              <w:t xml:space="preserve">  8.4</w:t>
            </w:r>
          </w:p>
        </w:tc>
        <w:tc>
          <w:tcPr>
            <w:tcW w:w="411" w:type="pct"/>
            <w:gridSpan w:val="2"/>
            <w:shd w:val="clear" w:color="auto" w:fill="auto"/>
            <w:vAlign w:val="center"/>
          </w:tcPr>
          <w:p w:rsidR="00E94F51" w:rsidRPr="005A7577" w:rsidRDefault="00E94F51" w:rsidP="00D94485">
            <w:pPr>
              <w:pStyle w:val="TableBodyText"/>
            </w:pPr>
            <w:proofErr w:type="spellStart"/>
            <w:r>
              <w:t>na</w:t>
            </w:r>
            <w:proofErr w:type="spellEnd"/>
          </w:p>
        </w:tc>
      </w:tr>
      <w:tr w:rsidR="00F44BBF" w:rsidRPr="005825CD" w:rsidTr="00F44BBF">
        <w:trPr>
          <w:trHeight w:val="273"/>
        </w:trPr>
        <w:tc>
          <w:tcPr>
            <w:tcW w:w="5000" w:type="pct"/>
            <w:gridSpan w:val="20"/>
            <w:shd w:val="clear" w:color="auto" w:fill="auto"/>
          </w:tcPr>
          <w:p w:rsidR="00F44BBF" w:rsidRPr="00517A92" w:rsidRDefault="00F44BBF" w:rsidP="00E759C3">
            <w:pPr>
              <w:pStyle w:val="TableBodyText"/>
              <w:keepNext w:val="0"/>
              <w:jc w:val="left"/>
            </w:pPr>
            <w:r w:rsidRPr="005825CD">
              <w:t xml:space="preserve">  </w:t>
            </w:r>
            <w:r>
              <w:t xml:space="preserve">Medical practitioner workforce by age </w:t>
            </w:r>
            <w:r w:rsidR="00621F85">
              <w:t>group (per cent)</w:t>
            </w:r>
            <w:r w:rsidR="00621F85" w:rsidRPr="005825CD">
              <w:t xml:space="preserve">, </w:t>
            </w:r>
            <w:r w:rsidRPr="00807A47">
              <w:t>2012</w:t>
            </w:r>
          </w:p>
        </w:tc>
      </w:tr>
      <w:tr w:rsidR="00F44BBF" w:rsidRPr="00B817EA" w:rsidTr="00621F85">
        <w:tc>
          <w:tcPr>
            <w:tcW w:w="165" w:type="pct"/>
            <w:gridSpan w:val="2"/>
            <w:shd w:val="clear" w:color="auto" w:fill="auto"/>
          </w:tcPr>
          <w:p w:rsidR="00F44BBF" w:rsidRPr="005825CD" w:rsidRDefault="00F44BBF" w:rsidP="00E759C3">
            <w:pPr>
              <w:pStyle w:val="TableBodyText"/>
              <w:keepNext w:val="0"/>
              <w:jc w:val="left"/>
              <w:rPr>
                <w:vertAlign w:val="superscript"/>
              </w:rPr>
            </w:pPr>
          </w:p>
        </w:tc>
        <w:tc>
          <w:tcPr>
            <w:tcW w:w="940" w:type="pct"/>
            <w:gridSpan w:val="2"/>
            <w:shd w:val="clear" w:color="auto" w:fill="auto"/>
          </w:tcPr>
          <w:p w:rsidR="00F44BBF" w:rsidRPr="00152D2E" w:rsidRDefault="00F44BBF" w:rsidP="00E759C3">
            <w:pPr>
              <w:pStyle w:val="TableBodyText"/>
              <w:keepNext w:val="0"/>
              <w:jc w:val="left"/>
            </w:pPr>
            <w:r>
              <w:t>&lt;30</w:t>
            </w:r>
          </w:p>
        </w:tc>
        <w:tc>
          <w:tcPr>
            <w:tcW w:w="433" w:type="pct"/>
            <w:gridSpan w:val="4"/>
            <w:shd w:val="clear" w:color="auto" w:fill="auto"/>
            <w:vAlign w:val="center"/>
          </w:tcPr>
          <w:p w:rsidR="00F44BBF" w:rsidRPr="005A7577" w:rsidRDefault="00F44BBF" w:rsidP="00E759C3">
            <w:pPr>
              <w:pStyle w:val="TableBodyText"/>
            </w:pPr>
            <w:r w:rsidRPr="005A7577">
              <w:t xml:space="preserve">  7.7</w:t>
            </w:r>
          </w:p>
        </w:tc>
        <w:tc>
          <w:tcPr>
            <w:tcW w:w="428" w:type="pct"/>
            <w:gridSpan w:val="2"/>
            <w:shd w:val="clear" w:color="auto" w:fill="auto"/>
            <w:vAlign w:val="center"/>
          </w:tcPr>
          <w:p w:rsidR="00F44BBF" w:rsidRPr="005A7577" w:rsidRDefault="00F44BBF" w:rsidP="00E759C3">
            <w:pPr>
              <w:pStyle w:val="TableBodyText"/>
            </w:pPr>
            <w:r w:rsidRPr="005A7577">
              <w:t xml:space="preserve">  10.3</w:t>
            </w:r>
          </w:p>
        </w:tc>
        <w:tc>
          <w:tcPr>
            <w:tcW w:w="536" w:type="pct"/>
            <w:gridSpan w:val="2"/>
            <w:shd w:val="clear" w:color="auto" w:fill="auto"/>
            <w:vAlign w:val="center"/>
          </w:tcPr>
          <w:p w:rsidR="00F44BBF" w:rsidRPr="005A7577" w:rsidRDefault="00F44BBF" w:rsidP="00E759C3">
            <w:pPr>
              <w:pStyle w:val="TableBodyText"/>
            </w:pPr>
            <w:r w:rsidRPr="005A7577">
              <w:t xml:space="preserve">  9.5</w:t>
            </w:r>
          </w:p>
        </w:tc>
        <w:tc>
          <w:tcPr>
            <w:tcW w:w="416" w:type="pct"/>
            <w:shd w:val="clear" w:color="auto" w:fill="auto"/>
            <w:vAlign w:val="center"/>
          </w:tcPr>
          <w:p w:rsidR="00F44BBF" w:rsidRPr="005A7577" w:rsidRDefault="00F44BBF" w:rsidP="00E759C3">
            <w:pPr>
              <w:pStyle w:val="TableBodyText"/>
            </w:pPr>
            <w:r w:rsidRPr="005A7577">
              <w:t xml:space="preserve">  11.7</w:t>
            </w:r>
          </w:p>
        </w:tc>
        <w:tc>
          <w:tcPr>
            <w:tcW w:w="416" w:type="pct"/>
            <w:shd w:val="clear" w:color="auto" w:fill="auto"/>
            <w:vAlign w:val="center"/>
          </w:tcPr>
          <w:p w:rsidR="00F44BBF" w:rsidRPr="005A7577" w:rsidRDefault="00F44BBF" w:rsidP="00E759C3">
            <w:pPr>
              <w:pStyle w:val="TableBodyText"/>
            </w:pPr>
            <w:r w:rsidRPr="005A7577">
              <w:t xml:space="preserve">  10.0</w:t>
            </w:r>
          </w:p>
        </w:tc>
        <w:tc>
          <w:tcPr>
            <w:tcW w:w="363" w:type="pct"/>
            <w:shd w:val="clear" w:color="auto" w:fill="auto"/>
            <w:vAlign w:val="center"/>
          </w:tcPr>
          <w:p w:rsidR="00F44BBF" w:rsidRPr="005A7577" w:rsidRDefault="00F44BBF" w:rsidP="00E759C3">
            <w:pPr>
              <w:pStyle w:val="TableBodyText"/>
            </w:pPr>
            <w:r w:rsidRPr="005A7577">
              <w:t xml:space="preserve">  8.6</w:t>
            </w:r>
          </w:p>
        </w:tc>
        <w:tc>
          <w:tcPr>
            <w:tcW w:w="472" w:type="pct"/>
            <w:gridSpan w:val="2"/>
            <w:shd w:val="clear" w:color="auto" w:fill="auto"/>
            <w:vAlign w:val="center"/>
          </w:tcPr>
          <w:p w:rsidR="00F44BBF" w:rsidRPr="005A7577" w:rsidRDefault="00F44BBF" w:rsidP="00E759C3">
            <w:pPr>
              <w:pStyle w:val="TableBodyText"/>
            </w:pPr>
            <w:r w:rsidRPr="005A7577">
              <w:t xml:space="preserve">  7.0</w:t>
            </w:r>
          </w:p>
        </w:tc>
        <w:tc>
          <w:tcPr>
            <w:tcW w:w="420" w:type="pct"/>
            <w:shd w:val="clear" w:color="auto" w:fill="auto"/>
            <w:vAlign w:val="center"/>
          </w:tcPr>
          <w:p w:rsidR="00F44BBF" w:rsidRPr="005A7577" w:rsidRDefault="00F44BBF" w:rsidP="00E759C3">
            <w:pPr>
              <w:pStyle w:val="TableBodyText"/>
            </w:pPr>
            <w:r w:rsidRPr="005A7577">
              <w:t xml:space="preserve">  9.6</w:t>
            </w:r>
          </w:p>
        </w:tc>
        <w:tc>
          <w:tcPr>
            <w:tcW w:w="411" w:type="pct"/>
            <w:gridSpan w:val="2"/>
            <w:shd w:val="clear" w:color="auto" w:fill="auto"/>
            <w:vAlign w:val="center"/>
          </w:tcPr>
          <w:p w:rsidR="00F44BBF" w:rsidRPr="005A7577" w:rsidRDefault="00F44BBF" w:rsidP="00E759C3">
            <w:pPr>
              <w:pStyle w:val="TableBodyText"/>
            </w:pPr>
            <w:proofErr w:type="spellStart"/>
            <w:r>
              <w:t>na</w:t>
            </w:r>
            <w:proofErr w:type="spellEnd"/>
          </w:p>
        </w:tc>
      </w:tr>
      <w:tr w:rsidR="00F44BBF" w:rsidRPr="00B817EA" w:rsidTr="00621F85">
        <w:tc>
          <w:tcPr>
            <w:tcW w:w="165" w:type="pct"/>
            <w:gridSpan w:val="2"/>
            <w:shd w:val="clear" w:color="auto" w:fill="auto"/>
          </w:tcPr>
          <w:p w:rsidR="00F44BBF" w:rsidRPr="005825CD" w:rsidRDefault="00F44BBF" w:rsidP="00E759C3">
            <w:pPr>
              <w:pStyle w:val="TableBodyText"/>
              <w:keepNext w:val="0"/>
              <w:jc w:val="left"/>
              <w:rPr>
                <w:vertAlign w:val="superscript"/>
              </w:rPr>
            </w:pPr>
          </w:p>
        </w:tc>
        <w:tc>
          <w:tcPr>
            <w:tcW w:w="940" w:type="pct"/>
            <w:gridSpan w:val="2"/>
            <w:shd w:val="clear" w:color="auto" w:fill="auto"/>
          </w:tcPr>
          <w:p w:rsidR="00F44BBF" w:rsidRPr="00152D2E" w:rsidRDefault="00F44BBF" w:rsidP="00E759C3">
            <w:pPr>
              <w:pStyle w:val="TableBodyText"/>
              <w:keepNext w:val="0"/>
              <w:jc w:val="left"/>
            </w:pPr>
            <w:r w:rsidRPr="00152D2E">
              <w:t>30</w:t>
            </w:r>
            <w:r>
              <w:t>-39</w:t>
            </w:r>
          </w:p>
        </w:tc>
        <w:tc>
          <w:tcPr>
            <w:tcW w:w="433" w:type="pct"/>
            <w:gridSpan w:val="4"/>
            <w:shd w:val="clear" w:color="auto" w:fill="auto"/>
            <w:vAlign w:val="center"/>
          </w:tcPr>
          <w:p w:rsidR="00F44BBF" w:rsidRPr="005A7577" w:rsidRDefault="00F44BBF" w:rsidP="00E759C3">
            <w:pPr>
              <w:pStyle w:val="TableBodyText"/>
            </w:pPr>
            <w:r w:rsidRPr="005A7577">
              <w:t xml:space="preserve">  26.7</w:t>
            </w:r>
          </w:p>
        </w:tc>
        <w:tc>
          <w:tcPr>
            <w:tcW w:w="428" w:type="pct"/>
            <w:gridSpan w:val="2"/>
            <w:shd w:val="clear" w:color="auto" w:fill="auto"/>
            <w:vAlign w:val="center"/>
          </w:tcPr>
          <w:p w:rsidR="00F44BBF" w:rsidRPr="005A7577" w:rsidRDefault="00F44BBF" w:rsidP="00E759C3">
            <w:pPr>
              <w:pStyle w:val="TableBodyText"/>
            </w:pPr>
            <w:r w:rsidRPr="005A7577">
              <w:t xml:space="preserve">  28.1</w:t>
            </w:r>
          </w:p>
        </w:tc>
        <w:tc>
          <w:tcPr>
            <w:tcW w:w="536" w:type="pct"/>
            <w:gridSpan w:val="2"/>
            <w:shd w:val="clear" w:color="auto" w:fill="auto"/>
            <w:vAlign w:val="center"/>
          </w:tcPr>
          <w:p w:rsidR="00F44BBF" w:rsidRPr="005A7577" w:rsidRDefault="00F44BBF" w:rsidP="00E759C3">
            <w:pPr>
              <w:pStyle w:val="TableBodyText"/>
            </w:pPr>
            <w:r w:rsidRPr="005A7577">
              <w:t xml:space="preserve">  29.6</w:t>
            </w:r>
          </w:p>
        </w:tc>
        <w:tc>
          <w:tcPr>
            <w:tcW w:w="416" w:type="pct"/>
            <w:shd w:val="clear" w:color="auto" w:fill="auto"/>
            <w:vAlign w:val="center"/>
          </w:tcPr>
          <w:p w:rsidR="00F44BBF" w:rsidRPr="005A7577" w:rsidRDefault="00F44BBF" w:rsidP="00E759C3">
            <w:pPr>
              <w:pStyle w:val="TableBodyText"/>
            </w:pPr>
            <w:r w:rsidRPr="005A7577">
              <w:t xml:space="preserve">  27.9</w:t>
            </w:r>
          </w:p>
        </w:tc>
        <w:tc>
          <w:tcPr>
            <w:tcW w:w="416" w:type="pct"/>
            <w:shd w:val="clear" w:color="auto" w:fill="auto"/>
            <w:vAlign w:val="center"/>
          </w:tcPr>
          <w:p w:rsidR="00F44BBF" w:rsidRPr="005A7577" w:rsidRDefault="00F44BBF" w:rsidP="00E759C3">
            <w:pPr>
              <w:pStyle w:val="TableBodyText"/>
            </w:pPr>
            <w:r w:rsidRPr="005A7577">
              <w:t xml:space="preserve">  27.4</w:t>
            </w:r>
          </w:p>
        </w:tc>
        <w:tc>
          <w:tcPr>
            <w:tcW w:w="363" w:type="pct"/>
            <w:shd w:val="clear" w:color="auto" w:fill="auto"/>
            <w:vAlign w:val="center"/>
          </w:tcPr>
          <w:p w:rsidR="00F44BBF" w:rsidRPr="005A7577" w:rsidRDefault="00F44BBF" w:rsidP="00E759C3">
            <w:pPr>
              <w:pStyle w:val="TableBodyText"/>
            </w:pPr>
            <w:r w:rsidRPr="005A7577">
              <w:t xml:space="preserve">  23.9</w:t>
            </w:r>
          </w:p>
        </w:tc>
        <w:tc>
          <w:tcPr>
            <w:tcW w:w="472" w:type="pct"/>
            <w:gridSpan w:val="2"/>
            <w:shd w:val="clear" w:color="auto" w:fill="auto"/>
            <w:vAlign w:val="center"/>
          </w:tcPr>
          <w:p w:rsidR="00F44BBF" w:rsidRPr="005A7577" w:rsidRDefault="00F44BBF" w:rsidP="00E759C3">
            <w:pPr>
              <w:pStyle w:val="TableBodyText"/>
            </w:pPr>
            <w:r w:rsidRPr="005A7577">
              <w:t xml:space="preserve">  28.1</w:t>
            </w:r>
          </w:p>
        </w:tc>
        <w:tc>
          <w:tcPr>
            <w:tcW w:w="420" w:type="pct"/>
            <w:shd w:val="clear" w:color="auto" w:fill="auto"/>
            <w:vAlign w:val="center"/>
          </w:tcPr>
          <w:p w:rsidR="00F44BBF" w:rsidRPr="005A7577" w:rsidRDefault="00F44BBF" w:rsidP="00E759C3">
            <w:pPr>
              <w:pStyle w:val="TableBodyText"/>
            </w:pPr>
            <w:r w:rsidRPr="005A7577">
              <w:t xml:space="preserve">  35.6</w:t>
            </w:r>
          </w:p>
        </w:tc>
        <w:tc>
          <w:tcPr>
            <w:tcW w:w="411" w:type="pct"/>
            <w:gridSpan w:val="2"/>
            <w:shd w:val="clear" w:color="auto" w:fill="auto"/>
            <w:vAlign w:val="center"/>
          </w:tcPr>
          <w:p w:rsidR="00F44BBF" w:rsidRPr="005A7577" w:rsidRDefault="00F44BBF" w:rsidP="00E759C3">
            <w:pPr>
              <w:pStyle w:val="TableBodyText"/>
            </w:pPr>
            <w:proofErr w:type="spellStart"/>
            <w:r>
              <w:t>na</w:t>
            </w:r>
            <w:proofErr w:type="spellEnd"/>
          </w:p>
        </w:tc>
      </w:tr>
      <w:tr w:rsidR="00F44BBF" w:rsidRPr="00B817EA" w:rsidTr="00621F85">
        <w:tc>
          <w:tcPr>
            <w:tcW w:w="165" w:type="pct"/>
            <w:gridSpan w:val="2"/>
            <w:shd w:val="clear" w:color="auto" w:fill="auto"/>
          </w:tcPr>
          <w:p w:rsidR="00F44BBF" w:rsidRPr="005825CD" w:rsidRDefault="00F44BBF" w:rsidP="00E759C3">
            <w:pPr>
              <w:pStyle w:val="TableBodyText"/>
              <w:keepNext w:val="0"/>
              <w:jc w:val="left"/>
              <w:rPr>
                <w:vertAlign w:val="superscript"/>
              </w:rPr>
            </w:pPr>
          </w:p>
        </w:tc>
        <w:tc>
          <w:tcPr>
            <w:tcW w:w="940" w:type="pct"/>
            <w:gridSpan w:val="2"/>
            <w:shd w:val="clear" w:color="auto" w:fill="auto"/>
          </w:tcPr>
          <w:p w:rsidR="00F44BBF" w:rsidRPr="007E4F4D" w:rsidRDefault="00F44BBF" w:rsidP="00E759C3">
            <w:pPr>
              <w:pStyle w:val="TableBodyText"/>
              <w:keepNext w:val="0"/>
              <w:jc w:val="left"/>
            </w:pPr>
            <w:r w:rsidRPr="007E4F4D">
              <w:t>40-49</w:t>
            </w:r>
          </w:p>
        </w:tc>
        <w:tc>
          <w:tcPr>
            <w:tcW w:w="433" w:type="pct"/>
            <w:gridSpan w:val="4"/>
            <w:shd w:val="clear" w:color="auto" w:fill="auto"/>
            <w:vAlign w:val="center"/>
          </w:tcPr>
          <w:p w:rsidR="00F44BBF" w:rsidRPr="005A7577" w:rsidRDefault="00F44BBF" w:rsidP="00E759C3">
            <w:pPr>
              <w:pStyle w:val="TableBodyText"/>
            </w:pPr>
            <w:r w:rsidRPr="005A7577">
              <w:t xml:space="preserve">  24.5</w:t>
            </w:r>
          </w:p>
        </w:tc>
        <w:tc>
          <w:tcPr>
            <w:tcW w:w="428" w:type="pct"/>
            <w:gridSpan w:val="2"/>
            <w:shd w:val="clear" w:color="auto" w:fill="auto"/>
            <w:vAlign w:val="center"/>
          </w:tcPr>
          <w:p w:rsidR="00F44BBF" w:rsidRPr="005A7577" w:rsidRDefault="00F44BBF" w:rsidP="00E759C3">
            <w:pPr>
              <w:pStyle w:val="TableBodyText"/>
            </w:pPr>
            <w:r w:rsidRPr="005A7577">
              <w:t xml:space="preserve">  24.1</w:t>
            </w:r>
          </w:p>
        </w:tc>
        <w:tc>
          <w:tcPr>
            <w:tcW w:w="536" w:type="pct"/>
            <w:gridSpan w:val="2"/>
            <w:shd w:val="clear" w:color="auto" w:fill="auto"/>
            <w:vAlign w:val="center"/>
          </w:tcPr>
          <w:p w:rsidR="00F44BBF" w:rsidRPr="005A7577" w:rsidRDefault="00F44BBF" w:rsidP="00E759C3">
            <w:pPr>
              <w:pStyle w:val="TableBodyText"/>
            </w:pPr>
            <w:r w:rsidRPr="005A7577">
              <w:t xml:space="preserve">  25.7</w:t>
            </w:r>
          </w:p>
        </w:tc>
        <w:tc>
          <w:tcPr>
            <w:tcW w:w="416" w:type="pct"/>
            <w:shd w:val="clear" w:color="auto" w:fill="auto"/>
            <w:vAlign w:val="center"/>
          </w:tcPr>
          <w:p w:rsidR="00F44BBF" w:rsidRPr="005A7577" w:rsidRDefault="00F44BBF" w:rsidP="00E759C3">
            <w:pPr>
              <w:pStyle w:val="TableBodyText"/>
            </w:pPr>
            <w:r w:rsidRPr="005A7577">
              <w:t xml:space="preserve">  25.4</w:t>
            </w:r>
          </w:p>
        </w:tc>
        <w:tc>
          <w:tcPr>
            <w:tcW w:w="416" w:type="pct"/>
            <w:shd w:val="clear" w:color="auto" w:fill="auto"/>
            <w:vAlign w:val="center"/>
          </w:tcPr>
          <w:p w:rsidR="00F44BBF" w:rsidRPr="005A7577" w:rsidRDefault="00F44BBF" w:rsidP="00E759C3">
            <w:pPr>
              <w:pStyle w:val="TableBodyText"/>
            </w:pPr>
            <w:r w:rsidRPr="005A7577">
              <w:t xml:space="preserve">  24.9</w:t>
            </w:r>
          </w:p>
        </w:tc>
        <w:tc>
          <w:tcPr>
            <w:tcW w:w="363" w:type="pct"/>
            <w:shd w:val="clear" w:color="auto" w:fill="auto"/>
            <w:vAlign w:val="center"/>
          </w:tcPr>
          <w:p w:rsidR="00F44BBF" w:rsidRPr="005A7577" w:rsidRDefault="00F44BBF" w:rsidP="00E759C3">
            <w:pPr>
              <w:pStyle w:val="TableBodyText"/>
            </w:pPr>
            <w:r w:rsidRPr="005A7577">
              <w:t xml:space="preserve">  26.4</w:t>
            </w:r>
          </w:p>
        </w:tc>
        <w:tc>
          <w:tcPr>
            <w:tcW w:w="472" w:type="pct"/>
            <w:gridSpan w:val="2"/>
            <w:shd w:val="clear" w:color="auto" w:fill="auto"/>
            <w:vAlign w:val="center"/>
          </w:tcPr>
          <w:p w:rsidR="00F44BBF" w:rsidRPr="005A7577" w:rsidRDefault="00F44BBF" w:rsidP="00E759C3">
            <w:pPr>
              <w:pStyle w:val="TableBodyText"/>
            </w:pPr>
            <w:r w:rsidRPr="005A7577">
              <w:t xml:space="preserve">  26.6</w:t>
            </w:r>
          </w:p>
        </w:tc>
        <w:tc>
          <w:tcPr>
            <w:tcW w:w="420" w:type="pct"/>
            <w:shd w:val="clear" w:color="auto" w:fill="auto"/>
            <w:vAlign w:val="center"/>
          </w:tcPr>
          <w:p w:rsidR="00F44BBF" w:rsidRPr="005A7577" w:rsidRDefault="00F44BBF" w:rsidP="00E759C3">
            <w:pPr>
              <w:pStyle w:val="TableBodyText"/>
            </w:pPr>
            <w:r w:rsidRPr="005A7577">
              <w:t xml:space="preserve">  24.4</w:t>
            </w:r>
          </w:p>
        </w:tc>
        <w:tc>
          <w:tcPr>
            <w:tcW w:w="411" w:type="pct"/>
            <w:gridSpan w:val="2"/>
            <w:shd w:val="clear" w:color="auto" w:fill="auto"/>
            <w:vAlign w:val="center"/>
          </w:tcPr>
          <w:p w:rsidR="00F44BBF" w:rsidRPr="005A7577" w:rsidRDefault="00F44BBF" w:rsidP="00E759C3">
            <w:pPr>
              <w:pStyle w:val="TableBodyText"/>
            </w:pPr>
            <w:proofErr w:type="spellStart"/>
            <w:r>
              <w:t>na</w:t>
            </w:r>
            <w:proofErr w:type="spellEnd"/>
          </w:p>
        </w:tc>
      </w:tr>
      <w:tr w:rsidR="00F44BBF" w:rsidRPr="00B817EA" w:rsidTr="00621F85">
        <w:tc>
          <w:tcPr>
            <w:tcW w:w="165" w:type="pct"/>
            <w:gridSpan w:val="2"/>
            <w:shd w:val="clear" w:color="auto" w:fill="auto"/>
          </w:tcPr>
          <w:p w:rsidR="00F44BBF" w:rsidRPr="005825CD" w:rsidRDefault="00F44BBF" w:rsidP="00E759C3">
            <w:pPr>
              <w:pStyle w:val="TableBodyText"/>
              <w:keepNext w:val="0"/>
              <w:jc w:val="left"/>
              <w:rPr>
                <w:vertAlign w:val="superscript"/>
              </w:rPr>
            </w:pPr>
          </w:p>
        </w:tc>
        <w:tc>
          <w:tcPr>
            <w:tcW w:w="940" w:type="pct"/>
            <w:gridSpan w:val="2"/>
            <w:shd w:val="clear" w:color="auto" w:fill="auto"/>
          </w:tcPr>
          <w:p w:rsidR="00F44BBF" w:rsidRPr="007E4F4D" w:rsidRDefault="00F44BBF" w:rsidP="00E759C3">
            <w:pPr>
              <w:pStyle w:val="TableBodyText"/>
              <w:keepNext w:val="0"/>
              <w:jc w:val="left"/>
            </w:pPr>
            <w:r w:rsidRPr="007E4F4D">
              <w:t>50-59</w:t>
            </w:r>
          </w:p>
        </w:tc>
        <w:tc>
          <w:tcPr>
            <w:tcW w:w="433" w:type="pct"/>
            <w:gridSpan w:val="4"/>
            <w:shd w:val="clear" w:color="auto" w:fill="auto"/>
            <w:vAlign w:val="center"/>
          </w:tcPr>
          <w:p w:rsidR="00F44BBF" w:rsidRPr="005A7577" w:rsidRDefault="00F44BBF" w:rsidP="00E759C3">
            <w:pPr>
              <w:pStyle w:val="TableBodyText"/>
            </w:pPr>
            <w:r w:rsidRPr="005A7577">
              <w:t xml:space="preserve">  21.8</w:t>
            </w:r>
          </w:p>
        </w:tc>
        <w:tc>
          <w:tcPr>
            <w:tcW w:w="428" w:type="pct"/>
            <w:gridSpan w:val="2"/>
            <w:shd w:val="clear" w:color="auto" w:fill="auto"/>
            <w:vAlign w:val="center"/>
          </w:tcPr>
          <w:p w:rsidR="00F44BBF" w:rsidRPr="005A7577" w:rsidRDefault="00F44BBF" w:rsidP="00E759C3">
            <w:pPr>
              <w:pStyle w:val="TableBodyText"/>
            </w:pPr>
            <w:r w:rsidRPr="005A7577">
              <w:t xml:space="preserve">  21.0</w:t>
            </w:r>
          </w:p>
        </w:tc>
        <w:tc>
          <w:tcPr>
            <w:tcW w:w="536" w:type="pct"/>
            <w:gridSpan w:val="2"/>
            <w:shd w:val="clear" w:color="auto" w:fill="auto"/>
            <w:vAlign w:val="center"/>
          </w:tcPr>
          <w:p w:rsidR="00F44BBF" w:rsidRPr="005A7577" w:rsidRDefault="00F44BBF" w:rsidP="00E759C3">
            <w:pPr>
              <w:pStyle w:val="TableBodyText"/>
            </w:pPr>
            <w:r w:rsidRPr="005A7577">
              <w:t xml:space="preserve">  20.7</w:t>
            </w:r>
          </w:p>
        </w:tc>
        <w:tc>
          <w:tcPr>
            <w:tcW w:w="416" w:type="pct"/>
            <w:shd w:val="clear" w:color="auto" w:fill="auto"/>
            <w:vAlign w:val="center"/>
          </w:tcPr>
          <w:p w:rsidR="00F44BBF" w:rsidRPr="005A7577" w:rsidRDefault="00F44BBF" w:rsidP="00E759C3">
            <w:pPr>
              <w:pStyle w:val="TableBodyText"/>
            </w:pPr>
            <w:r w:rsidRPr="005A7577">
              <w:t xml:space="preserve">  20.4</w:t>
            </w:r>
          </w:p>
        </w:tc>
        <w:tc>
          <w:tcPr>
            <w:tcW w:w="416" w:type="pct"/>
            <w:shd w:val="clear" w:color="auto" w:fill="auto"/>
            <w:vAlign w:val="center"/>
          </w:tcPr>
          <w:p w:rsidR="00F44BBF" w:rsidRPr="005A7577" w:rsidRDefault="00F44BBF" w:rsidP="00E759C3">
            <w:pPr>
              <w:pStyle w:val="TableBodyText"/>
            </w:pPr>
            <w:r w:rsidRPr="005A7577">
              <w:t xml:space="preserve">  20.5</w:t>
            </w:r>
          </w:p>
        </w:tc>
        <w:tc>
          <w:tcPr>
            <w:tcW w:w="363" w:type="pct"/>
            <w:shd w:val="clear" w:color="auto" w:fill="auto"/>
            <w:vAlign w:val="center"/>
          </w:tcPr>
          <w:p w:rsidR="00F44BBF" w:rsidRPr="005A7577" w:rsidRDefault="00F44BBF" w:rsidP="00E759C3">
            <w:pPr>
              <w:pStyle w:val="TableBodyText"/>
            </w:pPr>
            <w:r w:rsidRPr="005A7577">
              <w:t xml:space="preserve">  23.8</w:t>
            </w:r>
          </w:p>
        </w:tc>
        <w:tc>
          <w:tcPr>
            <w:tcW w:w="472" w:type="pct"/>
            <w:gridSpan w:val="2"/>
            <w:shd w:val="clear" w:color="auto" w:fill="auto"/>
            <w:vAlign w:val="center"/>
          </w:tcPr>
          <w:p w:rsidR="00F44BBF" w:rsidRPr="005A7577" w:rsidRDefault="00F44BBF" w:rsidP="00E759C3">
            <w:pPr>
              <w:pStyle w:val="TableBodyText"/>
            </w:pPr>
            <w:r w:rsidRPr="005A7577">
              <w:t xml:space="preserve">  23.3</w:t>
            </w:r>
          </w:p>
        </w:tc>
        <w:tc>
          <w:tcPr>
            <w:tcW w:w="420" w:type="pct"/>
            <w:shd w:val="clear" w:color="auto" w:fill="auto"/>
            <w:vAlign w:val="center"/>
          </w:tcPr>
          <w:p w:rsidR="00F44BBF" w:rsidRPr="005A7577" w:rsidRDefault="00F44BBF" w:rsidP="00E759C3">
            <w:pPr>
              <w:pStyle w:val="TableBodyText"/>
            </w:pPr>
            <w:r w:rsidRPr="005A7577">
              <w:t xml:space="preserve">  17.6</w:t>
            </w:r>
          </w:p>
        </w:tc>
        <w:tc>
          <w:tcPr>
            <w:tcW w:w="411" w:type="pct"/>
            <w:gridSpan w:val="2"/>
            <w:shd w:val="clear" w:color="auto" w:fill="auto"/>
            <w:vAlign w:val="center"/>
          </w:tcPr>
          <w:p w:rsidR="00F44BBF" w:rsidRPr="005A7577" w:rsidRDefault="00F44BBF" w:rsidP="00E759C3">
            <w:pPr>
              <w:pStyle w:val="TableBodyText"/>
            </w:pPr>
            <w:proofErr w:type="spellStart"/>
            <w:r>
              <w:t>na</w:t>
            </w:r>
            <w:proofErr w:type="spellEnd"/>
          </w:p>
        </w:tc>
      </w:tr>
      <w:tr w:rsidR="00F44BBF" w:rsidRPr="00B817EA" w:rsidTr="00621F85">
        <w:tc>
          <w:tcPr>
            <w:tcW w:w="165" w:type="pct"/>
            <w:gridSpan w:val="2"/>
            <w:shd w:val="clear" w:color="auto" w:fill="auto"/>
          </w:tcPr>
          <w:p w:rsidR="00F44BBF" w:rsidRPr="005825CD" w:rsidRDefault="00F44BBF" w:rsidP="00E759C3">
            <w:pPr>
              <w:pStyle w:val="TableBodyText"/>
              <w:keepNext w:val="0"/>
              <w:jc w:val="left"/>
              <w:rPr>
                <w:vertAlign w:val="superscript"/>
              </w:rPr>
            </w:pPr>
          </w:p>
        </w:tc>
        <w:tc>
          <w:tcPr>
            <w:tcW w:w="940" w:type="pct"/>
            <w:gridSpan w:val="2"/>
            <w:shd w:val="clear" w:color="auto" w:fill="auto"/>
          </w:tcPr>
          <w:p w:rsidR="00F44BBF" w:rsidRPr="007E4F4D" w:rsidRDefault="00F44BBF" w:rsidP="00E759C3">
            <w:pPr>
              <w:pStyle w:val="TableBodyText"/>
              <w:keepNext w:val="0"/>
              <w:jc w:val="left"/>
            </w:pPr>
            <w:r w:rsidRPr="007E4F4D">
              <w:t>60+</w:t>
            </w:r>
          </w:p>
        </w:tc>
        <w:tc>
          <w:tcPr>
            <w:tcW w:w="433" w:type="pct"/>
            <w:gridSpan w:val="4"/>
            <w:shd w:val="clear" w:color="auto" w:fill="auto"/>
            <w:vAlign w:val="center"/>
          </w:tcPr>
          <w:p w:rsidR="00F44BBF" w:rsidRPr="005A7577" w:rsidRDefault="00F44BBF" w:rsidP="00E759C3">
            <w:pPr>
              <w:pStyle w:val="TableBodyText"/>
            </w:pPr>
            <w:r w:rsidRPr="005A7577">
              <w:t xml:space="preserve">  19.3</w:t>
            </w:r>
          </w:p>
        </w:tc>
        <w:tc>
          <w:tcPr>
            <w:tcW w:w="428" w:type="pct"/>
            <w:gridSpan w:val="2"/>
            <w:shd w:val="clear" w:color="auto" w:fill="auto"/>
            <w:vAlign w:val="center"/>
          </w:tcPr>
          <w:p w:rsidR="00F44BBF" w:rsidRPr="005A7577" w:rsidRDefault="00F44BBF" w:rsidP="00E759C3">
            <w:pPr>
              <w:pStyle w:val="TableBodyText"/>
            </w:pPr>
            <w:r w:rsidRPr="005A7577">
              <w:t xml:space="preserve">  16.4</w:t>
            </w:r>
          </w:p>
        </w:tc>
        <w:tc>
          <w:tcPr>
            <w:tcW w:w="536" w:type="pct"/>
            <w:gridSpan w:val="2"/>
            <w:shd w:val="clear" w:color="auto" w:fill="auto"/>
            <w:vAlign w:val="center"/>
          </w:tcPr>
          <w:p w:rsidR="00F44BBF" w:rsidRPr="005A7577" w:rsidRDefault="00F44BBF" w:rsidP="00E759C3">
            <w:pPr>
              <w:pStyle w:val="TableBodyText"/>
            </w:pPr>
            <w:r w:rsidRPr="005A7577">
              <w:t xml:space="preserve">  14.4</w:t>
            </w:r>
          </w:p>
        </w:tc>
        <w:tc>
          <w:tcPr>
            <w:tcW w:w="416" w:type="pct"/>
            <w:shd w:val="clear" w:color="auto" w:fill="auto"/>
            <w:vAlign w:val="center"/>
          </w:tcPr>
          <w:p w:rsidR="00F44BBF" w:rsidRPr="005A7577" w:rsidRDefault="00F44BBF" w:rsidP="00E759C3">
            <w:pPr>
              <w:pStyle w:val="TableBodyText"/>
            </w:pPr>
            <w:r w:rsidRPr="005A7577">
              <w:t xml:space="preserve">  14.6</w:t>
            </w:r>
          </w:p>
        </w:tc>
        <w:tc>
          <w:tcPr>
            <w:tcW w:w="416" w:type="pct"/>
            <w:shd w:val="clear" w:color="auto" w:fill="auto"/>
            <w:vAlign w:val="center"/>
          </w:tcPr>
          <w:p w:rsidR="00F44BBF" w:rsidRPr="005A7577" w:rsidRDefault="00F44BBF" w:rsidP="00E759C3">
            <w:pPr>
              <w:pStyle w:val="TableBodyText"/>
            </w:pPr>
            <w:r w:rsidRPr="005A7577">
              <w:t xml:space="preserve">  17.2</w:t>
            </w:r>
          </w:p>
        </w:tc>
        <w:tc>
          <w:tcPr>
            <w:tcW w:w="363" w:type="pct"/>
            <w:shd w:val="clear" w:color="auto" w:fill="auto"/>
            <w:vAlign w:val="center"/>
          </w:tcPr>
          <w:p w:rsidR="00F44BBF" w:rsidRPr="005A7577" w:rsidRDefault="00F44BBF" w:rsidP="00E759C3">
            <w:pPr>
              <w:pStyle w:val="TableBodyText"/>
            </w:pPr>
            <w:r w:rsidRPr="005A7577">
              <w:t xml:space="preserve">  17.3</w:t>
            </w:r>
          </w:p>
        </w:tc>
        <w:tc>
          <w:tcPr>
            <w:tcW w:w="472" w:type="pct"/>
            <w:gridSpan w:val="2"/>
            <w:shd w:val="clear" w:color="auto" w:fill="auto"/>
            <w:vAlign w:val="center"/>
          </w:tcPr>
          <w:p w:rsidR="00F44BBF" w:rsidRPr="005A7577" w:rsidRDefault="00F44BBF" w:rsidP="00E759C3">
            <w:pPr>
              <w:pStyle w:val="TableBodyText"/>
            </w:pPr>
            <w:r w:rsidRPr="005A7577">
              <w:t xml:space="preserve">  14.9</w:t>
            </w:r>
          </w:p>
        </w:tc>
        <w:tc>
          <w:tcPr>
            <w:tcW w:w="420" w:type="pct"/>
            <w:shd w:val="clear" w:color="auto" w:fill="auto"/>
            <w:vAlign w:val="center"/>
          </w:tcPr>
          <w:p w:rsidR="00F44BBF" w:rsidRPr="005A7577" w:rsidRDefault="00F44BBF" w:rsidP="00E759C3">
            <w:pPr>
              <w:pStyle w:val="TableBodyText"/>
            </w:pPr>
            <w:r w:rsidRPr="005A7577">
              <w:t xml:space="preserve">  12.7</w:t>
            </w:r>
          </w:p>
        </w:tc>
        <w:tc>
          <w:tcPr>
            <w:tcW w:w="411" w:type="pct"/>
            <w:gridSpan w:val="2"/>
            <w:shd w:val="clear" w:color="auto" w:fill="auto"/>
            <w:vAlign w:val="center"/>
          </w:tcPr>
          <w:p w:rsidR="00F44BBF" w:rsidRPr="005A7577" w:rsidRDefault="00F44BBF" w:rsidP="00E759C3">
            <w:pPr>
              <w:pStyle w:val="TableBodyText"/>
            </w:pPr>
            <w:proofErr w:type="spellStart"/>
            <w:r>
              <w:t>na</w:t>
            </w:r>
            <w:proofErr w:type="spellEnd"/>
          </w:p>
        </w:tc>
      </w:tr>
      <w:tr w:rsidR="00F44BBF" w:rsidRPr="005825CD" w:rsidTr="00F44BBF">
        <w:trPr>
          <w:trHeight w:val="177"/>
        </w:trPr>
        <w:tc>
          <w:tcPr>
            <w:tcW w:w="5000" w:type="pct"/>
            <w:gridSpan w:val="20"/>
            <w:shd w:val="clear" w:color="auto" w:fill="auto"/>
          </w:tcPr>
          <w:p w:rsidR="00F44BBF" w:rsidRPr="00C804F5" w:rsidRDefault="00F44BBF" w:rsidP="00621F85">
            <w:pPr>
              <w:pStyle w:val="Source"/>
              <w:spacing w:before="60" w:after="0"/>
            </w:pPr>
            <w:r w:rsidRPr="00B5543B">
              <w:t>Source: table</w:t>
            </w:r>
            <w:r>
              <w:t>s</w:t>
            </w:r>
            <w:r w:rsidRPr="00B5543B">
              <w:t xml:space="preserve"> </w:t>
            </w:r>
            <w:proofErr w:type="spellStart"/>
            <w:r w:rsidRPr="00B5543B">
              <w:t>1</w:t>
            </w:r>
            <w:r>
              <w:t>0</w:t>
            </w:r>
            <w:r w:rsidRPr="00B5543B">
              <w:t>A.</w:t>
            </w:r>
            <w:r>
              <w:t>52</w:t>
            </w:r>
            <w:proofErr w:type="spellEnd"/>
            <w:r>
              <w:t>–</w:t>
            </w:r>
            <w:proofErr w:type="spellStart"/>
            <w:r>
              <w:t>10A.55</w:t>
            </w:r>
            <w:proofErr w:type="spellEnd"/>
            <w:r w:rsidRPr="00B5543B">
              <w:t>.</w:t>
            </w:r>
            <w:r>
              <w:t xml:space="preserve"> </w:t>
            </w:r>
          </w:p>
        </w:tc>
      </w:tr>
    </w:tbl>
    <w:p w:rsidR="006B345C" w:rsidRPr="006B345C" w:rsidRDefault="00E94F51" w:rsidP="006B345C">
      <w:pPr>
        <w:pStyle w:val="Continued"/>
        <w:pBdr>
          <w:bottom w:val="single" w:sz="4" w:space="1" w:color="auto"/>
        </w:pBdr>
        <w:spacing w:before="0"/>
      </w:pPr>
      <w:r w:rsidRPr="006B345C">
        <w:t xml:space="preserve"> </w:t>
      </w:r>
      <w:r w:rsidR="006B345C" w:rsidRPr="006B345C">
        <w:t>(Continued next page)</w:t>
      </w:r>
    </w:p>
    <w:p w:rsidR="002D77C3" w:rsidRPr="002D77C3" w:rsidRDefault="002D77C3" w:rsidP="002D77C3">
      <w:pPr>
        <w:rPr>
          <w:rFonts w:ascii="Arial" w:hAnsi="Arial"/>
          <w:b/>
          <w:sz w:val="18"/>
          <w:szCs w:val="18"/>
        </w:rPr>
      </w:pPr>
      <w:r w:rsidRPr="00D94485">
        <w:rPr>
          <w:rFonts w:ascii="Arial" w:hAnsi="Arial" w:cs="Arial"/>
        </w:rPr>
        <w:lastRenderedPageBreak/>
        <w:t xml:space="preserve">Table </w:t>
      </w:r>
      <w:proofErr w:type="spellStart"/>
      <w:r w:rsidRPr="00D94485">
        <w:rPr>
          <w:rFonts w:ascii="Arial" w:hAnsi="Arial" w:cs="Arial"/>
        </w:rPr>
        <w:t>E.5</w:t>
      </w:r>
      <w:proofErr w:type="spellEnd"/>
      <w:r w:rsidRPr="00D94485">
        <w:rPr>
          <w:rFonts w:ascii="Arial" w:hAnsi="Arial" w:cs="Arial"/>
        </w:rPr>
        <w:tab/>
      </w:r>
      <w:r w:rsidRPr="002D77C3">
        <w:rPr>
          <w:rFonts w:ascii="Arial" w:hAnsi="Arial"/>
          <w:b/>
          <w:sz w:val="18"/>
          <w:szCs w:val="18"/>
        </w:rPr>
        <w:t>(continued)</w:t>
      </w:r>
    </w:p>
    <w:tbl>
      <w:tblPr>
        <w:tblW w:w="5018" w:type="pct"/>
        <w:tblCellMar>
          <w:left w:w="0" w:type="dxa"/>
          <w:right w:w="0" w:type="dxa"/>
        </w:tblCellMar>
        <w:tblLook w:val="0000" w:firstRow="0" w:lastRow="0" w:firstColumn="0" w:lastColumn="0" w:noHBand="0" w:noVBand="0"/>
      </w:tblPr>
      <w:tblGrid>
        <w:gridCol w:w="284"/>
        <w:gridCol w:w="11"/>
        <w:gridCol w:w="1658"/>
        <w:gridCol w:w="118"/>
        <w:gridCol w:w="55"/>
        <w:gridCol w:w="589"/>
        <w:gridCol w:w="106"/>
        <w:gridCol w:w="115"/>
        <w:gridCol w:w="533"/>
        <w:gridCol w:w="95"/>
        <w:gridCol w:w="108"/>
        <w:gridCol w:w="637"/>
        <w:gridCol w:w="99"/>
        <w:gridCol w:w="644"/>
        <w:gridCol w:w="88"/>
        <w:gridCol w:w="658"/>
        <w:gridCol w:w="74"/>
        <w:gridCol w:w="640"/>
        <w:gridCol w:w="32"/>
        <w:gridCol w:w="60"/>
        <w:gridCol w:w="690"/>
        <w:gridCol w:w="44"/>
        <w:gridCol w:w="709"/>
        <w:gridCol w:w="28"/>
        <w:gridCol w:w="732"/>
        <w:gridCol w:w="14"/>
      </w:tblGrid>
      <w:tr w:rsidR="002D77C3" w:rsidRPr="002D77C3" w:rsidTr="00E94F51">
        <w:trPr>
          <w:gridAfter w:val="1"/>
          <w:wAfter w:w="8" w:type="pct"/>
          <w:cantSplit/>
          <w:tblHeader/>
        </w:trPr>
        <w:tc>
          <w:tcPr>
            <w:tcW w:w="1205" w:type="pct"/>
            <w:gridSpan w:val="5"/>
            <w:tcBorders>
              <w:top w:val="single" w:sz="6" w:space="0" w:color="auto"/>
              <w:bottom w:val="single" w:sz="4" w:space="0" w:color="auto"/>
            </w:tcBorders>
            <w:shd w:val="clear" w:color="auto" w:fill="auto"/>
          </w:tcPr>
          <w:p w:rsidR="002D77C3" w:rsidRPr="002D77C3" w:rsidRDefault="002D77C3" w:rsidP="002D77C3">
            <w:pPr>
              <w:rPr>
                <w:rFonts w:ascii="Arial" w:hAnsi="Arial" w:cs="Arial"/>
                <w:i/>
              </w:rPr>
            </w:pPr>
          </w:p>
        </w:tc>
        <w:tc>
          <w:tcPr>
            <w:tcW w:w="459" w:type="pct"/>
            <w:gridSpan w:val="3"/>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NSW</w:t>
            </w:r>
          </w:p>
        </w:tc>
        <w:tc>
          <w:tcPr>
            <w:tcW w:w="417" w:type="pct"/>
            <w:gridSpan w:val="3"/>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Vic</w:t>
            </w:r>
          </w:p>
        </w:tc>
        <w:tc>
          <w:tcPr>
            <w:tcW w:w="417" w:type="pct"/>
            <w:gridSpan w:val="2"/>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Qld</w:t>
            </w:r>
          </w:p>
        </w:tc>
        <w:tc>
          <w:tcPr>
            <w:tcW w:w="415" w:type="pct"/>
            <w:gridSpan w:val="2"/>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WA</w:t>
            </w:r>
          </w:p>
        </w:tc>
        <w:tc>
          <w:tcPr>
            <w:tcW w:w="415" w:type="pct"/>
            <w:gridSpan w:val="2"/>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SA</w:t>
            </w:r>
          </w:p>
        </w:tc>
        <w:tc>
          <w:tcPr>
            <w:tcW w:w="415" w:type="pct"/>
            <w:gridSpan w:val="3"/>
            <w:tcBorders>
              <w:top w:val="single" w:sz="6" w:space="0" w:color="auto"/>
              <w:bottom w:val="single" w:sz="4" w:space="0" w:color="auto"/>
            </w:tcBorders>
            <w:shd w:val="clear" w:color="auto" w:fill="auto"/>
          </w:tcPr>
          <w:p w:rsidR="002D77C3" w:rsidRPr="002D77C3" w:rsidRDefault="002D77C3" w:rsidP="002D77C3">
            <w:pPr>
              <w:pStyle w:val="TableColumnHeading"/>
            </w:pPr>
            <w:proofErr w:type="spellStart"/>
            <w:r w:rsidRPr="002D77C3">
              <w:t>Tas</w:t>
            </w:r>
            <w:proofErr w:type="spellEnd"/>
          </w:p>
        </w:tc>
        <w:tc>
          <w:tcPr>
            <w:tcW w:w="416" w:type="pct"/>
            <w:gridSpan w:val="2"/>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ACT</w:t>
            </w:r>
          </w:p>
        </w:tc>
        <w:tc>
          <w:tcPr>
            <w:tcW w:w="418" w:type="pct"/>
            <w:gridSpan w:val="2"/>
            <w:tcBorders>
              <w:top w:val="single" w:sz="6" w:space="0" w:color="auto"/>
              <w:bottom w:val="single" w:sz="4" w:space="0" w:color="auto"/>
            </w:tcBorders>
            <w:shd w:val="clear" w:color="auto" w:fill="auto"/>
          </w:tcPr>
          <w:p w:rsidR="002D77C3" w:rsidRPr="002D77C3" w:rsidRDefault="002D77C3" w:rsidP="002D77C3">
            <w:pPr>
              <w:pStyle w:val="TableColumnHeading"/>
            </w:pPr>
            <w:r w:rsidRPr="002D77C3">
              <w:t>NT</w:t>
            </w:r>
          </w:p>
        </w:tc>
        <w:tc>
          <w:tcPr>
            <w:tcW w:w="415" w:type="pct"/>
            <w:tcBorders>
              <w:top w:val="single" w:sz="6" w:space="0" w:color="auto"/>
              <w:bottom w:val="single" w:sz="4" w:space="0" w:color="auto"/>
            </w:tcBorders>
          </w:tcPr>
          <w:p w:rsidR="002D77C3" w:rsidRPr="002D77C3" w:rsidRDefault="002D77C3" w:rsidP="002D77C3">
            <w:pPr>
              <w:pStyle w:val="TableColumnHeading"/>
            </w:pPr>
            <w:proofErr w:type="spellStart"/>
            <w:r w:rsidRPr="002D77C3">
              <w:t>Aust</w:t>
            </w:r>
            <w:proofErr w:type="spellEnd"/>
          </w:p>
        </w:tc>
      </w:tr>
      <w:tr w:rsidR="005A7577" w:rsidRPr="005825CD" w:rsidTr="00E94F51">
        <w:trPr>
          <w:gridAfter w:val="1"/>
          <w:wAfter w:w="8" w:type="pct"/>
          <w:trHeight w:val="273"/>
        </w:trPr>
        <w:tc>
          <w:tcPr>
            <w:tcW w:w="4992" w:type="pct"/>
            <w:gridSpan w:val="25"/>
            <w:shd w:val="clear" w:color="auto" w:fill="auto"/>
          </w:tcPr>
          <w:p w:rsidR="005A7577" w:rsidRPr="00517A92" w:rsidRDefault="005A7577" w:rsidP="005A7577">
            <w:pPr>
              <w:pStyle w:val="TableBodyText"/>
              <w:keepNext w:val="0"/>
              <w:jc w:val="left"/>
            </w:pPr>
            <w:r w:rsidRPr="005825CD">
              <w:t xml:space="preserve">  </w:t>
            </w:r>
            <w:r>
              <w:t xml:space="preserve">Medical practitioner workforce by age </w:t>
            </w:r>
            <w:r w:rsidRPr="00807A47">
              <w:t>group, 2012</w:t>
            </w:r>
          </w:p>
        </w:tc>
      </w:tr>
      <w:tr w:rsidR="00C47A89" w:rsidRPr="00B817EA" w:rsidTr="00807A47">
        <w:trPr>
          <w:gridAfter w:val="1"/>
          <w:wAfter w:w="8" w:type="pct"/>
        </w:trPr>
        <w:tc>
          <w:tcPr>
            <w:tcW w:w="167" w:type="pct"/>
            <w:gridSpan w:val="2"/>
            <w:shd w:val="clear" w:color="auto" w:fill="auto"/>
          </w:tcPr>
          <w:p w:rsidR="005A7577" w:rsidRPr="005825CD" w:rsidRDefault="005A7577" w:rsidP="006B14A9">
            <w:pPr>
              <w:pStyle w:val="TableBodyText"/>
              <w:keepNext w:val="0"/>
              <w:jc w:val="left"/>
              <w:rPr>
                <w:vertAlign w:val="superscript"/>
              </w:rPr>
            </w:pPr>
          </w:p>
        </w:tc>
        <w:tc>
          <w:tcPr>
            <w:tcW w:w="940" w:type="pct"/>
            <w:shd w:val="clear" w:color="auto" w:fill="auto"/>
          </w:tcPr>
          <w:p w:rsidR="005A7577" w:rsidRPr="00152D2E" w:rsidRDefault="005A7577" w:rsidP="006B14A9">
            <w:pPr>
              <w:pStyle w:val="TableBodyText"/>
              <w:keepNext w:val="0"/>
              <w:jc w:val="left"/>
            </w:pPr>
            <w:r>
              <w:t>&lt;30</w:t>
            </w:r>
          </w:p>
        </w:tc>
        <w:tc>
          <w:tcPr>
            <w:tcW w:w="432" w:type="pct"/>
            <w:gridSpan w:val="3"/>
            <w:shd w:val="clear" w:color="auto" w:fill="auto"/>
            <w:vAlign w:val="center"/>
          </w:tcPr>
          <w:p w:rsidR="005A7577" w:rsidRPr="005A7577" w:rsidRDefault="005A7577" w:rsidP="005A7577">
            <w:pPr>
              <w:pStyle w:val="TableBodyText"/>
            </w:pPr>
            <w:r w:rsidRPr="005A7577">
              <w:t xml:space="preserve">  7.7</w:t>
            </w:r>
          </w:p>
        </w:tc>
        <w:tc>
          <w:tcPr>
            <w:tcW w:w="427" w:type="pct"/>
            <w:gridSpan w:val="3"/>
            <w:shd w:val="clear" w:color="auto" w:fill="auto"/>
            <w:vAlign w:val="center"/>
          </w:tcPr>
          <w:p w:rsidR="005A7577" w:rsidRPr="005A7577" w:rsidRDefault="005A7577" w:rsidP="005A7577">
            <w:pPr>
              <w:pStyle w:val="TableBodyText"/>
            </w:pPr>
            <w:r w:rsidRPr="005A7577">
              <w:t xml:space="preserve">  10.3</w:t>
            </w:r>
          </w:p>
        </w:tc>
        <w:tc>
          <w:tcPr>
            <w:tcW w:w="532" w:type="pct"/>
            <w:gridSpan w:val="4"/>
            <w:shd w:val="clear" w:color="auto" w:fill="auto"/>
            <w:vAlign w:val="center"/>
          </w:tcPr>
          <w:p w:rsidR="005A7577" w:rsidRPr="005A7577" w:rsidRDefault="005A7577" w:rsidP="005A7577">
            <w:pPr>
              <w:pStyle w:val="TableBodyText"/>
            </w:pPr>
            <w:r w:rsidRPr="005A7577">
              <w:t xml:space="preserve">  9.5</w:t>
            </w:r>
          </w:p>
        </w:tc>
        <w:tc>
          <w:tcPr>
            <w:tcW w:w="415" w:type="pct"/>
            <w:gridSpan w:val="2"/>
            <w:shd w:val="clear" w:color="auto" w:fill="auto"/>
            <w:vAlign w:val="center"/>
          </w:tcPr>
          <w:p w:rsidR="005A7577" w:rsidRPr="005A7577" w:rsidRDefault="005A7577" w:rsidP="005A7577">
            <w:pPr>
              <w:pStyle w:val="TableBodyText"/>
            </w:pPr>
            <w:r w:rsidRPr="005A7577">
              <w:t xml:space="preserve">  11.7</w:t>
            </w:r>
          </w:p>
        </w:tc>
        <w:tc>
          <w:tcPr>
            <w:tcW w:w="415" w:type="pct"/>
            <w:gridSpan w:val="2"/>
            <w:shd w:val="clear" w:color="auto" w:fill="auto"/>
            <w:vAlign w:val="center"/>
          </w:tcPr>
          <w:p w:rsidR="005A7577" w:rsidRPr="005A7577" w:rsidRDefault="005A7577" w:rsidP="005A7577">
            <w:pPr>
              <w:pStyle w:val="TableBodyText"/>
            </w:pPr>
            <w:r w:rsidRPr="005A7577">
              <w:t xml:space="preserve">  10.0</w:t>
            </w:r>
          </w:p>
        </w:tc>
        <w:tc>
          <w:tcPr>
            <w:tcW w:w="363" w:type="pct"/>
            <w:shd w:val="clear" w:color="auto" w:fill="auto"/>
            <w:vAlign w:val="center"/>
          </w:tcPr>
          <w:p w:rsidR="005A7577" w:rsidRPr="005A7577" w:rsidRDefault="005A7577" w:rsidP="005A7577">
            <w:pPr>
              <w:pStyle w:val="TableBodyText"/>
            </w:pPr>
            <w:r w:rsidRPr="005A7577">
              <w:t xml:space="preserve">  8.6</w:t>
            </w:r>
          </w:p>
        </w:tc>
        <w:tc>
          <w:tcPr>
            <w:tcW w:w="468" w:type="pct"/>
            <w:gridSpan w:val="4"/>
            <w:shd w:val="clear" w:color="auto" w:fill="auto"/>
            <w:vAlign w:val="center"/>
          </w:tcPr>
          <w:p w:rsidR="005A7577" w:rsidRPr="005A7577" w:rsidRDefault="005A7577" w:rsidP="005A7577">
            <w:pPr>
              <w:pStyle w:val="TableBodyText"/>
            </w:pPr>
            <w:r w:rsidRPr="005A7577">
              <w:t xml:space="preserve">  7.0</w:t>
            </w:r>
          </w:p>
        </w:tc>
        <w:tc>
          <w:tcPr>
            <w:tcW w:w="418" w:type="pct"/>
            <w:gridSpan w:val="2"/>
            <w:shd w:val="clear" w:color="auto" w:fill="auto"/>
            <w:vAlign w:val="center"/>
          </w:tcPr>
          <w:p w:rsidR="005A7577" w:rsidRPr="005A7577" w:rsidRDefault="005A7577" w:rsidP="005A7577">
            <w:pPr>
              <w:pStyle w:val="TableBodyText"/>
            </w:pPr>
            <w:r w:rsidRPr="005A7577">
              <w:t xml:space="preserve">  9.6</w:t>
            </w:r>
          </w:p>
        </w:tc>
        <w:tc>
          <w:tcPr>
            <w:tcW w:w="415" w:type="pct"/>
            <w:shd w:val="clear" w:color="auto" w:fill="auto"/>
            <w:vAlign w:val="center"/>
          </w:tcPr>
          <w:p w:rsidR="005A7577" w:rsidRPr="005A7577" w:rsidRDefault="005A7577" w:rsidP="005A7577">
            <w:pPr>
              <w:pStyle w:val="TableBodyText"/>
            </w:pPr>
            <w:proofErr w:type="spellStart"/>
            <w:r>
              <w:t>na</w:t>
            </w:r>
            <w:proofErr w:type="spellEnd"/>
          </w:p>
        </w:tc>
      </w:tr>
      <w:tr w:rsidR="00C47A89" w:rsidRPr="00B817EA" w:rsidTr="00807A47">
        <w:trPr>
          <w:gridAfter w:val="1"/>
          <w:wAfter w:w="8" w:type="pct"/>
        </w:trPr>
        <w:tc>
          <w:tcPr>
            <w:tcW w:w="167" w:type="pct"/>
            <w:gridSpan w:val="2"/>
            <w:shd w:val="clear" w:color="auto" w:fill="auto"/>
          </w:tcPr>
          <w:p w:rsidR="005A7577" w:rsidRPr="005825CD" w:rsidRDefault="005A7577" w:rsidP="006B14A9">
            <w:pPr>
              <w:pStyle w:val="TableBodyText"/>
              <w:keepNext w:val="0"/>
              <w:jc w:val="left"/>
              <w:rPr>
                <w:vertAlign w:val="superscript"/>
              </w:rPr>
            </w:pPr>
          </w:p>
        </w:tc>
        <w:tc>
          <w:tcPr>
            <w:tcW w:w="940" w:type="pct"/>
            <w:shd w:val="clear" w:color="auto" w:fill="auto"/>
          </w:tcPr>
          <w:p w:rsidR="005A7577" w:rsidRPr="00152D2E" w:rsidRDefault="005A7577" w:rsidP="006B14A9">
            <w:pPr>
              <w:pStyle w:val="TableBodyText"/>
              <w:keepNext w:val="0"/>
              <w:jc w:val="left"/>
            </w:pPr>
            <w:r w:rsidRPr="00152D2E">
              <w:t>30</w:t>
            </w:r>
            <w:r>
              <w:t>-39</w:t>
            </w:r>
          </w:p>
        </w:tc>
        <w:tc>
          <w:tcPr>
            <w:tcW w:w="432" w:type="pct"/>
            <w:gridSpan w:val="3"/>
            <w:shd w:val="clear" w:color="auto" w:fill="auto"/>
            <w:vAlign w:val="center"/>
          </w:tcPr>
          <w:p w:rsidR="005A7577" w:rsidRPr="005A7577" w:rsidRDefault="005A7577" w:rsidP="005A7577">
            <w:pPr>
              <w:pStyle w:val="TableBodyText"/>
            </w:pPr>
            <w:r w:rsidRPr="005A7577">
              <w:t xml:space="preserve">  26.7</w:t>
            </w:r>
          </w:p>
        </w:tc>
        <w:tc>
          <w:tcPr>
            <w:tcW w:w="427" w:type="pct"/>
            <w:gridSpan w:val="3"/>
            <w:shd w:val="clear" w:color="auto" w:fill="auto"/>
            <w:vAlign w:val="center"/>
          </w:tcPr>
          <w:p w:rsidR="005A7577" w:rsidRPr="005A7577" w:rsidRDefault="005A7577" w:rsidP="005A7577">
            <w:pPr>
              <w:pStyle w:val="TableBodyText"/>
            </w:pPr>
            <w:r w:rsidRPr="005A7577">
              <w:t xml:space="preserve">  28.1</w:t>
            </w:r>
          </w:p>
        </w:tc>
        <w:tc>
          <w:tcPr>
            <w:tcW w:w="532" w:type="pct"/>
            <w:gridSpan w:val="4"/>
            <w:shd w:val="clear" w:color="auto" w:fill="auto"/>
            <w:vAlign w:val="center"/>
          </w:tcPr>
          <w:p w:rsidR="005A7577" w:rsidRPr="005A7577" w:rsidRDefault="005A7577" w:rsidP="005A7577">
            <w:pPr>
              <w:pStyle w:val="TableBodyText"/>
            </w:pPr>
            <w:r w:rsidRPr="005A7577">
              <w:t xml:space="preserve">  29.6</w:t>
            </w:r>
          </w:p>
        </w:tc>
        <w:tc>
          <w:tcPr>
            <w:tcW w:w="415" w:type="pct"/>
            <w:gridSpan w:val="2"/>
            <w:shd w:val="clear" w:color="auto" w:fill="auto"/>
            <w:vAlign w:val="center"/>
          </w:tcPr>
          <w:p w:rsidR="005A7577" w:rsidRPr="005A7577" w:rsidRDefault="005A7577" w:rsidP="005A7577">
            <w:pPr>
              <w:pStyle w:val="TableBodyText"/>
            </w:pPr>
            <w:r w:rsidRPr="005A7577">
              <w:t xml:space="preserve">  27.9</w:t>
            </w:r>
          </w:p>
        </w:tc>
        <w:tc>
          <w:tcPr>
            <w:tcW w:w="415" w:type="pct"/>
            <w:gridSpan w:val="2"/>
            <w:shd w:val="clear" w:color="auto" w:fill="auto"/>
            <w:vAlign w:val="center"/>
          </w:tcPr>
          <w:p w:rsidR="005A7577" w:rsidRPr="005A7577" w:rsidRDefault="005A7577" w:rsidP="005A7577">
            <w:pPr>
              <w:pStyle w:val="TableBodyText"/>
            </w:pPr>
            <w:r w:rsidRPr="005A7577">
              <w:t xml:space="preserve">  27.4</w:t>
            </w:r>
          </w:p>
        </w:tc>
        <w:tc>
          <w:tcPr>
            <w:tcW w:w="363" w:type="pct"/>
            <w:shd w:val="clear" w:color="auto" w:fill="auto"/>
            <w:vAlign w:val="center"/>
          </w:tcPr>
          <w:p w:rsidR="005A7577" w:rsidRPr="005A7577" w:rsidRDefault="005A7577" w:rsidP="005A7577">
            <w:pPr>
              <w:pStyle w:val="TableBodyText"/>
            </w:pPr>
            <w:r w:rsidRPr="005A7577">
              <w:t xml:space="preserve">  23.9</w:t>
            </w:r>
          </w:p>
        </w:tc>
        <w:tc>
          <w:tcPr>
            <w:tcW w:w="468" w:type="pct"/>
            <w:gridSpan w:val="4"/>
            <w:shd w:val="clear" w:color="auto" w:fill="auto"/>
            <w:vAlign w:val="center"/>
          </w:tcPr>
          <w:p w:rsidR="005A7577" w:rsidRPr="005A7577" w:rsidRDefault="005A7577" w:rsidP="005A7577">
            <w:pPr>
              <w:pStyle w:val="TableBodyText"/>
            </w:pPr>
            <w:r w:rsidRPr="005A7577">
              <w:t xml:space="preserve">  28.1</w:t>
            </w:r>
          </w:p>
        </w:tc>
        <w:tc>
          <w:tcPr>
            <w:tcW w:w="418" w:type="pct"/>
            <w:gridSpan w:val="2"/>
            <w:shd w:val="clear" w:color="auto" w:fill="auto"/>
            <w:vAlign w:val="center"/>
          </w:tcPr>
          <w:p w:rsidR="005A7577" w:rsidRPr="005A7577" w:rsidRDefault="005A7577" w:rsidP="005A7577">
            <w:pPr>
              <w:pStyle w:val="TableBodyText"/>
            </w:pPr>
            <w:r w:rsidRPr="005A7577">
              <w:t xml:space="preserve">  35.6</w:t>
            </w:r>
          </w:p>
        </w:tc>
        <w:tc>
          <w:tcPr>
            <w:tcW w:w="415" w:type="pct"/>
            <w:shd w:val="clear" w:color="auto" w:fill="auto"/>
            <w:vAlign w:val="center"/>
          </w:tcPr>
          <w:p w:rsidR="005A7577" w:rsidRPr="005A7577" w:rsidRDefault="005A7577" w:rsidP="005A7577">
            <w:pPr>
              <w:pStyle w:val="TableBodyText"/>
            </w:pPr>
            <w:proofErr w:type="spellStart"/>
            <w:r>
              <w:t>na</w:t>
            </w:r>
            <w:proofErr w:type="spellEnd"/>
          </w:p>
        </w:tc>
      </w:tr>
      <w:tr w:rsidR="00C47A89" w:rsidRPr="00B817EA" w:rsidTr="00807A47">
        <w:trPr>
          <w:gridAfter w:val="1"/>
          <w:wAfter w:w="8" w:type="pct"/>
        </w:trPr>
        <w:tc>
          <w:tcPr>
            <w:tcW w:w="167" w:type="pct"/>
            <w:gridSpan w:val="2"/>
            <w:shd w:val="clear" w:color="auto" w:fill="auto"/>
          </w:tcPr>
          <w:p w:rsidR="005A7577" w:rsidRPr="005825CD" w:rsidRDefault="005A7577" w:rsidP="006B14A9">
            <w:pPr>
              <w:pStyle w:val="TableBodyText"/>
              <w:keepNext w:val="0"/>
              <w:jc w:val="left"/>
              <w:rPr>
                <w:vertAlign w:val="superscript"/>
              </w:rPr>
            </w:pPr>
          </w:p>
        </w:tc>
        <w:tc>
          <w:tcPr>
            <w:tcW w:w="940" w:type="pct"/>
            <w:shd w:val="clear" w:color="auto" w:fill="auto"/>
          </w:tcPr>
          <w:p w:rsidR="005A7577" w:rsidRPr="007E4F4D" w:rsidRDefault="005A7577" w:rsidP="006B14A9">
            <w:pPr>
              <w:pStyle w:val="TableBodyText"/>
              <w:keepNext w:val="0"/>
              <w:jc w:val="left"/>
            </w:pPr>
            <w:r w:rsidRPr="007E4F4D">
              <w:t>40-49</w:t>
            </w:r>
          </w:p>
        </w:tc>
        <w:tc>
          <w:tcPr>
            <w:tcW w:w="432" w:type="pct"/>
            <w:gridSpan w:val="3"/>
            <w:shd w:val="clear" w:color="auto" w:fill="auto"/>
            <w:vAlign w:val="center"/>
          </w:tcPr>
          <w:p w:rsidR="005A7577" w:rsidRPr="005A7577" w:rsidRDefault="005A7577" w:rsidP="005A7577">
            <w:pPr>
              <w:pStyle w:val="TableBodyText"/>
            </w:pPr>
            <w:r w:rsidRPr="005A7577">
              <w:t xml:space="preserve">  24.5</w:t>
            </w:r>
          </w:p>
        </w:tc>
        <w:tc>
          <w:tcPr>
            <w:tcW w:w="427" w:type="pct"/>
            <w:gridSpan w:val="3"/>
            <w:shd w:val="clear" w:color="auto" w:fill="auto"/>
            <w:vAlign w:val="center"/>
          </w:tcPr>
          <w:p w:rsidR="005A7577" w:rsidRPr="005A7577" w:rsidRDefault="005A7577" w:rsidP="005A7577">
            <w:pPr>
              <w:pStyle w:val="TableBodyText"/>
            </w:pPr>
            <w:r w:rsidRPr="005A7577">
              <w:t xml:space="preserve">  24.1</w:t>
            </w:r>
          </w:p>
        </w:tc>
        <w:tc>
          <w:tcPr>
            <w:tcW w:w="532" w:type="pct"/>
            <w:gridSpan w:val="4"/>
            <w:shd w:val="clear" w:color="auto" w:fill="auto"/>
            <w:vAlign w:val="center"/>
          </w:tcPr>
          <w:p w:rsidR="005A7577" w:rsidRPr="005A7577" w:rsidRDefault="005A7577" w:rsidP="005A7577">
            <w:pPr>
              <w:pStyle w:val="TableBodyText"/>
            </w:pPr>
            <w:r w:rsidRPr="005A7577">
              <w:t xml:space="preserve">  25.7</w:t>
            </w:r>
          </w:p>
        </w:tc>
        <w:tc>
          <w:tcPr>
            <w:tcW w:w="415" w:type="pct"/>
            <w:gridSpan w:val="2"/>
            <w:shd w:val="clear" w:color="auto" w:fill="auto"/>
            <w:vAlign w:val="center"/>
          </w:tcPr>
          <w:p w:rsidR="005A7577" w:rsidRPr="005A7577" w:rsidRDefault="005A7577" w:rsidP="005A7577">
            <w:pPr>
              <w:pStyle w:val="TableBodyText"/>
            </w:pPr>
            <w:r w:rsidRPr="005A7577">
              <w:t xml:space="preserve">  25.4</w:t>
            </w:r>
          </w:p>
        </w:tc>
        <w:tc>
          <w:tcPr>
            <w:tcW w:w="415" w:type="pct"/>
            <w:gridSpan w:val="2"/>
            <w:shd w:val="clear" w:color="auto" w:fill="auto"/>
            <w:vAlign w:val="center"/>
          </w:tcPr>
          <w:p w:rsidR="005A7577" w:rsidRPr="005A7577" w:rsidRDefault="005A7577" w:rsidP="005A7577">
            <w:pPr>
              <w:pStyle w:val="TableBodyText"/>
            </w:pPr>
            <w:r w:rsidRPr="005A7577">
              <w:t xml:space="preserve">  24.9</w:t>
            </w:r>
          </w:p>
        </w:tc>
        <w:tc>
          <w:tcPr>
            <w:tcW w:w="363" w:type="pct"/>
            <w:shd w:val="clear" w:color="auto" w:fill="auto"/>
            <w:vAlign w:val="center"/>
          </w:tcPr>
          <w:p w:rsidR="005A7577" w:rsidRPr="005A7577" w:rsidRDefault="005A7577" w:rsidP="005A7577">
            <w:pPr>
              <w:pStyle w:val="TableBodyText"/>
            </w:pPr>
            <w:r w:rsidRPr="005A7577">
              <w:t xml:space="preserve">  26.4</w:t>
            </w:r>
          </w:p>
        </w:tc>
        <w:tc>
          <w:tcPr>
            <w:tcW w:w="468" w:type="pct"/>
            <w:gridSpan w:val="4"/>
            <w:shd w:val="clear" w:color="auto" w:fill="auto"/>
            <w:vAlign w:val="center"/>
          </w:tcPr>
          <w:p w:rsidR="005A7577" w:rsidRPr="005A7577" w:rsidRDefault="005A7577" w:rsidP="005A7577">
            <w:pPr>
              <w:pStyle w:val="TableBodyText"/>
            </w:pPr>
            <w:r w:rsidRPr="005A7577">
              <w:t xml:space="preserve">  26.6</w:t>
            </w:r>
          </w:p>
        </w:tc>
        <w:tc>
          <w:tcPr>
            <w:tcW w:w="418" w:type="pct"/>
            <w:gridSpan w:val="2"/>
            <w:shd w:val="clear" w:color="auto" w:fill="auto"/>
            <w:vAlign w:val="center"/>
          </w:tcPr>
          <w:p w:rsidR="005A7577" w:rsidRPr="005A7577" w:rsidRDefault="005A7577" w:rsidP="005A7577">
            <w:pPr>
              <w:pStyle w:val="TableBodyText"/>
            </w:pPr>
            <w:r w:rsidRPr="005A7577">
              <w:t xml:space="preserve">  24.4</w:t>
            </w:r>
          </w:p>
        </w:tc>
        <w:tc>
          <w:tcPr>
            <w:tcW w:w="415" w:type="pct"/>
            <w:shd w:val="clear" w:color="auto" w:fill="auto"/>
            <w:vAlign w:val="center"/>
          </w:tcPr>
          <w:p w:rsidR="005A7577" w:rsidRPr="005A7577" w:rsidRDefault="005A7577" w:rsidP="005A7577">
            <w:pPr>
              <w:pStyle w:val="TableBodyText"/>
            </w:pPr>
            <w:proofErr w:type="spellStart"/>
            <w:r>
              <w:t>na</w:t>
            </w:r>
            <w:proofErr w:type="spellEnd"/>
          </w:p>
        </w:tc>
      </w:tr>
      <w:tr w:rsidR="00C47A89" w:rsidRPr="00B817EA" w:rsidTr="00807A47">
        <w:trPr>
          <w:gridAfter w:val="1"/>
          <w:wAfter w:w="8" w:type="pct"/>
        </w:trPr>
        <w:tc>
          <w:tcPr>
            <w:tcW w:w="167" w:type="pct"/>
            <w:gridSpan w:val="2"/>
            <w:shd w:val="clear" w:color="auto" w:fill="auto"/>
          </w:tcPr>
          <w:p w:rsidR="005A7577" w:rsidRPr="005825CD" w:rsidRDefault="005A7577" w:rsidP="006B14A9">
            <w:pPr>
              <w:pStyle w:val="TableBodyText"/>
              <w:keepNext w:val="0"/>
              <w:jc w:val="left"/>
              <w:rPr>
                <w:vertAlign w:val="superscript"/>
              </w:rPr>
            </w:pPr>
          </w:p>
        </w:tc>
        <w:tc>
          <w:tcPr>
            <w:tcW w:w="940" w:type="pct"/>
            <w:shd w:val="clear" w:color="auto" w:fill="auto"/>
          </w:tcPr>
          <w:p w:rsidR="005A7577" w:rsidRPr="007E4F4D" w:rsidRDefault="005A7577" w:rsidP="006B14A9">
            <w:pPr>
              <w:pStyle w:val="TableBodyText"/>
              <w:keepNext w:val="0"/>
              <w:jc w:val="left"/>
            </w:pPr>
            <w:r w:rsidRPr="007E4F4D">
              <w:t>50-59</w:t>
            </w:r>
          </w:p>
        </w:tc>
        <w:tc>
          <w:tcPr>
            <w:tcW w:w="432" w:type="pct"/>
            <w:gridSpan w:val="3"/>
            <w:shd w:val="clear" w:color="auto" w:fill="auto"/>
            <w:vAlign w:val="center"/>
          </w:tcPr>
          <w:p w:rsidR="005A7577" w:rsidRPr="005A7577" w:rsidRDefault="005A7577" w:rsidP="005A7577">
            <w:pPr>
              <w:pStyle w:val="TableBodyText"/>
            </w:pPr>
            <w:r w:rsidRPr="005A7577">
              <w:t xml:space="preserve">  21.8</w:t>
            </w:r>
          </w:p>
        </w:tc>
        <w:tc>
          <w:tcPr>
            <w:tcW w:w="427" w:type="pct"/>
            <w:gridSpan w:val="3"/>
            <w:shd w:val="clear" w:color="auto" w:fill="auto"/>
            <w:vAlign w:val="center"/>
          </w:tcPr>
          <w:p w:rsidR="005A7577" w:rsidRPr="005A7577" w:rsidRDefault="005A7577" w:rsidP="005A7577">
            <w:pPr>
              <w:pStyle w:val="TableBodyText"/>
            </w:pPr>
            <w:r w:rsidRPr="005A7577">
              <w:t xml:space="preserve">  21.0</w:t>
            </w:r>
          </w:p>
        </w:tc>
        <w:tc>
          <w:tcPr>
            <w:tcW w:w="532" w:type="pct"/>
            <w:gridSpan w:val="4"/>
            <w:shd w:val="clear" w:color="auto" w:fill="auto"/>
            <w:vAlign w:val="center"/>
          </w:tcPr>
          <w:p w:rsidR="005A7577" w:rsidRPr="005A7577" w:rsidRDefault="005A7577" w:rsidP="005A7577">
            <w:pPr>
              <w:pStyle w:val="TableBodyText"/>
            </w:pPr>
            <w:r w:rsidRPr="005A7577">
              <w:t xml:space="preserve">  20.7</w:t>
            </w:r>
          </w:p>
        </w:tc>
        <w:tc>
          <w:tcPr>
            <w:tcW w:w="415" w:type="pct"/>
            <w:gridSpan w:val="2"/>
            <w:shd w:val="clear" w:color="auto" w:fill="auto"/>
            <w:vAlign w:val="center"/>
          </w:tcPr>
          <w:p w:rsidR="005A7577" w:rsidRPr="005A7577" w:rsidRDefault="005A7577" w:rsidP="005A7577">
            <w:pPr>
              <w:pStyle w:val="TableBodyText"/>
            </w:pPr>
            <w:r w:rsidRPr="005A7577">
              <w:t xml:space="preserve">  20.4</w:t>
            </w:r>
          </w:p>
        </w:tc>
        <w:tc>
          <w:tcPr>
            <w:tcW w:w="415" w:type="pct"/>
            <w:gridSpan w:val="2"/>
            <w:shd w:val="clear" w:color="auto" w:fill="auto"/>
            <w:vAlign w:val="center"/>
          </w:tcPr>
          <w:p w:rsidR="005A7577" w:rsidRPr="005A7577" w:rsidRDefault="005A7577" w:rsidP="005A7577">
            <w:pPr>
              <w:pStyle w:val="TableBodyText"/>
            </w:pPr>
            <w:r w:rsidRPr="005A7577">
              <w:t xml:space="preserve">  20.5</w:t>
            </w:r>
          </w:p>
        </w:tc>
        <w:tc>
          <w:tcPr>
            <w:tcW w:w="363" w:type="pct"/>
            <w:shd w:val="clear" w:color="auto" w:fill="auto"/>
            <w:vAlign w:val="center"/>
          </w:tcPr>
          <w:p w:rsidR="005A7577" w:rsidRPr="005A7577" w:rsidRDefault="005A7577" w:rsidP="005A7577">
            <w:pPr>
              <w:pStyle w:val="TableBodyText"/>
            </w:pPr>
            <w:r w:rsidRPr="005A7577">
              <w:t xml:space="preserve">  23.8</w:t>
            </w:r>
          </w:p>
        </w:tc>
        <w:tc>
          <w:tcPr>
            <w:tcW w:w="468" w:type="pct"/>
            <w:gridSpan w:val="4"/>
            <w:shd w:val="clear" w:color="auto" w:fill="auto"/>
            <w:vAlign w:val="center"/>
          </w:tcPr>
          <w:p w:rsidR="005A7577" w:rsidRPr="005A7577" w:rsidRDefault="005A7577" w:rsidP="005A7577">
            <w:pPr>
              <w:pStyle w:val="TableBodyText"/>
            </w:pPr>
            <w:r w:rsidRPr="005A7577">
              <w:t xml:space="preserve">  23.3</w:t>
            </w:r>
          </w:p>
        </w:tc>
        <w:tc>
          <w:tcPr>
            <w:tcW w:w="418" w:type="pct"/>
            <w:gridSpan w:val="2"/>
            <w:shd w:val="clear" w:color="auto" w:fill="auto"/>
            <w:vAlign w:val="center"/>
          </w:tcPr>
          <w:p w:rsidR="005A7577" w:rsidRPr="005A7577" w:rsidRDefault="005A7577" w:rsidP="005A7577">
            <w:pPr>
              <w:pStyle w:val="TableBodyText"/>
            </w:pPr>
            <w:r w:rsidRPr="005A7577">
              <w:t xml:space="preserve">  17.6</w:t>
            </w:r>
          </w:p>
        </w:tc>
        <w:tc>
          <w:tcPr>
            <w:tcW w:w="415" w:type="pct"/>
            <w:shd w:val="clear" w:color="auto" w:fill="auto"/>
            <w:vAlign w:val="center"/>
          </w:tcPr>
          <w:p w:rsidR="005A7577" w:rsidRPr="005A7577" w:rsidRDefault="005A7577" w:rsidP="005A7577">
            <w:pPr>
              <w:pStyle w:val="TableBodyText"/>
            </w:pPr>
            <w:proofErr w:type="spellStart"/>
            <w:r>
              <w:t>na</w:t>
            </w:r>
            <w:proofErr w:type="spellEnd"/>
          </w:p>
        </w:tc>
      </w:tr>
      <w:tr w:rsidR="00C47A89" w:rsidRPr="00B817EA" w:rsidTr="00807A47">
        <w:trPr>
          <w:gridAfter w:val="1"/>
          <w:wAfter w:w="8" w:type="pct"/>
        </w:trPr>
        <w:tc>
          <w:tcPr>
            <w:tcW w:w="167" w:type="pct"/>
            <w:gridSpan w:val="2"/>
            <w:shd w:val="clear" w:color="auto" w:fill="auto"/>
          </w:tcPr>
          <w:p w:rsidR="005A7577" w:rsidRPr="005825CD" w:rsidRDefault="005A7577" w:rsidP="006B14A9">
            <w:pPr>
              <w:pStyle w:val="TableBodyText"/>
              <w:keepNext w:val="0"/>
              <w:jc w:val="left"/>
              <w:rPr>
                <w:vertAlign w:val="superscript"/>
              </w:rPr>
            </w:pPr>
          </w:p>
        </w:tc>
        <w:tc>
          <w:tcPr>
            <w:tcW w:w="940" w:type="pct"/>
            <w:shd w:val="clear" w:color="auto" w:fill="auto"/>
          </w:tcPr>
          <w:p w:rsidR="005A7577" w:rsidRPr="007E4F4D" w:rsidRDefault="005A7577" w:rsidP="006B14A9">
            <w:pPr>
              <w:pStyle w:val="TableBodyText"/>
              <w:keepNext w:val="0"/>
              <w:jc w:val="left"/>
            </w:pPr>
            <w:r w:rsidRPr="007E4F4D">
              <w:t>60+</w:t>
            </w:r>
          </w:p>
        </w:tc>
        <w:tc>
          <w:tcPr>
            <w:tcW w:w="432" w:type="pct"/>
            <w:gridSpan w:val="3"/>
            <w:shd w:val="clear" w:color="auto" w:fill="auto"/>
            <w:vAlign w:val="center"/>
          </w:tcPr>
          <w:p w:rsidR="005A7577" w:rsidRPr="005A7577" w:rsidRDefault="005A7577" w:rsidP="005A7577">
            <w:pPr>
              <w:pStyle w:val="TableBodyText"/>
            </w:pPr>
            <w:r w:rsidRPr="005A7577">
              <w:t xml:space="preserve">  19.3</w:t>
            </w:r>
          </w:p>
        </w:tc>
        <w:tc>
          <w:tcPr>
            <w:tcW w:w="427" w:type="pct"/>
            <w:gridSpan w:val="3"/>
            <w:shd w:val="clear" w:color="auto" w:fill="auto"/>
            <w:vAlign w:val="center"/>
          </w:tcPr>
          <w:p w:rsidR="005A7577" w:rsidRPr="005A7577" w:rsidRDefault="005A7577" w:rsidP="005A7577">
            <w:pPr>
              <w:pStyle w:val="TableBodyText"/>
            </w:pPr>
            <w:r w:rsidRPr="005A7577">
              <w:t xml:space="preserve">  16.4</w:t>
            </w:r>
          </w:p>
        </w:tc>
        <w:tc>
          <w:tcPr>
            <w:tcW w:w="532" w:type="pct"/>
            <w:gridSpan w:val="4"/>
            <w:shd w:val="clear" w:color="auto" w:fill="auto"/>
            <w:vAlign w:val="center"/>
          </w:tcPr>
          <w:p w:rsidR="005A7577" w:rsidRPr="005A7577" w:rsidRDefault="005A7577" w:rsidP="005A7577">
            <w:pPr>
              <w:pStyle w:val="TableBodyText"/>
            </w:pPr>
            <w:r w:rsidRPr="005A7577">
              <w:t xml:space="preserve">  14.4</w:t>
            </w:r>
          </w:p>
        </w:tc>
        <w:tc>
          <w:tcPr>
            <w:tcW w:w="415" w:type="pct"/>
            <w:gridSpan w:val="2"/>
            <w:shd w:val="clear" w:color="auto" w:fill="auto"/>
            <w:vAlign w:val="center"/>
          </w:tcPr>
          <w:p w:rsidR="005A7577" w:rsidRPr="005A7577" w:rsidRDefault="005A7577" w:rsidP="005A7577">
            <w:pPr>
              <w:pStyle w:val="TableBodyText"/>
            </w:pPr>
            <w:r w:rsidRPr="005A7577">
              <w:t xml:space="preserve">  14.6</w:t>
            </w:r>
          </w:p>
        </w:tc>
        <w:tc>
          <w:tcPr>
            <w:tcW w:w="415" w:type="pct"/>
            <w:gridSpan w:val="2"/>
            <w:shd w:val="clear" w:color="auto" w:fill="auto"/>
            <w:vAlign w:val="center"/>
          </w:tcPr>
          <w:p w:rsidR="005A7577" w:rsidRPr="005A7577" w:rsidRDefault="005A7577" w:rsidP="005A7577">
            <w:pPr>
              <w:pStyle w:val="TableBodyText"/>
            </w:pPr>
            <w:r w:rsidRPr="005A7577">
              <w:t xml:space="preserve">  17.2</w:t>
            </w:r>
          </w:p>
        </w:tc>
        <w:tc>
          <w:tcPr>
            <w:tcW w:w="363" w:type="pct"/>
            <w:shd w:val="clear" w:color="auto" w:fill="auto"/>
            <w:vAlign w:val="center"/>
          </w:tcPr>
          <w:p w:rsidR="005A7577" w:rsidRPr="005A7577" w:rsidRDefault="005A7577" w:rsidP="005A7577">
            <w:pPr>
              <w:pStyle w:val="TableBodyText"/>
            </w:pPr>
            <w:r w:rsidRPr="005A7577">
              <w:t xml:space="preserve">  17.3</w:t>
            </w:r>
          </w:p>
        </w:tc>
        <w:tc>
          <w:tcPr>
            <w:tcW w:w="468" w:type="pct"/>
            <w:gridSpan w:val="4"/>
            <w:shd w:val="clear" w:color="auto" w:fill="auto"/>
            <w:vAlign w:val="center"/>
          </w:tcPr>
          <w:p w:rsidR="005A7577" w:rsidRPr="005A7577" w:rsidRDefault="005A7577" w:rsidP="005A7577">
            <w:pPr>
              <w:pStyle w:val="TableBodyText"/>
            </w:pPr>
            <w:r w:rsidRPr="005A7577">
              <w:t xml:space="preserve">  14.9</w:t>
            </w:r>
          </w:p>
        </w:tc>
        <w:tc>
          <w:tcPr>
            <w:tcW w:w="418" w:type="pct"/>
            <w:gridSpan w:val="2"/>
            <w:shd w:val="clear" w:color="auto" w:fill="auto"/>
            <w:vAlign w:val="center"/>
          </w:tcPr>
          <w:p w:rsidR="005A7577" w:rsidRPr="005A7577" w:rsidRDefault="005A7577" w:rsidP="005A7577">
            <w:pPr>
              <w:pStyle w:val="TableBodyText"/>
            </w:pPr>
            <w:r w:rsidRPr="005A7577">
              <w:t xml:space="preserve">  12.7</w:t>
            </w:r>
          </w:p>
        </w:tc>
        <w:tc>
          <w:tcPr>
            <w:tcW w:w="415" w:type="pct"/>
            <w:shd w:val="clear" w:color="auto" w:fill="auto"/>
            <w:vAlign w:val="center"/>
          </w:tcPr>
          <w:p w:rsidR="005A7577" w:rsidRPr="005A7577" w:rsidRDefault="005A7577" w:rsidP="005A7577">
            <w:pPr>
              <w:pStyle w:val="TableBodyText"/>
            </w:pPr>
            <w:proofErr w:type="spellStart"/>
            <w:r>
              <w:t>na</w:t>
            </w:r>
            <w:proofErr w:type="spellEnd"/>
          </w:p>
        </w:tc>
      </w:tr>
      <w:tr w:rsidR="005A7577" w:rsidRPr="005825CD" w:rsidTr="00E94F51">
        <w:trPr>
          <w:gridAfter w:val="1"/>
          <w:wAfter w:w="8" w:type="pct"/>
          <w:trHeight w:val="177"/>
        </w:trPr>
        <w:tc>
          <w:tcPr>
            <w:tcW w:w="4992" w:type="pct"/>
            <w:gridSpan w:val="25"/>
            <w:shd w:val="clear" w:color="auto" w:fill="auto"/>
          </w:tcPr>
          <w:p w:rsidR="005A7577" w:rsidRPr="00C804F5" w:rsidRDefault="005A7577" w:rsidP="005A7577">
            <w:pPr>
              <w:pStyle w:val="Source"/>
              <w:spacing w:after="0"/>
            </w:pPr>
            <w:r w:rsidRPr="00B5543B">
              <w:t>Source: table</w:t>
            </w:r>
            <w:r>
              <w:t>s</w:t>
            </w:r>
            <w:r w:rsidRPr="00B5543B">
              <w:t xml:space="preserve"> </w:t>
            </w:r>
            <w:proofErr w:type="spellStart"/>
            <w:r w:rsidRPr="00B5543B">
              <w:t>1</w:t>
            </w:r>
            <w:r>
              <w:t>0</w:t>
            </w:r>
            <w:r w:rsidRPr="00B5543B">
              <w:t>A.</w:t>
            </w:r>
            <w:r>
              <w:t>52</w:t>
            </w:r>
            <w:proofErr w:type="spellEnd"/>
            <w:r>
              <w:t>–</w:t>
            </w:r>
            <w:proofErr w:type="spellStart"/>
            <w:r>
              <w:t>10A.55</w:t>
            </w:r>
            <w:proofErr w:type="spellEnd"/>
            <w:r w:rsidRPr="00B5543B">
              <w:t>.</w:t>
            </w:r>
            <w:r>
              <w:t xml:space="preserve"> </w:t>
            </w:r>
          </w:p>
        </w:tc>
      </w:tr>
      <w:tr w:rsidR="00125D37" w:rsidRPr="001E0D4D" w:rsidTr="002D77C3">
        <w:trPr>
          <w:trHeight w:val="273"/>
        </w:trPr>
        <w:tc>
          <w:tcPr>
            <w:tcW w:w="5000" w:type="pct"/>
            <w:gridSpan w:val="26"/>
            <w:shd w:val="clear" w:color="auto" w:fill="auto"/>
          </w:tcPr>
          <w:p w:rsidR="00125D37" w:rsidRPr="001E0D4D" w:rsidRDefault="00125D37" w:rsidP="00116E8F">
            <w:pPr>
              <w:pStyle w:val="TableColumnHeading"/>
              <w:jc w:val="left"/>
              <w:rPr>
                <w:b/>
                <w:i w:val="0"/>
              </w:rPr>
            </w:pPr>
            <w:r w:rsidRPr="001E0D4D">
              <w:rPr>
                <w:b/>
                <w:i w:val="0"/>
              </w:rPr>
              <w:t>Efficiency indicators</w:t>
            </w:r>
          </w:p>
        </w:tc>
      </w:tr>
      <w:tr w:rsidR="00125D37" w:rsidRPr="005825CD" w:rsidTr="002D77C3">
        <w:trPr>
          <w:trHeight w:val="273"/>
        </w:trPr>
        <w:tc>
          <w:tcPr>
            <w:tcW w:w="5000" w:type="pct"/>
            <w:gridSpan w:val="26"/>
            <w:shd w:val="clear" w:color="auto" w:fill="auto"/>
          </w:tcPr>
          <w:p w:rsidR="00125D37" w:rsidRPr="005825CD" w:rsidRDefault="00125D37" w:rsidP="005A7577">
            <w:pPr>
              <w:pStyle w:val="TableColumnHeading"/>
              <w:jc w:val="left"/>
            </w:pPr>
            <w:r w:rsidRPr="00382903">
              <w:t xml:space="preserve">Recurrent cost per </w:t>
            </w:r>
            <w:proofErr w:type="spellStart"/>
            <w:r w:rsidRPr="00382903">
              <w:t>casemix</w:t>
            </w:r>
            <w:proofErr w:type="spellEnd"/>
            <w:r w:rsidRPr="00382903">
              <w:t xml:space="preserve"> adjusted separation</w:t>
            </w:r>
            <w:r w:rsidR="00C34BB9" w:rsidRPr="00382903">
              <w:t>, dollars</w:t>
            </w:r>
            <w:r w:rsidRPr="00382903">
              <w:t xml:space="preserve">, </w:t>
            </w:r>
            <w:r w:rsidRPr="00807A47">
              <w:t>20</w:t>
            </w:r>
            <w:r w:rsidR="00C12C11" w:rsidRPr="00807A47">
              <w:t>1</w:t>
            </w:r>
            <w:r w:rsidR="005A7577" w:rsidRPr="00807A47">
              <w:t>1</w:t>
            </w:r>
            <w:r w:rsidRPr="00807A47">
              <w:t>-</w:t>
            </w:r>
            <w:r w:rsidR="00C34BB9" w:rsidRPr="00807A47">
              <w:t>1</w:t>
            </w:r>
            <w:r w:rsidR="005A7577" w:rsidRPr="00807A47">
              <w:t>2</w:t>
            </w:r>
            <w:r w:rsidRPr="005825CD">
              <w:br/>
            </w:r>
            <w:r w:rsidR="00C72D5D" w:rsidRPr="00807A47">
              <w:rPr>
                <w:i w:val="0"/>
                <w:sz w:val="16"/>
                <w:szCs w:val="16"/>
              </w:rPr>
              <w:t xml:space="preserve">Most recent data for this indicator are complete but not directly comparable </w:t>
            </w:r>
            <w:r w:rsidRPr="00807A47">
              <w:rPr>
                <w:i w:val="0"/>
                <w:sz w:val="16"/>
                <w:szCs w:val="16"/>
              </w:rPr>
              <w:t>(chapter 10)</w:t>
            </w:r>
          </w:p>
        </w:tc>
      </w:tr>
      <w:tr w:rsidR="005A7577" w:rsidRPr="00B817EA" w:rsidTr="00807A47">
        <w:tc>
          <w:tcPr>
            <w:tcW w:w="161" w:type="pct"/>
            <w:shd w:val="clear" w:color="auto" w:fill="auto"/>
          </w:tcPr>
          <w:p w:rsidR="005A7577" w:rsidRPr="005825CD" w:rsidRDefault="005A7577" w:rsidP="00537EB9">
            <w:pPr>
              <w:pStyle w:val="TableBodyText"/>
              <w:jc w:val="left"/>
              <w:rPr>
                <w:vertAlign w:val="superscript"/>
              </w:rPr>
            </w:pPr>
          </w:p>
        </w:tc>
        <w:tc>
          <w:tcPr>
            <w:tcW w:w="1013" w:type="pct"/>
            <w:gridSpan w:val="3"/>
            <w:shd w:val="clear" w:color="auto" w:fill="auto"/>
          </w:tcPr>
          <w:p w:rsidR="005A7577" w:rsidRPr="007E4F4D" w:rsidRDefault="005A7577" w:rsidP="00537EB9">
            <w:pPr>
              <w:pStyle w:val="TableBodyText"/>
              <w:jc w:val="left"/>
            </w:pPr>
            <w:r>
              <w:t>Total recurrent</w:t>
            </w:r>
          </w:p>
        </w:tc>
        <w:tc>
          <w:tcPr>
            <w:tcW w:w="425" w:type="pct"/>
            <w:gridSpan w:val="3"/>
            <w:shd w:val="clear" w:color="auto" w:fill="auto"/>
            <w:vAlign w:val="center"/>
          </w:tcPr>
          <w:p w:rsidR="005A7577" w:rsidRPr="005A7577" w:rsidRDefault="005A7577" w:rsidP="005A7577">
            <w:pPr>
              <w:pStyle w:val="TableBodyText"/>
            </w:pPr>
            <w:r w:rsidRPr="005A7577">
              <w:t xml:space="preserve"> 5 280</w:t>
            </w:r>
          </w:p>
        </w:tc>
        <w:tc>
          <w:tcPr>
            <w:tcW w:w="421" w:type="pct"/>
            <w:gridSpan w:val="3"/>
            <w:shd w:val="clear" w:color="auto" w:fill="auto"/>
            <w:vAlign w:val="center"/>
          </w:tcPr>
          <w:p w:rsidR="005A7577" w:rsidRPr="005A7577" w:rsidRDefault="005A7577" w:rsidP="005A7577">
            <w:pPr>
              <w:pStyle w:val="TableBodyText"/>
            </w:pPr>
            <w:r w:rsidRPr="005A7577">
              <w:t xml:space="preserve"> 4 693</w:t>
            </w:r>
          </w:p>
        </w:tc>
        <w:tc>
          <w:tcPr>
            <w:tcW w:w="422" w:type="pct"/>
            <w:gridSpan w:val="2"/>
            <w:shd w:val="clear" w:color="auto" w:fill="auto"/>
            <w:vAlign w:val="center"/>
          </w:tcPr>
          <w:p w:rsidR="005A7577" w:rsidRPr="005A7577" w:rsidRDefault="005A7577" w:rsidP="005A7577">
            <w:pPr>
              <w:pStyle w:val="TableBodyText"/>
            </w:pPr>
            <w:r w:rsidRPr="005A7577">
              <w:t xml:space="preserve"> 5 246</w:t>
            </w:r>
          </w:p>
        </w:tc>
        <w:tc>
          <w:tcPr>
            <w:tcW w:w="421" w:type="pct"/>
            <w:gridSpan w:val="2"/>
            <w:shd w:val="clear" w:color="auto" w:fill="auto"/>
            <w:vAlign w:val="center"/>
          </w:tcPr>
          <w:p w:rsidR="005A7577" w:rsidRPr="005A7577" w:rsidRDefault="005A7577" w:rsidP="005A7577">
            <w:pPr>
              <w:pStyle w:val="TableBodyText"/>
            </w:pPr>
            <w:r w:rsidRPr="005A7577">
              <w:t xml:space="preserve"> 5 733</w:t>
            </w:r>
          </w:p>
        </w:tc>
        <w:tc>
          <w:tcPr>
            <w:tcW w:w="423" w:type="pct"/>
            <w:gridSpan w:val="2"/>
            <w:shd w:val="clear" w:color="auto" w:fill="auto"/>
            <w:vAlign w:val="center"/>
          </w:tcPr>
          <w:p w:rsidR="005A7577" w:rsidRPr="005A7577" w:rsidRDefault="005A7577" w:rsidP="005A7577">
            <w:pPr>
              <w:pStyle w:val="TableBodyText"/>
            </w:pPr>
            <w:r w:rsidRPr="005A7577">
              <w:t xml:space="preserve"> 5 251</w:t>
            </w:r>
          </w:p>
        </w:tc>
        <w:tc>
          <w:tcPr>
            <w:tcW w:w="423" w:type="pct"/>
            <w:gridSpan w:val="3"/>
            <w:shd w:val="clear" w:color="auto" w:fill="auto"/>
            <w:vAlign w:val="center"/>
          </w:tcPr>
          <w:p w:rsidR="005A7577" w:rsidRPr="005A7577" w:rsidRDefault="005A7577" w:rsidP="005A7577">
            <w:pPr>
              <w:pStyle w:val="TableBodyText"/>
            </w:pPr>
            <w:r w:rsidRPr="005A7577">
              <w:t xml:space="preserve"> 6 033</w:t>
            </w:r>
          </w:p>
        </w:tc>
        <w:tc>
          <w:tcPr>
            <w:tcW w:w="425" w:type="pct"/>
            <w:gridSpan w:val="2"/>
            <w:shd w:val="clear" w:color="auto" w:fill="auto"/>
            <w:vAlign w:val="center"/>
          </w:tcPr>
          <w:p w:rsidR="005A7577" w:rsidRPr="005A7577" w:rsidRDefault="005A7577" w:rsidP="005A7577">
            <w:pPr>
              <w:pStyle w:val="TableBodyText"/>
            </w:pPr>
            <w:r w:rsidRPr="005A7577">
              <w:t xml:space="preserve"> 6 384</w:t>
            </w:r>
          </w:p>
        </w:tc>
        <w:tc>
          <w:tcPr>
            <w:tcW w:w="427" w:type="pct"/>
            <w:gridSpan w:val="2"/>
            <w:shd w:val="clear" w:color="auto" w:fill="auto"/>
            <w:vAlign w:val="center"/>
          </w:tcPr>
          <w:p w:rsidR="005A7577" w:rsidRPr="005A7577" w:rsidRDefault="005A7577" w:rsidP="005A7577">
            <w:pPr>
              <w:pStyle w:val="TableBodyText"/>
            </w:pPr>
            <w:r w:rsidRPr="005A7577">
              <w:t xml:space="preserve"> 6 017</w:t>
            </w:r>
          </w:p>
        </w:tc>
        <w:tc>
          <w:tcPr>
            <w:tcW w:w="439" w:type="pct"/>
            <w:gridSpan w:val="3"/>
            <w:shd w:val="clear" w:color="auto" w:fill="auto"/>
            <w:vAlign w:val="center"/>
          </w:tcPr>
          <w:p w:rsidR="005A7577" w:rsidRPr="005A7577" w:rsidRDefault="005A7577" w:rsidP="005A7577">
            <w:pPr>
              <w:pStyle w:val="TableBodyText"/>
            </w:pPr>
            <w:r w:rsidRPr="005A7577">
              <w:t xml:space="preserve"> 5 204</w:t>
            </w:r>
          </w:p>
        </w:tc>
      </w:tr>
      <w:tr w:rsidR="005A7577" w:rsidRPr="00B817EA" w:rsidTr="00807A47">
        <w:tc>
          <w:tcPr>
            <w:tcW w:w="161" w:type="pct"/>
            <w:shd w:val="clear" w:color="auto" w:fill="auto"/>
          </w:tcPr>
          <w:p w:rsidR="005A7577" w:rsidRPr="005825CD" w:rsidRDefault="005A7577" w:rsidP="00537EB9">
            <w:pPr>
              <w:pStyle w:val="TableBodyText"/>
              <w:jc w:val="left"/>
              <w:rPr>
                <w:vertAlign w:val="superscript"/>
              </w:rPr>
            </w:pPr>
          </w:p>
        </w:tc>
        <w:tc>
          <w:tcPr>
            <w:tcW w:w="1013" w:type="pct"/>
            <w:gridSpan w:val="3"/>
            <w:shd w:val="clear" w:color="auto" w:fill="auto"/>
          </w:tcPr>
          <w:p w:rsidR="005A7577" w:rsidRPr="005825CD" w:rsidRDefault="005A7577" w:rsidP="00537EB9">
            <w:pPr>
              <w:pStyle w:val="TableBodyText"/>
              <w:jc w:val="left"/>
              <w:rPr>
                <w:vertAlign w:val="superscript"/>
              </w:rPr>
            </w:pPr>
            <w:r w:rsidRPr="00BE61DC">
              <w:t>Capital</w:t>
            </w:r>
          </w:p>
        </w:tc>
        <w:tc>
          <w:tcPr>
            <w:tcW w:w="425" w:type="pct"/>
            <w:gridSpan w:val="3"/>
            <w:shd w:val="clear" w:color="auto" w:fill="auto"/>
            <w:vAlign w:val="center"/>
          </w:tcPr>
          <w:p w:rsidR="005A7577" w:rsidRPr="005A7577" w:rsidRDefault="005A7577" w:rsidP="005A7577">
            <w:pPr>
              <w:pStyle w:val="TableBodyText"/>
            </w:pPr>
            <w:r w:rsidRPr="005A7577">
              <w:t xml:space="preserve">  475</w:t>
            </w:r>
          </w:p>
        </w:tc>
        <w:tc>
          <w:tcPr>
            <w:tcW w:w="421" w:type="pct"/>
            <w:gridSpan w:val="3"/>
            <w:shd w:val="clear" w:color="auto" w:fill="auto"/>
            <w:vAlign w:val="center"/>
          </w:tcPr>
          <w:p w:rsidR="005A7577" w:rsidRPr="005A7577" w:rsidRDefault="005A7577" w:rsidP="005A7577">
            <w:pPr>
              <w:pStyle w:val="TableBodyText"/>
            </w:pPr>
            <w:r w:rsidRPr="005A7577">
              <w:t xml:space="preserve">  804</w:t>
            </w:r>
          </w:p>
        </w:tc>
        <w:tc>
          <w:tcPr>
            <w:tcW w:w="422" w:type="pct"/>
            <w:gridSpan w:val="2"/>
            <w:shd w:val="clear" w:color="auto" w:fill="auto"/>
            <w:vAlign w:val="center"/>
          </w:tcPr>
          <w:p w:rsidR="005A7577" w:rsidRPr="005A7577" w:rsidRDefault="005A7577" w:rsidP="005A7577">
            <w:pPr>
              <w:pStyle w:val="TableBodyText"/>
            </w:pPr>
            <w:r w:rsidRPr="005A7577">
              <w:t xml:space="preserve">  424</w:t>
            </w:r>
          </w:p>
        </w:tc>
        <w:tc>
          <w:tcPr>
            <w:tcW w:w="421" w:type="pct"/>
            <w:gridSpan w:val="2"/>
            <w:shd w:val="clear" w:color="auto" w:fill="auto"/>
            <w:vAlign w:val="center"/>
          </w:tcPr>
          <w:p w:rsidR="005A7577" w:rsidRPr="005A7577" w:rsidRDefault="005A7577" w:rsidP="005A7577">
            <w:pPr>
              <w:pStyle w:val="TableBodyText"/>
            </w:pPr>
            <w:r w:rsidRPr="005A7577">
              <w:t xml:space="preserve">  542</w:t>
            </w:r>
          </w:p>
        </w:tc>
        <w:tc>
          <w:tcPr>
            <w:tcW w:w="423" w:type="pct"/>
            <w:gridSpan w:val="2"/>
            <w:shd w:val="clear" w:color="auto" w:fill="auto"/>
            <w:vAlign w:val="center"/>
          </w:tcPr>
          <w:p w:rsidR="005A7577" w:rsidRPr="005A7577" w:rsidRDefault="005A7577" w:rsidP="005A7577">
            <w:pPr>
              <w:pStyle w:val="TableBodyText"/>
            </w:pPr>
            <w:r w:rsidRPr="005A7577">
              <w:t xml:space="preserve">  395</w:t>
            </w:r>
          </w:p>
        </w:tc>
        <w:tc>
          <w:tcPr>
            <w:tcW w:w="423" w:type="pct"/>
            <w:gridSpan w:val="3"/>
            <w:shd w:val="clear" w:color="auto" w:fill="auto"/>
            <w:vAlign w:val="center"/>
          </w:tcPr>
          <w:p w:rsidR="005A7577" w:rsidRPr="005A7577" w:rsidRDefault="005A7577" w:rsidP="005A7577">
            <w:pPr>
              <w:pStyle w:val="TableBodyText"/>
            </w:pPr>
            <w:r w:rsidRPr="005A7577">
              <w:t xml:space="preserve">  427</w:t>
            </w:r>
          </w:p>
        </w:tc>
        <w:tc>
          <w:tcPr>
            <w:tcW w:w="425" w:type="pct"/>
            <w:gridSpan w:val="2"/>
            <w:shd w:val="clear" w:color="auto" w:fill="auto"/>
            <w:vAlign w:val="center"/>
          </w:tcPr>
          <w:p w:rsidR="005A7577" w:rsidRPr="005A7577" w:rsidRDefault="005A7577" w:rsidP="005A7577">
            <w:pPr>
              <w:pStyle w:val="TableBodyText"/>
            </w:pPr>
            <w:r w:rsidRPr="005A7577">
              <w:t xml:space="preserve">  556</w:t>
            </w:r>
          </w:p>
        </w:tc>
        <w:tc>
          <w:tcPr>
            <w:tcW w:w="427" w:type="pct"/>
            <w:gridSpan w:val="2"/>
            <w:shd w:val="clear" w:color="auto" w:fill="auto"/>
            <w:vAlign w:val="center"/>
          </w:tcPr>
          <w:p w:rsidR="005A7577" w:rsidRPr="005A7577" w:rsidRDefault="005A7577" w:rsidP="005A7577">
            <w:pPr>
              <w:pStyle w:val="TableBodyText"/>
            </w:pPr>
            <w:r w:rsidRPr="005A7577">
              <w:t xml:space="preserve">  693</w:t>
            </w:r>
          </w:p>
        </w:tc>
        <w:tc>
          <w:tcPr>
            <w:tcW w:w="439" w:type="pct"/>
            <w:gridSpan w:val="3"/>
            <w:shd w:val="clear" w:color="auto" w:fill="auto"/>
            <w:vAlign w:val="center"/>
          </w:tcPr>
          <w:p w:rsidR="005A7577" w:rsidRPr="005A7577" w:rsidRDefault="005A7577" w:rsidP="005A7577">
            <w:pPr>
              <w:pStyle w:val="TableBodyText"/>
            </w:pPr>
            <w:r w:rsidRPr="005A7577">
              <w:t xml:space="preserve">  493</w:t>
            </w:r>
          </w:p>
        </w:tc>
      </w:tr>
      <w:tr w:rsidR="005A7577" w:rsidRPr="005825CD" w:rsidTr="002D77C3">
        <w:trPr>
          <w:trHeight w:val="273"/>
        </w:trPr>
        <w:tc>
          <w:tcPr>
            <w:tcW w:w="5000" w:type="pct"/>
            <w:gridSpan w:val="26"/>
            <w:shd w:val="clear" w:color="auto" w:fill="auto"/>
          </w:tcPr>
          <w:p w:rsidR="005A7577" w:rsidRPr="005825CD" w:rsidRDefault="005A7577" w:rsidP="00573D80">
            <w:pPr>
              <w:pStyle w:val="TableColumnHeading"/>
              <w:jc w:val="left"/>
            </w:pPr>
            <w:r>
              <w:t xml:space="preserve">Relative stay </w:t>
            </w:r>
            <w:r w:rsidRPr="005F1B06">
              <w:t>index, 201</w:t>
            </w:r>
            <w:r w:rsidR="00573D80" w:rsidRPr="005F1B06">
              <w:t>1</w:t>
            </w:r>
            <w:r w:rsidRPr="005F1B06">
              <w:t>-1</w:t>
            </w:r>
            <w:r w:rsidR="00573D80" w:rsidRPr="005F1B06">
              <w:t>2</w:t>
            </w:r>
            <w:r w:rsidRPr="005825CD">
              <w:br/>
            </w:r>
            <w:r w:rsidR="00C72D5D" w:rsidRPr="00807A47">
              <w:rPr>
                <w:i w:val="0"/>
                <w:sz w:val="16"/>
                <w:szCs w:val="16"/>
              </w:rPr>
              <w:t xml:space="preserve">Most recent data for this indicator are complete and comparable </w:t>
            </w:r>
            <w:r w:rsidRPr="00807A47">
              <w:rPr>
                <w:i w:val="0"/>
                <w:sz w:val="16"/>
                <w:szCs w:val="16"/>
              </w:rPr>
              <w:t>(chapter 10)</w:t>
            </w:r>
          </w:p>
        </w:tc>
      </w:tr>
      <w:tr w:rsidR="005A7577" w:rsidRPr="00B817EA" w:rsidTr="00807A47">
        <w:tc>
          <w:tcPr>
            <w:tcW w:w="161" w:type="pct"/>
            <w:shd w:val="clear" w:color="auto" w:fill="auto"/>
          </w:tcPr>
          <w:p w:rsidR="005A7577" w:rsidRPr="005825CD" w:rsidRDefault="005A7577" w:rsidP="00537EB9">
            <w:pPr>
              <w:pStyle w:val="TableBodyText"/>
              <w:jc w:val="left"/>
              <w:rPr>
                <w:vertAlign w:val="superscript"/>
              </w:rPr>
            </w:pPr>
          </w:p>
        </w:tc>
        <w:tc>
          <w:tcPr>
            <w:tcW w:w="1013" w:type="pct"/>
            <w:gridSpan w:val="3"/>
            <w:shd w:val="clear" w:color="auto" w:fill="auto"/>
          </w:tcPr>
          <w:p w:rsidR="005A7577" w:rsidRPr="005825CD" w:rsidRDefault="005A7577" w:rsidP="00537EB9">
            <w:pPr>
              <w:pStyle w:val="TableBodyText"/>
              <w:jc w:val="left"/>
              <w:rPr>
                <w:vertAlign w:val="superscript"/>
              </w:rPr>
            </w:pPr>
            <w:r>
              <w:t>Total</w:t>
            </w:r>
          </w:p>
        </w:tc>
        <w:tc>
          <w:tcPr>
            <w:tcW w:w="425" w:type="pct"/>
            <w:gridSpan w:val="3"/>
            <w:shd w:val="clear" w:color="auto" w:fill="auto"/>
            <w:vAlign w:val="center"/>
          </w:tcPr>
          <w:p w:rsidR="005A7577" w:rsidRPr="005A7577" w:rsidRDefault="005A7577" w:rsidP="005A7577">
            <w:pPr>
              <w:pStyle w:val="TableBodyText"/>
            </w:pPr>
            <w:r w:rsidRPr="005A7577">
              <w:t xml:space="preserve">  1.05</w:t>
            </w:r>
          </w:p>
        </w:tc>
        <w:tc>
          <w:tcPr>
            <w:tcW w:w="421" w:type="pct"/>
            <w:gridSpan w:val="3"/>
            <w:shd w:val="clear" w:color="auto" w:fill="auto"/>
            <w:vAlign w:val="center"/>
          </w:tcPr>
          <w:p w:rsidR="005A7577" w:rsidRPr="005A7577" w:rsidRDefault="005A7577" w:rsidP="005A7577">
            <w:pPr>
              <w:pStyle w:val="TableBodyText"/>
            </w:pPr>
            <w:r w:rsidRPr="005A7577">
              <w:t xml:space="preserve">  0.91</w:t>
            </w:r>
          </w:p>
        </w:tc>
        <w:tc>
          <w:tcPr>
            <w:tcW w:w="422" w:type="pct"/>
            <w:gridSpan w:val="2"/>
            <w:shd w:val="clear" w:color="auto" w:fill="auto"/>
            <w:vAlign w:val="center"/>
          </w:tcPr>
          <w:p w:rsidR="005A7577" w:rsidRPr="005A7577" w:rsidRDefault="005A7577" w:rsidP="005A7577">
            <w:pPr>
              <w:pStyle w:val="TableBodyText"/>
            </w:pPr>
            <w:r w:rsidRPr="005A7577">
              <w:t xml:space="preserve">  0.89</w:t>
            </w:r>
          </w:p>
        </w:tc>
        <w:tc>
          <w:tcPr>
            <w:tcW w:w="421" w:type="pct"/>
            <w:gridSpan w:val="2"/>
            <w:shd w:val="clear" w:color="auto" w:fill="auto"/>
            <w:vAlign w:val="center"/>
          </w:tcPr>
          <w:p w:rsidR="005A7577" w:rsidRPr="005A7577" w:rsidRDefault="005A7577" w:rsidP="005A7577">
            <w:pPr>
              <w:pStyle w:val="TableBodyText"/>
            </w:pPr>
            <w:r w:rsidRPr="005A7577">
              <w:t xml:space="preserve">  0.98</w:t>
            </w:r>
          </w:p>
        </w:tc>
        <w:tc>
          <w:tcPr>
            <w:tcW w:w="423" w:type="pct"/>
            <w:gridSpan w:val="2"/>
            <w:shd w:val="clear" w:color="auto" w:fill="auto"/>
            <w:vAlign w:val="center"/>
          </w:tcPr>
          <w:p w:rsidR="005A7577" w:rsidRPr="005A7577" w:rsidRDefault="005A7577" w:rsidP="005A7577">
            <w:pPr>
              <w:pStyle w:val="TableBodyText"/>
            </w:pPr>
            <w:r w:rsidRPr="005A7577">
              <w:t xml:space="preserve">  1.02</w:t>
            </w:r>
          </w:p>
        </w:tc>
        <w:tc>
          <w:tcPr>
            <w:tcW w:w="423" w:type="pct"/>
            <w:gridSpan w:val="3"/>
            <w:shd w:val="clear" w:color="auto" w:fill="auto"/>
            <w:vAlign w:val="center"/>
          </w:tcPr>
          <w:p w:rsidR="005A7577" w:rsidRPr="005A7577" w:rsidRDefault="005A7577" w:rsidP="005A7577">
            <w:pPr>
              <w:pStyle w:val="TableBodyText"/>
            </w:pPr>
            <w:r w:rsidRPr="005A7577">
              <w:t xml:space="preserve">  1.04</w:t>
            </w:r>
          </w:p>
        </w:tc>
        <w:tc>
          <w:tcPr>
            <w:tcW w:w="425" w:type="pct"/>
            <w:gridSpan w:val="2"/>
            <w:shd w:val="clear" w:color="auto" w:fill="auto"/>
            <w:vAlign w:val="center"/>
          </w:tcPr>
          <w:p w:rsidR="005A7577" w:rsidRPr="005A7577" w:rsidRDefault="005A7577" w:rsidP="005A7577">
            <w:pPr>
              <w:pStyle w:val="TableBodyText"/>
            </w:pPr>
            <w:r w:rsidRPr="005A7577">
              <w:t xml:space="preserve">  1.00</w:t>
            </w:r>
          </w:p>
        </w:tc>
        <w:tc>
          <w:tcPr>
            <w:tcW w:w="427" w:type="pct"/>
            <w:gridSpan w:val="2"/>
            <w:shd w:val="clear" w:color="auto" w:fill="auto"/>
            <w:vAlign w:val="center"/>
          </w:tcPr>
          <w:p w:rsidR="005A7577" w:rsidRPr="005A7577" w:rsidRDefault="005A7577" w:rsidP="005A7577">
            <w:pPr>
              <w:pStyle w:val="TableBodyText"/>
            </w:pPr>
            <w:r w:rsidRPr="005A7577">
              <w:t xml:space="preserve">  1.16</w:t>
            </w:r>
          </w:p>
        </w:tc>
        <w:tc>
          <w:tcPr>
            <w:tcW w:w="439" w:type="pct"/>
            <w:gridSpan w:val="3"/>
            <w:shd w:val="clear" w:color="auto" w:fill="auto"/>
            <w:vAlign w:val="center"/>
          </w:tcPr>
          <w:p w:rsidR="005A7577" w:rsidRPr="005A7577" w:rsidRDefault="005A7577" w:rsidP="005A7577">
            <w:pPr>
              <w:pStyle w:val="TableBodyText"/>
            </w:pPr>
            <w:r w:rsidRPr="005A7577">
              <w:t xml:space="preserve">  0.98</w:t>
            </w:r>
          </w:p>
        </w:tc>
      </w:tr>
      <w:tr w:rsidR="005A7577" w:rsidRPr="005825CD" w:rsidTr="002D77C3">
        <w:trPr>
          <w:trHeight w:val="273"/>
        </w:trPr>
        <w:tc>
          <w:tcPr>
            <w:tcW w:w="5000" w:type="pct"/>
            <w:gridSpan w:val="26"/>
            <w:shd w:val="clear" w:color="auto" w:fill="auto"/>
          </w:tcPr>
          <w:p w:rsidR="005A7577" w:rsidRPr="005825CD" w:rsidRDefault="005A7577" w:rsidP="00C72D5D">
            <w:pPr>
              <w:pStyle w:val="TableColumnHeading"/>
              <w:jc w:val="left"/>
            </w:pPr>
            <w:r>
              <w:t>Recurrent cost per non-admitted occasion of service</w:t>
            </w:r>
            <w:r w:rsidRPr="005825CD">
              <w:t xml:space="preserve">, </w:t>
            </w:r>
            <w:r w:rsidRPr="00382903">
              <w:t>20</w:t>
            </w:r>
            <w:r>
              <w:t>11</w:t>
            </w:r>
            <w:r w:rsidRPr="00382903">
              <w:t>-1</w:t>
            </w:r>
            <w:r>
              <w:t>2</w:t>
            </w:r>
            <w:r w:rsidRPr="005825CD">
              <w:br/>
            </w:r>
            <w:r w:rsidR="00C72D5D" w:rsidRPr="00807A47">
              <w:rPr>
                <w:i w:val="0"/>
                <w:sz w:val="16"/>
                <w:szCs w:val="16"/>
              </w:rPr>
              <w:t>Most recent d</w:t>
            </w:r>
            <w:r w:rsidRPr="00807A47">
              <w:rPr>
                <w:i w:val="0"/>
                <w:sz w:val="16"/>
                <w:szCs w:val="16"/>
              </w:rPr>
              <w:t xml:space="preserve">ata for this indicator not complete or not directly comparable </w:t>
            </w:r>
            <w:r w:rsidRPr="00A16ED4">
              <w:rPr>
                <w:i w:val="0"/>
                <w:sz w:val="16"/>
                <w:szCs w:val="16"/>
              </w:rPr>
              <w:t xml:space="preserve">(chapter 10). Data are available in tables </w:t>
            </w:r>
            <w:proofErr w:type="spellStart"/>
            <w:r w:rsidRPr="00A16ED4">
              <w:rPr>
                <w:i w:val="0"/>
                <w:sz w:val="16"/>
                <w:szCs w:val="16"/>
              </w:rPr>
              <w:t>10A.</w:t>
            </w:r>
            <w:r>
              <w:rPr>
                <w:i w:val="0"/>
                <w:sz w:val="16"/>
                <w:szCs w:val="16"/>
              </w:rPr>
              <w:t>61</w:t>
            </w:r>
            <w:proofErr w:type="spellEnd"/>
            <w:r w:rsidRPr="00A16ED4">
              <w:rPr>
                <w:i w:val="0"/>
                <w:sz w:val="16"/>
                <w:szCs w:val="16"/>
              </w:rPr>
              <w:t>–</w:t>
            </w:r>
            <w:proofErr w:type="spellStart"/>
            <w:r w:rsidRPr="00A16ED4">
              <w:rPr>
                <w:i w:val="0"/>
                <w:sz w:val="16"/>
                <w:szCs w:val="16"/>
              </w:rPr>
              <w:t>10A.</w:t>
            </w:r>
            <w:r>
              <w:rPr>
                <w:i w:val="0"/>
                <w:sz w:val="16"/>
                <w:szCs w:val="16"/>
              </w:rPr>
              <w:t>6</w:t>
            </w:r>
            <w:r w:rsidR="003536E8">
              <w:rPr>
                <w:i w:val="0"/>
                <w:sz w:val="16"/>
                <w:szCs w:val="16"/>
              </w:rPr>
              <w:t>5</w:t>
            </w:r>
            <w:proofErr w:type="spellEnd"/>
            <w:r w:rsidRPr="00A16ED4">
              <w:rPr>
                <w:i w:val="0"/>
                <w:sz w:val="16"/>
                <w:szCs w:val="16"/>
              </w:rPr>
              <w:t>.</w:t>
            </w:r>
          </w:p>
        </w:tc>
      </w:tr>
      <w:tr w:rsidR="005A7577" w:rsidRPr="005825CD" w:rsidTr="002D77C3">
        <w:trPr>
          <w:trHeight w:val="177"/>
        </w:trPr>
        <w:tc>
          <w:tcPr>
            <w:tcW w:w="5000" w:type="pct"/>
            <w:gridSpan w:val="26"/>
            <w:shd w:val="clear" w:color="auto" w:fill="auto"/>
          </w:tcPr>
          <w:p w:rsidR="005A7577" w:rsidRPr="00C804F5" w:rsidRDefault="005A7577" w:rsidP="005A7577">
            <w:pPr>
              <w:pStyle w:val="Source"/>
            </w:pPr>
            <w:r w:rsidRPr="00B5543B">
              <w:t>Source: table</w:t>
            </w:r>
            <w:r>
              <w:t>s</w:t>
            </w:r>
            <w:r w:rsidRPr="00B5543B">
              <w:t xml:space="preserve"> </w:t>
            </w:r>
            <w:proofErr w:type="spellStart"/>
            <w:r w:rsidRPr="00807A47">
              <w:t>10A.56</w:t>
            </w:r>
            <w:proofErr w:type="spellEnd"/>
            <w:r w:rsidRPr="00807A47">
              <w:t>–</w:t>
            </w:r>
            <w:proofErr w:type="spellStart"/>
            <w:r w:rsidRPr="00807A47">
              <w:t>10A.68</w:t>
            </w:r>
            <w:proofErr w:type="spellEnd"/>
            <w:r w:rsidRPr="00807A47">
              <w:t>.</w:t>
            </w:r>
            <w:r w:rsidRPr="005825CD">
              <w:t xml:space="preserve">  </w:t>
            </w:r>
          </w:p>
        </w:tc>
      </w:tr>
      <w:tr w:rsidR="005A7577" w:rsidRPr="001E0D4D" w:rsidTr="002D77C3">
        <w:trPr>
          <w:trHeight w:val="273"/>
        </w:trPr>
        <w:tc>
          <w:tcPr>
            <w:tcW w:w="5000" w:type="pct"/>
            <w:gridSpan w:val="26"/>
            <w:shd w:val="clear" w:color="auto" w:fill="auto"/>
          </w:tcPr>
          <w:p w:rsidR="005A7577" w:rsidRPr="001E0D4D" w:rsidRDefault="005A7577" w:rsidP="00116E8F">
            <w:pPr>
              <w:pStyle w:val="TableColumnHeading"/>
              <w:jc w:val="left"/>
              <w:rPr>
                <w:b/>
                <w:i w:val="0"/>
              </w:rPr>
            </w:pPr>
            <w:r w:rsidRPr="001E0D4D">
              <w:rPr>
                <w:b/>
                <w:i w:val="0"/>
              </w:rPr>
              <w:t>Outcome indicators</w:t>
            </w:r>
          </w:p>
        </w:tc>
      </w:tr>
      <w:tr w:rsidR="005A7577" w:rsidRPr="005825CD" w:rsidTr="002D77C3">
        <w:trPr>
          <w:trHeight w:val="273"/>
        </w:trPr>
        <w:tc>
          <w:tcPr>
            <w:tcW w:w="5000" w:type="pct"/>
            <w:gridSpan w:val="26"/>
            <w:shd w:val="clear" w:color="auto" w:fill="auto"/>
          </w:tcPr>
          <w:p w:rsidR="005A7577" w:rsidRPr="002C4E04" w:rsidRDefault="005A7577" w:rsidP="00C72D5D">
            <w:pPr>
              <w:pStyle w:val="TableColumnHeading"/>
              <w:jc w:val="left"/>
              <w:rPr>
                <w:i w:val="0"/>
                <w:sz w:val="16"/>
                <w:szCs w:val="16"/>
              </w:rPr>
            </w:pPr>
            <w:r>
              <w:t>Patient satisfaction</w:t>
            </w:r>
            <w:r w:rsidRPr="005825CD">
              <w:t xml:space="preserve">, </w:t>
            </w:r>
            <w:r w:rsidRPr="00807A47">
              <w:t>201</w:t>
            </w:r>
            <w:r w:rsidR="003536E8" w:rsidRPr="00807A47">
              <w:t>2</w:t>
            </w:r>
            <w:r w:rsidRPr="00807A47">
              <w:t>-1</w:t>
            </w:r>
            <w:r w:rsidR="003536E8" w:rsidRPr="00807A47">
              <w:t>3</w:t>
            </w:r>
            <w:r w:rsidRPr="005825CD">
              <w:br/>
            </w:r>
            <w:r w:rsidR="00C72D5D" w:rsidRPr="00807A47">
              <w:rPr>
                <w:i w:val="0"/>
                <w:sz w:val="16"/>
                <w:szCs w:val="16"/>
              </w:rPr>
              <w:t xml:space="preserve">Most recent data for this indicator are complete and comparable </w:t>
            </w:r>
            <w:r w:rsidRPr="00807A47">
              <w:rPr>
                <w:i w:val="0"/>
                <w:sz w:val="16"/>
                <w:szCs w:val="16"/>
              </w:rPr>
              <w:t>(chapter 10).</w:t>
            </w:r>
            <w:r w:rsidRPr="00807A47">
              <w:t xml:space="preserve"> </w:t>
            </w:r>
          </w:p>
        </w:tc>
      </w:tr>
      <w:tr w:rsidR="005A7577" w:rsidTr="00807A47">
        <w:tc>
          <w:tcPr>
            <w:tcW w:w="5000" w:type="pct"/>
            <w:gridSpan w:val="26"/>
            <w:shd w:val="clear" w:color="auto" w:fill="auto"/>
          </w:tcPr>
          <w:p w:rsidR="005A7577" w:rsidRDefault="005A7577" w:rsidP="009C5410">
            <w:pPr>
              <w:pStyle w:val="TableBodyText"/>
              <w:ind w:right="28"/>
              <w:jc w:val="left"/>
            </w:pPr>
            <w:r w:rsidRPr="005944F2">
              <w:t>Proportion</w:t>
            </w:r>
            <w:r>
              <w:t xml:space="preserve"> (%)</w:t>
            </w:r>
            <w:r w:rsidRPr="005944F2">
              <w:t xml:space="preserve"> of persons who went to an </w:t>
            </w:r>
            <w:r w:rsidRPr="0085125B">
              <w:rPr>
                <w:i/>
              </w:rPr>
              <w:t>emergency department</w:t>
            </w:r>
            <w:r w:rsidRPr="005944F2">
              <w:t xml:space="preserve"> in t</w:t>
            </w:r>
            <w:r>
              <w:t>he last 12 months reporting:</w:t>
            </w:r>
          </w:p>
        </w:tc>
      </w:tr>
      <w:tr w:rsidR="005A7577" w:rsidTr="00807A47">
        <w:tc>
          <w:tcPr>
            <w:tcW w:w="5000" w:type="pct"/>
            <w:gridSpan w:val="26"/>
            <w:shd w:val="clear" w:color="auto" w:fill="auto"/>
          </w:tcPr>
          <w:p w:rsidR="005A7577" w:rsidRDefault="005A7577" w:rsidP="009C5410">
            <w:pPr>
              <w:pStyle w:val="TableBodyText"/>
              <w:ind w:left="170" w:right="28"/>
              <w:jc w:val="left"/>
            </w:pPr>
            <w:r w:rsidRPr="005944F2">
              <w:t>ED doctors</w:t>
            </w:r>
            <w:r>
              <w:t>,</w:t>
            </w:r>
            <w:r w:rsidRPr="005944F2">
              <w:t xml:space="preserve"> specialists </w:t>
            </w:r>
            <w:r>
              <w:t>or nurses</w:t>
            </w:r>
            <w:r w:rsidRPr="005944F2">
              <w:t xml:space="preserve"> always or often listened carefully to them</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Pr="005825CD" w:rsidRDefault="003536E8" w:rsidP="009C5410">
            <w:pPr>
              <w:pStyle w:val="TableBodyText"/>
              <w:jc w:val="left"/>
              <w:rPr>
                <w:vertAlign w:val="superscript"/>
              </w:rPr>
            </w:pPr>
            <w:r>
              <w:t>Doctors/specialists</w:t>
            </w:r>
          </w:p>
        </w:tc>
        <w:tc>
          <w:tcPr>
            <w:tcW w:w="425" w:type="pct"/>
            <w:gridSpan w:val="3"/>
            <w:shd w:val="clear" w:color="auto" w:fill="auto"/>
            <w:vAlign w:val="bottom"/>
          </w:tcPr>
          <w:p w:rsidR="003536E8" w:rsidRPr="00246056" w:rsidRDefault="003536E8" w:rsidP="003536E8">
            <w:pPr>
              <w:pStyle w:val="TableBodyText"/>
            </w:pPr>
            <w:r w:rsidRPr="00246056">
              <w:t xml:space="preserve">  85.0</w:t>
            </w:r>
          </w:p>
        </w:tc>
        <w:tc>
          <w:tcPr>
            <w:tcW w:w="421" w:type="pct"/>
            <w:gridSpan w:val="3"/>
            <w:shd w:val="clear" w:color="auto" w:fill="auto"/>
            <w:vAlign w:val="bottom"/>
          </w:tcPr>
          <w:p w:rsidR="003536E8" w:rsidRPr="00246056" w:rsidRDefault="003536E8" w:rsidP="003536E8">
            <w:pPr>
              <w:pStyle w:val="TableBodyText"/>
            </w:pPr>
            <w:r w:rsidRPr="00246056">
              <w:t xml:space="preserve">  83.4</w:t>
            </w:r>
          </w:p>
        </w:tc>
        <w:tc>
          <w:tcPr>
            <w:tcW w:w="422" w:type="pct"/>
            <w:gridSpan w:val="2"/>
            <w:shd w:val="clear" w:color="auto" w:fill="auto"/>
            <w:vAlign w:val="bottom"/>
          </w:tcPr>
          <w:p w:rsidR="003536E8" w:rsidRPr="00246056" w:rsidRDefault="003536E8" w:rsidP="003536E8">
            <w:pPr>
              <w:pStyle w:val="TableBodyText"/>
            </w:pPr>
            <w:r w:rsidRPr="00246056">
              <w:t xml:space="preserve">  84.0</w:t>
            </w:r>
          </w:p>
        </w:tc>
        <w:tc>
          <w:tcPr>
            <w:tcW w:w="421" w:type="pct"/>
            <w:gridSpan w:val="2"/>
            <w:shd w:val="clear" w:color="auto" w:fill="auto"/>
            <w:vAlign w:val="bottom"/>
          </w:tcPr>
          <w:p w:rsidR="003536E8" w:rsidRPr="00246056" w:rsidRDefault="003536E8" w:rsidP="003536E8">
            <w:pPr>
              <w:pStyle w:val="TableBodyText"/>
            </w:pPr>
            <w:r w:rsidRPr="00246056">
              <w:t xml:space="preserve">  84.7</w:t>
            </w:r>
          </w:p>
        </w:tc>
        <w:tc>
          <w:tcPr>
            <w:tcW w:w="423" w:type="pct"/>
            <w:gridSpan w:val="2"/>
            <w:shd w:val="clear" w:color="auto" w:fill="auto"/>
            <w:vAlign w:val="bottom"/>
          </w:tcPr>
          <w:p w:rsidR="003536E8" w:rsidRPr="00246056" w:rsidRDefault="003536E8" w:rsidP="003536E8">
            <w:pPr>
              <w:pStyle w:val="TableBodyText"/>
            </w:pPr>
            <w:r w:rsidRPr="00246056">
              <w:t xml:space="preserve">  83.4</w:t>
            </w:r>
          </w:p>
        </w:tc>
        <w:tc>
          <w:tcPr>
            <w:tcW w:w="423" w:type="pct"/>
            <w:gridSpan w:val="3"/>
            <w:shd w:val="clear" w:color="auto" w:fill="auto"/>
            <w:vAlign w:val="bottom"/>
          </w:tcPr>
          <w:p w:rsidR="003536E8" w:rsidRPr="00246056" w:rsidRDefault="003536E8" w:rsidP="003536E8">
            <w:pPr>
              <w:pStyle w:val="TableBodyText"/>
            </w:pPr>
            <w:r w:rsidRPr="00246056">
              <w:t xml:space="preserve">  81.3</w:t>
            </w:r>
          </w:p>
        </w:tc>
        <w:tc>
          <w:tcPr>
            <w:tcW w:w="425" w:type="pct"/>
            <w:gridSpan w:val="2"/>
            <w:shd w:val="clear" w:color="auto" w:fill="auto"/>
            <w:vAlign w:val="bottom"/>
          </w:tcPr>
          <w:p w:rsidR="003536E8" w:rsidRPr="00246056" w:rsidRDefault="003536E8" w:rsidP="003536E8">
            <w:pPr>
              <w:pStyle w:val="TableBodyText"/>
            </w:pPr>
            <w:r w:rsidRPr="00246056">
              <w:t xml:space="preserve">  82.5</w:t>
            </w:r>
          </w:p>
        </w:tc>
        <w:tc>
          <w:tcPr>
            <w:tcW w:w="427" w:type="pct"/>
            <w:gridSpan w:val="2"/>
            <w:shd w:val="clear" w:color="auto" w:fill="auto"/>
            <w:vAlign w:val="bottom"/>
          </w:tcPr>
          <w:p w:rsidR="003536E8" w:rsidRPr="00246056" w:rsidRDefault="003536E8" w:rsidP="003536E8">
            <w:pPr>
              <w:pStyle w:val="TableBodyText"/>
            </w:pPr>
            <w:r w:rsidRPr="00246056">
              <w:t xml:space="preserve">  87.6</w:t>
            </w:r>
          </w:p>
        </w:tc>
        <w:tc>
          <w:tcPr>
            <w:tcW w:w="439" w:type="pct"/>
            <w:gridSpan w:val="3"/>
            <w:shd w:val="clear" w:color="auto" w:fill="auto"/>
            <w:vAlign w:val="bottom"/>
          </w:tcPr>
          <w:p w:rsidR="003536E8" w:rsidRPr="00246056" w:rsidRDefault="003536E8" w:rsidP="003536E8">
            <w:pPr>
              <w:pStyle w:val="TableBodyText"/>
            </w:pPr>
            <w:r w:rsidRPr="00246056">
              <w:t xml:space="preserve">  84.2</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Default="003536E8" w:rsidP="009C5410">
            <w:pPr>
              <w:pStyle w:val="TableBodyText"/>
              <w:jc w:val="left"/>
            </w:pPr>
            <w:r>
              <w:t>Nurses</w:t>
            </w:r>
          </w:p>
        </w:tc>
        <w:tc>
          <w:tcPr>
            <w:tcW w:w="425" w:type="pct"/>
            <w:gridSpan w:val="3"/>
            <w:shd w:val="clear" w:color="auto" w:fill="auto"/>
            <w:vAlign w:val="bottom"/>
          </w:tcPr>
          <w:p w:rsidR="003536E8" w:rsidRPr="00246056" w:rsidRDefault="003536E8" w:rsidP="003536E8">
            <w:pPr>
              <w:pStyle w:val="TableBodyText"/>
            </w:pPr>
            <w:r w:rsidRPr="00246056">
              <w:t xml:space="preserve">  87.6</w:t>
            </w:r>
          </w:p>
        </w:tc>
        <w:tc>
          <w:tcPr>
            <w:tcW w:w="421" w:type="pct"/>
            <w:gridSpan w:val="3"/>
            <w:shd w:val="clear" w:color="auto" w:fill="auto"/>
            <w:vAlign w:val="bottom"/>
          </w:tcPr>
          <w:p w:rsidR="003536E8" w:rsidRPr="00246056" w:rsidRDefault="003536E8" w:rsidP="003536E8">
            <w:pPr>
              <w:pStyle w:val="TableBodyText"/>
            </w:pPr>
            <w:r w:rsidRPr="00246056">
              <w:t xml:space="preserve">  89.8</w:t>
            </w:r>
          </w:p>
        </w:tc>
        <w:tc>
          <w:tcPr>
            <w:tcW w:w="422" w:type="pct"/>
            <w:gridSpan w:val="2"/>
            <w:shd w:val="clear" w:color="auto" w:fill="auto"/>
            <w:vAlign w:val="bottom"/>
          </w:tcPr>
          <w:p w:rsidR="003536E8" w:rsidRPr="00246056" w:rsidRDefault="003536E8" w:rsidP="003536E8">
            <w:pPr>
              <w:pStyle w:val="TableBodyText"/>
            </w:pPr>
            <w:r w:rsidRPr="00246056">
              <w:t xml:space="preserve">  90.1</w:t>
            </w:r>
          </w:p>
        </w:tc>
        <w:tc>
          <w:tcPr>
            <w:tcW w:w="421" w:type="pct"/>
            <w:gridSpan w:val="2"/>
            <w:shd w:val="clear" w:color="auto" w:fill="auto"/>
            <w:vAlign w:val="bottom"/>
          </w:tcPr>
          <w:p w:rsidR="003536E8" w:rsidRPr="00246056" w:rsidRDefault="003536E8" w:rsidP="003536E8">
            <w:pPr>
              <w:pStyle w:val="TableBodyText"/>
            </w:pPr>
            <w:r w:rsidRPr="00246056">
              <w:t xml:space="preserve">  90.9</w:t>
            </w:r>
          </w:p>
        </w:tc>
        <w:tc>
          <w:tcPr>
            <w:tcW w:w="423" w:type="pct"/>
            <w:gridSpan w:val="2"/>
            <w:shd w:val="clear" w:color="auto" w:fill="auto"/>
            <w:vAlign w:val="bottom"/>
          </w:tcPr>
          <w:p w:rsidR="003536E8" w:rsidRPr="00246056" w:rsidRDefault="003536E8" w:rsidP="003536E8">
            <w:pPr>
              <w:pStyle w:val="TableBodyText"/>
            </w:pPr>
            <w:r w:rsidRPr="00246056">
              <w:t xml:space="preserve">  87.4</w:t>
            </w:r>
          </w:p>
        </w:tc>
        <w:tc>
          <w:tcPr>
            <w:tcW w:w="423" w:type="pct"/>
            <w:gridSpan w:val="3"/>
            <w:shd w:val="clear" w:color="auto" w:fill="auto"/>
            <w:vAlign w:val="bottom"/>
          </w:tcPr>
          <w:p w:rsidR="003536E8" w:rsidRPr="00246056" w:rsidRDefault="003536E8" w:rsidP="003536E8">
            <w:pPr>
              <w:pStyle w:val="TableBodyText"/>
            </w:pPr>
            <w:r w:rsidRPr="00246056">
              <w:t xml:space="preserve">  89.6</w:t>
            </w:r>
          </w:p>
        </w:tc>
        <w:tc>
          <w:tcPr>
            <w:tcW w:w="425" w:type="pct"/>
            <w:gridSpan w:val="2"/>
            <w:shd w:val="clear" w:color="auto" w:fill="auto"/>
            <w:vAlign w:val="bottom"/>
          </w:tcPr>
          <w:p w:rsidR="003536E8" w:rsidRPr="00246056" w:rsidRDefault="003536E8" w:rsidP="003536E8">
            <w:pPr>
              <w:pStyle w:val="TableBodyText"/>
            </w:pPr>
            <w:r w:rsidRPr="00246056">
              <w:t xml:space="preserve">  83.5</w:t>
            </w:r>
          </w:p>
        </w:tc>
        <w:tc>
          <w:tcPr>
            <w:tcW w:w="427" w:type="pct"/>
            <w:gridSpan w:val="2"/>
            <w:shd w:val="clear" w:color="auto" w:fill="auto"/>
            <w:vAlign w:val="bottom"/>
          </w:tcPr>
          <w:p w:rsidR="003536E8" w:rsidRPr="00246056" w:rsidRDefault="003536E8" w:rsidP="003536E8">
            <w:pPr>
              <w:pStyle w:val="TableBodyText"/>
            </w:pPr>
            <w:r w:rsidRPr="00246056">
              <w:t xml:space="preserve">  90.5</w:t>
            </w:r>
          </w:p>
        </w:tc>
        <w:tc>
          <w:tcPr>
            <w:tcW w:w="439" w:type="pct"/>
            <w:gridSpan w:val="3"/>
            <w:shd w:val="clear" w:color="auto" w:fill="auto"/>
            <w:vAlign w:val="bottom"/>
          </w:tcPr>
          <w:p w:rsidR="003536E8" w:rsidRPr="00246056" w:rsidRDefault="003536E8" w:rsidP="003536E8">
            <w:pPr>
              <w:pStyle w:val="TableBodyText"/>
            </w:pPr>
            <w:r w:rsidRPr="00246056">
              <w:t xml:space="preserve">  89.1</w:t>
            </w:r>
          </w:p>
        </w:tc>
      </w:tr>
      <w:tr w:rsidR="003536E8" w:rsidTr="00807A47">
        <w:tc>
          <w:tcPr>
            <w:tcW w:w="5000" w:type="pct"/>
            <w:gridSpan w:val="26"/>
            <w:shd w:val="clear" w:color="auto" w:fill="auto"/>
          </w:tcPr>
          <w:p w:rsidR="003536E8" w:rsidRDefault="003536E8" w:rsidP="009C5410">
            <w:pPr>
              <w:pStyle w:val="TableBodyText"/>
              <w:ind w:left="170" w:right="28"/>
              <w:jc w:val="left"/>
            </w:pPr>
            <w:r w:rsidRPr="005944F2">
              <w:t>ED doctors</w:t>
            </w:r>
            <w:r>
              <w:t>,</w:t>
            </w:r>
            <w:r w:rsidRPr="005944F2">
              <w:t xml:space="preserve"> specialists </w:t>
            </w:r>
            <w:r>
              <w:t>or nurses</w:t>
            </w:r>
            <w:r w:rsidRPr="005944F2">
              <w:t xml:space="preserve"> always or often showed respect to them</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Pr="005825CD" w:rsidRDefault="003536E8" w:rsidP="009C5410">
            <w:pPr>
              <w:pStyle w:val="TableBodyText"/>
              <w:jc w:val="left"/>
              <w:rPr>
                <w:vertAlign w:val="superscript"/>
              </w:rPr>
            </w:pPr>
            <w:r>
              <w:t>Doctors/specialists</w:t>
            </w:r>
          </w:p>
        </w:tc>
        <w:tc>
          <w:tcPr>
            <w:tcW w:w="425" w:type="pct"/>
            <w:gridSpan w:val="3"/>
            <w:shd w:val="clear" w:color="auto" w:fill="auto"/>
            <w:vAlign w:val="bottom"/>
          </w:tcPr>
          <w:p w:rsidR="003536E8" w:rsidRPr="00246056" w:rsidRDefault="003536E8" w:rsidP="003536E8">
            <w:pPr>
              <w:pStyle w:val="TableBodyText"/>
            </w:pPr>
            <w:r w:rsidRPr="00246056">
              <w:t xml:space="preserve">  86.4</w:t>
            </w:r>
          </w:p>
        </w:tc>
        <w:tc>
          <w:tcPr>
            <w:tcW w:w="421" w:type="pct"/>
            <w:gridSpan w:val="3"/>
            <w:shd w:val="clear" w:color="auto" w:fill="auto"/>
            <w:vAlign w:val="bottom"/>
          </w:tcPr>
          <w:p w:rsidR="003536E8" w:rsidRPr="00246056" w:rsidRDefault="003536E8" w:rsidP="003536E8">
            <w:pPr>
              <w:pStyle w:val="TableBodyText"/>
            </w:pPr>
            <w:r w:rsidRPr="00246056">
              <w:t xml:space="preserve">  84.7</w:t>
            </w:r>
          </w:p>
        </w:tc>
        <w:tc>
          <w:tcPr>
            <w:tcW w:w="422" w:type="pct"/>
            <w:gridSpan w:val="2"/>
            <w:shd w:val="clear" w:color="auto" w:fill="auto"/>
            <w:vAlign w:val="bottom"/>
          </w:tcPr>
          <w:p w:rsidR="003536E8" w:rsidRPr="00246056" w:rsidRDefault="003536E8" w:rsidP="003536E8">
            <w:pPr>
              <w:pStyle w:val="TableBodyText"/>
            </w:pPr>
            <w:r w:rsidRPr="00246056">
              <w:t xml:space="preserve">  85.5</w:t>
            </w:r>
          </w:p>
        </w:tc>
        <w:tc>
          <w:tcPr>
            <w:tcW w:w="421" w:type="pct"/>
            <w:gridSpan w:val="2"/>
            <w:shd w:val="clear" w:color="auto" w:fill="auto"/>
            <w:vAlign w:val="bottom"/>
          </w:tcPr>
          <w:p w:rsidR="003536E8" w:rsidRPr="00246056" w:rsidRDefault="003536E8" w:rsidP="003536E8">
            <w:pPr>
              <w:pStyle w:val="TableBodyText"/>
            </w:pPr>
            <w:r w:rsidRPr="00246056">
              <w:t xml:space="preserve">  87.2</w:t>
            </w:r>
          </w:p>
        </w:tc>
        <w:tc>
          <w:tcPr>
            <w:tcW w:w="423" w:type="pct"/>
            <w:gridSpan w:val="2"/>
            <w:shd w:val="clear" w:color="auto" w:fill="auto"/>
            <w:vAlign w:val="bottom"/>
          </w:tcPr>
          <w:p w:rsidR="003536E8" w:rsidRPr="00246056" w:rsidRDefault="003536E8" w:rsidP="003536E8">
            <w:pPr>
              <w:pStyle w:val="TableBodyText"/>
            </w:pPr>
            <w:r w:rsidRPr="00246056">
              <w:t xml:space="preserve">  84.8</w:t>
            </w:r>
          </w:p>
        </w:tc>
        <w:tc>
          <w:tcPr>
            <w:tcW w:w="423" w:type="pct"/>
            <w:gridSpan w:val="3"/>
            <w:shd w:val="clear" w:color="auto" w:fill="auto"/>
            <w:vAlign w:val="bottom"/>
          </w:tcPr>
          <w:p w:rsidR="003536E8" w:rsidRPr="00246056" w:rsidRDefault="003536E8" w:rsidP="003536E8">
            <w:pPr>
              <w:pStyle w:val="TableBodyText"/>
            </w:pPr>
            <w:r w:rsidRPr="00246056">
              <w:t xml:space="preserve">  83.3</w:t>
            </w:r>
          </w:p>
        </w:tc>
        <w:tc>
          <w:tcPr>
            <w:tcW w:w="425" w:type="pct"/>
            <w:gridSpan w:val="2"/>
            <w:shd w:val="clear" w:color="auto" w:fill="auto"/>
            <w:vAlign w:val="bottom"/>
          </w:tcPr>
          <w:p w:rsidR="003536E8" w:rsidRPr="00246056" w:rsidRDefault="003536E8" w:rsidP="003536E8">
            <w:pPr>
              <w:pStyle w:val="TableBodyText"/>
            </w:pPr>
            <w:r w:rsidRPr="00246056">
              <w:t xml:space="preserve">  82.6</w:t>
            </w:r>
          </w:p>
        </w:tc>
        <w:tc>
          <w:tcPr>
            <w:tcW w:w="427" w:type="pct"/>
            <w:gridSpan w:val="2"/>
            <w:shd w:val="clear" w:color="auto" w:fill="auto"/>
            <w:vAlign w:val="bottom"/>
          </w:tcPr>
          <w:p w:rsidR="003536E8" w:rsidRPr="00246056" w:rsidRDefault="003536E8" w:rsidP="003536E8">
            <w:pPr>
              <w:pStyle w:val="TableBodyText"/>
            </w:pPr>
            <w:r w:rsidRPr="00246056">
              <w:t xml:space="preserve">  88.4</w:t>
            </w:r>
          </w:p>
        </w:tc>
        <w:tc>
          <w:tcPr>
            <w:tcW w:w="439" w:type="pct"/>
            <w:gridSpan w:val="3"/>
            <w:shd w:val="clear" w:color="auto" w:fill="auto"/>
            <w:vAlign w:val="bottom"/>
          </w:tcPr>
          <w:p w:rsidR="003536E8" w:rsidRPr="00246056" w:rsidRDefault="003536E8" w:rsidP="003536E8">
            <w:pPr>
              <w:pStyle w:val="TableBodyText"/>
            </w:pPr>
            <w:r w:rsidRPr="00246056">
              <w:t xml:space="preserve">  85.7</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Default="003536E8" w:rsidP="009C5410">
            <w:pPr>
              <w:pStyle w:val="TableBodyText"/>
              <w:jc w:val="left"/>
            </w:pPr>
            <w:r>
              <w:t>Nurses</w:t>
            </w:r>
          </w:p>
        </w:tc>
        <w:tc>
          <w:tcPr>
            <w:tcW w:w="425" w:type="pct"/>
            <w:gridSpan w:val="3"/>
            <w:shd w:val="clear" w:color="auto" w:fill="auto"/>
            <w:vAlign w:val="bottom"/>
          </w:tcPr>
          <w:p w:rsidR="003536E8" w:rsidRPr="00246056" w:rsidRDefault="003536E8" w:rsidP="003536E8">
            <w:pPr>
              <w:pStyle w:val="TableBodyText"/>
            </w:pPr>
            <w:r w:rsidRPr="00246056">
              <w:t xml:space="preserve">  88.5</w:t>
            </w:r>
          </w:p>
        </w:tc>
        <w:tc>
          <w:tcPr>
            <w:tcW w:w="421" w:type="pct"/>
            <w:gridSpan w:val="3"/>
            <w:shd w:val="clear" w:color="auto" w:fill="auto"/>
            <w:vAlign w:val="bottom"/>
          </w:tcPr>
          <w:p w:rsidR="003536E8" w:rsidRPr="00246056" w:rsidRDefault="003536E8" w:rsidP="003536E8">
            <w:pPr>
              <w:pStyle w:val="TableBodyText"/>
            </w:pPr>
            <w:r w:rsidRPr="00246056">
              <w:t xml:space="preserve">  91.1</w:t>
            </w:r>
          </w:p>
        </w:tc>
        <w:tc>
          <w:tcPr>
            <w:tcW w:w="422" w:type="pct"/>
            <w:gridSpan w:val="2"/>
            <w:shd w:val="clear" w:color="auto" w:fill="auto"/>
            <w:vAlign w:val="bottom"/>
          </w:tcPr>
          <w:p w:rsidR="003536E8" w:rsidRPr="00246056" w:rsidRDefault="003536E8" w:rsidP="003536E8">
            <w:pPr>
              <w:pStyle w:val="TableBodyText"/>
            </w:pPr>
            <w:r w:rsidRPr="00246056">
              <w:t xml:space="preserve">  90.2</w:t>
            </w:r>
          </w:p>
        </w:tc>
        <w:tc>
          <w:tcPr>
            <w:tcW w:w="421" w:type="pct"/>
            <w:gridSpan w:val="2"/>
            <w:shd w:val="clear" w:color="auto" w:fill="auto"/>
            <w:vAlign w:val="bottom"/>
          </w:tcPr>
          <w:p w:rsidR="003536E8" w:rsidRPr="00246056" w:rsidRDefault="003536E8" w:rsidP="003536E8">
            <w:pPr>
              <w:pStyle w:val="TableBodyText"/>
            </w:pPr>
            <w:r w:rsidRPr="00246056">
              <w:t xml:space="preserve">  92.4</w:t>
            </w:r>
          </w:p>
        </w:tc>
        <w:tc>
          <w:tcPr>
            <w:tcW w:w="423" w:type="pct"/>
            <w:gridSpan w:val="2"/>
            <w:shd w:val="clear" w:color="auto" w:fill="auto"/>
            <w:vAlign w:val="bottom"/>
          </w:tcPr>
          <w:p w:rsidR="003536E8" w:rsidRPr="00246056" w:rsidRDefault="003536E8" w:rsidP="003536E8">
            <w:pPr>
              <w:pStyle w:val="TableBodyText"/>
            </w:pPr>
            <w:r w:rsidRPr="00246056">
              <w:t xml:space="preserve">  89.6</w:t>
            </w:r>
          </w:p>
        </w:tc>
        <w:tc>
          <w:tcPr>
            <w:tcW w:w="423" w:type="pct"/>
            <w:gridSpan w:val="3"/>
            <w:shd w:val="clear" w:color="auto" w:fill="auto"/>
            <w:vAlign w:val="bottom"/>
          </w:tcPr>
          <w:p w:rsidR="003536E8" w:rsidRPr="00246056" w:rsidRDefault="003536E8" w:rsidP="003536E8">
            <w:pPr>
              <w:pStyle w:val="TableBodyText"/>
            </w:pPr>
            <w:r w:rsidRPr="00246056">
              <w:t xml:space="preserve">  90.3</w:t>
            </w:r>
          </w:p>
        </w:tc>
        <w:tc>
          <w:tcPr>
            <w:tcW w:w="425" w:type="pct"/>
            <w:gridSpan w:val="2"/>
            <w:shd w:val="clear" w:color="auto" w:fill="auto"/>
            <w:vAlign w:val="bottom"/>
          </w:tcPr>
          <w:p w:rsidR="003536E8" w:rsidRPr="00246056" w:rsidRDefault="003536E8" w:rsidP="003536E8">
            <w:pPr>
              <w:pStyle w:val="TableBodyText"/>
            </w:pPr>
            <w:r w:rsidRPr="00246056">
              <w:t xml:space="preserve">  86.7</w:t>
            </w:r>
          </w:p>
        </w:tc>
        <w:tc>
          <w:tcPr>
            <w:tcW w:w="427" w:type="pct"/>
            <w:gridSpan w:val="2"/>
            <w:shd w:val="clear" w:color="auto" w:fill="auto"/>
            <w:vAlign w:val="bottom"/>
          </w:tcPr>
          <w:p w:rsidR="003536E8" w:rsidRPr="00246056" w:rsidRDefault="003536E8" w:rsidP="003536E8">
            <w:pPr>
              <w:pStyle w:val="TableBodyText"/>
            </w:pPr>
            <w:r w:rsidRPr="00246056">
              <w:t xml:space="preserve">  90.2</w:t>
            </w:r>
          </w:p>
        </w:tc>
        <w:tc>
          <w:tcPr>
            <w:tcW w:w="439" w:type="pct"/>
            <w:gridSpan w:val="3"/>
            <w:shd w:val="clear" w:color="auto" w:fill="auto"/>
            <w:vAlign w:val="bottom"/>
          </w:tcPr>
          <w:p w:rsidR="003536E8" w:rsidRPr="00246056" w:rsidRDefault="003536E8" w:rsidP="003536E8">
            <w:pPr>
              <w:pStyle w:val="TableBodyText"/>
            </w:pPr>
            <w:r w:rsidRPr="00246056">
              <w:t xml:space="preserve">  90.1</w:t>
            </w:r>
          </w:p>
        </w:tc>
      </w:tr>
      <w:tr w:rsidR="003536E8" w:rsidTr="002D77C3">
        <w:tc>
          <w:tcPr>
            <w:tcW w:w="5000" w:type="pct"/>
            <w:gridSpan w:val="26"/>
            <w:shd w:val="clear" w:color="auto" w:fill="auto"/>
          </w:tcPr>
          <w:p w:rsidR="003536E8" w:rsidRDefault="003536E8" w:rsidP="009C5410">
            <w:pPr>
              <w:pStyle w:val="TableBodyText"/>
              <w:tabs>
                <w:tab w:val="left" w:pos="1425"/>
              </w:tabs>
              <w:ind w:left="170" w:right="28"/>
              <w:jc w:val="left"/>
            </w:pPr>
            <w:r w:rsidRPr="005944F2">
              <w:t>ED doctors</w:t>
            </w:r>
            <w:r>
              <w:t>,</w:t>
            </w:r>
            <w:r w:rsidRPr="005944F2">
              <w:t xml:space="preserve"> specialists </w:t>
            </w:r>
            <w:r>
              <w:t>or nurses</w:t>
            </w:r>
            <w:r w:rsidRPr="005944F2">
              <w:t xml:space="preserve"> always or often spent enough time with them</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Pr="005825CD" w:rsidRDefault="003536E8" w:rsidP="009C5410">
            <w:pPr>
              <w:pStyle w:val="TableBodyText"/>
              <w:jc w:val="left"/>
              <w:rPr>
                <w:vertAlign w:val="superscript"/>
              </w:rPr>
            </w:pPr>
            <w:r>
              <w:t>Doctors/specialists</w:t>
            </w:r>
          </w:p>
        </w:tc>
        <w:tc>
          <w:tcPr>
            <w:tcW w:w="425" w:type="pct"/>
            <w:gridSpan w:val="3"/>
            <w:shd w:val="clear" w:color="auto" w:fill="auto"/>
            <w:vAlign w:val="bottom"/>
          </w:tcPr>
          <w:p w:rsidR="003536E8" w:rsidRPr="00246056" w:rsidRDefault="003536E8" w:rsidP="003536E8">
            <w:pPr>
              <w:pStyle w:val="TableBodyText"/>
            </w:pPr>
            <w:r w:rsidRPr="00246056">
              <w:t xml:space="preserve">  81.0</w:t>
            </w:r>
          </w:p>
        </w:tc>
        <w:tc>
          <w:tcPr>
            <w:tcW w:w="421" w:type="pct"/>
            <w:gridSpan w:val="3"/>
            <w:shd w:val="clear" w:color="auto" w:fill="auto"/>
            <w:vAlign w:val="bottom"/>
          </w:tcPr>
          <w:p w:rsidR="003536E8" w:rsidRPr="00246056" w:rsidRDefault="003536E8" w:rsidP="003536E8">
            <w:pPr>
              <w:pStyle w:val="TableBodyText"/>
            </w:pPr>
            <w:r w:rsidRPr="00246056">
              <w:t xml:space="preserve">  79.9</w:t>
            </w:r>
          </w:p>
        </w:tc>
        <w:tc>
          <w:tcPr>
            <w:tcW w:w="422" w:type="pct"/>
            <w:gridSpan w:val="2"/>
            <w:shd w:val="clear" w:color="auto" w:fill="auto"/>
            <w:vAlign w:val="bottom"/>
          </w:tcPr>
          <w:p w:rsidR="003536E8" w:rsidRPr="00246056" w:rsidRDefault="003536E8" w:rsidP="003536E8">
            <w:pPr>
              <w:pStyle w:val="TableBodyText"/>
            </w:pPr>
            <w:r w:rsidRPr="00246056">
              <w:t xml:space="preserve">  80.7</w:t>
            </w:r>
          </w:p>
        </w:tc>
        <w:tc>
          <w:tcPr>
            <w:tcW w:w="421" w:type="pct"/>
            <w:gridSpan w:val="2"/>
            <w:shd w:val="clear" w:color="auto" w:fill="auto"/>
            <w:vAlign w:val="bottom"/>
          </w:tcPr>
          <w:p w:rsidR="003536E8" w:rsidRPr="00246056" w:rsidRDefault="003536E8" w:rsidP="003536E8">
            <w:pPr>
              <w:pStyle w:val="TableBodyText"/>
            </w:pPr>
            <w:r w:rsidRPr="00246056">
              <w:t xml:space="preserve">  83.1</w:t>
            </w:r>
          </w:p>
        </w:tc>
        <w:tc>
          <w:tcPr>
            <w:tcW w:w="423" w:type="pct"/>
            <w:gridSpan w:val="2"/>
            <w:shd w:val="clear" w:color="auto" w:fill="auto"/>
            <w:vAlign w:val="bottom"/>
          </w:tcPr>
          <w:p w:rsidR="003536E8" w:rsidRPr="00246056" w:rsidRDefault="003536E8" w:rsidP="003536E8">
            <w:pPr>
              <w:pStyle w:val="TableBodyText"/>
            </w:pPr>
            <w:r w:rsidRPr="00246056">
              <w:t xml:space="preserve">  79.5</w:t>
            </w:r>
          </w:p>
        </w:tc>
        <w:tc>
          <w:tcPr>
            <w:tcW w:w="423" w:type="pct"/>
            <w:gridSpan w:val="3"/>
            <w:shd w:val="clear" w:color="auto" w:fill="auto"/>
            <w:vAlign w:val="bottom"/>
          </w:tcPr>
          <w:p w:rsidR="003536E8" w:rsidRPr="00246056" w:rsidRDefault="003536E8" w:rsidP="003536E8">
            <w:pPr>
              <w:pStyle w:val="TableBodyText"/>
            </w:pPr>
            <w:r w:rsidRPr="00246056">
              <w:t xml:space="preserve">  74.9</w:t>
            </w:r>
          </w:p>
        </w:tc>
        <w:tc>
          <w:tcPr>
            <w:tcW w:w="425" w:type="pct"/>
            <w:gridSpan w:val="2"/>
            <w:shd w:val="clear" w:color="auto" w:fill="auto"/>
            <w:vAlign w:val="bottom"/>
          </w:tcPr>
          <w:p w:rsidR="003536E8" w:rsidRPr="00246056" w:rsidRDefault="003536E8" w:rsidP="003536E8">
            <w:pPr>
              <w:pStyle w:val="TableBodyText"/>
            </w:pPr>
            <w:r w:rsidRPr="00246056">
              <w:t xml:space="preserve">  75.3</w:t>
            </w:r>
          </w:p>
        </w:tc>
        <w:tc>
          <w:tcPr>
            <w:tcW w:w="427" w:type="pct"/>
            <w:gridSpan w:val="2"/>
            <w:shd w:val="clear" w:color="auto" w:fill="auto"/>
            <w:vAlign w:val="bottom"/>
          </w:tcPr>
          <w:p w:rsidR="003536E8" w:rsidRPr="00246056" w:rsidRDefault="003536E8" w:rsidP="003536E8">
            <w:pPr>
              <w:pStyle w:val="TableBodyText"/>
            </w:pPr>
            <w:r w:rsidRPr="00246056">
              <w:t xml:space="preserve">  85.0</w:t>
            </w:r>
          </w:p>
        </w:tc>
        <w:tc>
          <w:tcPr>
            <w:tcW w:w="439" w:type="pct"/>
            <w:gridSpan w:val="3"/>
            <w:shd w:val="clear" w:color="auto" w:fill="auto"/>
            <w:vAlign w:val="bottom"/>
          </w:tcPr>
          <w:p w:rsidR="003536E8" w:rsidRPr="00246056" w:rsidRDefault="003536E8" w:rsidP="003536E8">
            <w:pPr>
              <w:pStyle w:val="TableBodyText"/>
            </w:pPr>
            <w:r w:rsidRPr="00246056">
              <w:t xml:space="preserve">  80.7</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Default="003536E8" w:rsidP="009C5410">
            <w:pPr>
              <w:pStyle w:val="TableBodyText"/>
              <w:jc w:val="left"/>
            </w:pPr>
            <w:r>
              <w:t>Nurses</w:t>
            </w:r>
          </w:p>
        </w:tc>
        <w:tc>
          <w:tcPr>
            <w:tcW w:w="425" w:type="pct"/>
            <w:gridSpan w:val="3"/>
            <w:shd w:val="clear" w:color="auto" w:fill="auto"/>
            <w:vAlign w:val="bottom"/>
          </w:tcPr>
          <w:p w:rsidR="003536E8" w:rsidRPr="00246056" w:rsidRDefault="003536E8" w:rsidP="003536E8">
            <w:pPr>
              <w:pStyle w:val="TableBodyText"/>
            </w:pPr>
            <w:r w:rsidRPr="00246056">
              <w:t xml:space="preserve">  85.2</w:t>
            </w:r>
          </w:p>
        </w:tc>
        <w:tc>
          <w:tcPr>
            <w:tcW w:w="421" w:type="pct"/>
            <w:gridSpan w:val="3"/>
            <w:shd w:val="clear" w:color="auto" w:fill="auto"/>
            <w:vAlign w:val="bottom"/>
          </w:tcPr>
          <w:p w:rsidR="003536E8" w:rsidRPr="00246056" w:rsidRDefault="003536E8" w:rsidP="003536E8">
            <w:pPr>
              <w:pStyle w:val="TableBodyText"/>
            </w:pPr>
            <w:r w:rsidRPr="00246056">
              <w:t xml:space="preserve">  85.6</w:t>
            </w:r>
          </w:p>
        </w:tc>
        <w:tc>
          <w:tcPr>
            <w:tcW w:w="422" w:type="pct"/>
            <w:gridSpan w:val="2"/>
            <w:shd w:val="clear" w:color="auto" w:fill="auto"/>
            <w:vAlign w:val="bottom"/>
          </w:tcPr>
          <w:p w:rsidR="003536E8" w:rsidRPr="00246056" w:rsidRDefault="003536E8" w:rsidP="003536E8">
            <w:pPr>
              <w:pStyle w:val="TableBodyText"/>
            </w:pPr>
            <w:r w:rsidRPr="00246056">
              <w:t xml:space="preserve">  87.5</w:t>
            </w:r>
          </w:p>
        </w:tc>
        <w:tc>
          <w:tcPr>
            <w:tcW w:w="421" w:type="pct"/>
            <w:gridSpan w:val="2"/>
            <w:shd w:val="clear" w:color="auto" w:fill="auto"/>
            <w:vAlign w:val="bottom"/>
          </w:tcPr>
          <w:p w:rsidR="003536E8" w:rsidRPr="00246056" w:rsidRDefault="003536E8" w:rsidP="003536E8">
            <w:pPr>
              <w:pStyle w:val="TableBodyText"/>
            </w:pPr>
            <w:r w:rsidRPr="00246056">
              <w:t xml:space="preserve">  90.4</w:t>
            </w:r>
          </w:p>
        </w:tc>
        <w:tc>
          <w:tcPr>
            <w:tcW w:w="423" w:type="pct"/>
            <w:gridSpan w:val="2"/>
            <w:shd w:val="clear" w:color="auto" w:fill="auto"/>
            <w:vAlign w:val="bottom"/>
          </w:tcPr>
          <w:p w:rsidR="003536E8" w:rsidRPr="00246056" w:rsidRDefault="003536E8" w:rsidP="003536E8">
            <w:pPr>
              <w:pStyle w:val="TableBodyText"/>
            </w:pPr>
            <w:r w:rsidRPr="00246056">
              <w:t xml:space="preserve">  86.6</w:t>
            </w:r>
          </w:p>
        </w:tc>
        <w:tc>
          <w:tcPr>
            <w:tcW w:w="423" w:type="pct"/>
            <w:gridSpan w:val="3"/>
            <w:shd w:val="clear" w:color="auto" w:fill="auto"/>
            <w:vAlign w:val="bottom"/>
          </w:tcPr>
          <w:p w:rsidR="003536E8" w:rsidRPr="00246056" w:rsidRDefault="003536E8" w:rsidP="003536E8">
            <w:pPr>
              <w:pStyle w:val="TableBodyText"/>
            </w:pPr>
            <w:r w:rsidRPr="00246056">
              <w:t xml:space="preserve">  84.3</w:t>
            </w:r>
          </w:p>
        </w:tc>
        <w:tc>
          <w:tcPr>
            <w:tcW w:w="425" w:type="pct"/>
            <w:gridSpan w:val="2"/>
            <w:shd w:val="clear" w:color="auto" w:fill="auto"/>
            <w:vAlign w:val="bottom"/>
          </w:tcPr>
          <w:p w:rsidR="003536E8" w:rsidRPr="00246056" w:rsidRDefault="003536E8" w:rsidP="003536E8">
            <w:pPr>
              <w:pStyle w:val="TableBodyText"/>
            </w:pPr>
            <w:r w:rsidRPr="00246056">
              <w:t xml:space="preserve">  80.8</w:t>
            </w:r>
          </w:p>
        </w:tc>
        <w:tc>
          <w:tcPr>
            <w:tcW w:w="427" w:type="pct"/>
            <w:gridSpan w:val="2"/>
            <w:shd w:val="clear" w:color="auto" w:fill="auto"/>
            <w:vAlign w:val="bottom"/>
          </w:tcPr>
          <w:p w:rsidR="003536E8" w:rsidRPr="00246056" w:rsidRDefault="003536E8" w:rsidP="003536E8">
            <w:pPr>
              <w:pStyle w:val="TableBodyText"/>
            </w:pPr>
            <w:r w:rsidRPr="00246056">
              <w:t xml:space="preserve">  89.5</w:t>
            </w:r>
          </w:p>
        </w:tc>
        <w:tc>
          <w:tcPr>
            <w:tcW w:w="439" w:type="pct"/>
            <w:gridSpan w:val="3"/>
            <w:shd w:val="clear" w:color="auto" w:fill="auto"/>
            <w:vAlign w:val="bottom"/>
          </w:tcPr>
          <w:p w:rsidR="003536E8" w:rsidRPr="00246056" w:rsidRDefault="003536E8" w:rsidP="003536E8">
            <w:pPr>
              <w:pStyle w:val="TableBodyText"/>
            </w:pPr>
            <w:r w:rsidRPr="00246056">
              <w:t xml:space="preserve">  86.4</w:t>
            </w:r>
          </w:p>
        </w:tc>
      </w:tr>
      <w:tr w:rsidR="003536E8" w:rsidTr="002D77C3">
        <w:tc>
          <w:tcPr>
            <w:tcW w:w="5000" w:type="pct"/>
            <w:gridSpan w:val="26"/>
            <w:shd w:val="clear" w:color="auto" w:fill="auto"/>
          </w:tcPr>
          <w:p w:rsidR="003536E8" w:rsidRDefault="003536E8" w:rsidP="009C5410">
            <w:pPr>
              <w:pStyle w:val="TableBodyText"/>
              <w:ind w:right="28"/>
              <w:jc w:val="left"/>
            </w:pPr>
            <w:r w:rsidRPr="005944F2">
              <w:t xml:space="preserve">Proportion </w:t>
            </w:r>
            <w:r>
              <w:t>(%)</w:t>
            </w:r>
            <w:r w:rsidRPr="005944F2">
              <w:t xml:space="preserve"> of persons who were admitted to hospital </w:t>
            </w:r>
            <w:r>
              <w:t>in the last 12 months reporting:</w:t>
            </w:r>
          </w:p>
        </w:tc>
      </w:tr>
      <w:tr w:rsidR="003536E8" w:rsidTr="002D77C3">
        <w:tc>
          <w:tcPr>
            <w:tcW w:w="5000" w:type="pct"/>
            <w:gridSpan w:val="26"/>
            <w:shd w:val="clear" w:color="auto" w:fill="auto"/>
          </w:tcPr>
          <w:p w:rsidR="003536E8" w:rsidRDefault="003536E8" w:rsidP="009C5410">
            <w:pPr>
              <w:pStyle w:val="TableBodyText"/>
              <w:tabs>
                <w:tab w:val="left" w:pos="1470"/>
              </w:tabs>
              <w:ind w:left="170" w:right="28"/>
              <w:jc w:val="left"/>
            </w:pPr>
            <w:r>
              <w:t>H</w:t>
            </w:r>
            <w:r w:rsidRPr="005944F2">
              <w:t>ospital doctors</w:t>
            </w:r>
            <w:r>
              <w:t>,</w:t>
            </w:r>
            <w:r w:rsidRPr="005944F2">
              <w:t xml:space="preserve"> specialists </w:t>
            </w:r>
            <w:r>
              <w:t>or nurses</w:t>
            </w:r>
            <w:r w:rsidRPr="005944F2">
              <w:t xml:space="preserve"> always or often listened carefully to them</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Pr="005825CD" w:rsidRDefault="003536E8" w:rsidP="009C5410">
            <w:pPr>
              <w:pStyle w:val="TableBodyText"/>
              <w:jc w:val="left"/>
              <w:rPr>
                <w:vertAlign w:val="superscript"/>
              </w:rPr>
            </w:pPr>
            <w:r>
              <w:t>Doctors/specialists</w:t>
            </w:r>
          </w:p>
        </w:tc>
        <w:tc>
          <w:tcPr>
            <w:tcW w:w="425" w:type="pct"/>
            <w:gridSpan w:val="3"/>
            <w:shd w:val="clear" w:color="auto" w:fill="auto"/>
            <w:vAlign w:val="bottom"/>
          </w:tcPr>
          <w:p w:rsidR="003536E8" w:rsidRPr="0061185B" w:rsidRDefault="003536E8" w:rsidP="003536E8">
            <w:pPr>
              <w:pStyle w:val="TableBodyText"/>
            </w:pPr>
            <w:r w:rsidRPr="0061185B">
              <w:t xml:space="preserve">  91.3</w:t>
            </w:r>
          </w:p>
        </w:tc>
        <w:tc>
          <w:tcPr>
            <w:tcW w:w="421" w:type="pct"/>
            <w:gridSpan w:val="3"/>
            <w:shd w:val="clear" w:color="auto" w:fill="auto"/>
            <w:vAlign w:val="bottom"/>
          </w:tcPr>
          <w:p w:rsidR="003536E8" w:rsidRPr="0061185B" w:rsidRDefault="003536E8" w:rsidP="003536E8">
            <w:pPr>
              <w:pStyle w:val="TableBodyText"/>
            </w:pPr>
            <w:r w:rsidRPr="0061185B">
              <w:t xml:space="preserve">  89.5</w:t>
            </w:r>
          </w:p>
        </w:tc>
        <w:tc>
          <w:tcPr>
            <w:tcW w:w="422" w:type="pct"/>
            <w:gridSpan w:val="2"/>
            <w:shd w:val="clear" w:color="auto" w:fill="auto"/>
            <w:vAlign w:val="bottom"/>
          </w:tcPr>
          <w:p w:rsidR="003536E8" w:rsidRPr="0061185B" w:rsidRDefault="003536E8" w:rsidP="003536E8">
            <w:pPr>
              <w:pStyle w:val="TableBodyText"/>
            </w:pPr>
            <w:r w:rsidRPr="0061185B">
              <w:t xml:space="preserve">  87.1</w:t>
            </w:r>
          </w:p>
        </w:tc>
        <w:tc>
          <w:tcPr>
            <w:tcW w:w="421" w:type="pct"/>
            <w:gridSpan w:val="2"/>
            <w:shd w:val="clear" w:color="auto" w:fill="auto"/>
            <w:vAlign w:val="bottom"/>
          </w:tcPr>
          <w:p w:rsidR="003536E8" w:rsidRPr="0061185B" w:rsidRDefault="003536E8" w:rsidP="003536E8">
            <w:pPr>
              <w:pStyle w:val="TableBodyText"/>
            </w:pPr>
            <w:r w:rsidRPr="0061185B">
              <w:t xml:space="preserve">  90.8</w:t>
            </w:r>
          </w:p>
        </w:tc>
        <w:tc>
          <w:tcPr>
            <w:tcW w:w="423" w:type="pct"/>
            <w:gridSpan w:val="2"/>
            <w:shd w:val="clear" w:color="auto" w:fill="auto"/>
            <w:vAlign w:val="bottom"/>
          </w:tcPr>
          <w:p w:rsidR="003536E8" w:rsidRPr="0061185B" w:rsidRDefault="003536E8" w:rsidP="003536E8">
            <w:pPr>
              <w:pStyle w:val="TableBodyText"/>
            </w:pPr>
            <w:r w:rsidRPr="0061185B">
              <w:t xml:space="preserve">  89.5</w:t>
            </w:r>
          </w:p>
        </w:tc>
        <w:tc>
          <w:tcPr>
            <w:tcW w:w="423" w:type="pct"/>
            <w:gridSpan w:val="3"/>
            <w:shd w:val="clear" w:color="auto" w:fill="auto"/>
            <w:vAlign w:val="bottom"/>
          </w:tcPr>
          <w:p w:rsidR="003536E8" w:rsidRPr="0061185B" w:rsidRDefault="003536E8" w:rsidP="003536E8">
            <w:pPr>
              <w:pStyle w:val="TableBodyText"/>
            </w:pPr>
            <w:r w:rsidRPr="0061185B">
              <w:t xml:space="preserve">  85.9</w:t>
            </w:r>
          </w:p>
        </w:tc>
        <w:tc>
          <w:tcPr>
            <w:tcW w:w="425" w:type="pct"/>
            <w:gridSpan w:val="2"/>
            <w:shd w:val="clear" w:color="auto" w:fill="auto"/>
            <w:vAlign w:val="bottom"/>
          </w:tcPr>
          <w:p w:rsidR="003536E8" w:rsidRPr="0061185B" w:rsidRDefault="003536E8" w:rsidP="003536E8">
            <w:pPr>
              <w:pStyle w:val="TableBodyText"/>
            </w:pPr>
            <w:r w:rsidRPr="0061185B">
              <w:t xml:space="preserve">  89.3</w:t>
            </w:r>
          </w:p>
        </w:tc>
        <w:tc>
          <w:tcPr>
            <w:tcW w:w="427" w:type="pct"/>
            <w:gridSpan w:val="2"/>
            <w:shd w:val="clear" w:color="auto" w:fill="auto"/>
            <w:vAlign w:val="bottom"/>
          </w:tcPr>
          <w:p w:rsidR="003536E8" w:rsidRPr="0061185B" w:rsidRDefault="003536E8" w:rsidP="003536E8">
            <w:pPr>
              <w:pStyle w:val="TableBodyText"/>
            </w:pPr>
            <w:r w:rsidRPr="0061185B">
              <w:t xml:space="preserve">  81.5</w:t>
            </w:r>
          </w:p>
        </w:tc>
        <w:tc>
          <w:tcPr>
            <w:tcW w:w="439" w:type="pct"/>
            <w:gridSpan w:val="3"/>
            <w:shd w:val="clear" w:color="auto" w:fill="auto"/>
            <w:vAlign w:val="bottom"/>
          </w:tcPr>
          <w:p w:rsidR="003536E8" w:rsidRPr="0061185B" w:rsidRDefault="003536E8" w:rsidP="003536E8">
            <w:pPr>
              <w:pStyle w:val="TableBodyText"/>
            </w:pPr>
            <w:r w:rsidRPr="0061185B">
              <w:t xml:space="preserve">  89.5</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Default="003536E8" w:rsidP="009C5410">
            <w:pPr>
              <w:pStyle w:val="TableBodyText"/>
              <w:jc w:val="left"/>
            </w:pPr>
            <w:r>
              <w:t>Nurses</w:t>
            </w:r>
          </w:p>
        </w:tc>
        <w:tc>
          <w:tcPr>
            <w:tcW w:w="425" w:type="pct"/>
            <w:gridSpan w:val="3"/>
            <w:shd w:val="clear" w:color="auto" w:fill="auto"/>
            <w:vAlign w:val="bottom"/>
          </w:tcPr>
          <w:p w:rsidR="003536E8" w:rsidRPr="0061185B" w:rsidRDefault="003536E8" w:rsidP="003536E8">
            <w:pPr>
              <w:pStyle w:val="TableBodyText"/>
            </w:pPr>
            <w:r w:rsidRPr="0061185B">
              <w:t xml:space="preserve">  90.5</w:t>
            </w:r>
          </w:p>
        </w:tc>
        <w:tc>
          <w:tcPr>
            <w:tcW w:w="421" w:type="pct"/>
            <w:gridSpan w:val="3"/>
            <w:shd w:val="clear" w:color="auto" w:fill="auto"/>
            <w:vAlign w:val="bottom"/>
          </w:tcPr>
          <w:p w:rsidR="003536E8" w:rsidRPr="0061185B" w:rsidRDefault="003536E8" w:rsidP="003536E8">
            <w:pPr>
              <w:pStyle w:val="TableBodyText"/>
            </w:pPr>
            <w:r w:rsidRPr="0061185B">
              <w:t xml:space="preserve">  92.1</w:t>
            </w:r>
          </w:p>
        </w:tc>
        <w:tc>
          <w:tcPr>
            <w:tcW w:w="422" w:type="pct"/>
            <w:gridSpan w:val="2"/>
            <w:shd w:val="clear" w:color="auto" w:fill="auto"/>
            <w:vAlign w:val="bottom"/>
          </w:tcPr>
          <w:p w:rsidR="003536E8" w:rsidRPr="0061185B" w:rsidRDefault="003536E8" w:rsidP="003536E8">
            <w:pPr>
              <w:pStyle w:val="TableBodyText"/>
            </w:pPr>
            <w:r w:rsidRPr="0061185B">
              <w:t xml:space="preserve">  91.8</w:t>
            </w:r>
          </w:p>
        </w:tc>
        <w:tc>
          <w:tcPr>
            <w:tcW w:w="421" w:type="pct"/>
            <w:gridSpan w:val="2"/>
            <w:shd w:val="clear" w:color="auto" w:fill="auto"/>
            <w:vAlign w:val="bottom"/>
          </w:tcPr>
          <w:p w:rsidR="003536E8" w:rsidRPr="0061185B" w:rsidRDefault="003536E8" w:rsidP="003536E8">
            <w:pPr>
              <w:pStyle w:val="TableBodyText"/>
            </w:pPr>
            <w:r w:rsidRPr="0061185B">
              <w:t xml:space="preserve">  92.0</w:t>
            </w:r>
          </w:p>
        </w:tc>
        <w:tc>
          <w:tcPr>
            <w:tcW w:w="423" w:type="pct"/>
            <w:gridSpan w:val="2"/>
            <w:shd w:val="clear" w:color="auto" w:fill="auto"/>
            <w:vAlign w:val="bottom"/>
          </w:tcPr>
          <w:p w:rsidR="003536E8" w:rsidRPr="0061185B" w:rsidRDefault="003536E8" w:rsidP="003536E8">
            <w:pPr>
              <w:pStyle w:val="TableBodyText"/>
            </w:pPr>
            <w:r w:rsidRPr="0061185B">
              <w:t xml:space="preserve">  90.8</w:t>
            </w:r>
          </w:p>
        </w:tc>
        <w:tc>
          <w:tcPr>
            <w:tcW w:w="423" w:type="pct"/>
            <w:gridSpan w:val="3"/>
            <w:shd w:val="clear" w:color="auto" w:fill="auto"/>
            <w:vAlign w:val="bottom"/>
          </w:tcPr>
          <w:p w:rsidR="003536E8" w:rsidRPr="0061185B" w:rsidRDefault="003536E8" w:rsidP="003536E8">
            <w:pPr>
              <w:pStyle w:val="TableBodyText"/>
            </w:pPr>
            <w:r w:rsidRPr="0061185B">
              <w:t xml:space="preserve">  89.9</w:t>
            </w:r>
          </w:p>
        </w:tc>
        <w:tc>
          <w:tcPr>
            <w:tcW w:w="425" w:type="pct"/>
            <w:gridSpan w:val="2"/>
            <w:shd w:val="clear" w:color="auto" w:fill="auto"/>
            <w:vAlign w:val="bottom"/>
          </w:tcPr>
          <w:p w:rsidR="003536E8" w:rsidRPr="0061185B" w:rsidRDefault="003536E8" w:rsidP="003536E8">
            <w:pPr>
              <w:pStyle w:val="TableBodyText"/>
            </w:pPr>
            <w:r w:rsidRPr="0061185B">
              <w:t xml:space="preserve">  89.8</w:t>
            </w:r>
          </w:p>
        </w:tc>
        <w:tc>
          <w:tcPr>
            <w:tcW w:w="427" w:type="pct"/>
            <w:gridSpan w:val="2"/>
            <w:shd w:val="clear" w:color="auto" w:fill="auto"/>
            <w:vAlign w:val="bottom"/>
          </w:tcPr>
          <w:p w:rsidR="003536E8" w:rsidRPr="0061185B" w:rsidRDefault="003536E8" w:rsidP="003536E8">
            <w:pPr>
              <w:pStyle w:val="TableBodyText"/>
            </w:pPr>
            <w:r w:rsidRPr="0061185B">
              <w:t xml:space="preserve">  86.9</w:t>
            </w:r>
          </w:p>
        </w:tc>
        <w:tc>
          <w:tcPr>
            <w:tcW w:w="439" w:type="pct"/>
            <w:gridSpan w:val="3"/>
            <w:shd w:val="clear" w:color="auto" w:fill="auto"/>
            <w:vAlign w:val="bottom"/>
          </w:tcPr>
          <w:p w:rsidR="003536E8" w:rsidRPr="0061185B" w:rsidRDefault="003536E8" w:rsidP="003536E8">
            <w:pPr>
              <w:pStyle w:val="TableBodyText"/>
            </w:pPr>
            <w:r w:rsidRPr="0061185B">
              <w:t xml:space="preserve">  91.2</w:t>
            </w:r>
          </w:p>
        </w:tc>
      </w:tr>
      <w:tr w:rsidR="003536E8" w:rsidTr="002D77C3">
        <w:tc>
          <w:tcPr>
            <w:tcW w:w="5000" w:type="pct"/>
            <w:gridSpan w:val="26"/>
            <w:shd w:val="clear" w:color="auto" w:fill="auto"/>
          </w:tcPr>
          <w:p w:rsidR="003536E8" w:rsidRDefault="003536E8" w:rsidP="009C5410">
            <w:pPr>
              <w:pStyle w:val="TableBodyText"/>
              <w:ind w:left="170" w:right="28"/>
              <w:jc w:val="left"/>
            </w:pPr>
            <w:r w:rsidRPr="005944F2">
              <w:t>hospital doctors</w:t>
            </w:r>
            <w:r>
              <w:t>,</w:t>
            </w:r>
            <w:r w:rsidRPr="005944F2">
              <w:t xml:space="preserve"> specialists </w:t>
            </w:r>
            <w:r>
              <w:t>or nurses</w:t>
            </w:r>
            <w:r w:rsidRPr="005944F2">
              <w:t xml:space="preserve"> always or often showed respect to them</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Pr="005825CD" w:rsidRDefault="003536E8" w:rsidP="009C5410">
            <w:pPr>
              <w:pStyle w:val="TableBodyText"/>
              <w:jc w:val="left"/>
              <w:rPr>
                <w:vertAlign w:val="superscript"/>
              </w:rPr>
            </w:pPr>
            <w:r>
              <w:t>Doctors/specialists</w:t>
            </w:r>
          </w:p>
        </w:tc>
        <w:tc>
          <w:tcPr>
            <w:tcW w:w="425" w:type="pct"/>
            <w:gridSpan w:val="3"/>
            <w:shd w:val="clear" w:color="auto" w:fill="auto"/>
            <w:vAlign w:val="bottom"/>
          </w:tcPr>
          <w:p w:rsidR="003536E8" w:rsidRPr="0061185B" w:rsidRDefault="003536E8" w:rsidP="003536E8">
            <w:pPr>
              <w:pStyle w:val="TableBodyText"/>
            </w:pPr>
            <w:r w:rsidRPr="0061185B">
              <w:t xml:space="preserve">  91.5</w:t>
            </w:r>
          </w:p>
        </w:tc>
        <w:tc>
          <w:tcPr>
            <w:tcW w:w="421" w:type="pct"/>
            <w:gridSpan w:val="3"/>
            <w:shd w:val="clear" w:color="auto" w:fill="auto"/>
            <w:vAlign w:val="bottom"/>
          </w:tcPr>
          <w:p w:rsidR="003536E8" w:rsidRPr="0061185B" w:rsidRDefault="003536E8" w:rsidP="003536E8">
            <w:pPr>
              <w:pStyle w:val="TableBodyText"/>
            </w:pPr>
            <w:r w:rsidRPr="0061185B">
              <w:t xml:space="preserve">  89.3</w:t>
            </w:r>
          </w:p>
        </w:tc>
        <w:tc>
          <w:tcPr>
            <w:tcW w:w="422" w:type="pct"/>
            <w:gridSpan w:val="2"/>
            <w:shd w:val="clear" w:color="auto" w:fill="auto"/>
            <w:vAlign w:val="bottom"/>
          </w:tcPr>
          <w:p w:rsidR="003536E8" w:rsidRPr="0061185B" w:rsidRDefault="003536E8" w:rsidP="003536E8">
            <w:pPr>
              <w:pStyle w:val="TableBodyText"/>
            </w:pPr>
            <w:r w:rsidRPr="0061185B">
              <w:t xml:space="preserve">  88.4</w:t>
            </w:r>
          </w:p>
        </w:tc>
        <w:tc>
          <w:tcPr>
            <w:tcW w:w="421" w:type="pct"/>
            <w:gridSpan w:val="2"/>
            <w:shd w:val="clear" w:color="auto" w:fill="auto"/>
            <w:vAlign w:val="bottom"/>
          </w:tcPr>
          <w:p w:rsidR="003536E8" w:rsidRPr="0061185B" w:rsidRDefault="003536E8" w:rsidP="003536E8">
            <w:pPr>
              <w:pStyle w:val="TableBodyText"/>
            </w:pPr>
            <w:r w:rsidRPr="0061185B">
              <w:t xml:space="preserve">  92.6</w:t>
            </w:r>
          </w:p>
        </w:tc>
        <w:tc>
          <w:tcPr>
            <w:tcW w:w="423" w:type="pct"/>
            <w:gridSpan w:val="2"/>
            <w:shd w:val="clear" w:color="auto" w:fill="auto"/>
            <w:vAlign w:val="bottom"/>
          </w:tcPr>
          <w:p w:rsidR="003536E8" w:rsidRPr="0061185B" w:rsidRDefault="003536E8" w:rsidP="003536E8">
            <w:pPr>
              <w:pStyle w:val="TableBodyText"/>
            </w:pPr>
            <w:r w:rsidRPr="0061185B">
              <w:t xml:space="preserve">  90.2</w:t>
            </w:r>
          </w:p>
        </w:tc>
        <w:tc>
          <w:tcPr>
            <w:tcW w:w="423" w:type="pct"/>
            <w:gridSpan w:val="3"/>
            <w:shd w:val="clear" w:color="auto" w:fill="auto"/>
            <w:vAlign w:val="bottom"/>
          </w:tcPr>
          <w:p w:rsidR="003536E8" w:rsidRPr="0061185B" w:rsidRDefault="003536E8" w:rsidP="003536E8">
            <w:pPr>
              <w:pStyle w:val="TableBodyText"/>
            </w:pPr>
            <w:r w:rsidRPr="0061185B">
              <w:t xml:space="preserve">  86.2</w:t>
            </w:r>
          </w:p>
        </w:tc>
        <w:tc>
          <w:tcPr>
            <w:tcW w:w="425" w:type="pct"/>
            <w:gridSpan w:val="2"/>
            <w:shd w:val="clear" w:color="auto" w:fill="auto"/>
            <w:vAlign w:val="bottom"/>
          </w:tcPr>
          <w:p w:rsidR="003536E8" w:rsidRPr="0061185B" w:rsidRDefault="003536E8" w:rsidP="003536E8">
            <w:pPr>
              <w:pStyle w:val="TableBodyText"/>
            </w:pPr>
            <w:r w:rsidRPr="0061185B">
              <w:t xml:space="preserve">  91.2</w:t>
            </w:r>
          </w:p>
        </w:tc>
        <w:tc>
          <w:tcPr>
            <w:tcW w:w="427" w:type="pct"/>
            <w:gridSpan w:val="2"/>
            <w:shd w:val="clear" w:color="auto" w:fill="auto"/>
            <w:vAlign w:val="bottom"/>
          </w:tcPr>
          <w:p w:rsidR="003536E8" w:rsidRPr="0061185B" w:rsidRDefault="003536E8" w:rsidP="003536E8">
            <w:pPr>
              <w:pStyle w:val="TableBodyText"/>
            </w:pPr>
            <w:r w:rsidRPr="0061185B">
              <w:t xml:space="preserve">  81.3</w:t>
            </w:r>
          </w:p>
        </w:tc>
        <w:tc>
          <w:tcPr>
            <w:tcW w:w="439" w:type="pct"/>
            <w:gridSpan w:val="3"/>
            <w:shd w:val="clear" w:color="auto" w:fill="auto"/>
            <w:vAlign w:val="bottom"/>
          </w:tcPr>
          <w:p w:rsidR="003536E8" w:rsidRPr="0061185B" w:rsidRDefault="003536E8" w:rsidP="003536E8">
            <w:pPr>
              <w:pStyle w:val="TableBodyText"/>
            </w:pPr>
            <w:r w:rsidRPr="0061185B">
              <w:t xml:space="preserve">  90.2</w:t>
            </w:r>
          </w:p>
        </w:tc>
      </w:tr>
      <w:tr w:rsidR="003536E8" w:rsidRPr="00B817EA"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Default="003536E8" w:rsidP="009C5410">
            <w:pPr>
              <w:pStyle w:val="TableBodyText"/>
              <w:jc w:val="left"/>
            </w:pPr>
            <w:r>
              <w:t>Nurses</w:t>
            </w:r>
          </w:p>
        </w:tc>
        <w:tc>
          <w:tcPr>
            <w:tcW w:w="425" w:type="pct"/>
            <w:gridSpan w:val="3"/>
            <w:shd w:val="clear" w:color="auto" w:fill="auto"/>
            <w:vAlign w:val="bottom"/>
          </w:tcPr>
          <w:p w:rsidR="003536E8" w:rsidRPr="0061185B" w:rsidRDefault="003536E8" w:rsidP="003536E8">
            <w:pPr>
              <w:pStyle w:val="TableBodyText"/>
            </w:pPr>
            <w:r w:rsidRPr="0061185B">
              <w:t xml:space="preserve">  92.2</w:t>
            </w:r>
          </w:p>
        </w:tc>
        <w:tc>
          <w:tcPr>
            <w:tcW w:w="421" w:type="pct"/>
            <w:gridSpan w:val="3"/>
            <w:shd w:val="clear" w:color="auto" w:fill="auto"/>
            <w:vAlign w:val="bottom"/>
          </w:tcPr>
          <w:p w:rsidR="003536E8" w:rsidRPr="0061185B" w:rsidRDefault="003536E8" w:rsidP="003536E8">
            <w:pPr>
              <w:pStyle w:val="TableBodyText"/>
            </w:pPr>
            <w:r w:rsidRPr="0061185B">
              <w:t xml:space="preserve">  91.1</w:t>
            </w:r>
          </w:p>
        </w:tc>
        <w:tc>
          <w:tcPr>
            <w:tcW w:w="422" w:type="pct"/>
            <w:gridSpan w:val="2"/>
            <w:shd w:val="clear" w:color="auto" w:fill="auto"/>
            <w:vAlign w:val="bottom"/>
          </w:tcPr>
          <w:p w:rsidR="003536E8" w:rsidRPr="0061185B" w:rsidRDefault="003536E8" w:rsidP="003536E8">
            <w:pPr>
              <w:pStyle w:val="TableBodyText"/>
            </w:pPr>
            <w:r w:rsidRPr="0061185B">
              <w:t xml:space="preserve">  91.4</w:t>
            </w:r>
          </w:p>
        </w:tc>
        <w:tc>
          <w:tcPr>
            <w:tcW w:w="421" w:type="pct"/>
            <w:gridSpan w:val="2"/>
            <w:shd w:val="clear" w:color="auto" w:fill="auto"/>
            <w:vAlign w:val="bottom"/>
          </w:tcPr>
          <w:p w:rsidR="003536E8" w:rsidRPr="0061185B" w:rsidRDefault="003536E8" w:rsidP="003536E8">
            <w:pPr>
              <w:pStyle w:val="TableBodyText"/>
            </w:pPr>
            <w:r w:rsidRPr="0061185B">
              <w:t xml:space="preserve">  93.0</w:t>
            </w:r>
          </w:p>
        </w:tc>
        <w:tc>
          <w:tcPr>
            <w:tcW w:w="423" w:type="pct"/>
            <w:gridSpan w:val="2"/>
            <w:shd w:val="clear" w:color="auto" w:fill="auto"/>
            <w:vAlign w:val="center"/>
          </w:tcPr>
          <w:p w:rsidR="003536E8" w:rsidRPr="0061185B" w:rsidRDefault="003536E8" w:rsidP="003536E8">
            <w:pPr>
              <w:pStyle w:val="TableBodyText"/>
            </w:pPr>
            <w:r w:rsidRPr="0061185B">
              <w:t>91.7</w:t>
            </w:r>
          </w:p>
        </w:tc>
        <w:tc>
          <w:tcPr>
            <w:tcW w:w="423" w:type="pct"/>
            <w:gridSpan w:val="3"/>
            <w:shd w:val="clear" w:color="auto" w:fill="auto"/>
            <w:vAlign w:val="bottom"/>
          </w:tcPr>
          <w:p w:rsidR="003536E8" w:rsidRPr="0061185B" w:rsidRDefault="003536E8" w:rsidP="003536E8">
            <w:pPr>
              <w:pStyle w:val="TableBodyText"/>
            </w:pPr>
            <w:r w:rsidRPr="0061185B">
              <w:t xml:space="preserve">  88.4</w:t>
            </w:r>
          </w:p>
        </w:tc>
        <w:tc>
          <w:tcPr>
            <w:tcW w:w="425" w:type="pct"/>
            <w:gridSpan w:val="2"/>
            <w:shd w:val="clear" w:color="auto" w:fill="auto"/>
            <w:vAlign w:val="bottom"/>
          </w:tcPr>
          <w:p w:rsidR="003536E8" w:rsidRPr="0061185B" w:rsidRDefault="003536E8" w:rsidP="003536E8">
            <w:pPr>
              <w:pStyle w:val="TableBodyText"/>
            </w:pPr>
            <w:r w:rsidRPr="0061185B">
              <w:t xml:space="preserve">  90.6</w:t>
            </w:r>
          </w:p>
        </w:tc>
        <w:tc>
          <w:tcPr>
            <w:tcW w:w="427" w:type="pct"/>
            <w:gridSpan w:val="2"/>
            <w:shd w:val="clear" w:color="auto" w:fill="auto"/>
            <w:vAlign w:val="bottom"/>
          </w:tcPr>
          <w:p w:rsidR="003536E8" w:rsidRPr="0061185B" w:rsidRDefault="003536E8" w:rsidP="003536E8">
            <w:pPr>
              <w:pStyle w:val="TableBodyText"/>
            </w:pPr>
            <w:r w:rsidRPr="0061185B">
              <w:t xml:space="preserve">  87.6</w:t>
            </w:r>
          </w:p>
        </w:tc>
        <w:tc>
          <w:tcPr>
            <w:tcW w:w="439" w:type="pct"/>
            <w:gridSpan w:val="3"/>
            <w:shd w:val="clear" w:color="auto" w:fill="auto"/>
            <w:vAlign w:val="bottom"/>
          </w:tcPr>
          <w:p w:rsidR="003536E8" w:rsidRPr="0061185B" w:rsidRDefault="003536E8" w:rsidP="003536E8">
            <w:pPr>
              <w:pStyle w:val="TableBodyText"/>
            </w:pPr>
            <w:r w:rsidRPr="0061185B">
              <w:t xml:space="preserve">  91.5</w:t>
            </w:r>
          </w:p>
        </w:tc>
      </w:tr>
      <w:tr w:rsidR="003536E8" w:rsidTr="002D77C3">
        <w:tc>
          <w:tcPr>
            <w:tcW w:w="5000" w:type="pct"/>
            <w:gridSpan w:val="26"/>
            <w:shd w:val="clear" w:color="auto" w:fill="auto"/>
          </w:tcPr>
          <w:p w:rsidR="003536E8" w:rsidRDefault="003536E8" w:rsidP="009C5410">
            <w:pPr>
              <w:pStyle w:val="TableBodyText"/>
              <w:tabs>
                <w:tab w:val="left" w:pos="330"/>
              </w:tabs>
              <w:ind w:left="170" w:right="28"/>
              <w:jc w:val="left"/>
            </w:pPr>
            <w:r w:rsidRPr="005944F2">
              <w:t>hospital doctors</w:t>
            </w:r>
            <w:r>
              <w:t>,</w:t>
            </w:r>
            <w:r w:rsidRPr="005944F2">
              <w:t xml:space="preserve"> specialists </w:t>
            </w:r>
            <w:r>
              <w:t>or nurses</w:t>
            </w:r>
            <w:r w:rsidRPr="005944F2">
              <w:t xml:space="preserve"> always or often spent enough time with them</w:t>
            </w:r>
          </w:p>
        </w:tc>
      </w:tr>
      <w:tr w:rsidR="003536E8" w:rsidRPr="003536E8"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Pr="005825CD" w:rsidRDefault="003536E8" w:rsidP="009C5410">
            <w:pPr>
              <w:pStyle w:val="TableBodyText"/>
              <w:jc w:val="left"/>
              <w:rPr>
                <w:vertAlign w:val="superscript"/>
              </w:rPr>
            </w:pPr>
            <w:r>
              <w:t>Doctors/specialists</w:t>
            </w:r>
          </w:p>
        </w:tc>
        <w:tc>
          <w:tcPr>
            <w:tcW w:w="425" w:type="pct"/>
            <w:gridSpan w:val="3"/>
            <w:shd w:val="clear" w:color="auto" w:fill="auto"/>
            <w:vAlign w:val="bottom"/>
          </w:tcPr>
          <w:p w:rsidR="003536E8" w:rsidRPr="0061185B" w:rsidRDefault="003536E8" w:rsidP="003536E8">
            <w:pPr>
              <w:pStyle w:val="TableBodyText"/>
            </w:pPr>
            <w:r w:rsidRPr="0061185B">
              <w:t xml:space="preserve">  87.5</w:t>
            </w:r>
          </w:p>
        </w:tc>
        <w:tc>
          <w:tcPr>
            <w:tcW w:w="421" w:type="pct"/>
            <w:gridSpan w:val="3"/>
            <w:shd w:val="clear" w:color="auto" w:fill="auto"/>
            <w:vAlign w:val="bottom"/>
          </w:tcPr>
          <w:p w:rsidR="003536E8" w:rsidRPr="0061185B" w:rsidRDefault="003536E8" w:rsidP="003536E8">
            <w:pPr>
              <w:pStyle w:val="TableBodyText"/>
            </w:pPr>
            <w:r w:rsidRPr="0061185B">
              <w:t xml:space="preserve">  85.6</w:t>
            </w:r>
          </w:p>
        </w:tc>
        <w:tc>
          <w:tcPr>
            <w:tcW w:w="422" w:type="pct"/>
            <w:gridSpan w:val="2"/>
            <w:shd w:val="clear" w:color="auto" w:fill="auto"/>
            <w:vAlign w:val="bottom"/>
          </w:tcPr>
          <w:p w:rsidR="003536E8" w:rsidRPr="0061185B" w:rsidRDefault="003536E8" w:rsidP="003536E8">
            <w:pPr>
              <w:pStyle w:val="TableBodyText"/>
            </w:pPr>
            <w:r w:rsidRPr="0061185B">
              <w:t xml:space="preserve">  85.8</w:t>
            </w:r>
          </w:p>
        </w:tc>
        <w:tc>
          <w:tcPr>
            <w:tcW w:w="421" w:type="pct"/>
            <w:gridSpan w:val="2"/>
            <w:shd w:val="clear" w:color="auto" w:fill="auto"/>
            <w:vAlign w:val="bottom"/>
          </w:tcPr>
          <w:p w:rsidR="003536E8" w:rsidRPr="0061185B" w:rsidRDefault="003536E8" w:rsidP="003536E8">
            <w:pPr>
              <w:pStyle w:val="TableBodyText"/>
            </w:pPr>
            <w:r w:rsidRPr="0061185B">
              <w:t xml:space="preserve">  87.2</w:t>
            </w:r>
          </w:p>
        </w:tc>
        <w:tc>
          <w:tcPr>
            <w:tcW w:w="423" w:type="pct"/>
            <w:gridSpan w:val="2"/>
            <w:shd w:val="clear" w:color="auto" w:fill="auto"/>
            <w:vAlign w:val="bottom"/>
          </w:tcPr>
          <w:p w:rsidR="003536E8" w:rsidRPr="0061185B" w:rsidRDefault="003536E8" w:rsidP="003536E8">
            <w:pPr>
              <w:pStyle w:val="TableBodyText"/>
            </w:pPr>
            <w:r w:rsidRPr="0061185B">
              <w:t xml:space="preserve">  84.0</w:t>
            </w:r>
          </w:p>
        </w:tc>
        <w:tc>
          <w:tcPr>
            <w:tcW w:w="423" w:type="pct"/>
            <w:gridSpan w:val="3"/>
            <w:shd w:val="clear" w:color="auto" w:fill="auto"/>
            <w:vAlign w:val="bottom"/>
          </w:tcPr>
          <w:p w:rsidR="003536E8" w:rsidRPr="0061185B" w:rsidRDefault="003536E8" w:rsidP="003536E8">
            <w:pPr>
              <w:pStyle w:val="TableBodyText"/>
            </w:pPr>
            <w:r w:rsidRPr="0061185B">
              <w:t xml:space="preserve">  84.7</w:t>
            </w:r>
          </w:p>
        </w:tc>
        <w:tc>
          <w:tcPr>
            <w:tcW w:w="425" w:type="pct"/>
            <w:gridSpan w:val="2"/>
            <w:shd w:val="clear" w:color="auto" w:fill="auto"/>
            <w:vAlign w:val="bottom"/>
          </w:tcPr>
          <w:p w:rsidR="003536E8" w:rsidRPr="0061185B" w:rsidRDefault="003536E8" w:rsidP="003536E8">
            <w:pPr>
              <w:pStyle w:val="TableBodyText"/>
            </w:pPr>
            <w:r w:rsidRPr="0061185B">
              <w:t xml:space="preserve">  85.4</w:t>
            </w:r>
          </w:p>
        </w:tc>
        <w:tc>
          <w:tcPr>
            <w:tcW w:w="427" w:type="pct"/>
            <w:gridSpan w:val="2"/>
            <w:shd w:val="clear" w:color="auto" w:fill="auto"/>
            <w:vAlign w:val="bottom"/>
          </w:tcPr>
          <w:p w:rsidR="003536E8" w:rsidRPr="0061185B" w:rsidRDefault="003536E8" w:rsidP="003536E8">
            <w:pPr>
              <w:pStyle w:val="TableBodyText"/>
            </w:pPr>
            <w:r w:rsidRPr="0061185B">
              <w:t xml:space="preserve">  80.3</w:t>
            </w:r>
          </w:p>
        </w:tc>
        <w:tc>
          <w:tcPr>
            <w:tcW w:w="439" w:type="pct"/>
            <w:gridSpan w:val="3"/>
            <w:shd w:val="clear" w:color="auto" w:fill="auto"/>
            <w:vAlign w:val="bottom"/>
          </w:tcPr>
          <w:p w:rsidR="003536E8" w:rsidRPr="0061185B" w:rsidRDefault="003536E8" w:rsidP="003536E8">
            <w:pPr>
              <w:pStyle w:val="TableBodyText"/>
            </w:pPr>
            <w:r w:rsidRPr="0061185B">
              <w:t xml:space="preserve">  86.2</w:t>
            </w:r>
          </w:p>
        </w:tc>
      </w:tr>
      <w:tr w:rsidR="003536E8" w:rsidRPr="003536E8" w:rsidTr="00807A47">
        <w:tc>
          <w:tcPr>
            <w:tcW w:w="161" w:type="pct"/>
            <w:shd w:val="clear" w:color="auto" w:fill="auto"/>
          </w:tcPr>
          <w:p w:rsidR="003536E8" w:rsidRPr="005825CD" w:rsidRDefault="003536E8" w:rsidP="009C5410">
            <w:pPr>
              <w:pStyle w:val="TableBodyText"/>
              <w:jc w:val="left"/>
              <w:rPr>
                <w:vertAlign w:val="superscript"/>
              </w:rPr>
            </w:pPr>
          </w:p>
        </w:tc>
        <w:tc>
          <w:tcPr>
            <w:tcW w:w="1013" w:type="pct"/>
            <w:gridSpan w:val="3"/>
            <w:shd w:val="clear" w:color="auto" w:fill="auto"/>
          </w:tcPr>
          <w:p w:rsidR="003536E8" w:rsidRDefault="003536E8" w:rsidP="009C5410">
            <w:pPr>
              <w:pStyle w:val="TableBodyText"/>
              <w:jc w:val="left"/>
            </w:pPr>
            <w:r>
              <w:t>Nurses</w:t>
            </w:r>
          </w:p>
        </w:tc>
        <w:tc>
          <w:tcPr>
            <w:tcW w:w="425" w:type="pct"/>
            <w:gridSpan w:val="3"/>
            <w:shd w:val="clear" w:color="auto" w:fill="auto"/>
            <w:vAlign w:val="bottom"/>
          </w:tcPr>
          <w:p w:rsidR="003536E8" w:rsidRPr="0061185B" w:rsidRDefault="003536E8" w:rsidP="003536E8">
            <w:pPr>
              <w:pStyle w:val="TableBodyText"/>
            </w:pPr>
            <w:r w:rsidRPr="0061185B">
              <w:t xml:space="preserve">  88.5</w:t>
            </w:r>
          </w:p>
        </w:tc>
        <w:tc>
          <w:tcPr>
            <w:tcW w:w="421" w:type="pct"/>
            <w:gridSpan w:val="3"/>
            <w:shd w:val="clear" w:color="auto" w:fill="auto"/>
            <w:vAlign w:val="bottom"/>
          </w:tcPr>
          <w:p w:rsidR="003536E8" w:rsidRPr="0061185B" w:rsidRDefault="003536E8" w:rsidP="003536E8">
            <w:pPr>
              <w:pStyle w:val="TableBodyText"/>
            </w:pPr>
            <w:r w:rsidRPr="0061185B">
              <w:t xml:space="preserve">  89.0</w:t>
            </w:r>
          </w:p>
        </w:tc>
        <w:tc>
          <w:tcPr>
            <w:tcW w:w="422" w:type="pct"/>
            <w:gridSpan w:val="2"/>
            <w:shd w:val="clear" w:color="auto" w:fill="auto"/>
            <w:vAlign w:val="bottom"/>
          </w:tcPr>
          <w:p w:rsidR="003536E8" w:rsidRPr="0061185B" w:rsidRDefault="003536E8" w:rsidP="003536E8">
            <w:pPr>
              <w:pStyle w:val="TableBodyText"/>
            </w:pPr>
            <w:r w:rsidRPr="0061185B">
              <w:t xml:space="preserve">  89.2</w:t>
            </w:r>
          </w:p>
        </w:tc>
        <w:tc>
          <w:tcPr>
            <w:tcW w:w="421" w:type="pct"/>
            <w:gridSpan w:val="2"/>
            <w:shd w:val="clear" w:color="auto" w:fill="auto"/>
            <w:vAlign w:val="bottom"/>
          </w:tcPr>
          <w:p w:rsidR="003536E8" w:rsidRPr="0061185B" w:rsidRDefault="003536E8" w:rsidP="003536E8">
            <w:pPr>
              <w:pStyle w:val="TableBodyText"/>
            </w:pPr>
            <w:r w:rsidRPr="0061185B">
              <w:t xml:space="preserve">  91.8</w:t>
            </w:r>
          </w:p>
        </w:tc>
        <w:tc>
          <w:tcPr>
            <w:tcW w:w="423" w:type="pct"/>
            <w:gridSpan w:val="2"/>
            <w:shd w:val="clear" w:color="auto" w:fill="auto"/>
            <w:vAlign w:val="bottom"/>
          </w:tcPr>
          <w:p w:rsidR="003536E8" w:rsidRPr="0061185B" w:rsidRDefault="003536E8" w:rsidP="003536E8">
            <w:pPr>
              <w:pStyle w:val="TableBodyText"/>
            </w:pPr>
            <w:r w:rsidRPr="0061185B">
              <w:t xml:space="preserve">  87.7</w:t>
            </w:r>
          </w:p>
        </w:tc>
        <w:tc>
          <w:tcPr>
            <w:tcW w:w="423" w:type="pct"/>
            <w:gridSpan w:val="3"/>
            <w:shd w:val="clear" w:color="auto" w:fill="auto"/>
            <w:vAlign w:val="bottom"/>
          </w:tcPr>
          <w:p w:rsidR="003536E8" w:rsidRPr="0061185B" w:rsidRDefault="003536E8" w:rsidP="003536E8">
            <w:pPr>
              <w:pStyle w:val="TableBodyText"/>
            </w:pPr>
            <w:r w:rsidRPr="0061185B">
              <w:t xml:space="preserve">  86.5</w:t>
            </w:r>
          </w:p>
        </w:tc>
        <w:tc>
          <w:tcPr>
            <w:tcW w:w="425" w:type="pct"/>
            <w:gridSpan w:val="2"/>
            <w:shd w:val="clear" w:color="auto" w:fill="auto"/>
            <w:vAlign w:val="bottom"/>
          </w:tcPr>
          <w:p w:rsidR="003536E8" w:rsidRPr="0061185B" w:rsidRDefault="003536E8" w:rsidP="003536E8">
            <w:pPr>
              <w:pStyle w:val="TableBodyText"/>
            </w:pPr>
            <w:r w:rsidRPr="0061185B">
              <w:t xml:space="preserve">  85.3</w:t>
            </w:r>
          </w:p>
        </w:tc>
        <w:tc>
          <w:tcPr>
            <w:tcW w:w="427" w:type="pct"/>
            <w:gridSpan w:val="2"/>
            <w:shd w:val="clear" w:color="auto" w:fill="auto"/>
            <w:vAlign w:val="bottom"/>
          </w:tcPr>
          <w:p w:rsidR="003536E8" w:rsidRPr="0061185B" w:rsidRDefault="003536E8" w:rsidP="003536E8">
            <w:pPr>
              <w:pStyle w:val="TableBodyText"/>
            </w:pPr>
            <w:r w:rsidRPr="0061185B">
              <w:t xml:space="preserve">  85.8</w:t>
            </w:r>
          </w:p>
        </w:tc>
        <w:tc>
          <w:tcPr>
            <w:tcW w:w="439" w:type="pct"/>
            <w:gridSpan w:val="3"/>
            <w:shd w:val="clear" w:color="auto" w:fill="auto"/>
            <w:vAlign w:val="bottom"/>
          </w:tcPr>
          <w:p w:rsidR="003536E8" w:rsidRPr="0061185B" w:rsidRDefault="003536E8" w:rsidP="003536E8">
            <w:pPr>
              <w:pStyle w:val="TableBodyText"/>
            </w:pPr>
            <w:r w:rsidRPr="0061185B">
              <w:t xml:space="preserve">  88.9</w:t>
            </w:r>
          </w:p>
        </w:tc>
      </w:tr>
      <w:tr w:rsidR="003536E8" w:rsidRPr="005825CD" w:rsidTr="002D77C3">
        <w:trPr>
          <w:trHeight w:val="177"/>
        </w:trPr>
        <w:tc>
          <w:tcPr>
            <w:tcW w:w="5000" w:type="pct"/>
            <w:gridSpan w:val="26"/>
            <w:shd w:val="clear" w:color="auto" w:fill="auto"/>
          </w:tcPr>
          <w:p w:rsidR="003536E8" w:rsidRPr="00C804F5" w:rsidRDefault="003536E8" w:rsidP="00E759C3">
            <w:pPr>
              <w:pStyle w:val="Source"/>
              <w:spacing w:before="60" w:after="40"/>
            </w:pPr>
            <w:r w:rsidRPr="00B5543B">
              <w:t>Source: table</w:t>
            </w:r>
            <w:r>
              <w:t>s</w:t>
            </w:r>
            <w:r w:rsidRPr="00B5543B">
              <w:t xml:space="preserve"> </w:t>
            </w:r>
            <w:proofErr w:type="spellStart"/>
            <w:r w:rsidRPr="00807A47">
              <w:t>10A.69</w:t>
            </w:r>
            <w:proofErr w:type="spellEnd"/>
            <w:r w:rsidRPr="00807A47">
              <w:t>–</w:t>
            </w:r>
            <w:proofErr w:type="spellStart"/>
            <w:r w:rsidRPr="00807A47">
              <w:t>10A.76</w:t>
            </w:r>
            <w:proofErr w:type="spellEnd"/>
            <w:r w:rsidRPr="00807A47">
              <w:t>.</w:t>
            </w:r>
            <w:r w:rsidRPr="005825CD">
              <w:t xml:space="preserve">  </w:t>
            </w:r>
          </w:p>
        </w:tc>
      </w:tr>
    </w:tbl>
    <w:p w:rsidR="00D94485" w:rsidRPr="006B345C" w:rsidRDefault="00D94485" w:rsidP="00D94485">
      <w:pPr>
        <w:pStyle w:val="Continued"/>
        <w:pBdr>
          <w:bottom w:val="single" w:sz="4" w:space="1" w:color="auto"/>
        </w:pBdr>
        <w:spacing w:before="0"/>
      </w:pPr>
      <w:r w:rsidRPr="006B345C">
        <w:t>(Continued next page)</w:t>
      </w:r>
    </w:p>
    <w:p w:rsidR="00D94485" w:rsidRPr="002D77C3" w:rsidRDefault="00D94485" w:rsidP="00D94485">
      <w:pPr>
        <w:rPr>
          <w:rFonts w:ascii="Arial" w:hAnsi="Arial"/>
          <w:b/>
          <w:sz w:val="18"/>
          <w:szCs w:val="18"/>
        </w:rPr>
      </w:pPr>
      <w:r w:rsidRPr="00D94485">
        <w:rPr>
          <w:rFonts w:ascii="Arial" w:hAnsi="Arial" w:cs="Arial"/>
        </w:rPr>
        <w:lastRenderedPageBreak/>
        <w:t xml:space="preserve">Table </w:t>
      </w:r>
      <w:proofErr w:type="spellStart"/>
      <w:r w:rsidRPr="00D94485">
        <w:rPr>
          <w:rFonts w:ascii="Arial" w:hAnsi="Arial" w:cs="Arial"/>
        </w:rPr>
        <w:t>E.5</w:t>
      </w:r>
      <w:proofErr w:type="spellEnd"/>
      <w:r w:rsidRPr="00D94485">
        <w:rPr>
          <w:rFonts w:ascii="Arial" w:hAnsi="Arial" w:cs="Arial"/>
        </w:rPr>
        <w:tab/>
      </w:r>
      <w:r w:rsidRPr="002D77C3">
        <w:rPr>
          <w:rFonts w:ascii="Arial" w:hAnsi="Arial"/>
          <w:b/>
          <w:sz w:val="18"/>
          <w:szCs w:val="18"/>
        </w:rPr>
        <w:t>(continued)</w:t>
      </w:r>
    </w:p>
    <w:tbl>
      <w:tblPr>
        <w:tblW w:w="5018" w:type="pct"/>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8821"/>
      </w:tblGrid>
      <w:tr w:rsidR="003536E8" w:rsidRPr="005825CD" w:rsidTr="00D94485">
        <w:trPr>
          <w:trHeight w:val="273"/>
        </w:trPr>
        <w:tc>
          <w:tcPr>
            <w:tcW w:w="5000" w:type="pct"/>
            <w:shd w:val="clear" w:color="auto" w:fill="auto"/>
          </w:tcPr>
          <w:p w:rsidR="003536E8" w:rsidRDefault="003536E8" w:rsidP="00116E8F">
            <w:pPr>
              <w:pStyle w:val="TableColumnHeading"/>
              <w:jc w:val="left"/>
              <w:rPr>
                <w:i w:val="0"/>
                <w:sz w:val="16"/>
                <w:szCs w:val="16"/>
              </w:rPr>
            </w:pPr>
            <w:r>
              <w:t xml:space="preserve">Sentinel events, </w:t>
            </w:r>
            <w:r w:rsidRPr="00807A47">
              <w:t>2011-12</w:t>
            </w:r>
            <w:r w:rsidRPr="00CE1B3A">
              <w:rPr>
                <w:shd w:val="clear" w:color="auto" w:fill="FBD4B4" w:themeFill="accent6" w:themeFillTint="66"/>
              </w:rPr>
              <w:br/>
            </w:r>
            <w:r w:rsidR="00C72D5D" w:rsidRPr="00807A47">
              <w:rPr>
                <w:i w:val="0"/>
                <w:sz w:val="16"/>
                <w:szCs w:val="16"/>
              </w:rPr>
              <w:t>Most recent d</w:t>
            </w:r>
            <w:r w:rsidRPr="00807A47">
              <w:rPr>
                <w:i w:val="0"/>
                <w:sz w:val="16"/>
                <w:szCs w:val="16"/>
              </w:rPr>
              <w:t xml:space="preserve">ata for this indicator </w:t>
            </w:r>
            <w:r w:rsidR="00C72D5D" w:rsidRPr="00807A47">
              <w:rPr>
                <w:i w:val="0"/>
                <w:sz w:val="16"/>
                <w:szCs w:val="16"/>
              </w:rPr>
              <w:t xml:space="preserve">are </w:t>
            </w:r>
            <w:r w:rsidRPr="00807A47">
              <w:rPr>
                <w:i w:val="0"/>
                <w:sz w:val="16"/>
                <w:szCs w:val="16"/>
              </w:rPr>
              <w:t xml:space="preserve">complete </w:t>
            </w:r>
            <w:r w:rsidR="00C72D5D" w:rsidRPr="00807A47">
              <w:rPr>
                <w:i w:val="0"/>
                <w:sz w:val="16"/>
                <w:szCs w:val="16"/>
              </w:rPr>
              <w:t>but</w:t>
            </w:r>
            <w:r w:rsidRPr="00807A47">
              <w:rPr>
                <w:i w:val="0"/>
                <w:sz w:val="16"/>
                <w:szCs w:val="16"/>
              </w:rPr>
              <w:t xml:space="preserve"> not directly comparable (chapter 10). </w:t>
            </w:r>
          </w:p>
          <w:p w:rsidR="003536E8" w:rsidRPr="005825CD" w:rsidRDefault="003536E8" w:rsidP="003536E8">
            <w:pPr>
              <w:pStyle w:val="Source"/>
            </w:pPr>
            <w:r w:rsidRPr="00A16ED4">
              <w:t xml:space="preserve">Data are available in tables </w:t>
            </w:r>
            <w:proofErr w:type="spellStart"/>
            <w:r w:rsidRPr="00807A47">
              <w:t>10A.77</w:t>
            </w:r>
            <w:proofErr w:type="spellEnd"/>
            <w:r w:rsidRPr="00807A47">
              <w:t>–</w:t>
            </w:r>
            <w:proofErr w:type="spellStart"/>
            <w:r w:rsidRPr="00807A47">
              <w:t>10A.93</w:t>
            </w:r>
            <w:proofErr w:type="spellEnd"/>
            <w:r w:rsidRPr="00807A47">
              <w:t>.</w:t>
            </w:r>
          </w:p>
        </w:tc>
      </w:tr>
    </w:tbl>
    <w:p w:rsidR="00E759C3" w:rsidRDefault="00A97C83" w:rsidP="00E759C3">
      <w:pPr>
        <w:pStyle w:val="Note"/>
      </w:pPr>
      <w:r w:rsidRPr="00CC1617">
        <w:rPr>
          <w:rStyle w:val="NoteLabel"/>
        </w:rPr>
        <w:t>a</w:t>
      </w:r>
      <w:r w:rsidRPr="00B817EA">
        <w:t xml:space="preserve"> Caveats for these </w:t>
      </w:r>
      <w:r>
        <w:t xml:space="preserve">data are available in chapter 10 and attachment </w:t>
      </w:r>
      <w:proofErr w:type="spellStart"/>
      <w:r>
        <w:t>10</w:t>
      </w:r>
      <w:r w:rsidRPr="00B817EA">
        <w:t>A</w:t>
      </w:r>
      <w:proofErr w:type="spellEnd"/>
      <w:r w:rsidRPr="00B817EA">
        <w:t>. Refer to the indicator in</w:t>
      </w:r>
      <w:r>
        <w:t>terpretation boxes in chapter 12</w:t>
      </w:r>
      <w:r w:rsidRPr="00B817EA">
        <w:t xml:space="preserve"> for information to assist with </w:t>
      </w:r>
      <w:r w:rsidR="00F74C7E">
        <w:t xml:space="preserve">the </w:t>
      </w:r>
      <w:r w:rsidRPr="00B817EA">
        <w:t>interpret</w:t>
      </w:r>
      <w:r w:rsidR="00F74C7E">
        <w:t>ation of</w:t>
      </w:r>
      <w:r w:rsidRPr="00B817EA">
        <w:t xml:space="preserve"> data presented in this table. </w:t>
      </w:r>
      <w:r w:rsidRPr="00F85DD2">
        <w:t xml:space="preserve">– Nil or rounded to zero. </w:t>
      </w:r>
      <w:proofErr w:type="spellStart"/>
      <w:r w:rsidR="00FD2674" w:rsidRPr="00912EF9">
        <w:rPr>
          <w:b/>
        </w:rPr>
        <w:t>na</w:t>
      </w:r>
      <w:proofErr w:type="spellEnd"/>
      <w:r w:rsidR="00FD2674" w:rsidRPr="00602768">
        <w:t xml:space="preserve"> Not available</w:t>
      </w:r>
      <w:r w:rsidR="00FD2674">
        <w:t xml:space="preserve">. </w:t>
      </w:r>
      <w:proofErr w:type="spellStart"/>
      <w:r w:rsidRPr="000C09E5">
        <w:rPr>
          <w:b/>
        </w:rPr>
        <w:t>np</w:t>
      </w:r>
      <w:proofErr w:type="spellEnd"/>
      <w:r>
        <w:t> </w:t>
      </w:r>
      <w:r w:rsidRPr="00FC2D33">
        <w:t>Not published.</w:t>
      </w:r>
    </w:p>
    <w:p w:rsidR="00E759C3" w:rsidRDefault="002C4CA2" w:rsidP="00E759C3">
      <w:pPr>
        <w:pStyle w:val="Heading4"/>
      </w:pPr>
      <w:r>
        <w:t>M</w:t>
      </w:r>
      <w:r w:rsidRPr="002C4CA2">
        <w:t>aternity services</w:t>
      </w:r>
    </w:p>
    <w:p w:rsidR="00E759C3" w:rsidRDefault="00E759C3" w:rsidP="00E759C3">
      <w:pPr>
        <w:pStyle w:val="BodyText"/>
      </w:pPr>
      <w:r w:rsidRPr="00BE3F64">
        <w:t>The performance</w:t>
      </w:r>
      <w:r w:rsidRPr="00E759C3">
        <w:t xml:space="preserve"> </w:t>
      </w:r>
      <w:r w:rsidRPr="00BE3F64">
        <w:t>indicator framework for maternity services is presented in figure</w:t>
      </w:r>
      <w:r>
        <w:t> </w:t>
      </w:r>
      <w:proofErr w:type="spellStart"/>
      <w:r>
        <w:t>E.21</w:t>
      </w:r>
      <w:proofErr w:type="spellEnd"/>
      <w:r w:rsidRPr="00BE3F64">
        <w:t>.</w:t>
      </w:r>
      <w:r>
        <w:t xml:space="preserve"> This</w:t>
      </w:r>
      <w:r w:rsidRPr="00E6147C">
        <w:t xml:space="preserve"> framework provides comprehensive information on the equity, effectiveness</w:t>
      </w:r>
      <w:r>
        <w:t>,</w:t>
      </w:r>
      <w:r w:rsidRPr="00E6147C">
        <w:t xml:space="preserve"> efficiency </w:t>
      </w:r>
      <w:r>
        <w:t xml:space="preserve">and the outcomes </w:t>
      </w:r>
      <w:r w:rsidRPr="00E6147C">
        <w:t xml:space="preserve">of </w:t>
      </w:r>
      <w:r w:rsidRPr="00BE3F64">
        <w:t>maternity services</w:t>
      </w:r>
      <w:r w:rsidRPr="00E6147C">
        <w:t>.</w:t>
      </w:r>
    </w:p>
    <w:p w:rsidR="00E759C3" w:rsidRDefault="00E759C3" w:rsidP="00E759C3">
      <w:pPr>
        <w:pStyle w:val="FigureTitle"/>
      </w:pPr>
      <w:r>
        <w:rPr>
          <w:b w:val="0"/>
        </w:rPr>
        <w:t xml:space="preserve">Figure </w:t>
      </w:r>
      <w:proofErr w:type="spellStart"/>
      <w:r>
        <w:rPr>
          <w:b w:val="0"/>
        </w:rPr>
        <w:t>E.</w:t>
      </w:r>
      <w:r w:rsidR="00C01FBD">
        <w:rPr>
          <w:b w:val="0"/>
          <w:noProof/>
        </w:rPr>
        <w:t>21</w:t>
      </w:r>
      <w:proofErr w:type="spellEnd"/>
      <w:r>
        <w:tab/>
        <w:t xml:space="preserve">Maternity services </w:t>
      </w:r>
      <w:r w:rsidRPr="00A05A09">
        <w:t xml:space="preserve">performance indicator </w:t>
      </w:r>
      <w:r>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759C3" w:rsidTr="00E32399">
        <w:tc>
          <w:tcPr>
            <w:tcW w:w="8777" w:type="dxa"/>
            <w:shd w:val="clear" w:color="auto" w:fill="auto"/>
          </w:tcPr>
          <w:p w:rsidR="00384067" w:rsidRPr="009A7529" w:rsidRDefault="00546940" w:rsidP="00E32399">
            <w:pPr>
              <w:pStyle w:val="Figure"/>
              <w:keepNext w:val="0"/>
            </w:pPr>
            <w:r>
              <w:rPr>
                <w:noProof/>
              </w:rPr>
              <w:drawing>
                <wp:inline distT="0" distB="0" distL="0" distR="0" wp14:anchorId="44030458" wp14:editId="42CA71F8">
                  <wp:extent cx="5562600" cy="4857750"/>
                  <wp:effectExtent l="0" t="0" r="0" b="0"/>
                  <wp:docPr id="16" name="Picture 16" descr="Figure E.21 Maternity services performance indicator framework&#10;&#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562600" cy="4857750"/>
                          </a:xfrm>
                          <a:prstGeom prst="rect">
                            <a:avLst/>
                          </a:prstGeom>
                          <a:noFill/>
                          <a:ln>
                            <a:noFill/>
                          </a:ln>
                        </pic:spPr>
                      </pic:pic>
                    </a:graphicData>
                  </a:graphic>
                </wp:inline>
              </w:drawing>
            </w:r>
          </w:p>
        </w:tc>
      </w:tr>
    </w:tbl>
    <w:p w:rsidR="00384067" w:rsidRDefault="00384067"/>
    <w:p w:rsidR="00700B93" w:rsidRDefault="00700B93" w:rsidP="00700B93">
      <w:pPr>
        <w:pStyle w:val="BodyText"/>
      </w:pPr>
      <w:r w:rsidRPr="00700B93">
        <w:lastRenderedPageBreak/>
        <w:t xml:space="preserve">An overview of the </w:t>
      </w:r>
      <w:r>
        <w:t>maternity services</w:t>
      </w:r>
      <w:r w:rsidRPr="00700B93">
        <w:t xml:space="preserve"> performance indicator results are presented in table</w:t>
      </w:r>
      <w:r w:rsidR="00EE380A">
        <w:t> </w:t>
      </w:r>
      <w:proofErr w:type="spellStart"/>
      <w:r w:rsidR="00F156AA">
        <w:t>E.</w:t>
      </w:r>
      <w:r w:rsidR="00F07431">
        <w:t>6</w:t>
      </w:r>
      <w:proofErr w:type="spellEnd"/>
      <w:r>
        <w:t>.</w:t>
      </w:r>
      <w:r w:rsidRPr="00700B93">
        <w:t xml:space="preserve"> </w:t>
      </w:r>
      <w:r w:rsidR="008A62B8">
        <w:t xml:space="preserve">Information to assist the interpretation of these data can be found in the indicator interpretation boxes in chapter 10 and the footnotes in attachment </w:t>
      </w:r>
      <w:proofErr w:type="spellStart"/>
      <w:r w:rsidR="008A62B8">
        <w:t>10A</w:t>
      </w:r>
      <w:proofErr w:type="spellEnd"/>
      <w:r w:rsidR="008A62B8">
        <w:t>.</w:t>
      </w:r>
    </w:p>
    <w:p w:rsidR="00F62A41" w:rsidRPr="00150556" w:rsidRDefault="00F62A41" w:rsidP="00F62A41">
      <w:pPr>
        <w:pStyle w:val="TableTitle"/>
        <w:rPr>
          <w:b w:val="0"/>
        </w:rPr>
      </w:pPr>
      <w:r>
        <w:rPr>
          <w:b w:val="0"/>
        </w:rPr>
        <w:t xml:space="preserve">Table </w:t>
      </w:r>
      <w:bookmarkStart w:id="45" w:name="OLE_LINK24"/>
      <w:proofErr w:type="spellStart"/>
      <w:r w:rsidR="00F07431">
        <w:rPr>
          <w:b w:val="0"/>
        </w:rPr>
        <w:t>E.</w:t>
      </w:r>
      <w:r w:rsidR="00C01FBD">
        <w:rPr>
          <w:b w:val="0"/>
          <w:noProof/>
        </w:rPr>
        <w:t>6</w:t>
      </w:r>
      <w:bookmarkEnd w:id="45"/>
      <w:proofErr w:type="spellEnd"/>
      <w:r w:rsidRPr="00B4788D">
        <w:rPr>
          <w:b w:val="0"/>
        </w:rPr>
        <w:tab/>
      </w:r>
      <w:r w:rsidRPr="00B817EA">
        <w:t>Performance indicators for</w:t>
      </w:r>
      <w:r>
        <w:t xml:space="preserve"> </w:t>
      </w:r>
      <w:r w:rsidR="007A0DF3">
        <w:t>maternity</w:t>
      </w:r>
      <w:r>
        <w:t xml:space="preserve"> </w:t>
      </w:r>
      <w:proofErr w:type="spellStart"/>
      <w:r w:rsidR="007A0DF3">
        <w:t>services</w:t>
      </w:r>
      <w:r w:rsidR="009A7529">
        <w:rPr>
          <w:vertAlign w:val="superscript"/>
        </w:rPr>
        <w:t>a</w:t>
      </w:r>
      <w:proofErr w:type="spellEnd"/>
    </w:p>
    <w:tbl>
      <w:tblPr>
        <w:tblW w:w="5000" w:type="pct"/>
        <w:tblCellMar>
          <w:left w:w="0" w:type="dxa"/>
          <w:right w:w="0" w:type="dxa"/>
        </w:tblCellMar>
        <w:tblLook w:val="0000" w:firstRow="0" w:lastRow="0" w:firstColumn="0" w:lastColumn="0" w:noHBand="0" w:noVBand="0"/>
      </w:tblPr>
      <w:tblGrid>
        <w:gridCol w:w="292"/>
        <w:gridCol w:w="1644"/>
        <w:gridCol w:w="759"/>
        <w:gridCol w:w="761"/>
        <w:gridCol w:w="756"/>
        <w:gridCol w:w="761"/>
        <w:gridCol w:w="759"/>
        <w:gridCol w:w="765"/>
        <w:gridCol w:w="761"/>
        <w:gridCol w:w="761"/>
        <w:gridCol w:w="37"/>
        <w:gridCol w:w="733"/>
      </w:tblGrid>
      <w:tr w:rsidR="00B903AA" w:rsidRPr="004C2CF4" w:rsidTr="00EB42A8">
        <w:trPr>
          <w:cantSplit/>
          <w:tblHeader/>
        </w:trPr>
        <w:tc>
          <w:tcPr>
            <w:tcW w:w="1101" w:type="pct"/>
            <w:gridSpan w:val="2"/>
            <w:tcBorders>
              <w:top w:val="single" w:sz="6" w:space="0" w:color="auto"/>
              <w:bottom w:val="single" w:sz="6" w:space="0" w:color="auto"/>
            </w:tcBorders>
            <w:shd w:val="clear" w:color="auto" w:fill="auto"/>
          </w:tcPr>
          <w:p w:rsidR="00B903AA" w:rsidRPr="00B817EA" w:rsidRDefault="00B903AA" w:rsidP="00B725F6">
            <w:pPr>
              <w:pStyle w:val="TableColumnHeading"/>
              <w:jc w:val="left"/>
            </w:pPr>
          </w:p>
        </w:tc>
        <w:tc>
          <w:tcPr>
            <w:tcW w:w="432" w:type="pct"/>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NSW</w:t>
            </w:r>
          </w:p>
        </w:tc>
        <w:tc>
          <w:tcPr>
            <w:tcW w:w="433" w:type="pct"/>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Vic</w:t>
            </w:r>
          </w:p>
        </w:tc>
        <w:tc>
          <w:tcPr>
            <w:tcW w:w="430" w:type="pct"/>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Qld</w:t>
            </w:r>
          </w:p>
        </w:tc>
        <w:tc>
          <w:tcPr>
            <w:tcW w:w="433" w:type="pct"/>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WA</w:t>
            </w:r>
          </w:p>
        </w:tc>
        <w:tc>
          <w:tcPr>
            <w:tcW w:w="432" w:type="pct"/>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SA</w:t>
            </w:r>
          </w:p>
        </w:tc>
        <w:tc>
          <w:tcPr>
            <w:tcW w:w="435" w:type="pct"/>
            <w:tcBorders>
              <w:top w:val="single" w:sz="6" w:space="0" w:color="auto"/>
              <w:bottom w:val="single" w:sz="6" w:space="0" w:color="auto"/>
            </w:tcBorders>
            <w:shd w:val="clear" w:color="auto" w:fill="auto"/>
          </w:tcPr>
          <w:p w:rsidR="00B903AA" w:rsidRPr="00B817EA" w:rsidRDefault="00B903AA" w:rsidP="00B725F6">
            <w:pPr>
              <w:pStyle w:val="TableColumnHeading"/>
            </w:pPr>
            <w:proofErr w:type="spellStart"/>
            <w:r w:rsidRPr="00B817EA">
              <w:t>Tas</w:t>
            </w:r>
            <w:proofErr w:type="spellEnd"/>
          </w:p>
        </w:tc>
        <w:tc>
          <w:tcPr>
            <w:tcW w:w="433" w:type="pct"/>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ACT</w:t>
            </w:r>
          </w:p>
        </w:tc>
        <w:tc>
          <w:tcPr>
            <w:tcW w:w="454" w:type="pct"/>
            <w:gridSpan w:val="2"/>
            <w:tcBorders>
              <w:top w:val="single" w:sz="6" w:space="0" w:color="auto"/>
              <w:bottom w:val="single" w:sz="6" w:space="0" w:color="auto"/>
            </w:tcBorders>
            <w:shd w:val="clear" w:color="auto" w:fill="auto"/>
          </w:tcPr>
          <w:p w:rsidR="00B903AA" w:rsidRPr="00B817EA" w:rsidRDefault="00B903AA" w:rsidP="00B725F6">
            <w:pPr>
              <w:pStyle w:val="TableColumnHeading"/>
            </w:pPr>
            <w:r w:rsidRPr="00B817EA">
              <w:t>NT</w:t>
            </w:r>
          </w:p>
        </w:tc>
        <w:tc>
          <w:tcPr>
            <w:tcW w:w="417" w:type="pct"/>
            <w:tcBorders>
              <w:top w:val="single" w:sz="6" w:space="0" w:color="auto"/>
              <w:bottom w:val="single" w:sz="6" w:space="0" w:color="auto"/>
            </w:tcBorders>
          </w:tcPr>
          <w:p w:rsidR="00B903AA" w:rsidRPr="004C2CF4" w:rsidRDefault="00B903AA" w:rsidP="00B725F6">
            <w:pPr>
              <w:pStyle w:val="TableColumnHeading"/>
            </w:pPr>
            <w:proofErr w:type="spellStart"/>
            <w:r w:rsidRPr="00B817EA">
              <w:t>Aust</w:t>
            </w:r>
            <w:proofErr w:type="spellEnd"/>
          </w:p>
        </w:tc>
      </w:tr>
      <w:tr w:rsidR="00F62A41" w:rsidRPr="00B20E15" w:rsidTr="00EB42A8">
        <w:trPr>
          <w:trHeight w:val="329"/>
        </w:trPr>
        <w:tc>
          <w:tcPr>
            <w:tcW w:w="5000" w:type="pct"/>
            <w:gridSpan w:val="12"/>
            <w:tcBorders>
              <w:top w:val="single" w:sz="6" w:space="0" w:color="auto"/>
            </w:tcBorders>
          </w:tcPr>
          <w:p w:rsidR="00F62A41" w:rsidRPr="001E0D4D" w:rsidRDefault="00B673A1" w:rsidP="00116E8F">
            <w:pPr>
              <w:pStyle w:val="TableColumnHeading"/>
              <w:jc w:val="left"/>
            </w:pPr>
            <w:r w:rsidRPr="001E0D4D">
              <w:rPr>
                <w:b/>
                <w:i w:val="0"/>
              </w:rPr>
              <w:t xml:space="preserve">Effectiveness — </w:t>
            </w:r>
            <w:r w:rsidR="00DB23F1" w:rsidRPr="001E0D4D">
              <w:rPr>
                <w:b/>
                <w:i w:val="0"/>
              </w:rPr>
              <w:t>Appropriateness</w:t>
            </w:r>
            <w:r w:rsidRPr="001E0D4D">
              <w:rPr>
                <w:b/>
                <w:i w:val="0"/>
              </w:rPr>
              <w:t xml:space="preserve"> indicators</w:t>
            </w:r>
          </w:p>
        </w:tc>
      </w:tr>
      <w:tr w:rsidR="00A9007F" w:rsidRPr="00B817EA" w:rsidTr="00EB42A8">
        <w:trPr>
          <w:trHeight w:val="273"/>
        </w:trPr>
        <w:tc>
          <w:tcPr>
            <w:tcW w:w="5000" w:type="pct"/>
            <w:gridSpan w:val="12"/>
            <w:shd w:val="clear" w:color="auto" w:fill="auto"/>
          </w:tcPr>
          <w:p w:rsidR="00A9007F" w:rsidRPr="00B817EA" w:rsidRDefault="00A9007F" w:rsidP="0038088D">
            <w:pPr>
              <w:pStyle w:val="TableColumnHeading"/>
              <w:jc w:val="left"/>
            </w:pPr>
            <w:r w:rsidRPr="00DB23F1">
              <w:t xml:space="preserve">Caesareans for selected </w:t>
            </w:r>
            <w:proofErr w:type="spellStart"/>
            <w:r w:rsidRPr="00DB23F1">
              <w:t>primiparae</w:t>
            </w:r>
            <w:proofErr w:type="spellEnd"/>
            <w:r>
              <w:t xml:space="preserve"> — </w:t>
            </w:r>
            <w:r w:rsidR="00622B59">
              <w:t>Proportion (%)</w:t>
            </w:r>
            <w:r>
              <w:t xml:space="preserve"> of births that were </w:t>
            </w:r>
            <w:r w:rsidRPr="00DB23F1">
              <w:t>caesareans</w:t>
            </w:r>
            <w:r>
              <w:t xml:space="preserve">, </w:t>
            </w:r>
            <w:r w:rsidRPr="005E5A40">
              <w:t>201</w:t>
            </w:r>
            <w:r w:rsidR="00D94485" w:rsidRPr="005E5A40">
              <w:t>2</w:t>
            </w:r>
            <w:r w:rsidRPr="005E5A40">
              <w:br/>
            </w:r>
            <w:r w:rsidR="0038088D" w:rsidRPr="005E5A40">
              <w:rPr>
                <w:i w:val="0"/>
                <w:sz w:val="16"/>
                <w:szCs w:val="16"/>
              </w:rPr>
              <w:t>Most recent d</w:t>
            </w:r>
            <w:r w:rsidRPr="005E5A40">
              <w:rPr>
                <w:i w:val="0"/>
                <w:sz w:val="16"/>
                <w:szCs w:val="16"/>
              </w:rPr>
              <w:t>ata for this indicator not complete or not directly comparable (</w:t>
            </w:r>
            <w:r w:rsidRPr="00B903AA">
              <w:rPr>
                <w:i w:val="0"/>
                <w:sz w:val="16"/>
                <w:szCs w:val="16"/>
              </w:rPr>
              <w:t>chapter 10)</w:t>
            </w:r>
          </w:p>
        </w:tc>
      </w:tr>
      <w:tr w:rsidR="00D94485" w:rsidRPr="00B817EA" w:rsidTr="005E5A40">
        <w:tc>
          <w:tcPr>
            <w:tcW w:w="166" w:type="pct"/>
            <w:shd w:val="clear" w:color="auto" w:fill="auto"/>
          </w:tcPr>
          <w:p w:rsidR="00D94485" w:rsidRPr="005825CD" w:rsidRDefault="00D94485" w:rsidP="00B725F6">
            <w:pPr>
              <w:pStyle w:val="TableBodyText"/>
              <w:jc w:val="left"/>
              <w:rPr>
                <w:vertAlign w:val="superscript"/>
              </w:rPr>
            </w:pPr>
          </w:p>
        </w:tc>
        <w:tc>
          <w:tcPr>
            <w:tcW w:w="935" w:type="pct"/>
            <w:shd w:val="clear" w:color="auto" w:fill="auto"/>
          </w:tcPr>
          <w:p w:rsidR="00D94485" w:rsidRPr="00B903AA" w:rsidRDefault="00D94485" w:rsidP="00B725F6">
            <w:pPr>
              <w:pStyle w:val="TableBodyText"/>
              <w:jc w:val="left"/>
            </w:pPr>
            <w:r w:rsidRPr="00B903AA">
              <w:t>Public hospitals</w:t>
            </w:r>
          </w:p>
        </w:tc>
        <w:tc>
          <w:tcPr>
            <w:tcW w:w="432" w:type="pct"/>
            <w:shd w:val="clear" w:color="auto" w:fill="auto"/>
            <w:vAlign w:val="center"/>
          </w:tcPr>
          <w:p w:rsidR="00D94485" w:rsidRPr="00632831" w:rsidRDefault="00D94485" w:rsidP="00632831">
            <w:pPr>
              <w:pStyle w:val="TableBodyText"/>
            </w:pPr>
            <w:r w:rsidRPr="00632831">
              <w:t xml:space="preserve">  23.8</w:t>
            </w:r>
          </w:p>
        </w:tc>
        <w:tc>
          <w:tcPr>
            <w:tcW w:w="433" w:type="pct"/>
            <w:shd w:val="clear" w:color="auto" w:fill="auto"/>
            <w:vAlign w:val="center"/>
          </w:tcPr>
          <w:p w:rsidR="00D94485" w:rsidRPr="00632831" w:rsidRDefault="00D94485" w:rsidP="00632831">
            <w:pPr>
              <w:pStyle w:val="TableBodyText"/>
            </w:pPr>
            <w:r w:rsidRPr="00632831">
              <w:t xml:space="preserve">  23.2</w:t>
            </w:r>
          </w:p>
        </w:tc>
        <w:tc>
          <w:tcPr>
            <w:tcW w:w="430" w:type="pct"/>
            <w:shd w:val="clear" w:color="auto" w:fill="auto"/>
            <w:vAlign w:val="center"/>
          </w:tcPr>
          <w:p w:rsidR="00D94485" w:rsidRPr="00632831" w:rsidRDefault="00D94485" w:rsidP="00632831">
            <w:pPr>
              <w:pStyle w:val="TableBodyText"/>
            </w:pPr>
            <w:r w:rsidRPr="00632831">
              <w:t xml:space="preserve">  22.9</w:t>
            </w:r>
          </w:p>
        </w:tc>
        <w:tc>
          <w:tcPr>
            <w:tcW w:w="433" w:type="pct"/>
            <w:shd w:val="clear" w:color="auto" w:fill="auto"/>
            <w:vAlign w:val="center"/>
          </w:tcPr>
          <w:p w:rsidR="00D94485" w:rsidRPr="00632831" w:rsidRDefault="00D94485" w:rsidP="00632831">
            <w:pPr>
              <w:pStyle w:val="TableBodyText"/>
            </w:pPr>
            <w:r w:rsidRPr="00632831">
              <w:t xml:space="preserve">  24.7</w:t>
            </w:r>
          </w:p>
        </w:tc>
        <w:tc>
          <w:tcPr>
            <w:tcW w:w="432" w:type="pct"/>
            <w:shd w:val="clear" w:color="auto" w:fill="auto"/>
            <w:vAlign w:val="center"/>
          </w:tcPr>
          <w:p w:rsidR="00D94485" w:rsidRPr="00632831" w:rsidRDefault="00D94485" w:rsidP="00632831">
            <w:pPr>
              <w:pStyle w:val="TableBodyText"/>
            </w:pPr>
            <w:r w:rsidRPr="00632831">
              <w:t xml:space="preserve">  20.2</w:t>
            </w:r>
          </w:p>
        </w:tc>
        <w:tc>
          <w:tcPr>
            <w:tcW w:w="435" w:type="pct"/>
            <w:shd w:val="clear" w:color="auto" w:fill="auto"/>
            <w:vAlign w:val="center"/>
          </w:tcPr>
          <w:p w:rsidR="00D94485" w:rsidRPr="00632831" w:rsidRDefault="00D94485" w:rsidP="00632831">
            <w:pPr>
              <w:pStyle w:val="TableBodyText"/>
            </w:pPr>
            <w:proofErr w:type="spellStart"/>
            <w:r w:rsidRPr="00632831">
              <w:t>na</w:t>
            </w:r>
            <w:proofErr w:type="spellEnd"/>
          </w:p>
        </w:tc>
        <w:tc>
          <w:tcPr>
            <w:tcW w:w="433" w:type="pct"/>
            <w:shd w:val="clear" w:color="auto" w:fill="auto"/>
            <w:vAlign w:val="center"/>
          </w:tcPr>
          <w:p w:rsidR="00D94485" w:rsidRPr="00632831" w:rsidRDefault="00D94485" w:rsidP="00632831">
            <w:pPr>
              <w:pStyle w:val="TableBodyText"/>
            </w:pPr>
            <w:r w:rsidRPr="00632831">
              <w:t xml:space="preserve">  21.3</w:t>
            </w:r>
          </w:p>
        </w:tc>
        <w:tc>
          <w:tcPr>
            <w:tcW w:w="433" w:type="pct"/>
            <w:shd w:val="clear" w:color="auto" w:fill="auto"/>
            <w:vAlign w:val="center"/>
          </w:tcPr>
          <w:p w:rsidR="00D94485" w:rsidRPr="00632831" w:rsidRDefault="00D94485" w:rsidP="00632831">
            <w:pPr>
              <w:pStyle w:val="TableBodyText"/>
            </w:pPr>
            <w:r w:rsidRPr="00632831">
              <w:t xml:space="preserve">  28.6</w:t>
            </w:r>
          </w:p>
        </w:tc>
        <w:tc>
          <w:tcPr>
            <w:tcW w:w="438" w:type="pct"/>
            <w:gridSpan w:val="2"/>
            <w:shd w:val="clear" w:color="auto" w:fill="auto"/>
            <w:vAlign w:val="center"/>
          </w:tcPr>
          <w:p w:rsidR="00D94485" w:rsidRPr="00632831" w:rsidRDefault="00D94485" w:rsidP="00632831">
            <w:pPr>
              <w:pStyle w:val="TableBodyText"/>
            </w:pPr>
            <w:r w:rsidRPr="00632831">
              <w:t xml:space="preserve">  23.3</w:t>
            </w:r>
          </w:p>
        </w:tc>
      </w:tr>
      <w:tr w:rsidR="00D94485" w:rsidRPr="00B817EA" w:rsidTr="005E5A40">
        <w:tc>
          <w:tcPr>
            <w:tcW w:w="166" w:type="pct"/>
            <w:shd w:val="clear" w:color="auto" w:fill="auto"/>
          </w:tcPr>
          <w:p w:rsidR="00D94485" w:rsidRPr="005825CD" w:rsidRDefault="00D94485" w:rsidP="00B725F6">
            <w:pPr>
              <w:pStyle w:val="TableBodyText"/>
              <w:jc w:val="left"/>
              <w:rPr>
                <w:vertAlign w:val="superscript"/>
              </w:rPr>
            </w:pPr>
          </w:p>
        </w:tc>
        <w:tc>
          <w:tcPr>
            <w:tcW w:w="935" w:type="pct"/>
            <w:shd w:val="clear" w:color="auto" w:fill="auto"/>
          </w:tcPr>
          <w:p w:rsidR="00D94485" w:rsidRPr="00B903AA" w:rsidRDefault="00D94485" w:rsidP="00B725F6">
            <w:pPr>
              <w:pStyle w:val="TableBodyText"/>
              <w:jc w:val="left"/>
            </w:pPr>
            <w:r>
              <w:t>Private</w:t>
            </w:r>
            <w:r w:rsidRPr="00B903AA">
              <w:t xml:space="preserve"> hospitals</w:t>
            </w:r>
          </w:p>
        </w:tc>
        <w:tc>
          <w:tcPr>
            <w:tcW w:w="432" w:type="pct"/>
            <w:shd w:val="clear" w:color="auto" w:fill="auto"/>
            <w:vAlign w:val="center"/>
          </w:tcPr>
          <w:p w:rsidR="00D94485" w:rsidRPr="00632831" w:rsidRDefault="00D94485" w:rsidP="00632831">
            <w:pPr>
              <w:pStyle w:val="TableBodyText"/>
            </w:pPr>
            <w:r w:rsidRPr="00632831">
              <w:t xml:space="preserve">  30.9</w:t>
            </w:r>
          </w:p>
        </w:tc>
        <w:tc>
          <w:tcPr>
            <w:tcW w:w="433" w:type="pct"/>
            <w:shd w:val="clear" w:color="auto" w:fill="auto"/>
            <w:vAlign w:val="center"/>
          </w:tcPr>
          <w:p w:rsidR="00D94485" w:rsidRPr="00632831" w:rsidRDefault="00D94485" w:rsidP="00632831">
            <w:pPr>
              <w:pStyle w:val="TableBodyText"/>
            </w:pPr>
            <w:r w:rsidRPr="00632831">
              <w:t xml:space="preserve">  30.6</w:t>
            </w:r>
          </w:p>
        </w:tc>
        <w:tc>
          <w:tcPr>
            <w:tcW w:w="430" w:type="pct"/>
            <w:shd w:val="clear" w:color="auto" w:fill="auto"/>
            <w:vAlign w:val="center"/>
          </w:tcPr>
          <w:p w:rsidR="00D94485" w:rsidRPr="00632831" w:rsidRDefault="00D94485" w:rsidP="00632831">
            <w:pPr>
              <w:pStyle w:val="TableBodyText"/>
            </w:pPr>
            <w:r w:rsidRPr="00632831">
              <w:t xml:space="preserve">  36.5</w:t>
            </w:r>
          </w:p>
        </w:tc>
        <w:tc>
          <w:tcPr>
            <w:tcW w:w="433" w:type="pct"/>
            <w:shd w:val="clear" w:color="auto" w:fill="auto"/>
            <w:vAlign w:val="center"/>
          </w:tcPr>
          <w:p w:rsidR="00D94485" w:rsidRPr="00632831" w:rsidRDefault="00D94485" w:rsidP="00632831">
            <w:pPr>
              <w:pStyle w:val="TableBodyText"/>
            </w:pPr>
            <w:r w:rsidRPr="00632831">
              <w:t xml:space="preserve">  33.4</w:t>
            </w:r>
          </w:p>
        </w:tc>
        <w:tc>
          <w:tcPr>
            <w:tcW w:w="432" w:type="pct"/>
            <w:shd w:val="clear" w:color="auto" w:fill="auto"/>
            <w:vAlign w:val="center"/>
          </w:tcPr>
          <w:p w:rsidR="00D94485" w:rsidRPr="00632831" w:rsidRDefault="00D94485" w:rsidP="00632831">
            <w:pPr>
              <w:pStyle w:val="TableBodyText"/>
            </w:pPr>
            <w:r w:rsidRPr="00632831">
              <w:t xml:space="preserve">  29.3</w:t>
            </w:r>
          </w:p>
        </w:tc>
        <w:tc>
          <w:tcPr>
            <w:tcW w:w="435" w:type="pct"/>
            <w:shd w:val="clear" w:color="auto" w:fill="auto"/>
            <w:vAlign w:val="center"/>
          </w:tcPr>
          <w:p w:rsidR="00D94485" w:rsidRPr="00632831" w:rsidRDefault="00D94485" w:rsidP="00632831">
            <w:pPr>
              <w:pStyle w:val="TableBodyText"/>
            </w:pPr>
            <w:proofErr w:type="spellStart"/>
            <w:r w:rsidRPr="00632831">
              <w:t>na</w:t>
            </w:r>
            <w:proofErr w:type="spellEnd"/>
          </w:p>
        </w:tc>
        <w:tc>
          <w:tcPr>
            <w:tcW w:w="433" w:type="pct"/>
            <w:shd w:val="clear" w:color="auto" w:fill="auto"/>
            <w:vAlign w:val="center"/>
          </w:tcPr>
          <w:p w:rsidR="00D94485" w:rsidRPr="00632831" w:rsidRDefault="00D94485" w:rsidP="00632831">
            <w:pPr>
              <w:pStyle w:val="TableBodyText"/>
            </w:pPr>
            <w:r w:rsidRPr="00632831">
              <w:t xml:space="preserve">  36.3</w:t>
            </w:r>
          </w:p>
        </w:tc>
        <w:tc>
          <w:tcPr>
            <w:tcW w:w="433" w:type="pct"/>
            <w:shd w:val="clear" w:color="auto" w:fill="auto"/>
            <w:vAlign w:val="center"/>
          </w:tcPr>
          <w:p w:rsidR="00D94485" w:rsidRPr="00632831" w:rsidRDefault="00D94485" w:rsidP="00632831">
            <w:pPr>
              <w:pStyle w:val="TableBodyText"/>
            </w:pPr>
            <w:proofErr w:type="spellStart"/>
            <w:r w:rsidRPr="00632831">
              <w:t>np</w:t>
            </w:r>
            <w:proofErr w:type="spellEnd"/>
          </w:p>
        </w:tc>
        <w:tc>
          <w:tcPr>
            <w:tcW w:w="438" w:type="pct"/>
            <w:gridSpan w:val="2"/>
            <w:shd w:val="clear" w:color="auto" w:fill="auto"/>
            <w:vAlign w:val="center"/>
          </w:tcPr>
          <w:p w:rsidR="00D94485" w:rsidRPr="00632831" w:rsidRDefault="00D94485" w:rsidP="00632831">
            <w:pPr>
              <w:pStyle w:val="TableBodyText"/>
            </w:pPr>
            <w:r w:rsidRPr="00632831">
              <w:t xml:space="preserve">  32.9</w:t>
            </w:r>
          </w:p>
        </w:tc>
      </w:tr>
      <w:tr w:rsidR="00D94485" w:rsidRPr="00B817EA" w:rsidTr="00EB42A8">
        <w:trPr>
          <w:trHeight w:val="273"/>
        </w:trPr>
        <w:tc>
          <w:tcPr>
            <w:tcW w:w="5000" w:type="pct"/>
            <w:gridSpan w:val="12"/>
            <w:shd w:val="clear" w:color="auto" w:fill="auto"/>
          </w:tcPr>
          <w:p w:rsidR="00D94485" w:rsidRPr="00B817EA" w:rsidRDefault="00D94485" w:rsidP="0038088D">
            <w:pPr>
              <w:pStyle w:val="TableColumnHeading"/>
              <w:jc w:val="left"/>
            </w:pPr>
            <w:r w:rsidRPr="00DB23F1">
              <w:t xml:space="preserve">Inductions for selected </w:t>
            </w:r>
            <w:proofErr w:type="spellStart"/>
            <w:r w:rsidRPr="00DB23F1">
              <w:t>primiparae</w:t>
            </w:r>
            <w:proofErr w:type="spellEnd"/>
            <w:r>
              <w:t xml:space="preserve"> — Proportion (%) of births that were induced, rate, </w:t>
            </w:r>
            <w:r w:rsidRPr="00AF4D68">
              <w:t>2012</w:t>
            </w:r>
            <w:r w:rsidRPr="00B20E15">
              <w:br/>
            </w:r>
            <w:r w:rsidR="0038088D" w:rsidRPr="00AF4D68">
              <w:rPr>
                <w:i w:val="0"/>
                <w:sz w:val="16"/>
                <w:szCs w:val="16"/>
              </w:rPr>
              <w:t>Most recent d</w:t>
            </w:r>
            <w:r w:rsidRPr="00AF4D68">
              <w:rPr>
                <w:i w:val="0"/>
                <w:sz w:val="16"/>
                <w:szCs w:val="16"/>
              </w:rPr>
              <w:t>ata for this indicator not complete or not directly comparable (chapter 10)</w:t>
            </w:r>
          </w:p>
        </w:tc>
      </w:tr>
      <w:tr w:rsidR="00D94485" w:rsidRPr="00B817EA" w:rsidTr="00AF4D68">
        <w:tc>
          <w:tcPr>
            <w:tcW w:w="166" w:type="pct"/>
            <w:shd w:val="clear" w:color="auto" w:fill="auto"/>
          </w:tcPr>
          <w:p w:rsidR="00D94485" w:rsidRPr="005825CD" w:rsidRDefault="00D94485" w:rsidP="00B725F6">
            <w:pPr>
              <w:pStyle w:val="TableBodyText"/>
              <w:jc w:val="left"/>
              <w:rPr>
                <w:vertAlign w:val="superscript"/>
              </w:rPr>
            </w:pPr>
          </w:p>
        </w:tc>
        <w:tc>
          <w:tcPr>
            <w:tcW w:w="935" w:type="pct"/>
            <w:shd w:val="clear" w:color="auto" w:fill="auto"/>
          </w:tcPr>
          <w:p w:rsidR="00D94485" w:rsidRPr="00B903AA" w:rsidRDefault="00D94485" w:rsidP="00B725F6">
            <w:pPr>
              <w:pStyle w:val="TableBodyText"/>
              <w:jc w:val="left"/>
            </w:pPr>
            <w:r w:rsidRPr="00B903AA">
              <w:t>Public hospitals</w:t>
            </w:r>
          </w:p>
        </w:tc>
        <w:tc>
          <w:tcPr>
            <w:tcW w:w="432" w:type="pct"/>
            <w:shd w:val="clear" w:color="auto" w:fill="auto"/>
            <w:vAlign w:val="center"/>
          </w:tcPr>
          <w:p w:rsidR="00D94485" w:rsidRPr="005E1D0D" w:rsidRDefault="00D94485" w:rsidP="005E1D0D">
            <w:pPr>
              <w:pStyle w:val="TableBodyText"/>
            </w:pPr>
            <w:r w:rsidRPr="005E1D0D">
              <w:t xml:space="preserve">  36.3</w:t>
            </w:r>
          </w:p>
        </w:tc>
        <w:tc>
          <w:tcPr>
            <w:tcW w:w="433" w:type="pct"/>
            <w:shd w:val="clear" w:color="auto" w:fill="auto"/>
            <w:vAlign w:val="center"/>
          </w:tcPr>
          <w:p w:rsidR="00D94485" w:rsidRPr="005E1D0D" w:rsidRDefault="00D94485" w:rsidP="005E1D0D">
            <w:pPr>
              <w:pStyle w:val="TableBodyText"/>
            </w:pPr>
            <w:r w:rsidRPr="005E1D0D">
              <w:t xml:space="preserve">  31.7</w:t>
            </w:r>
          </w:p>
        </w:tc>
        <w:tc>
          <w:tcPr>
            <w:tcW w:w="430" w:type="pct"/>
            <w:shd w:val="clear" w:color="auto" w:fill="auto"/>
            <w:vAlign w:val="center"/>
          </w:tcPr>
          <w:p w:rsidR="00D94485" w:rsidRPr="005E1D0D" w:rsidRDefault="00D94485" w:rsidP="005E1D0D">
            <w:pPr>
              <w:pStyle w:val="TableBodyText"/>
            </w:pPr>
            <w:r w:rsidRPr="005E1D0D">
              <w:t xml:space="preserve">  29.4</w:t>
            </w:r>
          </w:p>
        </w:tc>
        <w:tc>
          <w:tcPr>
            <w:tcW w:w="433" w:type="pct"/>
            <w:shd w:val="clear" w:color="auto" w:fill="auto"/>
            <w:vAlign w:val="center"/>
          </w:tcPr>
          <w:p w:rsidR="00D94485" w:rsidRPr="005E1D0D" w:rsidRDefault="00D94485" w:rsidP="005E1D0D">
            <w:pPr>
              <w:pStyle w:val="TableBodyText"/>
            </w:pPr>
            <w:r w:rsidRPr="005E1D0D">
              <w:t xml:space="preserve">  36.3</w:t>
            </w:r>
          </w:p>
        </w:tc>
        <w:tc>
          <w:tcPr>
            <w:tcW w:w="432" w:type="pct"/>
            <w:shd w:val="clear" w:color="auto" w:fill="auto"/>
            <w:vAlign w:val="center"/>
          </w:tcPr>
          <w:p w:rsidR="00D94485" w:rsidRPr="005E1D0D" w:rsidRDefault="00D94485" w:rsidP="005E1D0D">
            <w:pPr>
              <w:pStyle w:val="TableBodyText"/>
            </w:pPr>
            <w:r w:rsidRPr="005E1D0D">
              <w:t xml:space="preserve">  38.3</w:t>
            </w:r>
          </w:p>
        </w:tc>
        <w:tc>
          <w:tcPr>
            <w:tcW w:w="435" w:type="pct"/>
            <w:shd w:val="clear" w:color="auto" w:fill="auto"/>
            <w:vAlign w:val="center"/>
          </w:tcPr>
          <w:p w:rsidR="00D94485" w:rsidRPr="005E1D0D" w:rsidRDefault="00D94485" w:rsidP="005E1D0D">
            <w:pPr>
              <w:pStyle w:val="TableBodyText"/>
            </w:pPr>
            <w:proofErr w:type="spellStart"/>
            <w:r w:rsidRPr="005E1D0D">
              <w:t>na</w:t>
            </w:r>
            <w:proofErr w:type="spellEnd"/>
          </w:p>
        </w:tc>
        <w:tc>
          <w:tcPr>
            <w:tcW w:w="433" w:type="pct"/>
            <w:shd w:val="clear" w:color="auto" w:fill="auto"/>
            <w:vAlign w:val="center"/>
          </w:tcPr>
          <w:p w:rsidR="00D94485" w:rsidRPr="005E1D0D" w:rsidRDefault="00D94485" w:rsidP="005E1D0D">
            <w:pPr>
              <w:pStyle w:val="TableBodyText"/>
            </w:pPr>
            <w:r w:rsidRPr="005E1D0D">
              <w:t xml:space="preserve">  23.5</w:t>
            </w:r>
          </w:p>
        </w:tc>
        <w:tc>
          <w:tcPr>
            <w:tcW w:w="433" w:type="pct"/>
            <w:shd w:val="clear" w:color="auto" w:fill="auto"/>
            <w:vAlign w:val="center"/>
          </w:tcPr>
          <w:p w:rsidR="00D94485" w:rsidRPr="005E1D0D" w:rsidRDefault="00D94485" w:rsidP="005E1D0D">
            <w:pPr>
              <w:pStyle w:val="TableBodyText"/>
            </w:pPr>
            <w:r w:rsidRPr="005E1D0D">
              <w:t xml:space="preserve">  36.0</w:t>
            </w:r>
          </w:p>
        </w:tc>
        <w:tc>
          <w:tcPr>
            <w:tcW w:w="438" w:type="pct"/>
            <w:gridSpan w:val="2"/>
            <w:shd w:val="clear" w:color="auto" w:fill="auto"/>
            <w:vAlign w:val="center"/>
          </w:tcPr>
          <w:p w:rsidR="00D94485" w:rsidRPr="005E1D0D" w:rsidRDefault="00D94485" w:rsidP="005E1D0D">
            <w:pPr>
              <w:pStyle w:val="TableBodyText"/>
            </w:pPr>
            <w:r w:rsidRPr="005E1D0D">
              <w:t xml:space="preserve">  33.7</w:t>
            </w:r>
          </w:p>
        </w:tc>
      </w:tr>
      <w:tr w:rsidR="00D94485" w:rsidRPr="00B817EA" w:rsidTr="00AF4D68">
        <w:tc>
          <w:tcPr>
            <w:tcW w:w="166" w:type="pct"/>
            <w:shd w:val="clear" w:color="auto" w:fill="auto"/>
          </w:tcPr>
          <w:p w:rsidR="00D94485" w:rsidRPr="005825CD" w:rsidRDefault="00D94485" w:rsidP="00B725F6">
            <w:pPr>
              <w:pStyle w:val="TableBodyText"/>
              <w:jc w:val="left"/>
              <w:rPr>
                <w:vertAlign w:val="superscript"/>
              </w:rPr>
            </w:pPr>
          </w:p>
        </w:tc>
        <w:tc>
          <w:tcPr>
            <w:tcW w:w="935" w:type="pct"/>
            <w:shd w:val="clear" w:color="auto" w:fill="auto"/>
          </w:tcPr>
          <w:p w:rsidR="00D94485" w:rsidRPr="00B903AA" w:rsidRDefault="00D94485" w:rsidP="00B725F6">
            <w:pPr>
              <w:pStyle w:val="TableBodyText"/>
              <w:jc w:val="left"/>
            </w:pPr>
            <w:r>
              <w:t>Private</w:t>
            </w:r>
            <w:r w:rsidRPr="00B903AA">
              <w:t xml:space="preserve"> hospitals</w:t>
            </w:r>
          </w:p>
        </w:tc>
        <w:tc>
          <w:tcPr>
            <w:tcW w:w="432" w:type="pct"/>
            <w:shd w:val="clear" w:color="auto" w:fill="auto"/>
            <w:vAlign w:val="center"/>
          </w:tcPr>
          <w:p w:rsidR="00D94485" w:rsidRPr="005E1D0D" w:rsidRDefault="00D94485" w:rsidP="005E1D0D">
            <w:pPr>
              <w:pStyle w:val="TableBodyText"/>
            </w:pPr>
            <w:r w:rsidRPr="005E1D0D">
              <w:t xml:space="preserve">  35.5</w:t>
            </w:r>
          </w:p>
        </w:tc>
        <w:tc>
          <w:tcPr>
            <w:tcW w:w="433" w:type="pct"/>
            <w:shd w:val="clear" w:color="auto" w:fill="auto"/>
            <w:vAlign w:val="center"/>
          </w:tcPr>
          <w:p w:rsidR="00D94485" w:rsidRPr="005E1D0D" w:rsidRDefault="00D94485" w:rsidP="005E1D0D">
            <w:pPr>
              <w:pStyle w:val="TableBodyText"/>
            </w:pPr>
            <w:r w:rsidRPr="005E1D0D">
              <w:t xml:space="preserve">  34.5</w:t>
            </w:r>
          </w:p>
        </w:tc>
        <w:tc>
          <w:tcPr>
            <w:tcW w:w="430" w:type="pct"/>
            <w:shd w:val="clear" w:color="auto" w:fill="auto"/>
            <w:vAlign w:val="center"/>
          </w:tcPr>
          <w:p w:rsidR="00D94485" w:rsidRPr="005E1D0D" w:rsidRDefault="00D94485" w:rsidP="005E1D0D">
            <w:pPr>
              <w:pStyle w:val="TableBodyText"/>
            </w:pPr>
            <w:r w:rsidRPr="005E1D0D">
              <w:t xml:space="preserve">  33.8</w:t>
            </w:r>
          </w:p>
        </w:tc>
        <w:tc>
          <w:tcPr>
            <w:tcW w:w="433" w:type="pct"/>
            <w:shd w:val="clear" w:color="auto" w:fill="auto"/>
            <w:vAlign w:val="center"/>
          </w:tcPr>
          <w:p w:rsidR="00D94485" w:rsidRPr="005E1D0D" w:rsidRDefault="00D94485" w:rsidP="005E1D0D">
            <w:pPr>
              <w:pStyle w:val="TableBodyText"/>
            </w:pPr>
            <w:r w:rsidRPr="005E1D0D">
              <w:t xml:space="preserve">  42.3</w:t>
            </w:r>
          </w:p>
        </w:tc>
        <w:tc>
          <w:tcPr>
            <w:tcW w:w="432" w:type="pct"/>
            <w:shd w:val="clear" w:color="auto" w:fill="auto"/>
            <w:vAlign w:val="center"/>
          </w:tcPr>
          <w:p w:rsidR="00D94485" w:rsidRPr="005E1D0D" w:rsidRDefault="00D94485" w:rsidP="005E1D0D">
            <w:pPr>
              <w:pStyle w:val="TableBodyText"/>
            </w:pPr>
            <w:r w:rsidRPr="005E1D0D">
              <w:t xml:space="preserve">  44.3</w:t>
            </w:r>
          </w:p>
        </w:tc>
        <w:tc>
          <w:tcPr>
            <w:tcW w:w="435" w:type="pct"/>
            <w:shd w:val="clear" w:color="auto" w:fill="auto"/>
            <w:vAlign w:val="center"/>
          </w:tcPr>
          <w:p w:rsidR="00D94485" w:rsidRPr="005E1D0D" w:rsidRDefault="00D94485" w:rsidP="005E1D0D">
            <w:pPr>
              <w:pStyle w:val="TableBodyText"/>
            </w:pPr>
            <w:proofErr w:type="spellStart"/>
            <w:r w:rsidRPr="005E1D0D">
              <w:t>na</w:t>
            </w:r>
            <w:proofErr w:type="spellEnd"/>
          </w:p>
        </w:tc>
        <w:tc>
          <w:tcPr>
            <w:tcW w:w="433" w:type="pct"/>
            <w:shd w:val="clear" w:color="auto" w:fill="auto"/>
            <w:vAlign w:val="center"/>
          </w:tcPr>
          <w:p w:rsidR="00D94485" w:rsidRPr="005E1D0D" w:rsidRDefault="00D94485" w:rsidP="005E1D0D">
            <w:pPr>
              <w:pStyle w:val="TableBodyText"/>
            </w:pPr>
            <w:r w:rsidRPr="005E1D0D">
              <w:t xml:space="preserve">  25.9</w:t>
            </w:r>
          </w:p>
        </w:tc>
        <w:tc>
          <w:tcPr>
            <w:tcW w:w="433" w:type="pct"/>
            <w:shd w:val="clear" w:color="auto" w:fill="auto"/>
            <w:vAlign w:val="center"/>
          </w:tcPr>
          <w:p w:rsidR="00D94485" w:rsidRPr="005E1D0D" w:rsidRDefault="00D94485" w:rsidP="005E1D0D">
            <w:pPr>
              <w:pStyle w:val="TableBodyText"/>
            </w:pPr>
            <w:proofErr w:type="spellStart"/>
            <w:r w:rsidRPr="005E1D0D">
              <w:t>np</w:t>
            </w:r>
            <w:proofErr w:type="spellEnd"/>
          </w:p>
        </w:tc>
        <w:tc>
          <w:tcPr>
            <w:tcW w:w="438" w:type="pct"/>
            <w:gridSpan w:val="2"/>
            <w:shd w:val="clear" w:color="auto" w:fill="auto"/>
            <w:vAlign w:val="center"/>
          </w:tcPr>
          <w:p w:rsidR="00D94485" w:rsidRPr="005E1D0D" w:rsidRDefault="00D94485" w:rsidP="005E1D0D">
            <w:pPr>
              <w:pStyle w:val="TableBodyText"/>
            </w:pPr>
            <w:r w:rsidRPr="005E1D0D">
              <w:t xml:space="preserve">  36.4</w:t>
            </w:r>
          </w:p>
        </w:tc>
      </w:tr>
      <w:tr w:rsidR="00D94485" w:rsidRPr="00B817EA" w:rsidTr="005E5A40">
        <w:trPr>
          <w:trHeight w:val="273"/>
        </w:trPr>
        <w:tc>
          <w:tcPr>
            <w:tcW w:w="5000" w:type="pct"/>
            <w:gridSpan w:val="12"/>
            <w:shd w:val="clear" w:color="auto" w:fill="auto"/>
          </w:tcPr>
          <w:p w:rsidR="00D94485" w:rsidRPr="00B817EA" w:rsidRDefault="00D94485" w:rsidP="0038088D">
            <w:pPr>
              <w:pStyle w:val="TableColumnHeading"/>
              <w:jc w:val="left"/>
            </w:pPr>
            <w:r w:rsidRPr="00D94485">
              <w:t>Instrumental vaginal births</w:t>
            </w:r>
            <w:r>
              <w:t xml:space="preserve">, </w:t>
            </w:r>
            <w:r w:rsidRPr="00AF4D68">
              <w:t>2011</w:t>
            </w:r>
            <w:r w:rsidRPr="00B20E15">
              <w:br/>
            </w:r>
            <w:r w:rsidR="0038088D" w:rsidRPr="0038088D">
              <w:rPr>
                <w:i w:val="0"/>
                <w:sz w:val="16"/>
                <w:szCs w:val="16"/>
              </w:rPr>
              <w:t xml:space="preserve">Most recent data for this indicator not complete </w:t>
            </w:r>
            <w:r w:rsidR="0038088D">
              <w:rPr>
                <w:i w:val="0"/>
                <w:sz w:val="16"/>
                <w:szCs w:val="16"/>
              </w:rPr>
              <w:t>but are</w:t>
            </w:r>
            <w:r w:rsidR="0038088D" w:rsidRPr="0038088D">
              <w:rPr>
                <w:i w:val="0"/>
                <w:sz w:val="16"/>
                <w:szCs w:val="16"/>
              </w:rPr>
              <w:t xml:space="preserve"> comparable </w:t>
            </w:r>
            <w:r w:rsidRPr="00B903AA">
              <w:rPr>
                <w:i w:val="0"/>
                <w:sz w:val="16"/>
                <w:szCs w:val="16"/>
              </w:rPr>
              <w:t>(chapter 10)</w:t>
            </w:r>
          </w:p>
        </w:tc>
      </w:tr>
      <w:tr w:rsidR="006025FA" w:rsidRPr="00B817EA" w:rsidTr="00AF4D68">
        <w:tc>
          <w:tcPr>
            <w:tcW w:w="166" w:type="pct"/>
            <w:shd w:val="clear" w:color="auto" w:fill="auto"/>
          </w:tcPr>
          <w:p w:rsidR="006025FA" w:rsidRPr="005825CD" w:rsidRDefault="006025FA" w:rsidP="00D94485">
            <w:pPr>
              <w:pStyle w:val="TableBodyText"/>
              <w:jc w:val="left"/>
              <w:rPr>
                <w:vertAlign w:val="superscript"/>
              </w:rPr>
            </w:pPr>
          </w:p>
        </w:tc>
        <w:tc>
          <w:tcPr>
            <w:tcW w:w="935" w:type="pct"/>
            <w:shd w:val="clear" w:color="auto" w:fill="auto"/>
          </w:tcPr>
          <w:p w:rsidR="006025FA" w:rsidRPr="00B903AA" w:rsidRDefault="006025FA" w:rsidP="00D94485">
            <w:pPr>
              <w:pStyle w:val="TableBodyText"/>
              <w:jc w:val="left"/>
            </w:pPr>
            <w:r>
              <w:t>%</w:t>
            </w:r>
          </w:p>
        </w:tc>
        <w:tc>
          <w:tcPr>
            <w:tcW w:w="432" w:type="pct"/>
            <w:shd w:val="clear" w:color="auto" w:fill="auto"/>
            <w:vAlign w:val="center"/>
          </w:tcPr>
          <w:p w:rsidR="006025FA" w:rsidRPr="005E1D0D" w:rsidRDefault="006025FA" w:rsidP="005E1D0D">
            <w:pPr>
              <w:pStyle w:val="TableBodyText"/>
            </w:pPr>
            <w:r w:rsidRPr="005E1D0D">
              <w:t xml:space="preserve">  23.2</w:t>
            </w:r>
          </w:p>
        </w:tc>
        <w:tc>
          <w:tcPr>
            <w:tcW w:w="433" w:type="pct"/>
            <w:shd w:val="clear" w:color="auto" w:fill="auto"/>
            <w:vAlign w:val="center"/>
          </w:tcPr>
          <w:p w:rsidR="006025FA" w:rsidRPr="005E1D0D" w:rsidRDefault="006025FA" w:rsidP="005E1D0D">
            <w:pPr>
              <w:pStyle w:val="TableBodyText"/>
            </w:pPr>
            <w:r w:rsidRPr="005E1D0D">
              <w:t xml:space="preserve">  27.6</w:t>
            </w:r>
          </w:p>
        </w:tc>
        <w:tc>
          <w:tcPr>
            <w:tcW w:w="430" w:type="pct"/>
            <w:shd w:val="clear" w:color="auto" w:fill="auto"/>
            <w:vAlign w:val="center"/>
          </w:tcPr>
          <w:p w:rsidR="006025FA" w:rsidRPr="005E1D0D" w:rsidRDefault="006025FA" w:rsidP="005E1D0D">
            <w:pPr>
              <w:pStyle w:val="TableBodyText"/>
            </w:pPr>
            <w:r w:rsidRPr="005E1D0D">
              <w:t xml:space="preserve">  21.2</w:t>
            </w:r>
          </w:p>
        </w:tc>
        <w:tc>
          <w:tcPr>
            <w:tcW w:w="433" w:type="pct"/>
            <w:shd w:val="clear" w:color="auto" w:fill="auto"/>
            <w:vAlign w:val="center"/>
          </w:tcPr>
          <w:p w:rsidR="006025FA" w:rsidRPr="005E1D0D" w:rsidRDefault="006025FA" w:rsidP="005E1D0D">
            <w:pPr>
              <w:pStyle w:val="TableBodyText"/>
            </w:pPr>
            <w:r w:rsidRPr="005E1D0D">
              <w:t xml:space="preserve">  29.9</w:t>
            </w:r>
          </w:p>
        </w:tc>
        <w:tc>
          <w:tcPr>
            <w:tcW w:w="432" w:type="pct"/>
            <w:shd w:val="clear" w:color="auto" w:fill="auto"/>
            <w:vAlign w:val="center"/>
          </w:tcPr>
          <w:p w:rsidR="006025FA" w:rsidRPr="005E1D0D" w:rsidRDefault="006025FA" w:rsidP="005E1D0D">
            <w:pPr>
              <w:pStyle w:val="TableBodyText"/>
            </w:pPr>
            <w:r w:rsidRPr="005E1D0D">
              <w:t xml:space="preserve">  24.0</w:t>
            </w:r>
          </w:p>
        </w:tc>
        <w:tc>
          <w:tcPr>
            <w:tcW w:w="435" w:type="pct"/>
            <w:shd w:val="clear" w:color="auto" w:fill="auto"/>
            <w:vAlign w:val="center"/>
          </w:tcPr>
          <w:p w:rsidR="006025FA" w:rsidRPr="005E1D0D" w:rsidRDefault="006025FA" w:rsidP="005E1D0D">
            <w:pPr>
              <w:pStyle w:val="TableBodyText"/>
            </w:pPr>
            <w:r w:rsidRPr="005E1D0D">
              <w:t xml:space="preserve">  29.2</w:t>
            </w:r>
          </w:p>
        </w:tc>
        <w:tc>
          <w:tcPr>
            <w:tcW w:w="433" w:type="pct"/>
            <w:shd w:val="clear" w:color="auto" w:fill="auto"/>
            <w:vAlign w:val="center"/>
          </w:tcPr>
          <w:p w:rsidR="006025FA" w:rsidRPr="005E1D0D" w:rsidRDefault="006025FA" w:rsidP="005E1D0D">
            <w:pPr>
              <w:pStyle w:val="TableBodyText"/>
            </w:pPr>
            <w:r w:rsidRPr="005E1D0D">
              <w:t xml:space="preserve">  26.6</w:t>
            </w:r>
          </w:p>
        </w:tc>
        <w:tc>
          <w:tcPr>
            <w:tcW w:w="433" w:type="pct"/>
            <w:shd w:val="clear" w:color="auto" w:fill="auto"/>
            <w:vAlign w:val="center"/>
          </w:tcPr>
          <w:p w:rsidR="006025FA" w:rsidRPr="005E1D0D" w:rsidRDefault="006025FA" w:rsidP="005E1D0D">
            <w:pPr>
              <w:pStyle w:val="TableBodyText"/>
            </w:pPr>
            <w:r w:rsidRPr="005E1D0D">
              <w:t xml:space="preserve">  18.9</w:t>
            </w:r>
          </w:p>
        </w:tc>
        <w:tc>
          <w:tcPr>
            <w:tcW w:w="438" w:type="pct"/>
            <w:gridSpan w:val="2"/>
            <w:shd w:val="clear" w:color="auto" w:fill="auto"/>
            <w:vAlign w:val="center"/>
          </w:tcPr>
          <w:p w:rsidR="006025FA" w:rsidRPr="005E1D0D" w:rsidRDefault="006025FA" w:rsidP="005E1D0D">
            <w:pPr>
              <w:pStyle w:val="TableBodyText"/>
            </w:pPr>
            <w:r w:rsidRPr="005E1D0D">
              <w:t xml:space="preserve">  24.8</w:t>
            </w:r>
          </w:p>
        </w:tc>
      </w:tr>
      <w:tr w:rsidR="006025FA" w:rsidRPr="00B817EA" w:rsidTr="00D94485">
        <w:trPr>
          <w:trHeight w:val="273"/>
        </w:trPr>
        <w:tc>
          <w:tcPr>
            <w:tcW w:w="5000" w:type="pct"/>
            <w:gridSpan w:val="12"/>
            <w:shd w:val="clear" w:color="auto" w:fill="auto"/>
          </w:tcPr>
          <w:p w:rsidR="006025FA" w:rsidRPr="00B817EA" w:rsidRDefault="006025FA" w:rsidP="0038088D">
            <w:pPr>
              <w:pStyle w:val="TableColumnHeading"/>
              <w:jc w:val="left"/>
            </w:pPr>
            <w:r>
              <w:t xml:space="preserve">Vaginal birth following a </w:t>
            </w:r>
            <w:r w:rsidRPr="00E940A1">
              <w:t>previous caesarean</w:t>
            </w:r>
            <w:r>
              <w:t xml:space="preserve">, </w:t>
            </w:r>
            <w:r w:rsidRPr="00AF4D68">
              <w:t>2011</w:t>
            </w:r>
            <w:r w:rsidRPr="00B20E15">
              <w:br/>
            </w:r>
            <w:r w:rsidR="0038088D" w:rsidRPr="00AF4D68">
              <w:rPr>
                <w:i w:val="0"/>
                <w:sz w:val="16"/>
                <w:szCs w:val="16"/>
              </w:rPr>
              <w:t xml:space="preserve">Most recent data for this indicator are complete and comparable </w:t>
            </w:r>
            <w:r w:rsidRPr="00AF4D68">
              <w:rPr>
                <w:i w:val="0"/>
                <w:sz w:val="16"/>
                <w:szCs w:val="16"/>
              </w:rPr>
              <w:t>(chapter 10)</w:t>
            </w:r>
          </w:p>
        </w:tc>
      </w:tr>
      <w:tr w:rsidR="006025FA" w:rsidRPr="00B817EA" w:rsidTr="00AF4D68">
        <w:tc>
          <w:tcPr>
            <w:tcW w:w="166" w:type="pct"/>
            <w:shd w:val="clear" w:color="auto" w:fill="auto"/>
          </w:tcPr>
          <w:p w:rsidR="006025FA" w:rsidRPr="005825CD" w:rsidRDefault="006025FA" w:rsidP="00B725F6">
            <w:pPr>
              <w:pStyle w:val="TableBodyText"/>
              <w:jc w:val="left"/>
              <w:rPr>
                <w:vertAlign w:val="superscript"/>
              </w:rPr>
            </w:pPr>
          </w:p>
        </w:tc>
        <w:tc>
          <w:tcPr>
            <w:tcW w:w="935" w:type="pct"/>
            <w:shd w:val="clear" w:color="auto" w:fill="auto"/>
          </w:tcPr>
          <w:p w:rsidR="006025FA" w:rsidRPr="00B903AA" w:rsidRDefault="006025FA" w:rsidP="00B725F6">
            <w:pPr>
              <w:pStyle w:val="TableBodyText"/>
              <w:jc w:val="left"/>
            </w:pPr>
            <w:r>
              <w:t>Non-instrumental</w:t>
            </w:r>
          </w:p>
        </w:tc>
        <w:tc>
          <w:tcPr>
            <w:tcW w:w="432" w:type="pct"/>
            <w:shd w:val="clear" w:color="auto" w:fill="auto"/>
            <w:vAlign w:val="center"/>
          </w:tcPr>
          <w:p w:rsidR="006025FA" w:rsidRPr="005E1D0D" w:rsidRDefault="006025FA" w:rsidP="005E1D0D">
            <w:pPr>
              <w:pStyle w:val="TableBodyText"/>
            </w:pPr>
            <w:r w:rsidRPr="005E1D0D">
              <w:t xml:space="preserve">  12.9</w:t>
            </w:r>
          </w:p>
        </w:tc>
        <w:tc>
          <w:tcPr>
            <w:tcW w:w="433" w:type="pct"/>
            <w:shd w:val="clear" w:color="auto" w:fill="auto"/>
            <w:vAlign w:val="center"/>
          </w:tcPr>
          <w:p w:rsidR="006025FA" w:rsidRPr="005E1D0D" w:rsidRDefault="006025FA" w:rsidP="005E1D0D">
            <w:pPr>
              <w:pStyle w:val="TableBodyText"/>
            </w:pPr>
            <w:r w:rsidRPr="005E1D0D">
              <w:t xml:space="preserve">  12.3</w:t>
            </w:r>
          </w:p>
        </w:tc>
        <w:tc>
          <w:tcPr>
            <w:tcW w:w="430" w:type="pct"/>
            <w:shd w:val="clear" w:color="auto" w:fill="auto"/>
            <w:vAlign w:val="center"/>
          </w:tcPr>
          <w:p w:rsidR="006025FA" w:rsidRPr="005E1D0D" w:rsidRDefault="006025FA" w:rsidP="005E1D0D">
            <w:pPr>
              <w:pStyle w:val="TableBodyText"/>
            </w:pPr>
            <w:r w:rsidRPr="005E1D0D">
              <w:t xml:space="preserve">  12.2</w:t>
            </w:r>
          </w:p>
        </w:tc>
        <w:tc>
          <w:tcPr>
            <w:tcW w:w="433" w:type="pct"/>
            <w:shd w:val="clear" w:color="auto" w:fill="auto"/>
            <w:vAlign w:val="center"/>
          </w:tcPr>
          <w:p w:rsidR="006025FA" w:rsidRPr="005E1D0D" w:rsidRDefault="006025FA" w:rsidP="005E1D0D">
            <w:pPr>
              <w:pStyle w:val="TableBodyText"/>
            </w:pPr>
            <w:r w:rsidRPr="005E1D0D">
              <w:t xml:space="preserve">  9.5</w:t>
            </w:r>
          </w:p>
        </w:tc>
        <w:tc>
          <w:tcPr>
            <w:tcW w:w="432" w:type="pct"/>
            <w:shd w:val="clear" w:color="auto" w:fill="auto"/>
            <w:vAlign w:val="center"/>
          </w:tcPr>
          <w:p w:rsidR="006025FA" w:rsidRPr="005E1D0D" w:rsidRDefault="006025FA" w:rsidP="005E1D0D">
            <w:pPr>
              <w:pStyle w:val="TableBodyText"/>
            </w:pPr>
            <w:r w:rsidRPr="005E1D0D">
              <w:t xml:space="preserve">  13.1</w:t>
            </w:r>
          </w:p>
        </w:tc>
        <w:tc>
          <w:tcPr>
            <w:tcW w:w="435" w:type="pct"/>
            <w:shd w:val="clear" w:color="auto" w:fill="auto"/>
            <w:vAlign w:val="center"/>
          </w:tcPr>
          <w:p w:rsidR="006025FA" w:rsidRPr="005E1D0D" w:rsidRDefault="006025FA" w:rsidP="005E1D0D">
            <w:pPr>
              <w:pStyle w:val="TableBodyText"/>
            </w:pPr>
            <w:r w:rsidRPr="005E1D0D">
              <w:t xml:space="preserve">  13.9</w:t>
            </w:r>
          </w:p>
        </w:tc>
        <w:tc>
          <w:tcPr>
            <w:tcW w:w="433" w:type="pct"/>
            <w:shd w:val="clear" w:color="auto" w:fill="auto"/>
            <w:vAlign w:val="center"/>
          </w:tcPr>
          <w:p w:rsidR="006025FA" w:rsidRPr="005E1D0D" w:rsidRDefault="006025FA" w:rsidP="005E1D0D">
            <w:pPr>
              <w:pStyle w:val="TableBodyText"/>
            </w:pPr>
            <w:r w:rsidRPr="005E1D0D">
              <w:t xml:space="preserve">  11.5</w:t>
            </w:r>
          </w:p>
        </w:tc>
        <w:tc>
          <w:tcPr>
            <w:tcW w:w="433" w:type="pct"/>
            <w:shd w:val="clear" w:color="auto" w:fill="auto"/>
            <w:vAlign w:val="center"/>
          </w:tcPr>
          <w:p w:rsidR="006025FA" w:rsidRPr="005E1D0D" w:rsidRDefault="006025FA" w:rsidP="005E1D0D">
            <w:pPr>
              <w:pStyle w:val="TableBodyText"/>
            </w:pPr>
            <w:r w:rsidRPr="005E1D0D">
              <w:t xml:space="preserve">  18.3</w:t>
            </w:r>
          </w:p>
        </w:tc>
        <w:tc>
          <w:tcPr>
            <w:tcW w:w="438" w:type="pct"/>
            <w:gridSpan w:val="2"/>
            <w:shd w:val="clear" w:color="auto" w:fill="auto"/>
            <w:vAlign w:val="center"/>
          </w:tcPr>
          <w:p w:rsidR="006025FA" w:rsidRPr="005E1D0D" w:rsidRDefault="006025FA" w:rsidP="005E1D0D">
            <w:pPr>
              <w:pStyle w:val="TableBodyText"/>
            </w:pPr>
            <w:r w:rsidRPr="005E1D0D">
              <w:t xml:space="preserve">  12.3</w:t>
            </w:r>
          </w:p>
        </w:tc>
      </w:tr>
      <w:tr w:rsidR="006025FA" w:rsidRPr="00B817EA" w:rsidTr="00AF4D68">
        <w:trPr>
          <w:trHeight w:val="106"/>
        </w:trPr>
        <w:tc>
          <w:tcPr>
            <w:tcW w:w="166" w:type="pct"/>
            <w:shd w:val="clear" w:color="auto" w:fill="auto"/>
          </w:tcPr>
          <w:p w:rsidR="006025FA" w:rsidRPr="005825CD" w:rsidRDefault="006025FA" w:rsidP="00B725F6">
            <w:pPr>
              <w:pStyle w:val="TableBodyText"/>
              <w:jc w:val="left"/>
              <w:rPr>
                <w:vertAlign w:val="superscript"/>
              </w:rPr>
            </w:pPr>
          </w:p>
        </w:tc>
        <w:tc>
          <w:tcPr>
            <w:tcW w:w="935" w:type="pct"/>
            <w:shd w:val="clear" w:color="auto" w:fill="auto"/>
          </w:tcPr>
          <w:p w:rsidR="006025FA" w:rsidRPr="00B903AA" w:rsidRDefault="006025FA" w:rsidP="00B725F6">
            <w:pPr>
              <w:pStyle w:val="TableBodyText"/>
              <w:jc w:val="left"/>
            </w:pPr>
            <w:r>
              <w:t>Instrumental</w:t>
            </w:r>
          </w:p>
        </w:tc>
        <w:tc>
          <w:tcPr>
            <w:tcW w:w="432" w:type="pct"/>
            <w:shd w:val="clear" w:color="auto" w:fill="auto"/>
            <w:vAlign w:val="center"/>
          </w:tcPr>
          <w:p w:rsidR="006025FA" w:rsidRPr="005E1D0D" w:rsidRDefault="006025FA" w:rsidP="005E1D0D">
            <w:pPr>
              <w:pStyle w:val="TableBodyText"/>
            </w:pPr>
            <w:r w:rsidRPr="005E1D0D">
              <w:t xml:space="preserve">  3.6</w:t>
            </w:r>
          </w:p>
        </w:tc>
        <w:tc>
          <w:tcPr>
            <w:tcW w:w="433" w:type="pct"/>
            <w:shd w:val="clear" w:color="auto" w:fill="auto"/>
            <w:vAlign w:val="center"/>
          </w:tcPr>
          <w:p w:rsidR="006025FA" w:rsidRPr="005E1D0D" w:rsidRDefault="006025FA" w:rsidP="005E1D0D">
            <w:pPr>
              <w:pStyle w:val="TableBodyText"/>
            </w:pPr>
            <w:r w:rsidRPr="005E1D0D">
              <w:t xml:space="preserve">  3.9</w:t>
            </w:r>
          </w:p>
        </w:tc>
        <w:tc>
          <w:tcPr>
            <w:tcW w:w="430" w:type="pct"/>
            <w:shd w:val="clear" w:color="auto" w:fill="auto"/>
            <w:vAlign w:val="center"/>
          </w:tcPr>
          <w:p w:rsidR="006025FA" w:rsidRPr="005E1D0D" w:rsidRDefault="006025FA" w:rsidP="005E1D0D">
            <w:pPr>
              <w:pStyle w:val="TableBodyText"/>
            </w:pPr>
            <w:r w:rsidRPr="005E1D0D">
              <w:t xml:space="preserve">  2.6</w:t>
            </w:r>
          </w:p>
        </w:tc>
        <w:tc>
          <w:tcPr>
            <w:tcW w:w="433" w:type="pct"/>
            <w:shd w:val="clear" w:color="auto" w:fill="auto"/>
            <w:vAlign w:val="center"/>
          </w:tcPr>
          <w:p w:rsidR="006025FA" w:rsidRPr="005E1D0D" w:rsidRDefault="006025FA" w:rsidP="005E1D0D">
            <w:pPr>
              <w:pStyle w:val="TableBodyText"/>
            </w:pPr>
            <w:r w:rsidRPr="005E1D0D">
              <w:t xml:space="preserve">  3.7</w:t>
            </w:r>
          </w:p>
        </w:tc>
        <w:tc>
          <w:tcPr>
            <w:tcW w:w="432" w:type="pct"/>
            <w:shd w:val="clear" w:color="auto" w:fill="auto"/>
            <w:vAlign w:val="center"/>
          </w:tcPr>
          <w:p w:rsidR="006025FA" w:rsidRPr="005E1D0D" w:rsidRDefault="006025FA" w:rsidP="005E1D0D">
            <w:pPr>
              <w:pStyle w:val="TableBodyText"/>
            </w:pPr>
            <w:r w:rsidRPr="005E1D0D">
              <w:t xml:space="preserve">  4.2</w:t>
            </w:r>
          </w:p>
        </w:tc>
        <w:tc>
          <w:tcPr>
            <w:tcW w:w="435" w:type="pct"/>
            <w:shd w:val="clear" w:color="auto" w:fill="auto"/>
            <w:vAlign w:val="center"/>
          </w:tcPr>
          <w:p w:rsidR="006025FA" w:rsidRPr="005E1D0D" w:rsidRDefault="006025FA" w:rsidP="005E1D0D">
            <w:pPr>
              <w:pStyle w:val="TableBodyText"/>
            </w:pPr>
            <w:r w:rsidRPr="005E1D0D">
              <w:t xml:space="preserve">  4.0</w:t>
            </w:r>
          </w:p>
        </w:tc>
        <w:tc>
          <w:tcPr>
            <w:tcW w:w="433" w:type="pct"/>
            <w:shd w:val="clear" w:color="auto" w:fill="auto"/>
            <w:vAlign w:val="center"/>
          </w:tcPr>
          <w:p w:rsidR="006025FA" w:rsidRPr="005E1D0D" w:rsidRDefault="006025FA" w:rsidP="005E1D0D">
            <w:pPr>
              <w:pStyle w:val="TableBodyText"/>
            </w:pPr>
            <w:r w:rsidRPr="005E1D0D">
              <w:t xml:space="preserve">  4.8</w:t>
            </w:r>
          </w:p>
        </w:tc>
        <w:tc>
          <w:tcPr>
            <w:tcW w:w="433" w:type="pct"/>
            <w:shd w:val="clear" w:color="auto" w:fill="auto"/>
            <w:vAlign w:val="center"/>
          </w:tcPr>
          <w:p w:rsidR="006025FA" w:rsidRPr="005E1D0D" w:rsidRDefault="006025FA" w:rsidP="005E1D0D">
            <w:pPr>
              <w:pStyle w:val="TableBodyText"/>
            </w:pPr>
            <w:r w:rsidRPr="005E1D0D">
              <w:t xml:space="preserve">  3.0</w:t>
            </w:r>
          </w:p>
        </w:tc>
        <w:tc>
          <w:tcPr>
            <w:tcW w:w="438" w:type="pct"/>
            <w:gridSpan w:val="2"/>
            <w:shd w:val="clear" w:color="auto" w:fill="auto"/>
            <w:vAlign w:val="center"/>
          </w:tcPr>
          <w:p w:rsidR="006025FA" w:rsidRPr="005E1D0D" w:rsidRDefault="006025FA" w:rsidP="005E1D0D">
            <w:pPr>
              <w:pStyle w:val="TableBodyText"/>
            </w:pPr>
            <w:r w:rsidRPr="005E1D0D">
              <w:t xml:space="preserve">  3.5</w:t>
            </w:r>
          </w:p>
        </w:tc>
      </w:tr>
      <w:tr w:rsidR="006025FA" w:rsidRPr="005825CD" w:rsidTr="00EB42A8">
        <w:trPr>
          <w:trHeight w:val="177"/>
        </w:trPr>
        <w:tc>
          <w:tcPr>
            <w:tcW w:w="5000" w:type="pct"/>
            <w:gridSpan w:val="12"/>
            <w:shd w:val="clear" w:color="auto" w:fill="auto"/>
          </w:tcPr>
          <w:p w:rsidR="006025FA" w:rsidRPr="00C804F5" w:rsidRDefault="006025FA" w:rsidP="006025FA">
            <w:pPr>
              <w:pStyle w:val="Source"/>
            </w:pPr>
            <w:r w:rsidRPr="00B5543B">
              <w:t xml:space="preserve">Source: </w:t>
            </w:r>
            <w:r w:rsidRPr="00AF4D68">
              <w:t xml:space="preserve">tables </w:t>
            </w:r>
            <w:proofErr w:type="spellStart"/>
            <w:r w:rsidRPr="00AF4D68">
              <w:t>10A.97</w:t>
            </w:r>
            <w:proofErr w:type="spellEnd"/>
            <w:r w:rsidRPr="00AF4D68">
              <w:t>–</w:t>
            </w:r>
            <w:proofErr w:type="spellStart"/>
            <w:r w:rsidRPr="00AF4D68">
              <w:t>10A.107</w:t>
            </w:r>
            <w:proofErr w:type="spellEnd"/>
            <w:r>
              <w:t>.</w:t>
            </w:r>
            <w:r w:rsidRPr="005825CD">
              <w:t xml:space="preserve"> </w:t>
            </w:r>
          </w:p>
        </w:tc>
      </w:tr>
      <w:tr w:rsidR="006025FA" w:rsidRPr="001E0D4D" w:rsidTr="00EB42A8">
        <w:trPr>
          <w:trHeight w:val="273"/>
        </w:trPr>
        <w:tc>
          <w:tcPr>
            <w:tcW w:w="5000" w:type="pct"/>
            <w:gridSpan w:val="12"/>
            <w:shd w:val="clear" w:color="auto" w:fill="auto"/>
          </w:tcPr>
          <w:p w:rsidR="006025FA" w:rsidRPr="001E0D4D" w:rsidRDefault="006025FA" w:rsidP="00116E8F">
            <w:pPr>
              <w:pStyle w:val="TableColumnHeading"/>
              <w:jc w:val="left"/>
              <w:rPr>
                <w:b/>
                <w:i w:val="0"/>
              </w:rPr>
            </w:pPr>
            <w:r w:rsidRPr="001E0D4D">
              <w:rPr>
                <w:b/>
                <w:i w:val="0"/>
              </w:rPr>
              <w:t>Effectiveness — Quality — Safety indicators</w:t>
            </w:r>
          </w:p>
        </w:tc>
      </w:tr>
      <w:tr w:rsidR="006025FA" w:rsidRPr="00B817EA" w:rsidTr="00EB42A8">
        <w:trPr>
          <w:trHeight w:val="273"/>
        </w:trPr>
        <w:tc>
          <w:tcPr>
            <w:tcW w:w="5000" w:type="pct"/>
            <w:gridSpan w:val="12"/>
            <w:shd w:val="clear" w:color="auto" w:fill="auto"/>
          </w:tcPr>
          <w:p w:rsidR="006025FA" w:rsidRPr="00E940A1" w:rsidRDefault="006025FA" w:rsidP="006025FA">
            <w:pPr>
              <w:pStyle w:val="TableColumnHeading"/>
              <w:jc w:val="left"/>
              <w:rPr>
                <w:b/>
              </w:rPr>
            </w:pPr>
            <w:proofErr w:type="spellStart"/>
            <w:r w:rsidRPr="00E940A1">
              <w:t>Perineal</w:t>
            </w:r>
            <w:proofErr w:type="spellEnd"/>
            <w:r w:rsidRPr="00E940A1">
              <w:t xml:space="preserve"> status after vaginal birth</w:t>
            </w:r>
            <w:r>
              <w:t xml:space="preserve"> — Mothers with third or fourth degree lacerations after vaginal births, </w:t>
            </w:r>
            <w:r w:rsidRPr="00AF4D68">
              <w:t>2011</w:t>
            </w:r>
            <w:r w:rsidRPr="00E940A1">
              <w:rPr>
                <w:b/>
              </w:rPr>
              <w:br/>
            </w:r>
            <w:r w:rsidR="0038088D" w:rsidRPr="00AF4D68">
              <w:rPr>
                <w:i w:val="0"/>
                <w:sz w:val="16"/>
                <w:szCs w:val="16"/>
              </w:rPr>
              <w:t xml:space="preserve">Most recent data for this indicator are complete and comparable </w:t>
            </w:r>
            <w:r w:rsidRPr="00AF4D68">
              <w:rPr>
                <w:i w:val="0"/>
                <w:sz w:val="16"/>
                <w:szCs w:val="16"/>
              </w:rPr>
              <w:t>(chapter 10)</w:t>
            </w:r>
          </w:p>
        </w:tc>
      </w:tr>
      <w:tr w:rsidR="006025FA" w:rsidRPr="00B817EA" w:rsidTr="005F1B06">
        <w:tc>
          <w:tcPr>
            <w:tcW w:w="166" w:type="pct"/>
            <w:shd w:val="clear" w:color="auto" w:fill="auto"/>
          </w:tcPr>
          <w:p w:rsidR="006025FA" w:rsidRPr="005825CD" w:rsidRDefault="006025FA" w:rsidP="00B725F6">
            <w:pPr>
              <w:pStyle w:val="TableBodyText"/>
              <w:jc w:val="left"/>
              <w:rPr>
                <w:vertAlign w:val="superscript"/>
              </w:rPr>
            </w:pPr>
          </w:p>
        </w:tc>
        <w:tc>
          <w:tcPr>
            <w:tcW w:w="935" w:type="pct"/>
            <w:shd w:val="clear" w:color="auto" w:fill="auto"/>
          </w:tcPr>
          <w:p w:rsidR="006025FA" w:rsidRPr="00B903AA" w:rsidRDefault="006025FA" w:rsidP="00B725F6">
            <w:pPr>
              <w:pStyle w:val="TableBodyText"/>
              <w:jc w:val="left"/>
            </w:pPr>
            <w:r w:rsidRPr="005825CD">
              <w:t>%</w:t>
            </w:r>
          </w:p>
        </w:tc>
        <w:tc>
          <w:tcPr>
            <w:tcW w:w="432" w:type="pct"/>
            <w:shd w:val="clear" w:color="auto" w:fill="auto"/>
            <w:vAlign w:val="center"/>
          </w:tcPr>
          <w:p w:rsidR="006025FA" w:rsidRPr="005E1D0D" w:rsidRDefault="006025FA" w:rsidP="005E1D0D">
            <w:pPr>
              <w:pStyle w:val="TableBodyText"/>
            </w:pPr>
            <w:r w:rsidRPr="005E1D0D">
              <w:t xml:space="preserve">  2.0</w:t>
            </w:r>
          </w:p>
        </w:tc>
        <w:tc>
          <w:tcPr>
            <w:tcW w:w="433" w:type="pct"/>
            <w:shd w:val="clear" w:color="auto" w:fill="auto"/>
            <w:vAlign w:val="center"/>
          </w:tcPr>
          <w:p w:rsidR="006025FA" w:rsidRPr="005E1D0D" w:rsidRDefault="006025FA" w:rsidP="005E1D0D">
            <w:pPr>
              <w:pStyle w:val="TableBodyText"/>
            </w:pPr>
            <w:r w:rsidRPr="005E1D0D">
              <w:t xml:space="preserve">  1.9</w:t>
            </w:r>
          </w:p>
        </w:tc>
        <w:tc>
          <w:tcPr>
            <w:tcW w:w="430" w:type="pct"/>
            <w:shd w:val="clear" w:color="auto" w:fill="auto"/>
            <w:vAlign w:val="center"/>
          </w:tcPr>
          <w:p w:rsidR="006025FA" w:rsidRPr="005E1D0D" w:rsidRDefault="006025FA" w:rsidP="005E1D0D">
            <w:pPr>
              <w:pStyle w:val="TableBodyText"/>
            </w:pPr>
            <w:r w:rsidRPr="005E1D0D">
              <w:t xml:space="preserve">  1.8</w:t>
            </w:r>
          </w:p>
        </w:tc>
        <w:tc>
          <w:tcPr>
            <w:tcW w:w="433" w:type="pct"/>
            <w:shd w:val="clear" w:color="auto" w:fill="auto"/>
            <w:vAlign w:val="center"/>
          </w:tcPr>
          <w:p w:rsidR="006025FA" w:rsidRPr="005E1D0D" w:rsidRDefault="006025FA" w:rsidP="005E1D0D">
            <w:pPr>
              <w:pStyle w:val="TableBodyText"/>
            </w:pPr>
            <w:r w:rsidRPr="005E1D0D">
              <w:t xml:space="preserve">  2.1</w:t>
            </w:r>
          </w:p>
        </w:tc>
        <w:tc>
          <w:tcPr>
            <w:tcW w:w="432" w:type="pct"/>
            <w:shd w:val="clear" w:color="auto" w:fill="auto"/>
            <w:vAlign w:val="center"/>
          </w:tcPr>
          <w:p w:rsidR="006025FA" w:rsidRPr="005E1D0D" w:rsidRDefault="006025FA" w:rsidP="005E1D0D">
            <w:pPr>
              <w:pStyle w:val="TableBodyText"/>
            </w:pPr>
            <w:r w:rsidRPr="005E1D0D">
              <w:t xml:space="preserve">  2.2</w:t>
            </w:r>
          </w:p>
        </w:tc>
        <w:tc>
          <w:tcPr>
            <w:tcW w:w="435" w:type="pct"/>
            <w:shd w:val="clear" w:color="auto" w:fill="auto"/>
            <w:vAlign w:val="center"/>
          </w:tcPr>
          <w:p w:rsidR="006025FA" w:rsidRPr="005E1D0D" w:rsidRDefault="006025FA" w:rsidP="005E1D0D">
            <w:pPr>
              <w:pStyle w:val="TableBodyText"/>
            </w:pPr>
            <w:r w:rsidRPr="005E1D0D">
              <w:t xml:space="preserve">  1.7</w:t>
            </w:r>
          </w:p>
        </w:tc>
        <w:tc>
          <w:tcPr>
            <w:tcW w:w="433" w:type="pct"/>
            <w:shd w:val="clear" w:color="auto" w:fill="auto"/>
            <w:vAlign w:val="center"/>
          </w:tcPr>
          <w:p w:rsidR="006025FA" w:rsidRPr="005E1D0D" w:rsidRDefault="006025FA" w:rsidP="00C42C21">
            <w:pPr>
              <w:pStyle w:val="TableBodyText"/>
            </w:pPr>
            <w:r w:rsidRPr="005E1D0D">
              <w:t xml:space="preserve">  </w:t>
            </w:r>
            <w:r w:rsidR="00C42C21">
              <w:t>3.6</w:t>
            </w:r>
          </w:p>
        </w:tc>
        <w:tc>
          <w:tcPr>
            <w:tcW w:w="433" w:type="pct"/>
            <w:shd w:val="clear" w:color="auto" w:fill="auto"/>
            <w:vAlign w:val="center"/>
          </w:tcPr>
          <w:p w:rsidR="006025FA" w:rsidRPr="005E1D0D" w:rsidRDefault="006025FA" w:rsidP="005E1D0D">
            <w:pPr>
              <w:pStyle w:val="TableBodyText"/>
            </w:pPr>
            <w:r w:rsidRPr="005E1D0D">
              <w:t xml:space="preserve">  2.9</w:t>
            </w:r>
          </w:p>
        </w:tc>
        <w:tc>
          <w:tcPr>
            <w:tcW w:w="438" w:type="pct"/>
            <w:gridSpan w:val="2"/>
            <w:shd w:val="clear" w:color="auto" w:fill="auto"/>
            <w:vAlign w:val="center"/>
          </w:tcPr>
          <w:p w:rsidR="006025FA" w:rsidRPr="005E1D0D" w:rsidRDefault="006025FA" w:rsidP="005E1D0D">
            <w:pPr>
              <w:pStyle w:val="TableBodyText"/>
            </w:pPr>
            <w:r w:rsidRPr="005E1D0D">
              <w:t xml:space="preserve">  2.0</w:t>
            </w:r>
          </w:p>
        </w:tc>
      </w:tr>
      <w:tr w:rsidR="006025FA" w:rsidRPr="005825CD" w:rsidTr="00EB42A8">
        <w:trPr>
          <w:trHeight w:val="177"/>
        </w:trPr>
        <w:tc>
          <w:tcPr>
            <w:tcW w:w="5000" w:type="pct"/>
            <w:gridSpan w:val="12"/>
            <w:shd w:val="clear" w:color="auto" w:fill="auto"/>
          </w:tcPr>
          <w:p w:rsidR="006025FA" w:rsidRPr="00C804F5" w:rsidRDefault="006025FA" w:rsidP="006025FA">
            <w:pPr>
              <w:pStyle w:val="Source"/>
            </w:pPr>
            <w:r w:rsidRPr="00B5543B">
              <w:t xml:space="preserve">Source: </w:t>
            </w:r>
            <w:r w:rsidRPr="00AF4D68">
              <w:t xml:space="preserve">table </w:t>
            </w:r>
            <w:proofErr w:type="spellStart"/>
            <w:r w:rsidRPr="00AF4D68">
              <w:t>10A.108</w:t>
            </w:r>
            <w:proofErr w:type="spellEnd"/>
            <w:r w:rsidRPr="00AF4D68">
              <w:t>.</w:t>
            </w:r>
            <w:r w:rsidRPr="005825CD">
              <w:t xml:space="preserve"> </w:t>
            </w:r>
          </w:p>
        </w:tc>
      </w:tr>
      <w:tr w:rsidR="006025FA" w:rsidRPr="001E0D4D" w:rsidTr="00EB42A8">
        <w:trPr>
          <w:trHeight w:val="273"/>
        </w:trPr>
        <w:tc>
          <w:tcPr>
            <w:tcW w:w="5000" w:type="pct"/>
            <w:gridSpan w:val="12"/>
            <w:shd w:val="clear" w:color="auto" w:fill="auto"/>
          </w:tcPr>
          <w:p w:rsidR="006025FA" w:rsidRPr="00ED0B2A" w:rsidRDefault="006025FA" w:rsidP="00116E8F">
            <w:pPr>
              <w:pStyle w:val="TableColumnHeading"/>
              <w:jc w:val="left"/>
              <w:rPr>
                <w:b/>
                <w:i w:val="0"/>
              </w:rPr>
            </w:pPr>
            <w:r w:rsidRPr="00ED0B2A">
              <w:rPr>
                <w:b/>
                <w:i w:val="0"/>
              </w:rPr>
              <w:t>Efficiency indicators</w:t>
            </w:r>
          </w:p>
        </w:tc>
      </w:tr>
      <w:tr w:rsidR="006025FA" w:rsidRPr="00B817EA" w:rsidTr="00EB42A8">
        <w:trPr>
          <w:trHeight w:val="273"/>
        </w:trPr>
        <w:tc>
          <w:tcPr>
            <w:tcW w:w="5000" w:type="pct"/>
            <w:gridSpan w:val="12"/>
            <w:shd w:val="clear" w:color="auto" w:fill="auto"/>
          </w:tcPr>
          <w:p w:rsidR="006025FA" w:rsidRPr="00ED0B2A" w:rsidRDefault="006025FA" w:rsidP="00FC17C1">
            <w:pPr>
              <w:pStyle w:val="TableColumnHeading"/>
              <w:jc w:val="left"/>
              <w:rPr>
                <w:b/>
              </w:rPr>
            </w:pPr>
            <w:r w:rsidRPr="00ED0B2A">
              <w:t xml:space="preserve">Cost per maternity separation, without complications, dollars, </w:t>
            </w:r>
            <w:r w:rsidRPr="00AF4D68">
              <w:t>20</w:t>
            </w:r>
            <w:r w:rsidR="00632831" w:rsidRPr="00AF4D68">
              <w:t>10</w:t>
            </w:r>
            <w:r w:rsidRPr="00AF4D68">
              <w:t>-1</w:t>
            </w:r>
            <w:r w:rsidR="00632831" w:rsidRPr="00AF4D68">
              <w:t>1</w:t>
            </w:r>
            <w:r w:rsidRPr="00AF4D68">
              <w:t>,</w:t>
            </w:r>
            <w:r w:rsidRPr="00ED0B2A">
              <w:t xml:space="preserve"> </w:t>
            </w:r>
            <w:r w:rsidRPr="00ED0B2A">
              <w:br/>
            </w:r>
            <w:r w:rsidR="00FC17C1" w:rsidRPr="00AF4D68">
              <w:rPr>
                <w:i w:val="0"/>
                <w:sz w:val="16"/>
                <w:szCs w:val="16"/>
              </w:rPr>
              <w:t xml:space="preserve">Most recent data for this indicator are complete but not directly comparable </w:t>
            </w:r>
            <w:r w:rsidRPr="00AF4D68">
              <w:rPr>
                <w:i w:val="0"/>
                <w:sz w:val="16"/>
                <w:szCs w:val="16"/>
              </w:rPr>
              <w:t>(chapter 10)</w:t>
            </w:r>
          </w:p>
        </w:tc>
      </w:tr>
      <w:tr w:rsidR="00632831" w:rsidRPr="00B817EA" w:rsidTr="00AF4D68">
        <w:tc>
          <w:tcPr>
            <w:tcW w:w="166" w:type="pct"/>
            <w:shd w:val="clear" w:color="auto" w:fill="auto"/>
          </w:tcPr>
          <w:p w:rsidR="00632831" w:rsidRPr="00ED0B2A" w:rsidRDefault="00632831" w:rsidP="00B725F6">
            <w:pPr>
              <w:pStyle w:val="TableBodyText"/>
              <w:jc w:val="left"/>
              <w:rPr>
                <w:vertAlign w:val="superscript"/>
              </w:rPr>
            </w:pPr>
          </w:p>
        </w:tc>
        <w:tc>
          <w:tcPr>
            <w:tcW w:w="935" w:type="pct"/>
            <w:shd w:val="clear" w:color="auto" w:fill="auto"/>
          </w:tcPr>
          <w:p w:rsidR="00632831" w:rsidRPr="00ED0B2A" w:rsidRDefault="00632831" w:rsidP="00B725F6">
            <w:pPr>
              <w:pStyle w:val="TableBodyText"/>
              <w:jc w:val="left"/>
            </w:pPr>
            <w:r w:rsidRPr="00ED0B2A">
              <w:t>Vaginal delivery</w:t>
            </w:r>
          </w:p>
        </w:tc>
        <w:tc>
          <w:tcPr>
            <w:tcW w:w="432" w:type="pct"/>
            <w:shd w:val="clear" w:color="auto" w:fill="auto"/>
            <w:vAlign w:val="bottom"/>
          </w:tcPr>
          <w:p w:rsidR="00632831" w:rsidRPr="005E1D0D" w:rsidRDefault="00632831" w:rsidP="005E1D0D">
            <w:pPr>
              <w:pStyle w:val="TableBodyText"/>
            </w:pPr>
            <w:r w:rsidRPr="005E1D0D">
              <w:t xml:space="preserve"> 5 304</w:t>
            </w:r>
          </w:p>
        </w:tc>
        <w:tc>
          <w:tcPr>
            <w:tcW w:w="433" w:type="pct"/>
            <w:shd w:val="clear" w:color="auto" w:fill="auto"/>
            <w:vAlign w:val="bottom"/>
          </w:tcPr>
          <w:p w:rsidR="00632831" w:rsidRPr="005E1D0D" w:rsidRDefault="00632831" w:rsidP="005E1D0D">
            <w:pPr>
              <w:pStyle w:val="TableBodyText"/>
            </w:pPr>
            <w:r w:rsidRPr="005E1D0D">
              <w:t xml:space="preserve"> 4 359</w:t>
            </w:r>
          </w:p>
        </w:tc>
        <w:tc>
          <w:tcPr>
            <w:tcW w:w="430" w:type="pct"/>
            <w:shd w:val="clear" w:color="auto" w:fill="auto"/>
            <w:vAlign w:val="bottom"/>
          </w:tcPr>
          <w:p w:rsidR="00632831" w:rsidRPr="005E1D0D" w:rsidRDefault="00632831" w:rsidP="005E1D0D">
            <w:pPr>
              <w:pStyle w:val="TableBodyText"/>
            </w:pPr>
            <w:r w:rsidRPr="005E1D0D">
              <w:t xml:space="preserve"> 5 096</w:t>
            </w:r>
          </w:p>
        </w:tc>
        <w:tc>
          <w:tcPr>
            <w:tcW w:w="433" w:type="pct"/>
            <w:shd w:val="clear" w:color="auto" w:fill="auto"/>
            <w:vAlign w:val="bottom"/>
          </w:tcPr>
          <w:p w:rsidR="00632831" w:rsidRPr="005E1D0D" w:rsidRDefault="00632831" w:rsidP="005E1D0D">
            <w:pPr>
              <w:pStyle w:val="TableBodyText"/>
            </w:pPr>
            <w:r w:rsidRPr="005E1D0D">
              <w:t xml:space="preserve"> 5 669</w:t>
            </w:r>
          </w:p>
        </w:tc>
        <w:tc>
          <w:tcPr>
            <w:tcW w:w="432" w:type="pct"/>
            <w:shd w:val="clear" w:color="auto" w:fill="auto"/>
            <w:vAlign w:val="bottom"/>
          </w:tcPr>
          <w:p w:rsidR="00632831" w:rsidRPr="005E1D0D" w:rsidRDefault="00632831" w:rsidP="005E1D0D">
            <w:pPr>
              <w:pStyle w:val="TableBodyText"/>
            </w:pPr>
            <w:r w:rsidRPr="005E1D0D">
              <w:t xml:space="preserve"> 4 495</w:t>
            </w:r>
          </w:p>
        </w:tc>
        <w:tc>
          <w:tcPr>
            <w:tcW w:w="435" w:type="pct"/>
            <w:shd w:val="clear" w:color="auto" w:fill="auto"/>
            <w:vAlign w:val="bottom"/>
          </w:tcPr>
          <w:p w:rsidR="00632831" w:rsidRPr="005E1D0D" w:rsidRDefault="00632831" w:rsidP="005E1D0D">
            <w:pPr>
              <w:pStyle w:val="TableBodyText"/>
            </w:pPr>
            <w:r w:rsidRPr="005E1D0D">
              <w:t xml:space="preserve"> 5 829</w:t>
            </w:r>
          </w:p>
        </w:tc>
        <w:tc>
          <w:tcPr>
            <w:tcW w:w="433" w:type="pct"/>
            <w:shd w:val="clear" w:color="auto" w:fill="auto"/>
            <w:vAlign w:val="bottom"/>
          </w:tcPr>
          <w:p w:rsidR="00632831" w:rsidRPr="005E1D0D" w:rsidRDefault="00632831" w:rsidP="005E1D0D">
            <w:pPr>
              <w:pStyle w:val="TableBodyText"/>
            </w:pPr>
            <w:r w:rsidRPr="005E1D0D">
              <w:t xml:space="preserve"> 6 919</w:t>
            </w:r>
          </w:p>
        </w:tc>
        <w:tc>
          <w:tcPr>
            <w:tcW w:w="433" w:type="pct"/>
            <w:shd w:val="clear" w:color="auto" w:fill="auto"/>
            <w:vAlign w:val="bottom"/>
          </w:tcPr>
          <w:p w:rsidR="00632831" w:rsidRPr="005E1D0D" w:rsidRDefault="00632831" w:rsidP="005E1D0D">
            <w:pPr>
              <w:pStyle w:val="TableBodyText"/>
            </w:pPr>
            <w:r w:rsidRPr="005E1D0D">
              <w:t xml:space="preserve"> 5 137</w:t>
            </w:r>
          </w:p>
        </w:tc>
        <w:tc>
          <w:tcPr>
            <w:tcW w:w="438" w:type="pct"/>
            <w:gridSpan w:val="2"/>
            <w:shd w:val="clear" w:color="auto" w:fill="auto"/>
            <w:vAlign w:val="bottom"/>
          </w:tcPr>
          <w:p w:rsidR="00632831" w:rsidRPr="005E1D0D" w:rsidRDefault="00632831" w:rsidP="005E1D0D">
            <w:pPr>
              <w:pStyle w:val="TableBodyText"/>
            </w:pPr>
            <w:r w:rsidRPr="005E1D0D">
              <w:t xml:space="preserve"> 4 998</w:t>
            </w:r>
          </w:p>
        </w:tc>
      </w:tr>
      <w:tr w:rsidR="00632831" w:rsidRPr="00B817EA" w:rsidTr="00AF4D68">
        <w:tc>
          <w:tcPr>
            <w:tcW w:w="166" w:type="pct"/>
            <w:shd w:val="clear" w:color="auto" w:fill="auto"/>
          </w:tcPr>
          <w:p w:rsidR="00632831" w:rsidRPr="00ED0B2A" w:rsidRDefault="00632831" w:rsidP="00B725F6">
            <w:pPr>
              <w:pStyle w:val="TableBodyText"/>
              <w:jc w:val="left"/>
              <w:rPr>
                <w:vertAlign w:val="superscript"/>
              </w:rPr>
            </w:pPr>
          </w:p>
        </w:tc>
        <w:tc>
          <w:tcPr>
            <w:tcW w:w="935" w:type="pct"/>
            <w:shd w:val="clear" w:color="auto" w:fill="auto"/>
          </w:tcPr>
          <w:p w:rsidR="00632831" w:rsidRPr="00ED0B2A" w:rsidRDefault="00632831" w:rsidP="00B725F6">
            <w:pPr>
              <w:pStyle w:val="TableBodyText"/>
              <w:jc w:val="left"/>
            </w:pPr>
            <w:r w:rsidRPr="00ED0B2A">
              <w:t>Caesarean</w:t>
            </w:r>
          </w:p>
        </w:tc>
        <w:tc>
          <w:tcPr>
            <w:tcW w:w="432" w:type="pct"/>
            <w:shd w:val="clear" w:color="auto" w:fill="auto"/>
            <w:vAlign w:val="center"/>
          </w:tcPr>
          <w:p w:rsidR="00632831" w:rsidRPr="005E1D0D" w:rsidRDefault="00632831" w:rsidP="005E1D0D">
            <w:pPr>
              <w:pStyle w:val="TableBodyText"/>
            </w:pPr>
            <w:r w:rsidRPr="005E1D0D">
              <w:t>8 689</w:t>
            </w:r>
          </w:p>
        </w:tc>
        <w:tc>
          <w:tcPr>
            <w:tcW w:w="433" w:type="pct"/>
            <w:shd w:val="clear" w:color="auto" w:fill="auto"/>
            <w:vAlign w:val="center"/>
          </w:tcPr>
          <w:p w:rsidR="00632831" w:rsidRPr="005E1D0D" w:rsidRDefault="00632831" w:rsidP="005E1D0D">
            <w:pPr>
              <w:pStyle w:val="TableBodyText"/>
            </w:pPr>
            <w:r w:rsidRPr="005E1D0D">
              <w:t>8 947</w:t>
            </w:r>
          </w:p>
        </w:tc>
        <w:tc>
          <w:tcPr>
            <w:tcW w:w="430" w:type="pct"/>
            <w:shd w:val="clear" w:color="auto" w:fill="auto"/>
            <w:vAlign w:val="center"/>
          </w:tcPr>
          <w:p w:rsidR="00632831" w:rsidRPr="005E1D0D" w:rsidRDefault="00632831" w:rsidP="005E1D0D">
            <w:pPr>
              <w:pStyle w:val="TableBodyText"/>
            </w:pPr>
            <w:r w:rsidRPr="005E1D0D">
              <w:t>–</w:t>
            </w:r>
          </w:p>
        </w:tc>
        <w:tc>
          <w:tcPr>
            <w:tcW w:w="433" w:type="pct"/>
            <w:shd w:val="clear" w:color="auto" w:fill="auto"/>
            <w:vAlign w:val="center"/>
          </w:tcPr>
          <w:p w:rsidR="00632831" w:rsidRPr="005E1D0D" w:rsidRDefault="00632831" w:rsidP="005E1D0D">
            <w:pPr>
              <w:pStyle w:val="TableBodyText"/>
            </w:pPr>
            <w:r w:rsidRPr="005E1D0D">
              <w:t>13 196</w:t>
            </w:r>
          </w:p>
        </w:tc>
        <w:tc>
          <w:tcPr>
            <w:tcW w:w="432" w:type="pct"/>
            <w:shd w:val="clear" w:color="auto" w:fill="auto"/>
            <w:vAlign w:val="center"/>
          </w:tcPr>
          <w:p w:rsidR="00632831" w:rsidRPr="005E1D0D" w:rsidRDefault="00632831" w:rsidP="005E1D0D">
            <w:pPr>
              <w:pStyle w:val="TableBodyText"/>
            </w:pPr>
            <w:r w:rsidRPr="005E1D0D">
              <w:t>9 917</w:t>
            </w:r>
          </w:p>
        </w:tc>
        <w:tc>
          <w:tcPr>
            <w:tcW w:w="435" w:type="pct"/>
            <w:shd w:val="clear" w:color="auto" w:fill="auto"/>
            <w:vAlign w:val="center"/>
          </w:tcPr>
          <w:p w:rsidR="00632831" w:rsidRPr="005E1D0D" w:rsidRDefault="00632831" w:rsidP="005E1D0D">
            <w:pPr>
              <w:pStyle w:val="TableBodyText"/>
            </w:pPr>
            <w:r w:rsidRPr="005E1D0D">
              <w:t>12 010</w:t>
            </w:r>
          </w:p>
        </w:tc>
        <w:tc>
          <w:tcPr>
            <w:tcW w:w="433" w:type="pct"/>
            <w:shd w:val="clear" w:color="auto" w:fill="auto"/>
            <w:vAlign w:val="center"/>
          </w:tcPr>
          <w:p w:rsidR="00632831" w:rsidRPr="005E1D0D" w:rsidRDefault="00632831" w:rsidP="005E1D0D">
            <w:pPr>
              <w:pStyle w:val="TableBodyText"/>
            </w:pPr>
            <w:r w:rsidRPr="005E1D0D">
              <w:t>12 328</w:t>
            </w:r>
          </w:p>
        </w:tc>
        <w:tc>
          <w:tcPr>
            <w:tcW w:w="433" w:type="pct"/>
            <w:shd w:val="clear" w:color="auto" w:fill="auto"/>
            <w:vAlign w:val="center"/>
          </w:tcPr>
          <w:p w:rsidR="00632831" w:rsidRPr="005E1D0D" w:rsidRDefault="00632831" w:rsidP="005E1D0D">
            <w:pPr>
              <w:pStyle w:val="TableBodyText"/>
            </w:pPr>
            <w:r w:rsidRPr="005E1D0D">
              <w:t>11 257</w:t>
            </w:r>
          </w:p>
        </w:tc>
        <w:tc>
          <w:tcPr>
            <w:tcW w:w="438" w:type="pct"/>
            <w:gridSpan w:val="2"/>
            <w:shd w:val="clear" w:color="auto" w:fill="auto"/>
            <w:vAlign w:val="center"/>
          </w:tcPr>
          <w:p w:rsidR="00632831" w:rsidRPr="005E1D0D" w:rsidRDefault="00632831" w:rsidP="005E1D0D">
            <w:pPr>
              <w:pStyle w:val="TableBodyText"/>
            </w:pPr>
            <w:r w:rsidRPr="005E1D0D">
              <w:t>9 681</w:t>
            </w:r>
          </w:p>
        </w:tc>
      </w:tr>
      <w:tr w:rsidR="00632831" w:rsidRPr="00B817EA" w:rsidTr="00EB42A8">
        <w:trPr>
          <w:trHeight w:val="273"/>
        </w:trPr>
        <w:tc>
          <w:tcPr>
            <w:tcW w:w="5000" w:type="pct"/>
            <w:gridSpan w:val="12"/>
            <w:shd w:val="clear" w:color="auto" w:fill="auto"/>
          </w:tcPr>
          <w:p w:rsidR="00632831" w:rsidRPr="00ED0B2A" w:rsidRDefault="00632831" w:rsidP="00632831">
            <w:pPr>
              <w:pStyle w:val="TableColumnHeading"/>
              <w:jc w:val="left"/>
              <w:rPr>
                <w:b/>
              </w:rPr>
            </w:pPr>
            <w:r w:rsidRPr="00ED0B2A">
              <w:t xml:space="preserve">Mother’s average length of stay, days, </w:t>
            </w:r>
            <w:r w:rsidRPr="00AF4D68">
              <w:t>2011-12</w:t>
            </w:r>
            <w:r w:rsidRPr="00CE1B3A">
              <w:rPr>
                <w:shd w:val="clear" w:color="auto" w:fill="FBD4B4" w:themeFill="accent6" w:themeFillTint="66"/>
              </w:rPr>
              <w:br/>
            </w:r>
            <w:r w:rsidR="00A759BF" w:rsidRPr="00AF4D68">
              <w:rPr>
                <w:i w:val="0"/>
                <w:sz w:val="16"/>
                <w:szCs w:val="16"/>
              </w:rPr>
              <w:t>Most recent data for this indicator are complete and comparable (chapter 10)</w:t>
            </w:r>
          </w:p>
        </w:tc>
      </w:tr>
      <w:tr w:rsidR="00632831" w:rsidRPr="00B817EA" w:rsidTr="00AF4D68">
        <w:tc>
          <w:tcPr>
            <w:tcW w:w="166" w:type="pct"/>
            <w:shd w:val="clear" w:color="auto" w:fill="auto"/>
          </w:tcPr>
          <w:p w:rsidR="00632831" w:rsidRPr="00ED0B2A" w:rsidRDefault="00632831" w:rsidP="00B725F6">
            <w:pPr>
              <w:pStyle w:val="TableBodyText"/>
              <w:jc w:val="left"/>
              <w:rPr>
                <w:vertAlign w:val="superscript"/>
              </w:rPr>
            </w:pPr>
          </w:p>
        </w:tc>
        <w:tc>
          <w:tcPr>
            <w:tcW w:w="935" w:type="pct"/>
            <w:shd w:val="clear" w:color="auto" w:fill="auto"/>
          </w:tcPr>
          <w:p w:rsidR="00632831" w:rsidRPr="00ED0B2A" w:rsidRDefault="00632831" w:rsidP="00B725F6">
            <w:pPr>
              <w:pStyle w:val="TableBodyText"/>
              <w:jc w:val="left"/>
            </w:pPr>
            <w:r w:rsidRPr="00ED0B2A">
              <w:t>Vaginal delivery</w:t>
            </w:r>
          </w:p>
        </w:tc>
        <w:tc>
          <w:tcPr>
            <w:tcW w:w="432" w:type="pct"/>
            <w:shd w:val="clear" w:color="auto" w:fill="auto"/>
            <w:vAlign w:val="center"/>
          </w:tcPr>
          <w:p w:rsidR="00632831" w:rsidRPr="005E1D0D" w:rsidRDefault="00632831" w:rsidP="005E1D0D">
            <w:pPr>
              <w:pStyle w:val="TableBodyText"/>
            </w:pPr>
            <w:r w:rsidRPr="005E1D0D">
              <w:t>1.8</w:t>
            </w:r>
          </w:p>
        </w:tc>
        <w:tc>
          <w:tcPr>
            <w:tcW w:w="433" w:type="pct"/>
            <w:shd w:val="clear" w:color="auto" w:fill="auto"/>
            <w:vAlign w:val="center"/>
          </w:tcPr>
          <w:p w:rsidR="00632831" w:rsidRPr="005E1D0D" w:rsidRDefault="00632831" w:rsidP="005E1D0D">
            <w:pPr>
              <w:pStyle w:val="TableBodyText"/>
            </w:pPr>
            <w:r w:rsidRPr="005E1D0D">
              <w:t>1.8</w:t>
            </w:r>
          </w:p>
        </w:tc>
        <w:tc>
          <w:tcPr>
            <w:tcW w:w="430" w:type="pct"/>
            <w:shd w:val="clear" w:color="auto" w:fill="auto"/>
            <w:vAlign w:val="center"/>
          </w:tcPr>
          <w:p w:rsidR="00632831" w:rsidRPr="005E1D0D" w:rsidRDefault="00632831" w:rsidP="005E1D0D">
            <w:pPr>
              <w:pStyle w:val="TableBodyText"/>
            </w:pPr>
            <w:r w:rsidRPr="005E1D0D">
              <w:t>1.6</w:t>
            </w:r>
          </w:p>
        </w:tc>
        <w:tc>
          <w:tcPr>
            <w:tcW w:w="433" w:type="pct"/>
            <w:shd w:val="clear" w:color="auto" w:fill="auto"/>
            <w:vAlign w:val="center"/>
          </w:tcPr>
          <w:p w:rsidR="00632831" w:rsidRPr="005E1D0D" w:rsidRDefault="00632831" w:rsidP="005E1D0D">
            <w:pPr>
              <w:pStyle w:val="TableBodyText"/>
            </w:pPr>
            <w:r w:rsidRPr="005E1D0D">
              <w:t>1.9</w:t>
            </w:r>
          </w:p>
        </w:tc>
        <w:tc>
          <w:tcPr>
            <w:tcW w:w="432" w:type="pct"/>
            <w:shd w:val="clear" w:color="auto" w:fill="auto"/>
            <w:vAlign w:val="center"/>
          </w:tcPr>
          <w:p w:rsidR="00632831" w:rsidRPr="005E1D0D" w:rsidRDefault="00632831" w:rsidP="005E1D0D">
            <w:pPr>
              <w:pStyle w:val="TableBodyText"/>
            </w:pPr>
            <w:r w:rsidRPr="005E1D0D">
              <w:t>1.8</w:t>
            </w:r>
          </w:p>
        </w:tc>
        <w:tc>
          <w:tcPr>
            <w:tcW w:w="435" w:type="pct"/>
            <w:shd w:val="clear" w:color="auto" w:fill="auto"/>
            <w:vAlign w:val="center"/>
          </w:tcPr>
          <w:p w:rsidR="00632831" w:rsidRPr="005E1D0D" w:rsidRDefault="00632831" w:rsidP="005E1D0D">
            <w:pPr>
              <w:pStyle w:val="TableBodyText"/>
            </w:pPr>
            <w:r w:rsidRPr="005E1D0D">
              <w:t>2</w:t>
            </w:r>
          </w:p>
        </w:tc>
        <w:tc>
          <w:tcPr>
            <w:tcW w:w="433" w:type="pct"/>
            <w:shd w:val="clear" w:color="auto" w:fill="auto"/>
            <w:vAlign w:val="center"/>
          </w:tcPr>
          <w:p w:rsidR="00632831" w:rsidRPr="005E1D0D" w:rsidRDefault="00632831" w:rsidP="005E1D0D">
            <w:pPr>
              <w:pStyle w:val="TableBodyText"/>
            </w:pPr>
            <w:r w:rsidRPr="005E1D0D">
              <w:t>1.4</w:t>
            </w:r>
          </w:p>
        </w:tc>
        <w:tc>
          <w:tcPr>
            <w:tcW w:w="433" w:type="pct"/>
            <w:shd w:val="clear" w:color="auto" w:fill="auto"/>
            <w:vAlign w:val="center"/>
          </w:tcPr>
          <w:p w:rsidR="00632831" w:rsidRPr="005E1D0D" w:rsidRDefault="00632831" w:rsidP="005E1D0D">
            <w:pPr>
              <w:pStyle w:val="TableBodyText"/>
            </w:pPr>
            <w:r w:rsidRPr="005E1D0D">
              <w:t>2</w:t>
            </w:r>
          </w:p>
        </w:tc>
        <w:tc>
          <w:tcPr>
            <w:tcW w:w="438" w:type="pct"/>
            <w:gridSpan w:val="2"/>
            <w:shd w:val="clear" w:color="auto" w:fill="auto"/>
            <w:vAlign w:val="center"/>
          </w:tcPr>
          <w:p w:rsidR="00632831" w:rsidRPr="005E1D0D" w:rsidRDefault="00632831" w:rsidP="005E1D0D">
            <w:pPr>
              <w:pStyle w:val="TableBodyText"/>
            </w:pPr>
            <w:r w:rsidRPr="005E1D0D">
              <w:t>1.8</w:t>
            </w:r>
          </w:p>
        </w:tc>
      </w:tr>
      <w:tr w:rsidR="00632831" w:rsidRPr="00B817EA" w:rsidTr="00AF4D68">
        <w:tc>
          <w:tcPr>
            <w:tcW w:w="166" w:type="pct"/>
            <w:shd w:val="clear" w:color="auto" w:fill="auto"/>
          </w:tcPr>
          <w:p w:rsidR="00632831" w:rsidRPr="00ED0B2A" w:rsidRDefault="00632831" w:rsidP="00B725F6">
            <w:pPr>
              <w:pStyle w:val="TableBodyText"/>
              <w:jc w:val="left"/>
              <w:rPr>
                <w:vertAlign w:val="superscript"/>
              </w:rPr>
            </w:pPr>
          </w:p>
        </w:tc>
        <w:tc>
          <w:tcPr>
            <w:tcW w:w="935" w:type="pct"/>
            <w:shd w:val="clear" w:color="auto" w:fill="auto"/>
          </w:tcPr>
          <w:p w:rsidR="00632831" w:rsidRPr="00ED0B2A" w:rsidRDefault="00632831" w:rsidP="00B725F6">
            <w:pPr>
              <w:pStyle w:val="TableBodyText"/>
              <w:jc w:val="left"/>
            </w:pPr>
            <w:r w:rsidRPr="00ED0B2A">
              <w:t>Caesarean</w:t>
            </w:r>
          </w:p>
        </w:tc>
        <w:tc>
          <w:tcPr>
            <w:tcW w:w="432" w:type="pct"/>
            <w:shd w:val="clear" w:color="auto" w:fill="auto"/>
            <w:vAlign w:val="center"/>
          </w:tcPr>
          <w:p w:rsidR="00632831" w:rsidRPr="005E1D0D" w:rsidRDefault="00632831" w:rsidP="005E1D0D">
            <w:pPr>
              <w:pStyle w:val="TableBodyText"/>
            </w:pPr>
            <w:r w:rsidRPr="005E1D0D">
              <w:t>3.9</w:t>
            </w:r>
          </w:p>
        </w:tc>
        <w:tc>
          <w:tcPr>
            <w:tcW w:w="433" w:type="pct"/>
            <w:shd w:val="clear" w:color="auto" w:fill="auto"/>
            <w:vAlign w:val="center"/>
          </w:tcPr>
          <w:p w:rsidR="00632831" w:rsidRPr="005E1D0D" w:rsidRDefault="00632831" w:rsidP="005E1D0D">
            <w:pPr>
              <w:pStyle w:val="TableBodyText"/>
            </w:pPr>
            <w:r w:rsidRPr="005E1D0D">
              <w:t>3.8</w:t>
            </w:r>
          </w:p>
        </w:tc>
        <w:tc>
          <w:tcPr>
            <w:tcW w:w="430" w:type="pct"/>
            <w:shd w:val="clear" w:color="auto" w:fill="auto"/>
            <w:vAlign w:val="center"/>
          </w:tcPr>
          <w:p w:rsidR="00632831" w:rsidRPr="005E1D0D" w:rsidRDefault="00632831" w:rsidP="005E1D0D">
            <w:pPr>
              <w:pStyle w:val="TableBodyText"/>
            </w:pPr>
            <w:r w:rsidRPr="005E1D0D">
              <w:t>3.4</w:t>
            </w:r>
          </w:p>
        </w:tc>
        <w:tc>
          <w:tcPr>
            <w:tcW w:w="433" w:type="pct"/>
            <w:shd w:val="clear" w:color="auto" w:fill="auto"/>
            <w:vAlign w:val="center"/>
          </w:tcPr>
          <w:p w:rsidR="00632831" w:rsidRPr="005E1D0D" w:rsidRDefault="00632831" w:rsidP="005E1D0D">
            <w:pPr>
              <w:pStyle w:val="TableBodyText"/>
            </w:pPr>
            <w:r w:rsidRPr="005E1D0D">
              <w:t>3.8</w:t>
            </w:r>
          </w:p>
        </w:tc>
        <w:tc>
          <w:tcPr>
            <w:tcW w:w="432" w:type="pct"/>
            <w:shd w:val="clear" w:color="auto" w:fill="auto"/>
            <w:vAlign w:val="center"/>
          </w:tcPr>
          <w:p w:rsidR="00632831" w:rsidRPr="005E1D0D" w:rsidRDefault="00632831" w:rsidP="005E1D0D">
            <w:pPr>
              <w:pStyle w:val="TableBodyText"/>
            </w:pPr>
            <w:r w:rsidRPr="005E1D0D">
              <w:t>4.1</w:t>
            </w:r>
          </w:p>
        </w:tc>
        <w:tc>
          <w:tcPr>
            <w:tcW w:w="435" w:type="pct"/>
            <w:shd w:val="clear" w:color="auto" w:fill="auto"/>
            <w:vAlign w:val="center"/>
          </w:tcPr>
          <w:p w:rsidR="00632831" w:rsidRPr="005E1D0D" w:rsidRDefault="00632831" w:rsidP="005E1D0D">
            <w:pPr>
              <w:pStyle w:val="TableBodyText"/>
            </w:pPr>
            <w:r w:rsidRPr="005E1D0D">
              <w:t>3.8</w:t>
            </w:r>
          </w:p>
        </w:tc>
        <w:tc>
          <w:tcPr>
            <w:tcW w:w="433" w:type="pct"/>
            <w:shd w:val="clear" w:color="auto" w:fill="auto"/>
            <w:vAlign w:val="center"/>
          </w:tcPr>
          <w:p w:rsidR="00632831" w:rsidRPr="005E1D0D" w:rsidRDefault="00632831" w:rsidP="005E1D0D">
            <w:pPr>
              <w:pStyle w:val="TableBodyText"/>
            </w:pPr>
            <w:r w:rsidRPr="005E1D0D">
              <w:t>3.9</w:t>
            </w:r>
          </w:p>
        </w:tc>
        <w:tc>
          <w:tcPr>
            <w:tcW w:w="433" w:type="pct"/>
            <w:shd w:val="clear" w:color="auto" w:fill="auto"/>
            <w:vAlign w:val="center"/>
          </w:tcPr>
          <w:p w:rsidR="00632831" w:rsidRPr="005E1D0D" w:rsidRDefault="00632831" w:rsidP="005E1D0D">
            <w:pPr>
              <w:pStyle w:val="TableBodyText"/>
            </w:pPr>
            <w:r w:rsidRPr="005E1D0D">
              <w:t>4.6</w:t>
            </w:r>
          </w:p>
        </w:tc>
        <w:tc>
          <w:tcPr>
            <w:tcW w:w="438" w:type="pct"/>
            <w:gridSpan w:val="2"/>
            <w:shd w:val="clear" w:color="auto" w:fill="auto"/>
            <w:vAlign w:val="center"/>
          </w:tcPr>
          <w:p w:rsidR="00632831" w:rsidRPr="005E1D0D" w:rsidRDefault="00632831" w:rsidP="005E1D0D">
            <w:pPr>
              <w:pStyle w:val="TableBodyText"/>
            </w:pPr>
            <w:r w:rsidRPr="005E1D0D">
              <w:t>3.8</w:t>
            </w:r>
          </w:p>
        </w:tc>
      </w:tr>
      <w:tr w:rsidR="00632831" w:rsidRPr="005825CD" w:rsidTr="00150556">
        <w:trPr>
          <w:trHeight w:val="177"/>
        </w:trPr>
        <w:tc>
          <w:tcPr>
            <w:tcW w:w="5000" w:type="pct"/>
            <w:gridSpan w:val="12"/>
            <w:tcBorders>
              <w:bottom w:val="single" w:sz="4" w:space="0" w:color="auto"/>
            </w:tcBorders>
            <w:shd w:val="clear" w:color="auto" w:fill="auto"/>
          </w:tcPr>
          <w:p w:rsidR="00632831" w:rsidRPr="00C804F5" w:rsidRDefault="00632831" w:rsidP="00632831">
            <w:pPr>
              <w:pStyle w:val="Source"/>
            </w:pPr>
            <w:r w:rsidRPr="00B5543B">
              <w:t xml:space="preserve">Source: table </w:t>
            </w:r>
            <w:proofErr w:type="spellStart"/>
            <w:r w:rsidRPr="00AF4D68">
              <w:t>10A.109</w:t>
            </w:r>
            <w:proofErr w:type="spellEnd"/>
            <w:r w:rsidRPr="00AF4D68">
              <w:t>–</w:t>
            </w:r>
            <w:proofErr w:type="spellStart"/>
            <w:r w:rsidRPr="00AF4D68">
              <w:t>10A.110</w:t>
            </w:r>
            <w:proofErr w:type="spellEnd"/>
            <w:r>
              <w:t>.</w:t>
            </w:r>
            <w:r w:rsidRPr="005825CD">
              <w:t xml:space="preserve"> </w:t>
            </w:r>
          </w:p>
        </w:tc>
      </w:tr>
    </w:tbl>
    <w:p w:rsidR="006B1332" w:rsidRDefault="006B1332" w:rsidP="00150556">
      <w:pPr>
        <w:pStyle w:val="Continued"/>
      </w:pPr>
      <w:r>
        <w:t>(Continued next page)</w:t>
      </w:r>
    </w:p>
    <w:p w:rsidR="006B1332" w:rsidRDefault="006B1332"/>
    <w:p w:rsidR="007A0DF3" w:rsidRPr="00384067" w:rsidRDefault="007A0DF3" w:rsidP="007A0DF3">
      <w:pPr>
        <w:pStyle w:val="TableTitle"/>
        <w:rPr>
          <w:rStyle w:val="DraftingNote"/>
          <w:color w:val="auto"/>
        </w:rPr>
      </w:pPr>
      <w:r>
        <w:rPr>
          <w:b w:val="0"/>
        </w:rPr>
        <w:lastRenderedPageBreak/>
        <w:t>Table</w:t>
      </w:r>
      <w:r w:rsidR="00115E34">
        <w:rPr>
          <w:b w:val="0"/>
        </w:rPr>
        <w:t xml:space="preserve"> </w:t>
      </w:r>
      <w:proofErr w:type="spellStart"/>
      <w:r w:rsidR="00F156AA" w:rsidRPr="00F156AA">
        <w:rPr>
          <w:b w:val="0"/>
        </w:rPr>
        <w:t>E.</w:t>
      </w:r>
      <w:r w:rsidR="00F07431">
        <w:rPr>
          <w:b w:val="0"/>
        </w:rPr>
        <w:t>6</w:t>
      </w:r>
      <w:proofErr w:type="spellEnd"/>
      <w:r w:rsidRPr="00B4788D">
        <w:rPr>
          <w:b w:val="0"/>
        </w:rPr>
        <w:tab/>
      </w:r>
      <w:r w:rsidR="00A97C83" w:rsidRPr="005825CD">
        <w:rPr>
          <w:sz w:val="18"/>
          <w:szCs w:val="18"/>
        </w:rPr>
        <w:t>(continued)</w:t>
      </w:r>
    </w:p>
    <w:tbl>
      <w:tblPr>
        <w:tblW w:w="5000" w:type="pct"/>
        <w:tblCellMar>
          <w:left w:w="0" w:type="dxa"/>
          <w:right w:w="0" w:type="dxa"/>
        </w:tblCellMar>
        <w:tblLook w:val="0000" w:firstRow="0" w:lastRow="0" w:firstColumn="0" w:lastColumn="0" w:noHBand="0" w:noVBand="0"/>
      </w:tblPr>
      <w:tblGrid>
        <w:gridCol w:w="292"/>
        <w:gridCol w:w="1644"/>
        <w:gridCol w:w="759"/>
        <w:gridCol w:w="761"/>
        <w:gridCol w:w="756"/>
        <w:gridCol w:w="761"/>
        <w:gridCol w:w="759"/>
        <w:gridCol w:w="765"/>
        <w:gridCol w:w="761"/>
        <w:gridCol w:w="761"/>
        <w:gridCol w:w="37"/>
        <w:gridCol w:w="733"/>
      </w:tblGrid>
      <w:tr w:rsidR="009609B2" w:rsidRPr="004C2CF4" w:rsidTr="00A33ED6">
        <w:trPr>
          <w:cantSplit/>
          <w:tblHeader/>
        </w:trPr>
        <w:tc>
          <w:tcPr>
            <w:tcW w:w="1101" w:type="pct"/>
            <w:gridSpan w:val="2"/>
            <w:tcBorders>
              <w:top w:val="single" w:sz="6" w:space="0" w:color="auto"/>
              <w:bottom w:val="single" w:sz="6" w:space="0" w:color="auto"/>
            </w:tcBorders>
            <w:shd w:val="clear" w:color="auto" w:fill="auto"/>
          </w:tcPr>
          <w:p w:rsidR="009609B2" w:rsidRPr="00C375D1" w:rsidRDefault="009609B2" w:rsidP="00A33ED6">
            <w:pPr>
              <w:pStyle w:val="TableColumnHeading"/>
              <w:jc w:val="left"/>
              <w:rPr>
                <w:highlight w:val="yellow"/>
              </w:rPr>
            </w:pPr>
          </w:p>
        </w:tc>
        <w:tc>
          <w:tcPr>
            <w:tcW w:w="432" w:type="pct"/>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NSW</w:t>
            </w:r>
          </w:p>
        </w:tc>
        <w:tc>
          <w:tcPr>
            <w:tcW w:w="433" w:type="pct"/>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Vic</w:t>
            </w:r>
          </w:p>
        </w:tc>
        <w:tc>
          <w:tcPr>
            <w:tcW w:w="430" w:type="pct"/>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Qld</w:t>
            </w:r>
          </w:p>
        </w:tc>
        <w:tc>
          <w:tcPr>
            <w:tcW w:w="433" w:type="pct"/>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WA</w:t>
            </w:r>
          </w:p>
        </w:tc>
        <w:tc>
          <w:tcPr>
            <w:tcW w:w="432" w:type="pct"/>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SA</w:t>
            </w:r>
          </w:p>
        </w:tc>
        <w:tc>
          <w:tcPr>
            <w:tcW w:w="435" w:type="pct"/>
            <w:tcBorders>
              <w:top w:val="single" w:sz="6" w:space="0" w:color="auto"/>
              <w:bottom w:val="single" w:sz="6" w:space="0" w:color="auto"/>
            </w:tcBorders>
            <w:shd w:val="clear" w:color="auto" w:fill="auto"/>
          </w:tcPr>
          <w:p w:rsidR="009609B2" w:rsidRPr="00ED0B2A" w:rsidRDefault="009609B2" w:rsidP="00A33ED6">
            <w:pPr>
              <w:pStyle w:val="TableColumnHeading"/>
            </w:pPr>
            <w:proofErr w:type="spellStart"/>
            <w:r w:rsidRPr="00ED0B2A">
              <w:t>Tas</w:t>
            </w:r>
            <w:proofErr w:type="spellEnd"/>
          </w:p>
        </w:tc>
        <w:tc>
          <w:tcPr>
            <w:tcW w:w="433" w:type="pct"/>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ACT</w:t>
            </w:r>
          </w:p>
        </w:tc>
        <w:tc>
          <w:tcPr>
            <w:tcW w:w="454" w:type="pct"/>
            <w:gridSpan w:val="2"/>
            <w:tcBorders>
              <w:top w:val="single" w:sz="6" w:space="0" w:color="auto"/>
              <w:bottom w:val="single" w:sz="6" w:space="0" w:color="auto"/>
            </w:tcBorders>
            <w:shd w:val="clear" w:color="auto" w:fill="auto"/>
          </w:tcPr>
          <w:p w:rsidR="009609B2" w:rsidRPr="00ED0B2A" w:rsidRDefault="009609B2" w:rsidP="00A33ED6">
            <w:pPr>
              <w:pStyle w:val="TableColumnHeading"/>
            </w:pPr>
            <w:r w:rsidRPr="00ED0B2A">
              <w:t>NT</w:t>
            </w:r>
          </w:p>
        </w:tc>
        <w:tc>
          <w:tcPr>
            <w:tcW w:w="417" w:type="pct"/>
            <w:tcBorders>
              <w:top w:val="single" w:sz="6" w:space="0" w:color="auto"/>
              <w:bottom w:val="single" w:sz="6" w:space="0" w:color="auto"/>
            </w:tcBorders>
          </w:tcPr>
          <w:p w:rsidR="009609B2" w:rsidRPr="00ED0B2A" w:rsidRDefault="009609B2" w:rsidP="00A33ED6">
            <w:pPr>
              <w:pStyle w:val="TableColumnHeading"/>
            </w:pPr>
            <w:proofErr w:type="spellStart"/>
            <w:r w:rsidRPr="00ED0B2A">
              <w:t>Aust</w:t>
            </w:r>
            <w:proofErr w:type="spellEnd"/>
          </w:p>
        </w:tc>
      </w:tr>
      <w:tr w:rsidR="00CF7149" w:rsidRPr="00B817EA" w:rsidTr="005110D8">
        <w:trPr>
          <w:trHeight w:val="273"/>
        </w:trPr>
        <w:tc>
          <w:tcPr>
            <w:tcW w:w="5000" w:type="pct"/>
            <w:gridSpan w:val="12"/>
            <w:shd w:val="clear" w:color="auto" w:fill="auto"/>
          </w:tcPr>
          <w:tbl>
            <w:tblPr>
              <w:tblW w:w="5000" w:type="pct"/>
              <w:tblCellMar>
                <w:left w:w="0" w:type="dxa"/>
                <w:right w:w="0" w:type="dxa"/>
              </w:tblCellMar>
              <w:tblLook w:val="0000" w:firstRow="0" w:lastRow="0" w:firstColumn="0" w:lastColumn="0" w:noHBand="0" w:noVBand="0"/>
            </w:tblPr>
            <w:tblGrid>
              <w:gridCol w:w="292"/>
              <w:gridCol w:w="1644"/>
              <w:gridCol w:w="759"/>
              <w:gridCol w:w="761"/>
              <w:gridCol w:w="756"/>
              <w:gridCol w:w="761"/>
              <w:gridCol w:w="759"/>
              <w:gridCol w:w="765"/>
              <w:gridCol w:w="761"/>
              <w:gridCol w:w="761"/>
              <w:gridCol w:w="770"/>
            </w:tblGrid>
            <w:tr w:rsidR="006B1332" w:rsidRPr="00ED0B2A" w:rsidTr="00B62D49">
              <w:trPr>
                <w:trHeight w:val="273"/>
              </w:trPr>
              <w:tc>
                <w:tcPr>
                  <w:tcW w:w="5000" w:type="pct"/>
                  <w:gridSpan w:val="11"/>
                  <w:shd w:val="clear" w:color="auto" w:fill="auto"/>
                </w:tcPr>
                <w:p w:rsidR="006B1332" w:rsidRPr="00ED0B2A" w:rsidRDefault="006B1332" w:rsidP="00B62D49">
                  <w:pPr>
                    <w:pStyle w:val="TableColumnHeading"/>
                    <w:jc w:val="left"/>
                    <w:rPr>
                      <w:b/>
                      <w:i w:val="0"/>
                    </w:rPr>
                  </w:pPr>
                  <w:r w:rsidRPr="00ED0B2A">
                    <w:rPr>
                      <w:b/>
                      <w:i w:val="0"/>
                    </w:rPr>
                    <w:t>Outcome indicators</w:t>
                  </w:r>
                </w:p>
              </w:tc>
            </w:tr>
            <w:tr w:rsidR="006B1332" w:rsidRPr="00ED0B2A" w:rsidTr="00B62D49">
              <w:trPr>
                <w:trHeight w:val="273"/>
              </w:trPr>
              <w:tc>
                <w:tcPr>
                  <w:tcW w:w="5000" w:type="pct"/>
                  <w:gridSpan w:val="11"/>
                  <w:shd w:val="clear" w:color="auto" w:fill="auto"/>
                </w:tcPr>
                <w:p w:rsidR="006B1332" w:rsidRPr="00ED0B2A" w:rsidRDefault="006B1332" w:rsidP="00817E4C">
                  <w:pPr>
                    <w:pStyle w:val="TableColumnHeading"/>
                    <w:jc w:val="left"/>
                    <w:rPr>
                      <w:b/>
                    </w:rPr>
                  </w:pPr>
                  <w:r w:rsidRPr="00ED0B2A">
                    <w:t xml:space="preserve">Apgar score at 5 minutes, </w:t>
                  </w:r>
                  <w:r w:rsidRPr="00CC70FD">
                    <w:t>20</w:t>
                  </w:r>
                  <w:r w:rsidR="00C375D1" w:rsidRPr="00CC70FD">
                    <w:t>1</w:t>
                  </w:r>
                  <w:r w:rsidR="008E41E3" w:rsidRPr="00CC70FD">
                    <w:t>2</w:t>
                  </w:r>
                  <w:r w:rsidRPr="00ED0B2A">
                    <w:br/>
                  </w:r>
                  <w:r w:rsidR="00817E4C" w:rsidRPr="00CC70FD">
                    <w:rPr>
                      <w:i w:val="0"/>
                      <w:sz w:val="16"/>
                      <w:szCs w:val="16"/>
                    </w:rPr>
                    <w:t xml:space="preserve">Most recent data for this indicator are not complete and are not directly comparable (chapter 10) </w:t>
                  </w:r>
                </w:p>
              </w:tc>
            </w:tr>
            <w:tr w:rsidR="006B1332" w:rsidRPr="00ED0B2A" w:rsidTr="00B62D49">
              <w:trPr>
                <w:trHeight w:val="273"/>
              </w:trPr>
              <w:tc>
                <w:tcPr>
                  <w:tcW w:w="5000" w:type="pct"/>
                  <w:gridSpan w:val="11"/>
                  <w:shd w:val="clear" w:color="auto" w:fill="auto"/>
                </w:tcPr>
                <w:p w:rsidR="006B1332" w:rsidRPr="00ED0B2A" w:rsidRDefault="006B1332" w:rsidP="00B62D49">
                  <w:pPr>
                    <w:pStyle w:val="TableBodyText"/>
                    <w:jc w:val="left"/>
                    <w:rPr>
                      <w:b/>
                      <w:i/>
                    </w:rPr>
                  </w:pPr>
                  <w:r w:rsidRPr="00ED0B2A">
                    <w:rPr>
                      <w:b/>
                      <w:i/>
                    </w:rPr>
                    <w:t xml:space="preserve">  </w:t>
                  </w:r>
                  <w:r w:rsidRPr="00ED0B2A">
                    <w:t xml:space="preserve">Percentage of live births with an Apgar score of 3 or lower by </w:t>
                  </w:r>
                  <w:proofErr w:type="spellStart"/>
                  <w:r w:rsidRPr="00ED0B2A">
                    <w:t>birthweight</w:t>
                  </w:r>
                  <w:proofErr w:type="spellEnd"/>
                </w:p>
              </w:tc>
            </w:tr>
            <w:tr w:rsidR="006025FA" w:rsidRPr="00ED0B2A" w:rsidTr="00CC70FD">
              <w:tc>
                <w:tcPr>
                  <w:tcW w:w="166" w:type="pct"/>
                  <w:shd w:val="clear" w:color="auto" w:fill="auto"/>
                </w:tcPr>
                <w:p w:rsidR="006025FA" w:rsidRPr="00ED0B2A" w:rsidRDefault="006025FA" w:rsidP="00B62D49">
                  <w:pPr>
                    <w:pStyle w:val="TableBodyText"/>
                    <w:jc w:val="left"/>
                    <w:rPr>
                      <w:vertAlign w:val="superscript"/>
                    </w:rPr>
                  </w:pPr>
                </w:p>
              </w:tc>
              <w:tc>
                <w:tcPr>
                  <w:tcW w:w="935" w:type="pct"/>
                  <w:shd w:val="clear" w:color="auto" w:fill="auto"/>
                </w:tcPr>
                <w:p w:rsidR="006025FA" w:rsidRPr="00ED0B2A" w:rsidRDefault="006025FA" w:rsidP="00B62D49">
                  <w:pPr>
                    <w:pStyle w:val="TableBodyText"/>
                    <w:jc w:val="left"/>
                  </w:pPr>
                  <w:r w:rsidRPr="00ED0B2A">
                    <w:t>&lt;</w:t>
                  </w:r>
                  <w:proofErr w:type="spellStart"/>
                  <w:r w:rsidRPr="00ED0B2A">
                    <w:t>1500g</w:t>
                  </w:r>
                  <w:proofErr w:type="spellEnd"/>
                </w:p>
              </w:tc>
              <w:tc>
                <w:tcPr>
                  <w:tcW w:w="432" w:type="pct"/>
                  <w:shd w:val="clear" w:color="auto" w:fill="auto"/>
                  <w:vAlign w:val="bottom"/>
                </w:tcPr>
                <w:p w:rsidR="006025FA" w:rsidRPr="00B00584" w:rsidRDefault="006025FA" w:rsidP="005E1D0D">
                  <w:pPr>
                    <w:pStyle w:val="TableBodyText"/>
                  </w:pPr>
                  <w:r w:rsidRPr="00B00584">
                    <w:t xml:space="preserve">  17.7</w:t>
                  </w:r>
                </w:p>
              </w:tc>
              <w:tc>
                <w:tcPr>
                  <w:tcW w:w="433" w:type="pct"/>
                  <w:shd w:val="clear" w:color="auto" w:fill="auto"/>
                  <w:vAlign w:val="bottom"/>
                </w:tcPr>
                <w:p w:rsidR="006025FA" w:rsidRPr="00B00584" w:rsidRDefault="006025FA" w:rsidP="005E1D0D">
                  <w:pPr>
                    <w:pStyle w:val="TableBodyText"/>
                  </w:pPr>
                  <w:r w:rsidRPr="00B00584">
                    <w:t xml:space="preserve">  17.5</w:t>
                  </w:r>
                </w:p>
              </w:tc>
              <w:tc>
                <w:tcPr>
                  <w:tcW w:w="430" w:type="pct"/>
                  <w:shd w:val="clear" w:color="auto" w:fill="auto"/>
                  <w:vAlign w:val="bottom"/>
                </w:tcPr>
                <w:p w:rsidR="006025FA" w:rsidRPr="00B00584" w:rsidRDefault="006025FA" w:rsidP="005E1D0D">
                  <w:pPr>
                    <w:pStyle w:val="TableBodyText"/>
                  </w:pPr>
                  <w:r w:rsidRPr="00B00584">
                    <w:t xml:space="preserve">  17.0</w:t>
                  </w:r>
                </w:p>
              </w:tc>
              <w:tc>
                <w:tcPr>
                  <w:tcW w:w="433" w:type="pct"/>
                  <w:shd w:val="clear" w:color="auto" w:fill="auto"/>
                  <w:vAlign w:val="bottom"/>
                </w:tcPr>
                <w:p w:rsidR="006025FA" w:rsidRPr="00B00584" w:rsidRDefault="006025FA" w:rsidP="005E1D0D">
                  <w:pPr>
                    <w:pStyle w:val="TableBodyText"/>
                  </w:pPr>
                  <w:r w:rsidRPr="00B00584">
                    <w:t xml:space="preserve">  4.1</w:t>
                  </w:r>
                </w:p>
              </w:tc>
              <w:tc>
                <w:tcPr>
                  <w:tcW w:w="432" w:type="pct"/>
                  <w:shd w:val="clear" w:color="auto" w:fill="auto"/>
                  <w:vAlign w:val="bottom"/>
                </w:tcPr>
                <w:p w:rsidR="006025FA" w:rsidRPr="00B00584" w:rsidRDefault="006025FA" w:rsidP="005E1D0D">
                  <w:pPr>
                    <w:pStyle w:val="TableBodyText"/>
                  </w:pPr>
                  <w:r w:rsidRPr="00B00584">
                    <w:t xml:space="preserve">  12.7</w:t>
                  </w:r>
                </w:p>
              </w:tc>
              <w:tc>
                <w:tcPr>
                  <w:tcW w:w="435" w:type="pct"/>
                  <w:shd w:val="clear" w:color="auto" w:fill="auto"/>
                  <w:vAlign w:val="bottom"/>
                </w:tcPr>
                <w:p w:rsidR="006025FA" w:rsidRPr="00B00584" w:rsidRDefault="006025FA" w:rsidP="005E1D0D">
                  <w:pPr>
                    <w:pStyle w:val="TableBodyText"/>
                  </w:pPr>
                  <w:proofErr w:type="spellStart"/>
                  <w:r>
                    <w:t>na</w:t>
                  </w:r>
                  <w:proofErr w:type="spellEnd"/>
                </w:p>
              </w:tc>
              <w:tc>
                <w:tcPr>
                  <w:tcW w:w="433" w:type="pct"/>
                  <w:shd w:val="clear" w:color="auto" w:fill="auto"/>
                  <w:vAlign w:val="bottom"/>
                </w:tcPr>
                <w:p w:rsidR="006025FA" w:rsidRPr="00B00584" w:rsidRDefault="006025FA" w:rsidP="005E1D0D">
                  <w:pPr>
                    <w:pStyle w:val="TableBodyText"/>
                  </w:pPr>
                  <w:r w:rsidRPr="00B00584">
                    <w:t xml:space="preserve">  12.4</w:t>
                  </w:r>
                </w:p>
              </w:tc>
              <w:tc>
                <w:tcPr>
                  <w:tcW w:w="433" w:type="pct"/>
                  <w:shd w:val="clear" w:color="auto" w:fill="auto"/>
                  <w:vAlign w:val="bottom"/>
                </w:tcPr>
                <w:p w:rsidR="006025FA" w:rsidRPr="00B00584" w:rsidRDefault="006025FA" w:rsidP="005E1D0D">
                  <w:pPr>
                    <w:pStyle w:val="TableBodyText"/>
                  </w:pPr>
                  <w:proofErr w:type="spellStart"/>
                  <w:r>
                    <w:t>np</w:t>
                  </w:r>
                  <w:proofErr w:type="spellEnd"/>
                </w:p>
              </w:tc>
              <w:tc>
                <w:tcPr>
                  <w:tcW w:w="438" w:type="pct"/>
                  <w:shd w:val="clear" w:color="auto" w:fill="auto"/>
                  <w:vAlign w:val="bottom"/>
                </w:tcPr>
                <w:p w:rsidR="006025FA" w:rsidRPr="005E1D0D" w:rsidRDefault="006025FA" w:rsidP="005E1D0D">
                  <w:pPr>
                    <w:pStyle w:val="TableBodyText"/>
                  </w:pPr>
                  <w:proofErr w:type="spellStart"/>
                  <w:r w:rsidRPr="005E1D0D">
                    <w:t>na</w:t>
                  </w:r>
                  <w:proofErr w:type="spellEnd"/>
                </w:p>
              </w:tc>
            </w:tr>
            <w:tr w:rsidR="006025FA" w:rsidRPr="00ED0B2A" w:rsidTr="00CC70FD">
              <w:tc>
                <w:tcPr>
                  <w:tcW w:w="166" w:type="pct"/>
                  <w:shd w:val="clear" w:color="auto" w:fill="auto"/>
                </w:tcPr>
                <w:p w:rsidR="006025FA" w:rsidRPr="00ED0B2A" w:rsidRDefault="006025FA" w:rsidP="00B62D49">
                  <w:pPr>
                    <w:pStyle w:val="TableBodyText"/>
                    <w:jc w:val="left"/>
                    <w:rPr>
                      <w:vertAlign w:val="superscript"/>
                    </w:rPr>
                  </w:pPr>
                </w:p>
              </w:tc>
              <w:tc>
                <w:tcPr>
                  <w:tcW w:w="935" w:type="pct"/>
                  <w:shd w:val="clear" w:color="auto" w:fill="auto"/>
                </w:tcPr>
                <w:p w:rsidR="006025FA" w:rsidRPr="00ED0B2A" w:rsidRDefault="006025FA" w:rsidP="00B62D49">
                  <w:pPr>
                    <w:pStyle w:val="TableBodyText"/>
                    <w:jc w:val="left"/>
                  </w:pPr>
                  <w:proofErr w:type="spellStart"/>
                  <w:r w:rsidRPr="00ED0B2A">
                    <w:t>1500g</w:t>
                  </w:r>
                  <w:proofErr w:type="spellEnd"/>
                  <w:r w:rsidRPr="00ED0B2A">
                    <w:t>–</w:t>
                  </w:r>
                  <w:proofErr w:type="spellStart"/>
                  <w:r w:rsidRPr="00ED0B2A">
                    <w:t>1999g</w:t>
                  </w:r>
                  <w:proofErr w:type="spellEnd"/>
                </w:p>
              </w:tc>
              <w:tc>
                <w:tcPr>
                  <w:tcW w:w="432" w:type="pct"/>
                  <w:shd w:val="clear" w:color="auto" w:fill="auto"/>
                  <w:vAlign w:val="bottom"/>
                </w:tcPr>
                <w:p w:rsidR="006025FA" w:rsidRPr="00B00584" w:rsidRDefault="006025FA" w:rsidP="005E1D0D">
                  <w:pPr>
                    <w:pStyle w:val="TableBodyText"/>
                  </w:pPr>
                  <w:r w:rsidRPr="00B00584">
                    <w:t xml:space="preserve">  1.3</w:t>
                  </w:r>
                </w:p>
              </w:tc>
              <w:tc>
                <w:tcPr>
                  <w:tcW w:w="433" w:type="pct"/>
                  <w:shd w:val="clear" w:color="auto" w:fill="auto"/>
                  <w:vAlign w:val="bottom"/>
                </w:tcPr>
                <w:p w:rsidR="006025FA" w:rsidRPr="00B00584" w:rsidRDefault="006025FA" w:rsidP="005E1D0D">
                  <w:pPr>
                    <w:pStyle w:val="TableBodyText"/>
                  </w:pPr>
                  <w:r w:rsidRPr="00B00584">
                    <w:t xml:space="preserve">  1.1</w:t>
                  </w:r>
                </w:p>
              </w:tc>
              <w:tc>
                <w:tcPr>
                  <w:tcW w:w="430" w:type="pct"/>
                  <w:shd w:val="clear" w:color="auto" w:fill="auto"/>
                  <w:vAlign w:val="bottom"/>
                </w:tcPr>
                <w:p w:rsidR="006025FA" w:rsidRPr="00B00584" w:rsidRDefault="006025FA" w:rsidP="005E1D0D">
                  <w:pPr>
                    <w:pStyle w:val="TableBodyText"/>
                  </w:pPr>
                  <w:r w:rsidRPr="00B00584">
                    <w:t xml:space="preserve">  2.2</w:t>
                  </w:r>
                </w:p>
              </w:tc>
              <w:tc>
                <w:tcPr>
                  <w:tcW w:w="433" w:type="pct"/>
                  <w:shd w:val="clear" w:color="auto" w:fill="auto"/>
                  <w:vAlign w:val="bottom"/>
                </w:tcPr>
                <w:p w:rsidR="006025FA" w:rsidRPr="00B00584" w:rsidRDefault="006025FA" w:rsidP="005E1D0D">
                  <w:pPr>
                    <w:pStyle w:val="TableBodyText"/>
                  </w:pPr>
                  <w:r w:rsidRPr="00B00584">
                    <w:t xml:space="preserve">  1.3</w:t>
                  </w:r>
                </w:p>
              </w:tc>
              <w:tc>
                <w:tcPr>
                  <w:tcW w:w="432" w:type="pct"/>
                  <w:shd w:val="clear" w:color="auto" w:fill="auto"/>
                  <w:vAlign w:val="bottom"/>
                </w:tcPr>
                <w:p w:rsidR="006025FA" w:rsidRPr="00B00584" w:rsidRDefault="006025FA" w:rsidP="005E1D0D">
                  <w:pPr>
                    <w:pStyle w:val="TableBodyText"/>
                  </w:pPr>
                  <w:r w:rsidRPr="00B00584">
                    <w:t xml:space="preserve">  0.8</w:t>
                  </w:r>
                </w:p>
              </w:tc>
              <w:tc>
                <w:tcPr>
                  <w:tcW w:w="435" w:type="pct"/>
                  <w:shd w:val="clear" w:color="auto" w:fill="auto"/>
                  <w:vAlign w:val="bottom"/>
                </w:tcPr>
                <w:p w:rsidR="006025FA" w:rsidRPr="00B00584" w:rsidRDefault="006025FA" w:rsidP="005E1D0D">
                  <w:pPr>
                    <w:pStyle w:val="TableBodyText"/>
                  </w:pPr>
                  <w:proofErr w:type="spellStart"/>
                  <w:r>
                    <w:t>na</w:t>
                  </w:r>
                  <w:proofErr w:type="spellEnd"/>
                </w:p>
              </w:tc>
              <w:tc>
                <w:tcPr>
                  <w:tcW w:w="433" w:type="pct"/>
                  <w:shd w:val="clear" w:color="auto" w:fill="auto"/>
                  <w:vAlign w:val="bottom"/>
                </w:tcPr>
                <w:p w:rsidR="006025FA" w:rsidRPr="00B00584" w:rsidRDefault="006025FA" w:rsidP="005E1D0D">
                  <w:pPr>
                    <w:pStyle w:val="TableBodyText"/>
                  </w:pPr>
                  <w:r w:rsidRPr="00B00584">
                    <w:t>–</w:t>
                  </w:r>
                </w:p>
              </w:tc>
              <w:tc>
                <w:tcPr>
                  <w:tcW w:w="433" w:type="pct"/>
                  <w:shd w:val="clear" w:color="auto" w:fill="auto"/>
                  <w:vAlign w:val="bottom"/>
                </w:tcPr>
                <w:p w:rsidR="006025FA" w:rsidRPr="00B00584" w:rsidRDefault="006025FA" w:rsidP="005E1D0D">
                  <w:pPr>
                    <w:pStyle w:val="TableBodyText"/>
                  </w:pPr>
                  <w:proofErr w:type="spellStart"/>
                  <w:r>
                    <w:t>np</w:t>
                  </w:r>
                  <w:proofErr w:type="spellEnd"/>
                </w:p>
              </w:tc>
              <w:tc>
                <w:tcPr>
                  <w:tcW w:w="438" w:type="pct"/>
                  <w:shd w:val="clear" w:color="auto" w:fill="auto"/>
                  <w:vAlign w:val="bottom"/>
                </w:tcPr>
                <w:p w:rsidR="006025FA" w:rsidRPr="005E1D0D" w:rsidRDefault="006025FA" w:rsidP="005E1D0D">
                  <w:pPr>
                    <w:pStyle w:val="TableBodyText"/>
                  </w:pPr>
                  <w:proofErr w:type="spellStart"/>
                  <w:r w:rsidRPr="005E1D0D">
                    <w:t>na</w:t>
                  </w:r>
                  <w:proofErr w:type="spellEnd"/>
                </w:p>
              </w:tc>
            </w:tr>
            <w:tr w:rsidR="006025FA" w:rsidRPr="00ED0B2A" w:rsidTr="00CC70FD">
              <w:tc>
                <w:tcPr>
                  <w:tcW w:w="166" w:type="pct"/>
                  <w:shd w:val="clear" w:color="auto" w:fill="auto"/>
                </w:tcPr>
                <w:p w:rsidR="006025FA" w:rsidRPr="00ED0B2A" w:rsidRDefault="006025FA" w:rsidP="00B62D49">
                  <w:pPr>
                    <w:pStyle w:val="TableBodyText"/>
                    <w:jc w:val="left"/>
                    <w:rPr>
                      <w:vertAlign w:val="superscript"/>
                    </w:rPr>
                  </w:pPr>
                </w:p>
              </w:tc>
              <w:tc>
                <w:tcPr>
                  <w:tcW w:w="935" w:type="pct"/>
                  <w:shd w:val="clear" w:color="auto" w:fill="auto"/>
                </w:tcPr>
                <w:p w:rsidR="006025FA" w:rsidRPr="00ED0B2A" w:rsidRDefault="006025FA" w:rsidP="00B62D49">
                  <w:pPr>
                    <w:pStyle w:val="TableBodyText"/>
                    <w:jc w:val="left"/>
                  </w:pPr>
                  <w:proofErr w:type="spellStart"/>
                  <w:r w:rsidRPr="00ED0B2A">
                    <w:t>2000g</w:t>
                  </w:r>
                  <w:proofErr w:type="spellEnd"/>
                  <w:r w:rsidRPr="00ED0B2A">
                    <w:t>–</w:t>
                  </w:r>
                  <w:proofErr w:type="spellStart"/>
                  <w:r w:rsidRPr="00ED0B2A">
                    <w:t>2499g</w:t>
                  </w:r>
                  <w:proofErr w:type="spellEnd"/>
                </w:p>
              </w:tc>
              <w:tc>
                <w:tcPr>
                  <w:tcW w:w="432" w:type="pct"/>
                  <w:shd w:val="clear" w:color="auto" w:fill="auto"/>
                  <w:vAlign w:val="bottom"/>
                </w:tcPr>
                <w:p w:rsidR="006025FA" w:rsidRPr="00B00584" w:rsidRDefault="006025FA" w:rsidP="005E1D0D">
                  <w:pPr>
                    <w:pStyle w:val="TableBodyText"/>
                  </w:pPr>
                  <w:r w:rsidRPr="00B00584">
                    <w:t>0.7</w:t>
                  </w:r>
                </w:p>
              </w:tc>
              <w:tc>
                <w:tcPr>
                  <w:tcW w:w="433" w:type="pct"/>
                  <w:shd w:val="clear" w:color="auto" w:fill="auto"/>
                  <w:vAlign w:val="bottom"/>
                </w:tcPr>
                <w:p w:rsidR="006025FA" w:rsidRPr="00B00584" w:rsidRDefault="006025FA" w:rsidP="005E1D0D">
                  <w:pPr>
                    <w:pStyle w:val="TableBodyText"/>
                  </w:pPr>
                  <w:r w:rsidRPr="00B00584">
                    <w:t>0.6</w:t>
                  </w:r>
                </w:p>
              </w:tc>
              <w:tc>
                <w:tcPr>
                  <w:tcW w:w="430" w:type="pct"/>
                  <w:shd w:val="clear" w:color="auto" w:fill="auto"/>
                  <w:vAlign w:val="bottom"/>
                </w:tcPr>
                <w:p w:rsidR="006025FA" w:rsidRPr="00B00584" w:rsidRDefault="006025FA" w:rsidP="005E1D0D">
                  <w:pPr>
                    <w:pStyle w:val="TableBodyText"/>
                  </w:pPr>
                  <w:r w:rsidRPr="00B00584">
                    <w:t>0.6</w:t>
                  </w:r>
                </w:p>
              </w:tc>
              <w:tc>
                <w:tcPr>
                  <w:tcW w:w="433" w:type="pct"/>
                  <w:shd w:val="clear" w:color="auto" w:fill="auto"/>
                  <w:vAlign w:val="bottom"/>
                </w:tcPr>
                <w:p w:rsidR="006025FA" w:rsidRPr="00B00584" w:rsidRDefault="006025FA" w:rsidP="005E1D0D">
                  <w:pPr>
                    <w:pStyle w:val="TableBodyText"/>
                  </w:pPr>
                  <w:r w:rsidRPr="00B00584">
                    <w:t>0.5</w:t>
                  </w:r>
                </w:p>
              </w:tc>
              <w:tc>
                <w:tcPr>
                  <w:tcW w:w="432" w:type="pct"/>
                  <w:shd w:val="clear" w:color="auto" w:fill="auto"/>
                  <w:vAlign w:val="bottom"/>
                </w:tcPr>
                <w:p w:rsidR="006025FA" w:rsidRPr="00B00584" w:rsidRDefault="006025FA" w:rsidP="005E1D0D">
                  <w:pPr>
                    <w:pStyle w:val="TableBodyText"/>
                  </w:pPr>
                  <w:r w:rsidRPr="00B00584">
                    <w:t>0.1</w:t>
                  </w:r>
                </w:p>
              </w:tc>
              <w:tc>
                <w:tcPr>
                  <w:tcW w:w="435" w:type="pct"/>
                  <w:shd w:val="clear" w:color="auto" w:fill="auto"/>
                  <w:vAlign w:val="bottom"/>
                </w:tcPr>
                <w:p w:rsidR="006025FA" w:rsidRPr="00B00584" w:rsidRDefault="006025FA" w:rsidP="005E1D0D">
                  <w:pPr>
                    <w:pStyle w:val="TableBodyText"/>
                  </w:pPr>
                  <w:proofErr w:type="spellStart"/>
                  <w:r>
                    <w:t>na</w:t>
                  </w:r>
                  <w:proofErr w:type="spellEnd"/>
                </w:p>
              </w:tc>
              <w:tc>
                <w:tcPr>
                  <w:tcW w:w="433" w:type="pct"/>
                  <w:shd w:val="clear" w:color="auto" w:fill="auto"/>
                  <w:vAlign w:val="bottom"/>
                </w:tcPr>
                <w:p w:rsidR="006025FA" w:rsidRPr="00B00584" w:rsidRDefault="006025FA" w:rsidP="005E1D0D">
                  <w:pPr>
                    <w:pStyle w:val="TableBodyText"/>
                  </w:pPr>
                  <w:r w:rsidRPr="00B00584">
                    <w:t xml:space="preserve">  0.5</w:t>
                  </w:r>
                </w:p>
              </w:tc>
              <w:tc>
                <w:tcPr>
                  <w:tcW w:w="433" w:type="pct"/>
                  <w:shd w:val="clear" w:color="auto" w:fill="auto"/>
                  <w:vAlign w:val="bottom"/>
                </w:tcPr>
                <w:p w:rsidR="006025FA" w:rsidRPr="00B00584" w:rsidRDefault="006025FA" w:rsidP="005E1D0D">
                  <w:pPr>
                    <w:pStyle w:val="TableBodyText"/>
                  </w:pPr>
                  <w:proofErr w:type="spellStart"/>
                  <w:r>
                    <w:t>np</w:t>
                  </w:r>
                  <w:proofErr w:type="spellEnd"/>
                </w:p>
              </w:tc>
              <w:tc>
                <w:tcPr>
                  <w:tcW w:w="438" w:type="pct"/>
                  <w:shd w:val="clear" w:color="auto" w:fill="auto"/>
                  <w:vAlign w:val="bottom"/>
                </w:tcPr>
                <w:p w:rsidR="006025FA" w:rsidRPr="005E1D0D" w:rsidRDefault="006025FA" w:rsidP="005E1D0D">
                  <w:pPr>
                    <w:pStyle w:val="TableBodyText"/>
                  </w:pPr>
                  <w:proofErr w:type="spellStart"/>
                  <w:r w:rsidRPr="005E1D0D">
                    <w:t>na</w:t>
                  </w:r>
                  <w:proofErr w:type="spellEnd"/>
                </w:p>
              </w:tc>
            </w:tr>
            <w:tr w:rsidR="006025FA" w:rsidRPr="00ED0B2A" w:rsidTr="00CC70FD">
              <w:tc>
                <w:tcPr>
                  <w:tcW w:w="166" w:type="pct"/>
                  <w:shd w:val="clear" w:color="auto" w:fill="auto"/>
                </w:tcPr>
                <w:p w:rsidR="006025FA" w:rsidRPr="00ED0B2A" w:rsidRDefault="006025FA" w:rsidP="00B62D49">
                  <w:pPr>
                    <w:pStyle w:val="TableBodyText"/>
                    <w:jc w:val="left"/>
                    <w:rPr>
                      <w:vertAlign w:val="superscript"/>
                    </w:rPr>
                  </w:pPr>
                </w:p>
              </w:tc>
              <w:tc>
                <w:tcPr>
                  <w:tcW w:w="935" w:type="pct"/>
                  <w:shd w:val="clear" w:color="auto" w:fill="auto"/>
                </w:tcPr>
                <w:p w:rsidR="006025FA" w:rsidRPr="00ED0B2A" w:rsidRDefault="006025FA" w:rsidP="00B62D49">
                  <w:pPr>
                    <w:pStyle w:val="TableBodyText"/>
                    <w:jc w:val="left"/>
                  </w:pPr>
                  <w:proofErr w:type="spellStart"/>
                  <w:r w:rsidRPr="00ED0B2A">
                    <w:t>2500g</w:t>
                  </w:r>
                  <w:proofErr w:type="spellEnd"/>
                  <w:r w:rsidRPr="00ED0B2A">
                    <w:t>+</w:t>
                  </w:r>
                </w:p>
              </w:tc>
              <w:tc>
                <w:tcPr>
                  <w:tcW w:w="432" w:type="pct"/>
                  <w:shd w:val="clear" w:color="auto" w:fill="auto"/>
                  <w:vAlign w:val="bottom"/>
                </w:tcPr>
                <w:p w:rsidR="006025FA" w:rsidRPr="00B00584" w:rsidRDefault="006025FA" w:rsidP="005E1D0D">
                  <w:pPr>
                    <w:pStyle w:val="TableBodyText"/>
                  </w:pPr>
                  <w:r w:rsidRPr="00B00584">
                    <w:t>0.2</w:t>
                  </w:r>
                </w:p>
              </w:tc>
              <w:tc>
                <w:tcPr>
                  <w:tcW w:w="433" w:type="pct"/>
                  <w:shd w:val="clear" w:color="auto" w:fill="auto"/>
                  <w:vAlign w:val="bottom"/>
                </w:tcPr>
                <w:p w:rsidR="006025FA" w:rsidRPr="00B00584" w:rsidRDefault="006025FA" w:rsidP="005E1D0D">
                  <w:pPr>
                    <w:pStyle w:val="TableBodyText"/>
                  </w:pPr>
                  <w:r w:rsidRPr="00B00584">
                    <w:t>0.2</w:t>
                  </w:r>
                </w:p>
              </w:tc>
              <w:tc>
                <w:tcPr>
                  <w:tcW w:w="430" w:type="pct"/>
                  <w:shd w:val="clear" w:color="auto" w:fill="auto"/>
                  <w:vAlign w:val="bottom"/>
                </w:tcPr>
                <w:p w:rsidR="006025FA" w:rsidRPr="00B00584" w:rsidRDefault="006025FA" w:rsidP="005E1D0D">
                  <w:pPr>
                    <w:pStyle w:val="TableBodyText"/>
                  </w:pPr>
                  <w:r w:rsidRPr="00B00584">
                    <w:t>0.2</w:t>
                  </w:r>
                </w:p>
              </w:tc>
              <w:tc>
                <w:tcPr>
                  <w:tcW w:w="433" w:type="pct"/>
                  <w:shd w:val="clear" w:color="auto" w:fill="auto"/>
                  <w:vAlign w:val="bottom"/>
                </w:tcPr>
                <w:p w:rsidR="006025FA" w:rsidRPr="00B00584" w:rsidRDefault="006025FA" w:rsidP="005E1D0D">
                  <w:pPr>
                    <w:pStyle w:val="TableBodyText"/>
                  </w:pPr>
                  <w:r w:rsidRPr="00B00584">
                    <w:t>0.2</w:t>
                  </w:r>
                </w:p>
              </w:tc>
              <w:tc>
                <w:tcPr>
                  <w:tcW w:w="432" w:type="pct"/>
                  <w:shd w:val="clear" w:color="auto" w:fill="auto"/>
                  <w:vAlign w:val="bottom"/>
                </w:tcPr>
                <w:p w:rsidR="006025FA" w:rsidRPr="00B00584" w:rsidRDefault="006025FA" w:rsidP="005E1D0D">
                  <w:pPr>
                    <w:pStyle w:val="TableBodyText"/>
                  </w:pPr>
                  <w:r w:rsidRPr="00B00584">
                    <w:t>0.1</w:t>
                  </w:r>
                </w:p>
              </w:tc>
              <w:tc>
                <w:tcPr>
                  <w:tcW w:w="435" w:type="pct"/>
                  <w:shd w:val="clear" w:color="auto" w:fill="auto"/>
                  <w:vAlign w:val="bottom"/>
                </w:tcPr>
                <w:p w:rsidR="006025FA" w:rsidRPr="00B00584" w:rsidRDefault="006025FA" w:rsidP="005E1D0D">
                  <w:pPr>
                    <w:pStyle w:val="TableBodyText"/>
                  </w:pPr>
                  <w:proofErr w:type="spellStart"/>
                  <w:r>
                    <w:t>na</w:t>
                  </w:r>
                  <w:proofErr w:type="spellEnd"/>
                </w:p>
              </w:tc>
              <w:tc>
                <w:tcPr>
                  <w:tcW w:w="433" w:type="pct"/>
                  <w:shd w:val="clear" w:color="auto" w:fill="auto"/>
                  <w:vAlign w:val="bottom"/>
                </w:tcPr>
                <w:p w:rsidR="006025FA" w:rsidRPr="00B00584" w:rsidRDefault="006025FA" w:rsidP="005E1D0D">
                  <w:pPr>
                    <w:pStyle w:val="TableBodyText"/>
                  </w:pPr>
                  <w:r w:rsidRPr="00B00584">
                    <w:t xml:space="preserve">  0.2</w:t>
                  </w:r>
                </w:p>
              </w:tc>
              <w:tc>
                <w:tcPr>
                  <w:tcW w:w="433" w:type="pct"/>
                  <w:shd w:val="clear" w:color="auto" w:fill="auto"/>
                  <w:vAlign w:val="bottom"/>
                </w:tcPr>
                <w:p w:rsidR="006025FA" w:rsidRPr="00B00584" w:rsidRDefault="006025FA" w:rsidP="005E1D0D">
                  <w:pPr>
                    <w:pStyle w:val="TableBodyText"/>
                  </w:pPr>
                  <w:r w:rsidRPr="00B00584">
                    <w:t xml:space="preserve">  0.3</w:t>
                  </w:r>
                </w:p>
              </w:tc>
              <w:tc>
                <w:tcPr>
                  <w:tcW w:w="438" w:type="pct"/>
                  <w:shd w:val="clear" w:color="auto" w:fill="auto"/>
                  <w:vAlign w:val="bottom"/>
                </w:tcPr>
                <w:p w:rsidR="006025FA" w:rsidRPr="005E1D0D" w:rsidRDefault="006025FA" w:rsidP="005E1D0D">
                  <w:pPr>
                    <w:pStyle w:val="TableBodyText"/>
                  </w:pPr>
                  <w:proofErr w:type="spellStart"/>
                  <w:r w:rsidRPr="005E1D0D">
                    <w:t>na</w:t>
                  </w:r>
                  <w:proofErr w:type="spellEnd"/>
                </w:p>
              </w:tc>
            </w:tr>
          </w:tbl>
          <w:p w:rsidR="00CF7149" w:rsidRPr="00ED0B2A" w:rsidRDefault="00273C3F" w:rsidP="008E46D8">
            <w:pPr>
              <w:pStyle w:val="TableColumnHeading"/>
              <w:jc w:val="left"/>
              <w:rPr>
                <w:b/>
              </w:rPr>
            </w:pPr>
            <w:r w:rsidRPr="00ED0B2A">
              <w:t>Perinatal death rates — deaths per ‘000 total births</w:t>
            </w:r>
            <w:r w:rsidR="00CF7149" w:rsidRPr="00ED0B2A">
              <w:t xml:space="preserve">, </w:t>
            </w:r>
            <w:r w:rsidR="00CF7149" w:rsidRPr="00CC70FD">
              <w:t>20</w:t>
            </w:r>
            <w:r w:rsidR="00246034" w:rsidRPr="00CC70FD">
              <w:t>1</w:t>
            </w:r>
            <w:r w:rsidR="008E41E3" w:rsidRPr="00CC70FD">
              <w:t>1</w:t>
            </w:r>
            <w:r w:rsidR="00CF7149" w:rsidRPr="00ED0B2A">
              <w:br/>
            </w:r>
            <w:r w:rsidR="00817E4C" w:rsidRPr="00CC70FD">
              <w:rPr>
                <w:i w:val="0"/>
                <w:sz w:val="16"/>
                <w:szCs w:val="16"/>
              </w:rPr>
              <w:t xml:space="preserve">Most recent data for this indicator are </w:t>
            </w:r>
            <w:r w:rsidR="008E46D8" w:rsidRPr="00CC70FD">
              <w:rPr>
                <w:i w:val="0"/>
                <w:sz w:val="16"/>
                <w:szCs w:val="16"/>
              </w:rPr>
              <w:t xml:space="preserve">not </w:t>
            </w:r>
            <w:r w:rsidR="00817E4C" w:rsidRPr="00CC70FD">
              <w:rPr>
                <w:i w:val="0"/>
                <w:sz w:val="16"/>
                <w:szCs w:val="16"/>
              </w:rPr>
              <w:t xml:space="preserve">complete </w:t>
            </w:r>
            <w:r w:rsidR="008E46D8" w:rsidRPr="00CC70FD">
              <w:rPr>
                <w:i w:val="0"/>
                <w:sz w:val="16"/>
                <w:szCs w:val="16"/>
              </w:rPr>
              <w:t>but are</w:t>
            </w:r>
            <w:r w:rsidR="00817E4C" w:rsidRPr="00CC70FD">
              <w:rPr>
                <w:i w:val="0"/>
                <w:sz w:val="16"/>
                <w:szCs w:val="16"/>
              </w:rPr>
              <w:t xml:space="preserve"> comparable (chapter 10)</w:t>
            </w:r>
          </w:p>
        </w:tc>
      </w:tr>
      <w:tr w:rsidR="008E41E3" w:rsidRPr="00B817EA" w:rsidTr="00CC70FD">
        <w:tc>
          <w:tcPr>
            <w:tcW w:w="166" w:type="pct"/>
            <w:shd w:val="clear" w:color="auto" w:fill="auto"/>
          </w:tcPr>
          <w:p w:rsidR="008E41E3" w:rsidRPr="00C375D1" w:rsidRDefault="008E41E3" w:rsidP="00B725F6">
            <w:pPr>
              <w:pStyle w:val="TableBodyText"/>
              <w:jc w:val="left"/>
              <w:rPr>
                <w:highlight w:val="yellow"/>
                <w:vertAlign w:val="superscript"/>
              </w:rPr>
            </w:pPr>
          </w:p>
        </w:tc>
        <w:tc>
          <w:tcPr>
            <w:tcW w:w="935" w:type="pct"/>
            <w:shd w:val="clear" w:color="auto" w:fill="auto"/>
          </w:tcPr>
          <w:p w:rsidR="008E41E3" w:rsidRPr="00ED0B2A" w:rsidRDefault="008E41E3" w:rsidP="00B725F6">
            <w:pPr>
              <w:pStyle w:val="TableBodyText"/>
              <w:jc w:val="left"/>
            </w:pPr>
            <w:proofErr w:type="spellStart"/>
            <w:r w:rsidRPr="00ED0B2A">
              <w:t>Fetal</w:t>
            </w:r>
            <w:proofErr w:type="spellEnd"/>
            <w:r w:rsidRPr="00ED0B2A">
              <w:t xml:space="preserve"> deaths</w:t>
            </w:r>
          </w:p>
        </w:tc>
        <w:tc>
          <w:tcPr>
            <w:tcW w:w="432" w:type="pct"/>
            <w:shd w:val="clear" w:color="auto" w:fill="auto"/>
            <w:vAlign w:val="center"/>
          </w:tcPr>
          <w:p w:rsidR="008E41E3" w:rsidRPr="005E1D0D" w:rsidRDefault="008E41E3" w:rsidP="005E1D0D">
            <w:pPr>
              <w:pStyle w:val="TableBodyText"/>
            </w:pPr>
            <w:r w:rsidRPr="005E1D0D">
              <w:t>5.2</w:t>
            </w:r>
          </w:p>
        </w:tc>
        <w:tc>
          <w:tcPr>
            <w:tcW w:w="433" w:type="pct"/>
            <w:shd w:val="clear" w:color="auto" w:fill="auto"/>
            <w:vAlign w:val="center"/>
          </w:tcPr>
          <w:p w:rsidR="008E41E3" w:rsidRPr="005E1D0D" w:rsidRDefault="008E41E3" w:rsidP="005E1D0D">
            <w:pPr>
              <w:pStyle w:val="TableBodyText"/>
            </w:pPr>
            <w:r w:rsidRPr="005E1D0D">
              <w:t>5.6</w:t>
            </w:r>
          </w:p>
        </w:tc>
        <w:tc>
          <w:tcPr>
            <w:tcW w:w="430" w:type="pct"/>
            <w:shd w:val="clear" w:color="auto" w:fill="auto"/>
            <w:vAlign w:val="center"/>
          </w:tcPr>
          <w:p w:rsidR="008E41E3" w:rsidRPr="005E1D0D" w:rsidRDefault="008E41E3" w:rsidP="005E1D0D">
            <w:pPr>
              <w:pStyle w:val="TableBodyText"/>
            </w:pPr>
            <w:r w:rsidRPr="005E1D0D">
              <w:t>5.9</w:t>
            </w:r>
          </w:p>
        </w:tc>
        <w:tc>
          <w:tcPr>
            <w:tcW w:w="433" w:type="pct"/>
            <w:shd w:val="clear" w:color="auto" w:fill="auto"/>
            <w:vAlign w:val="center"/>
          </w:tcPr>
          <w:p w:rsidR="008E41E3" w:rsidRPr="005E1D0D" w:rsidRDefault="008E41E3" w:rsidP="005E1D0D">
            <w:pPr>
              <w:pStyle w:val="TableBodyText"/>
            </w:pPr>
            <w:r w:rsidRPr="005E1D0D">
              <w:t>7.8</w:t>
            </w:r>
          </w:p>
        </w:tc>
        <w:tc>
          <w:tcPr>
            <w:tcW w:w="432" w:type="pct"/>
            <w:shd w:val="clear" w:color="auto" w:fill="auto"/>
            <w:vAlign w:val="center"/>
          </w:tcPr>
          <w:p w:rsidR="008E41E3" w:rsidRPr="005E1D0D" w:rsidRDefault="008E41E3" w:rsidP="005E1D0D">
            <w:pPr>
              <w:pStyle w:val="TableBodyText"/>
            </w:pPr>
            <w:r w:rsidRPr="005E1D0D">
              <w:t>4.5</w:t>
            </w:r>
          </w:p>
        </w:tc>
        <w:tc>
          <w:tcPr>
            <w:tcW w:w="435" w:type="pct"/>
            <w:shd w:val="clear" w:color="auto" w:fill="auto"/>
            <w:vAlign w:val="center"/>
          </w:tcPr>
          <w:p w:rsidR="008E41E3" w:rsidRPr="005E1D0D" w:rsidRDefault="008E41E3" w:rsidP="005E1D0D">
            <w:pPr>
              <w:pStyle w:val="TableBodyText"/>
            </w:pPr>
            <w:r w:rsidRPr="005E1D0D">
              <w:t>7.4</w:t>
            </w:r>
          </w:p>
        </w:tc>
        <w:tc>
          <w:tcPr>
            <w:tcW w:w="433" w:type="pct"/>
            <w:shd w:val="clear" w:color="auto" w:fill="auto"/>
            <w:vAlign w:val="center"/>
          </w:tcPr>
          <w:p w:rsidR="008E41E3" w:rsidRPr="005E1D0D" w:rsidRDefault="008E41E3" w:rsidP="005E1D0D">
            <w:pPr>
              <w:pStyle w:val="TableBodyText"/>
            </w:pPr>
            <w:r w:rsidRPr="005E1D0D">
              <w:t>5.4</w:t>
            </w:r>
          </w:p>
        </w:tc>
        <w:tc>
          <w:tcPr>
            <w:tcW w:w="433" w:type="pct"/>
            <w:shd w:val="clear" w:color="auto" w:fill="auto"/>
            <w:vAlign w:val="center"/>
          </w:tcPr>
          <w:p w:rsidR="008E41E3" w:rsidRPr="005E1D0D" w:rsidRDefault="008E41E3" w:rsidP="005E1D0D">
            <w:pPr>
              <w:pStyle w:val="TableBodyText"/>
            </w:pPr>
            <w:r w:rsidRPr="005E1D0D">
              <w:t>8.5</w:t>
            </w:r>
          </w:p>
        </w:tc>
        <w:tc>
          <w:tcPr>
            <w:tcW w:w="438" w:type="pct"/>
            <w:gridSpan w:val="2"/>
            <w:shd w:val="clear" w:color="auto" w:fill="auto"/>
            <w:vAlign w:val="center"/>
          </w:tcPr>
          <w:p w:rsidR="008E41E3" w:rsidRPr="005E1D0D" w:rsidRDefault="008E41E3" w:rsidP="005E1D0D">
            <w:pPr>
              <w:pStyle w:val="TableBodyText"/>
            </w:pPr>
            <w:r w:rsidRPr="005E1D0D">
              <w:t>5.8</w:t>
            </w:r>
          </w:p>
        </w:tc>
      </w:tr>
      <w:tr w:rsidR="008E41E3" w:rsidRPr="00B817EA" w:rsidTr="00CC70FD">
        <w:tc>
          <w:tcPr>
            <w:tcW w:w="166" w:type="pct"/>
            <w:shd w:val="clear" w:color="auto" w:fill="auto"/>
          </w:tcPr>
          <w:p w:rsidR="008E41E3" w:rsidRPr="00C375D1" w:rsidRDefault="008E41E3" w:rsidP="00B725F6">
            <w:pPr>
              <w:pStyle w:val="TableBodyText"/>
              <w:jc w:val="left"/>
              <w:rPr>
                <w:highlight w:val="yellow"/>
                <w:vertAlign w:val="superscript"/>
              </w:rPr>
            </w:pPr>
          </w:p>
        </w:tc>
        <w:tc>
          <w:tcPr>
            <w:tcW w:w="935" w:type="pct"/>
            <w:shd w:val="clear" w:color="auto" w:fill="auto"/>
          </w:tcPr>
          <w:p w:rsidR="008E41E3" w:rsidRPr="00ED0B2A" w:rsidRDefault="008E41E3" w:rsidP="00B725F6">
            <w:pPr>
              <w:pStyle w:val="TableBodyText"/>
              <w:jc w:val="left"/>
            </w:pPr>
            <w:r w:rsidRPr="00ED0B2A">
              <w:t>Neonatal deaths</w:t>
            </w:r>
          </w:p>
        </w:tc>
        <w:tc>
          <w:tcPr>
            <w:tcW w:w="432" w:type="pct"/>
            <w:shd w:val="clear" w:color="auto" w:fill="auto"/>
            <w:vAlign w:val="center"/>
          </w:tcPr>
          <w:p w:rsidR="008E41E3" w:rsidRPr="005E1D0D" w:rsidRDefault="008E41E3" w:rsidP="005E1D0D">
            <w:pPr>
              <w:pStyle w:val="TableBodyText"/>
            </w:pPr>
            <w:r w:rsidRPr="005E1D0D">
              <w:t>3.0</w:t>
            </w:r>
          </w:p>
        </w:tc>
        <w:tc>
          <w:tcPr>
            <w:tcW w:w="433" w:type="pct"/>
            <w:shd w:val="clear" w:color="auto" w:fill="auto"/>
            <w:vAlign w:val="center"/>
          </w:tcPr>
          <w:p w:rsidR="008E41E3" w:rsidRPr="005E1D0D" w:rsidRDefault="008E41E3" w:rsidP="005E1D0D">
            <w:pPr>
              <w:pStyle w:val="TableBodyText"/>
            </w:pPr>
            <w:r w:rsidRPr="005E1D0D">
              <w:t>2.6</w:t>
            </w:r>
          </w:p>
        </w:tc>
        <w:tc>
          <w:tcPr>
            <w:tcW w:w="430" w:type="pct"/>
            <w:shd w:val="clear" w:color="auto" w:fill="auto"/>
            <w:vAlign w:val="center"/>
          </w:tcPr>
          <w:p w:rsidR="008E41E3" w:rsidRPr="005E1D0D" w:rsidRDefault="008E41E3" w:rsidP="005E1D0D">
            <w:pPr>
              <w:pStyle w:val="TableBodyText"/>
            </w:pPr>
            <w:r w:rsidRPr="005E1D0D">
              <w:t>3.1</w:t>
            </w:r>
          </w:p>
        </w:tc>
        <w:tc>
          <w:tcPr>
            <w:tcW w:w="433" w:type="pct"/>
            <w:shd w:val="clear" w:color="auto" w:fill="auto"/>
            <w:vAlign w:val="center"/>
          </w:tcPr>
          <w:p w:rsidR="008E41E3" w:rsidRPr="005E1D0D" w:rsidRDefault="008E41E3" w:rsidP="005E1D0D">
            <w:pPr>
              <w:pStyle w:val="TableBodyText"/>
            </w:pPr>
            <w:r w:rsidRPr="005E1D0D">
              <w:t>2.0</w:t>
            </w:r>
          </w:p>
        </w:tc>
        <w:tc>
          <w:tcPr>
            <w:tcW w:w="432" w:type="pct"/>
            <w:shd w:val="clear" w:color="auto" w:fill="auto"/>
            <w:vAlign w:val="center"/>
          </w:tcPr>
          <w:p w:rsidR="008E41E3" w:rsidRPr="005E1D0D" w:rsidRDefault="008E41E3" w:rsidP="005E1D0D">
            <w:pPr>
              <w:pStyle w:val="TableBodyText"/>
            </w:pPr>
            <w:r w:rsidRPr="005E1D0D">
              <w:t>1.5</w:t>
            </w:r>
          </w:p>
        </w:tc>
        <w:tc>
          <w:tcPr>
            <w:tcW w:w="435" w:type="pct"/>
            <w:shd w:val="clear" w:color="auto" w:fill="auto"/>
            <w:vAlign w:val="center"/>
          </w:tcPr>
          <w:p w:rsidR="008E41E3" w:rsidRPr="005E1D0D" w:rsidRDefault="008E41E3" w:rsidP="005E1D0D">
            <w:pPr>
              <w:pStyle w:val="TableBodyText"/>
            </w:pPr>
            <w:r w:rsidRPr="005E1D0D">
              <w:t>2.7</w:t>
            </w:r>
          </w:p>
        </w:tc>
        <w:tc>
          <w:tcPr>
            <w:tcW w:w="433" w:type="pct"/>
            <w:shd w:val="clear" w:color="auto" w:fill="auto"/>
            <w:vAlign w:val="center"/>
          </w:tcPr>
          <w:p w:rsidR="008E41E3" w:rsidRPr="005E1D0D" w:rsidRDefault="008E41E3" w:rsidP="005E1D0D">
            <w:pPr>
              <w:pStyle w:val="TableBodyText"/>
            </w:pPr>
            <w:r w:rsidRPr="005E1D0D">
              <w:t>1.8</w:t>
            </w:r>
          </w:p>
        </w:tc>
        <w:tc>
          <w:tcPr>
            <w:tcW w:w="433" w:type="pct"/>
            <w:shd w:val="clear" w:color="auto" w:fill="auto"/>
            <w:vAlign w:val="center"/>
          </w:tcPr>
          <w:p w:rsidR="008E41E3" w:rsidRPr="005E1D0D" w:rsidRDefault="008E41E3" w:rsidP="005E1D0D">
            <w:pPr>
              <w:pStyle w:val="TableBodyText"/>
            </w:pPr>
            <w:r w:rsidRPr="005E1D0D">
              <w:t>4.3</w:t>
            </w:r>
          </w:p>
        </w:tc>
        <w:tc>
          <w:tcPr>
            <w:tcW w:w="438" w:type="pct"/>
            <w:gridSpan w:val="2"/>
            <w:shd w:val="clear" w:color="auto" w:fill="auto"/>
            <w:vAlign w:val="center"/>
          </w:tcPr>
          <w:p w:rsidR="008E41E3" w:rsidRPr="005E1D0D" w:rsidRDefault="008E41E3" w:rsidP="005E1D0D">
            <w:pPr>
              <w:pStyle w:val="TableBodyText"/>
            </w:pPr>
            <w:r w:rsidRPr="005E1D0D">
              <w:t>2.7</w:t>
            </w:r>
          </w:p>
        </w:tc>
      </w:tr>
      <w:tr w:rsidR="008E41E3" w:rsidRPr="00B817EA" w:rsidTr="00CC70FD">
        <w:tc>
          <w:tcPr>
            <w:tcW w:w="166" w:type="pct"/>
            <w:shd w:val="clear" w:color="auto" w:fill="auto"/>
          </w:tcPr>
          <w:p w:rsidR="008E41E3" w:rsidRPr="00C375D1" w:rsidRDefault="008E41E3" w:rsidP="00B725F6">
            <w:pPr>
              <w:pStyle w:val="TableBodyText"/>
              <w:jc w:val="left"/>
              <w:rPr>
                <w:highlight w:val="yellow"/>
                <w:vertAlign w:val="superscript"/>
              </w:rPr>
            </w:pPr>
          </w:p>
        </w:tc>
        <w:tc>
          <w:tcPr>
            <w:tcW w:w="935" w:type="pct"/>
            <w:shd w:val="clear" w:color="auto" w:fill="auto"/>
          </w:tcPr>
          <w:p w:rsidR="008E41E3" w:rsidRPr="00ED0B2A" w:rsidRDefault="008E41E3" w:rsidP="00B725F6">
            <w:pPr>
              <w:pStyle w:val="TableBodyText"/>
              <w:jc w:val="left"/>
            </w:pPr>
            <w:r w:rsidRPr="00ED0B2A">
              <w:t xml:space="preserve">Perinatal deaths </w:t>
            </w:r>
          </w:p>
        </w:tc>
        <w:tc>
          <w:tcPr>
            <w:tcW w:w="432" w:type="pct"/>
            <w:shd w:val="clear" w:color="auto" w:fill="auto"/>
            <w:vAlign w:val="center"/>
          </w:tcPr>
          <w:p w:rsidR="008E41E3" w:rsidRPr="005E1D0D" w:rsidRDefault="008E41E3" w:rsidP="005E1D0D">
            <w:pPr>
              <w:pStyle w:val="TableBodyText"/>
            </w:pPr>
            <w:r w:rsidRPr="005E1D0D">
              <w:t>8.1</w:t>
            </w:r>
          </w:p>
        </w:tc>
        <w:tc>
          <w:tcPr>
            <w:tcW w:w="433" w:type="pct"/>
            <w:shd w:val="clear" w:color="auto" w:fill="auto"/>
            <w:vAlign w:val="center"/>
          </w:tcPr>
          <w:p w:rsidR="008E41E3" w:rsidRPr="005E1D0D" w:rsidRDefault="008E41E3" w:rsidP="005E1D0D">
            <w:pPr>
              <w:pStyle w:val="TableBodyText"/>
            </w:pPr>
            <w:r w:rsidRPr="005E1D0D">
              <w:t>8.1</w:t>
            </w:r>
          </w:p>
        </w:tc>
        <w:tc>
          <w:tcPr>
            <w:tcW w:w="430" w:type="pct"/>
            <w:shd w:val="clear" w:color="auto" w:fill="auto"/>
            <w:vAlign w:val="center"/>
          </w:tcPr>
          <w:p w:rsidR="008E41E3" w:rsidRPr="005E1D0D" w:rsidRDefault="008E41E3" w:rsidP="005E1D0D">
            <w:pPr>
              <w:pStyle w:val="TableBodyText"/>
            </w:pPr>
            <w:r w:rsidRPr="005E1D0D">
              <w:t>9.1</w:t>
            </w:r>
          </w:p>
        </w:tc>
        <w:tc>
          <w:tcPr>
            <w:tcW w:w="433" w:type="pct"/>
            <w:shd w:val="clear" w:color="auto" w:fill="auto"/>
            <w:vAlign w:val="center"/>
          </w:tcPr>
          <w:p w:rsidR="008E41E3" w:rsidRPr="005E1D0D" w:rsidRDefault="008E41E3" w:rsidP="005E1D0D">
            <w:pPr>
              <w:pStyle w:val="TableBodyText"/>
            </w:pPr>
            <w:r w:rsidRPr="005E1D0D">
              <w:t>9.7</w:t>
            </w:r>
          </w:p>
        </w:tc>
        <w:tc>
          <w:tcPr>
            <w:tcW w:w="432" w:type="pct"/>
            <w:shd w:val="clear" w:color="auto" w:fill="auto"/>
            <w:vAlign w:val="center"/>
          </w:tcPr>
          <w:p w:rsidR="008E41E3" w:rsidRPr="005E1D0D" w:rsidRDefault="008E41E3" w:rsidP="005E1D0D">
            <w:pPr>
              <w:pStyle w:val="TableBodyText"/>
            </w:pPr>
            <w:r w:rsidRPr="005E1D0D">
              <w:t>6.0</w:t>
            </w:r>
          </w:p>
        </w:tc>
        <w:tc>
          <w:tcPr>
            <w:tcW w:w="435" w:type="pct"/>
            <w:shd w:val="clear" w:color="auto" w:fill="auto"/>
            <w:vAlign w:val="center"/>
          </w:tcPr>
          <w:p w:rsidR="008E41E3" w:rsidRPr="005E1D0D" w:rsidRDefault="008E41E3" w:rsidP="005E1D0D">
            <w:pPr>
              <w:pStyle w:val="TableBodyText"/>
            </w:pPr>
            <w:r w:rsidRPr="005E1D0D">
              <w:t>10.1</w:t>
            </w:r>
          </w:p>
        </w:tc>
        <w:tc>
          <w:tcPr>
            <w:tcW w:w="433" w:type="pct"/>
            <w:shd w:val="clear" w:color="auto" w:fill="auto"/>
            <w:vAlign w:val="center"/>
          </w:tcPr>
          <w:p w:rsidR="008E41E3" w:rsidRPr="005E1D0D" w:rsidRDefault="008E41E3" w:rsidP="005E1D0D">
            <w:pPr>
              <w:pStyle w:val="TableBodyText"/>
            </w:pPr>
            <w:r w:rsidRPr="005E1D0D">
              <w:t>7.2</w:t>
            </w:r>
          </w:p>
        </w:tc>
        <w:tc>
          <w:tcPr>
            <w:tcW w:w="433" w:type="pct"/>
            <w:shd w:val="clear" w:color="auto" w:fill="auto"/>
            <w:vAlign w:val="center"/>
          </w:tcPr>
          <w:p w:rsidR="008E41E3" w:rsidRPr="005E1D0D" w:rsidRDefault="008E41E3" w:rsidP="005E1D0D">
            <w:pPr>
              <w:pStyle w:val="TableBodyText"/>
            </w:pPr>
            <w:r w:rsidRPr="005E1D0D">
              <w:t>12.8</w:t>
            </w:r>
          </w:p>
        </w:tc>
        <w:tc>
          <w:tcPr>
            <w:tcW w:w="438" w:type="pct"/>
            <w:gridSpan w:val="2"/>
            <w:shd w:val="clear" w:color="auto" w:fill="auto"/>
            <w:vAlign w:val="center"/>
          </w:tcPr>
          <w:p w:rsidR="008E41E3" w:rsidRPr="005E1D0D" w:rsidRDefault="008E41E3" w:rsidP="005E1D0D">
            <w:pPr>
              <w:pStyle w:val="TableBodyText"/>
            </w:pPr>
            <w:r w:rsidRPr="005E1D0D">
              <w:t>8.4</w:t>
            </w:r>
          </w:p>
        </w:tc>
      </w:tr>
      <w:tr w:rsidR="008E41E3" w:rsidRPr="005825CD" w:rsidTr="00786AC4">
        <w:trPr>
          <w:trHeight w:val="177"/>
        </w:trPr>
        <w:tc>
          <w:tcPr>
            <w:tcW w:w="5000" w:type="pct"/>
            <w:gridSpan w:val="12"/>
            <w:tcBorders>
              <w:bottom w:val="single" w:sz="4" w:space="0" w:color="auto"/>
            </w:tcBorders>
            <w:shd w:val="clear" w:color="auto" w:fill="auto"/>
          </w:tcPr>
          <w:p w:rsidR="008E41E3" w:rsidRPr="00ED0B2A" w:rsidRDefault="008E41E3" w:rsidP="008E41E3">
            <w:pPr>
              <w:pStyle w:val="Source"/>
            </w:pPr>
            <w:r w:rsidRPr="00ED0B2A">
              <w:t xml:space="preserve">Source: tables </w:t>
            </w:r>
            <w:proofErr w:type="spellStart"/>
            <w:r w:rsidRPr="00CC70FD">
              <w:t>10A.111</w:t>
            </w:r>
            <w:proofErr w:type="spellEnd"/>
            <w:r w:rsidRPr="00CC70FD">
              <w:t>–</w:t>
            </w:r>
            <w:proofErr w:type="spellStart"/>
            <w:r w:rsidRPr="00CC70FD">
              <w:t>10A.116</w:t>
            </w:r>
            <w:proofErr w:type="spellEnd"/>
            <w:r w:rsidRPr="00CC70FD">
              <w:t>.</w:t>
            </w:r>
          </w:p>
        </w:tc>
      </w:tr>
    </w:tbl>
    <w:p w:rsidR="00A97C83" w:rsidRPr="00B817EA" w:rsidRDefault="00A97C83" w:rsidP="00A97C83">
      <w:pPr>
        <w:pStyle w:val="Note"/>
      </w:pPr>
      <w:r w:rsidRPr="00CC1617">
        <w:rPr>
          <w:rStyle w:val="NoteLabel"/>
        </w:rPr>
        <w:t>a</w:t>
      </w:r>
      <w:r w:rsidRPr="00B817EA">
        <w:t xml:space="preserve"> Caveats for these </w:t>
      </w:r>
      <w:r>
        <w:t xml:space="preserve">data are available in chapter 10 and attachment </w:t>
      </w:r>
      <w:proofErr w:type="spellStart"/>
      <w:r>
        <w:t>10</w:t>
      </w:r>
      <w:r w:rsidRPr="00B817EA">
        <w:t>A</w:t>
      </w:r>
      <w:proofErr w:type="spellEnd"/>
      <w:r w:rsidRPr="00B817EA">
        <w:t>. Refer to the indicator in</w:t>
      </w:r>
      <w:r>
        <w:t>terpretation boxes in chapter 12</w:t>
      </w:r>
      <w:r w:rsidRPr="00B817EA">
        <w:t xml:space="preserve"> for information to assist with </w:t>
      </w:r>
      <w:r w:rsidR="00F74C7E">
        <w:t xml:space="preserve">the </w:t>
      </w:r>
      <w:r w:rsidRPr="00B817EA">
        <w:t>interpret</w:t>
      </w:r>
      <w:r w:rsidR="00F74C7E">
        <w:t>ation of</w:t>
      </w:r>
      <w:r w:rsidRPr="00B817EA">
        <w:t xml:space="preserve"> data presented in this table. </w:t>
      </w:r>
      <w:r w:rsidRPr="00F85DD2">
        <w:t xml:space="preserve">– Nil or rounded to zero. </w:t>
      </w:r>
      <w:proofErr w:type="spellStart"/>
      <w:r w:rsidR="00257B5E" w:rsidRPr="00912EF9">
        <w:rPr>
          <w:b/>
        </w:rPr>
        <w:t>na</w:t>
      </w:r>
      <w:proofErr w:type="spellEnd"/>
      <w:r w:rsidR="00257B5E" w:rsidRPr="00602768">
        <w:t xml:space="preserve"> Not available</w:t>
      </w:r>
      <w:r w:rsidR="00257B5E">
        <w:t>.</w:t>
      </w:r>
    </w:p>
    <w:p w:rsidR="00874561" w:rsidRDefault="00874561" w:rsidP="00874561">
      <w:pPr>
        <w:pStyle w:val="Heading4"/>
      </w:pPr>
      <w:r>
        <w:t>Primary and community health</w:t>
      </w:r>
    </w:p>
    <w:p w:rsidR="00BE3F64" w:rsidRDefault="00BE3F64" w:rsidP="00BE3F64">
      <w:pPr>
        <w:pStyle w:val="BodyText"/>
      </w:pPr>
      <w:r w:rsidRPr="00BE3F64">
        <w:t xml:space="preserve">The performance indicator framework for </w:t>
      </w:r>
      <w:r>
        <w:t>primary and community health</w:t>
      </w:r>
      <w:r w:rsidRPr="00BE3F64">
        <w:t xml:space="preserve"> is presented in figure</w:t>
      </w:r>
      <w:r w:rsidR="002F1BA6">
        <w:t> </w:t>
      </w:r>
      <w:proofErr w:type="spellStart"/>
      <w:r w:rsidR="00F156AA">
        <w:t>E.22</w:t>
      </w:r>
      <w:proofErr w:type="spellEnd"/>
      <w:r w:rsidRPr="00BE3F64">
        <w:t>.</w:t>
      </w:r>
      <w:r w:rsidR="00EA5C87">
        <w:t xml:space="preserve"> This</w:t>
      </w:r>
      <w:r w:rsidR="00EA5C87" w:rsidRPr="00E6147C">
        <w:t xml:space="preserve"> framework provides comprehensive information on the equity, effectiveness</w:t>
      </w:r>
      <w:r w:rsidR="00EA5C87">
        <w:t>,</w:t>
      </w:r>
      <w:r w:rsidR="00EA5C87" w:rsidRPr="00E6147C">
        <w:t xml:space="preserve"> efficiency </w:t>
      </w:r>
      <w:r w:rsidR="00EA5C87">
        <w:t xml:space="preserve">and the outcomes </w:t>
      </w:r>
      <w:r w:rsidR="00EA5C87" w:rsidRPr="00E6147C">
        <w:t xml:space="preserve">of </w:t>
      </w:r>
      <w:r w:rsidR="00EA5C87">
        <w:t>primary and community health.</w:t>
      </w:r>
    </w:p>
    <w:p w:rsidR="00874561" w:rsidRDefault="00874561">
      <w:pPr>
        <w:pStyle w:val="FigureTitle"/>
      </w:pPr>
      <w:r>
        <w:rPr>
          <w:b w:val="0"/>
        </w:rPr>
        <w:lastRenderedPageBreak/>
        <w:t xml:space="preserve">Figure </w:t>
      </w:r>
      <w:bookmarkStart w:id="46" w:name="OLE_LINK37"/>
      <w:proofErr w:type="spellStart"/>
      <w:r w:rsidR="00F156AA">
        <w:rPr>
          <w:b w:val="0"/>
        </w:rPr>
        <w:t>E.</w:t>
      </w:r>
      <w:r w:rsidR="00C01FBD">
        <w:rPr>
          <w:b w:val="0"/>
          <w:noProof/>
        </w:rPr>
        <w:t>22</w:t>
      </w:r>
      <w:bookmarkEnd w:id="46"/>
      <w:proofErr w:type="spellEnd"/>
      <w:r>
        <w:tab/>
      </w:r>
      <w:r w:rsidR="003B339E">
        <w:t>P</w:t>
      </w:r>
      <w:r>
        <w:t>rimary and community health</w:t>
      </w:r>
      <w:r w:rsidR="00C14D3E">
        <w:t xml:space="preserve"> </w:t>
      </w:r>
      <w:r w:rsidR="00C14D3E" w:rsidRPr="00A05A09">
        <w:t xml:space="preserve">performance indicator </w:t>
      </w:r>
      <w:r w:rsidR="00C14D3E">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74561" w:rsidTr="00AE49E9">
        <w:tc>
          <w:tcPr>
            <w:tcW w:w="8777" w:type="dxa"/>
            <w:shd w:val="clear" w:color="auto" w:fill="auto"/>
          </w:tcPr>
          <w:p w:rsidR="00874561" w:rsidRPr="00AA58BE" w:rsidRDefault="005C10EA" w:rsidP="00AA58BE">
            <w:pPr>
              <w:pStyle w:val="Figure"/>
            </w:pPr>
            <w:r>
              <w:rPr>
                <w:noProof/>
              </w:rPr>
              <w:drawing>
                <wp:inline distT="0" distB="0" distL="0" distR="0" wp14:anchorId="6B83144D" wp14:editId="1EAECCAE">
                  <wp:extent cx="5540375" cy="7390765"/>
                  <wp:effectExtent l="0" t="0" r="0" b="0"/>
                  <wp:docPr id="29" name="Picture 29" descr="Figure E.22 Primary and community health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540375" cy="7390765"/>
                          </a:xfrm>
                          <a:prstGeom prst="rect">
                            <a:avLst/>
                          </a:prstGeom>
                          <a:noFill/>
                          <a:ln>
                            <a:noFill/>
                          </a:ln>
                        </pic:spPr>
                      </pic:pic>
                    </a:graphicData>
                  </a:graphic>
                </wp:inline>
              </w:drawing>
            </w:r>
          </w:p>
        </w:tc>
      </w:tr>
    </w:tbl>
    <w:p w:rsidR="008270FF" w:rsidRPr="00384067" w:rsidRDefault="00700B93" w:rsidP="00384067">
      <w:pPr>
        <w:pStyle w:val="BodyText"/>
        <w:rPr>
          <w:rStyle w:val="DraftingNote"/>
          <w:b w:val="0"/>
          <w:color w:val="auto"/>
          <w:sz w:val="26"/>
          <w:u w:val="none"/>
        </w:rPr>
      </w:pPr>
      <w:r w:rsidRPr="00700B93">
        <w:lastRenderedPageBreak/>
        <w:t xml:space="preserve">An overview of the </w:t>
      </w:r>
      <w:r>
        <w:t>primary and community health</w:t>
      </w:r>
      <w:r w:rsidRPr="00700B93">
        <w:t xml:space="preserve"> performance indicator results are presented in table</w:t>
      </w:r>
      <w:r w:rsidR="00EE380A">
        <w:t> </w:t>
      </w:r>
      <w:proofErr w:type="spellStart"/>
      <w:r w:rsidR="00F156AA">
        <w:t>E.</w:t>
      </w:r>
      <w:r w:rsidR="00F07431">
        <w:t>7</w:t>
      </w:r>
      <w:proofErr w:type="spellEnd"/>
      <w:r w:rsidR="009C3750">
        <w:t xml:space="preserve">. </w:t>
      </w:r>
      <w:r w:rsidR="008A62B8">
        <w:t xml:space="preserve">Information to assist the interpretation of these data can be found in the indicator interpretation boxes in chapter 11 and </w:t>
      </w:r>
      <w:r w:rsidR="0065064A">
        <w:t xml:space="preserve">the footnotes in attachment </w:t>
      </w:r>
      <w:proofErr w:type="spellStart"/>
      <w:r w:rsidR="0065064A">
        <w:t>11A</w:t>
      </w:r>
      <w:proofErr w:type="spellEnd"/>
      <w:r w:rsidR="0065064A">
        <w:t>.</w:t>
      </w:r>
    </w:p>
    <w:p w:rsidR="005825CD" w:rsidRPr="00B725F6" w:rsidRDefault="00EE380A" w:rsidP="005825CD">
      <w:pPr>
        <w:pStyle w:val="TableTitle"/>
        <w:rPr>
          <w:rStyle w:val="DraftingNote"/>
          <w:color w:val="auto"/>
        </w:rPr>
      </w:pPr>
      <w:r>
        <w:rPr>
          <w:b w:val="0"/>
        </w:rPr>
        <w:t xml:space="preserve">Table </w:t>
      </w:r>
      <w:bookmarkStart w:id="47" w:name="OLE_LINK25"/>
      <w:proofErr w:type="spellStart"/>
      <w:r w:rsidR="00F156AA">
        <w:rPr>
          <w:b w:val="0"/>
        </w:rPr>
        <w:t>E.</w:t>
      </w:r>
      <w:r w:rsidR="00C01FBD">
        <w:rPr>
          <w:b w:val="0"/>
          <w:noProof/>
        </w:rPr>
        <w:t>7</w:t>
      </w:r>
      <w:bookmarkEnd w:id="47"/>
      <w:proofErr w:type="spellEnd"/>
      <w:r w:rsidR="005825CD" w:rsidRPr="00B4788D">
        <w:rPr>
          <w:b w:val="0"/>
        </w:rPr>
        <w:tab/>
      </w:r>
      <w:r w:rsidR="005825CD" w:rsidRPr="00B817EA">
        <w:t>Performance indicators for</w:t>
      </w:r>
      <w:r w:rsidR="005825CD">
        <w:t xml:space="preserve"> Primary and</w:t>
      </w:r>
      <w:r w:rsidR="005825CD" w:rsidRPr="00B817EA">
        <w:t xml:space="preserve"> community </w:t>
      </w:r>
      <w:proofErr w:type="spellStart"/>
      <w:r w:rsidR="005825CD" w:rsidRPr="00B725F6">
        <w:t>health</w:t>
      </w:r>
      <w:r w:rsidR="005825CD" w:rsidRPr="00B725F6">
        <w:rPr>
          <w:vertAlign w:val="superscript"/>
        </w:rPr>
        <w:t>a</w:t>
      </w:r>
      <w:proofErr w:type="spellEnd"/>
      <w:r w:rsidR="005825CD" w:rsidRPr="00B725F6">
        <w:rPr>
          <w:vertAlign w:val="superscript"/>
        </w:rPr>
        <w:t xml:space="preserve">, b </w:t>
      </w:r>
      <w:r w:rsidR="005825CD" w:rsidRPr="00B725F6">
        <w:rPr>
          <w:rStyle w:val="DraftingNote"/>
          <w:color w:val="auto"/>
        </w:rPr>
        <w:t xml:space="preserve"> </w:t>
      </w:r>
    </w:p>
    <w:tbl>
      <w:tblPr>
        <w:tblW w:w="5012" w:type="pct"/>
        <w:tblLayout w:type="fixed"/>
        <w:tblCellMar>
          <w:left w:w="0" w:type="dxa"/>
          <w:right w:w="0" w:type="dxa"/>
        </w:tblCellMar>
        <w:tblLook w:val="0000" w:firstRow="0" w:lastRow="0" w:firstColumn="0" w:lastColumn="0" w:noHBand="0" w:noVBand="0"/>
      </w:tblPr>
      <w:tblGrid>
        <w:gridCol w:w="216"/>
        <w:gridCol w:w="46"/>
        <w:gridCol w:w="1707"/>
        <w:gridCol w:w="745"/>
        <w:gridCol w:w="14"/>
        <w:gridCol w:w="7"/>
        <w:gridCol w:w="738"/>
        <w:gridCol w:w="12"/>
        <w:gridCol w:w="7"/>
        <w:gridCol w:w="724"/>
        <w:gridCol w:w="26"/>
        <w:gridCol w:w="7"/>
        <w:gridCol w:w="740"/>
        <w:gridCol w:w="18"/>
        <w:gridCol w:w="740"/>
        <w:gridCol w:w="18"/>
        <w:gridCol w:w="742"/>
        <w:gridCol w:w="16"/>
        <w:gridCol w:w="737"/>
        <w:gridCol w:w="23"/>
        <w:gridCol w:w="729"/>
        <w:gridCol w:w="30"/>
        <w:gridCol w:w="7"/>
        <w:gridCol w:w="749"/>
        <w:gridCol w:w="12"/>
      </w:tblGrid>
      <w:tr w:rsidR="0077420C" w:rsidRPr="004C2CF4" w:rsidTr="00384067">
        <w:trPr>
          <w:gridAfter w:val="1"/>
          <w:wAfter w:w="12" w:type="pct"/>
          <w:cantSplit/>
          <w:tblHeader/>
        </w:trPr>
        <w:tc>
          <w:tcPr>
            <w:tcW w:w="1116" w:type="pct"/>
            <w:gridSpan w:val="3"/>
            <w:tcBorders>
              <w:top w:val="single" w:sz="6" w:space="0" w:color="auto"/>
              <w:bottom w:val="single" w:sz="6" w:space="0" w:color="auto"/>
            </w:tcBorders>
            <w:shd w:val="clear" w:color="auto" w:fill="auto"/>
          </w:tcPr>
          <w:p w:rsidR="0077420C" w:rsidRPr="00B817EA" w:rsidRDefault="0077420C" w:rsidP="0077420C">
            <w:pPr>
              <w:pStyle w:val="TableColumnHeading"/>
              <w:jc w:val="left"/>
            </w:pPr>
          </w:p>
        </w:tc>
        <w:tc>
          <w:tcPr>
            <w:tcW w:w="423" w:type="pct"/>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NSW</w:t>
            </w:r>
          </w:p>
        </w:tc>
        <w:tc>
          <w:tcPr>
            <w:tcW w:w="431" w:type="pct"/>
            <w:gridSpan w:val="3"/>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Vic</w:t>
            </w:r>
          </w:p>
        </w:tc>
        <w:tc>
          <w:tcPr>
            <w:tcW w:w="422" w:type="pct"/>
            <w:gridSpan w:val="3"/>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Qld</w:t>
            </w:r>
          </w:p>
        </w:tc>
        <w:tc>
          <w:tcPr>
            <w:tcW w:w="439" w:type="pct"/>
            <w:gridSpan w:val="3"/>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WA</w:t>
            </w:r>
          </w:p>
        </w:tc>
        <w:tc>
          <w:tcPr>
            <w:tcW w:w="430" w:type="pct"/>
            <w:gridSpan w:val="2"/>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SA</w:t>
            </w:r>
          </w:p>
        </w:tc>
        <w:tc>
          <w:tcPr>
            <w:tcW w:w="431" w:type="pct"/>
            <w:gridSpan w:val="2"/>
            <w:tcBorders>
              <w:top w:val="single" w:sz="6" w:space="0" w:color="auto"/>
              <w:bottom w:val="single" w:sz="6" w:space="0" w:color="auto"/>
            </w:tcBorders>
            <w:shd w:val="clear" w:color="auto" w:fill="auto"/>
          </w:tcPr>
          <w:p w:rsidR="0077420C" w:rsidRPr="00B817EA" w:rsidRDefault="0077420C" w:rsidP="0077420C">
            <w:pPr>
              <w:pStyle w:val="TableColumnHeading"/>
            </w:pPr>
            <w:proofErr w:type="spellStart"/>
            <w:r w:rsidRPr="00B817EA">
              <w:t>Tas</w:t>
            </w:r>
            <w:proofErr w:type="spellEnd"/>
          </w:p>
        </w:tc>
        <w:tc>
          <w:tcPr>
            <w:tcW w:w="427" w:type="pct"/>
            <w:gridSpan w:val="2"/>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ACT</w:t>
            </w:r>
          </w:p>
        </w:tc>
        <w:tc>
          <w:tcPr>
            <w:tcW w:w="448" w:type="pct"/>
            <w:gridSpan w:val="4"/>
            <w:tcBorders>
              <w:top w:val="single" w:sz="6" w:space="0" w:color="auto"/>
              <w:bottom w:val="single" w:sz="6" w:space="0" w:color="auto"/>
            </w:tcBorders>
            <w:shd w:val="clear" w:color="auto" w:fill="auto"/>
          </w:tcPr>
          <w:p w:rsidR="0077420C" w:rsidRPr="00B817EA" w:rsidRDefault="0077420C" w:rsidP="0077420C">
            <w:pPr>
              <w:pStyle w:val="TableColumnHeading"/>
            </w:pPr>
            <w:r w:rsidRPr="00B817EA">
              <w:t>NT</w:t>
            </w:r>
          </w:p>
        </w:tc>
        <w:tc>
          <w:tcPr>
            <w:tcW w:w="422" w:type="pct"/>
            <w:tcBorders>
              <w:top w:val="single" w:sz="6" w:space="0" w:color="auto"/>
              <w:bottom w:val="single" w:sz="6" w:space="0" w:color="auto"/>
            </w:tcBorders>
          </w:tcPr>
          <w:p w:rsidR="0077420C" w:rsidRPr="004C2CF4" w:rsidRDefault="0077420C" w:rsidP="0077420C">
            <w:pPr>
              <w:pStyle w:val="TableColumnHeading"/>
            </w:pPr>
            <w:proofErr w:type="spellStart"/>
            <w:r w:rsidRPr="00B817EA">
              <w:t>Aust</w:t>
            </w:r>
            <w:proofErr w:type="spellEnd"/>
          </w:p>
        </w:tc>
      </w:tr>
      <w:tr w:rsidR="0036788A" w:rsidRPr="005825CD" w:rsidTr="00384067">
        <w:trPr>
          <w:gridAfter w:val="1"/>
          <w:wAfter w:w="12" w:type="pct"/>
          <w:trHeight w:val="273"/>
        </w:trPr>
        <w:tc>
          <w:tcPr>
            <w:tcW w:w="4988" w:type="pct"/>
            <w:gridSpan w:val="24"/>
            <w:shd w:val="clear" w:color="auto" w:fill="auto"/>
          </w:tcPr>
          <w:p w:rsidR="0036788A" w:rsidRPr="005825CD" w:rsidRDefault="0036788A" w:rsidP="00676F75">
            <w:pPr>
              <w:pStyle w:val="TableColumnHeading"/>
              <w:jc w:val="left"/>
            </w:pPr>
            <w:r w:rsidRPr="00622B59">
              <w:t xml:space="preserve">Availability of </w:t>
            </w:r>
            <w:proofErr w:type="spellStart"/>
            <w:r w:rsidRPr="00622B59">
              <w:t>PBS</w:t>
            </w:r>
            <w:proofErr w:type="spellEnd"/>
            <w:r w:rsidRPr="00622B59">
              <w:t xml:space="preserve"> medicines — </w:t>
            </w:r>
            <w:proofErr w:type="spellStart"/>
            <w:r w:rsidRPr="00622B59">
              <w:t>PBS</w:t>
            </w:r>
            <w:proofErr w:type="spellEnd"/>
            <w:r w:rsidRPr="00622B59">
              <w:t xml:space="preserve"> prescriptions filled at concessional rate</w:t>
            </w:r>
            <w:r>
              <w:t xml:space="preserve"> (per cent)</w:t>
            </w:r>
            <w:r w:rsidRPr="00622B59">
              <w:t xml:space="preserve">, </w:t>
            </w:r>
            <w:r w:rsidRPr="00ED0744">
              <w:t>2012</w:t>
            </w:r>
            <w:r w:rsidRPr="00ED0744">
              <w:noBreakHyphen/>
              <w:t>13</w:t>
            </w:r>
            <w:r w:rsidRPr="00ED0744">
              <w:br/>
            </w:r>
            <w:r w:rsidRPr="00ED0744">
              <w:rPr>
                <w:i w:val="0"/>
                <w:sz w:val="16"/>
                <w:szCs w:val="16"/>
              </w:rPr>
              <w:t>Most recent data for this indicator are comparable and complete (subject to caveats) (chapter 11)</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Proportion of total</w:t>
            </w:r>
          </w:p>
        </w:tc>
        <w:tc>
          <w:tcPr>
            <w:tcW w:w="423" w:type="pct"/>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88.2</w:t>
            </w:r>
          </w:p>
        </w:tc>
        <w:tc>
          <w:tcPr>
            <w:tcW w:w="431" w:type="pct"/>
            <w:gridSpan w:val="3"/>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88.5</w:t>
            </w:r>
          </w:p>
        </w:tc>
        <w:tc>
          <w:tcPr>
            <w:tcW w:w="422" w:type="pct"/>
            <w:gridSpan w:val="3"/>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87.6</w:t>
            </w:r>
          </w:p>
        </w:tc>
        <w:tc>
          <w:tcPr>
            <w:tcW w:w="439" w:type="pct"/>
            <w:gridSpan w:val="3"/>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83.9</w:t>
            </w:r>
          </w:p>
        </w:tc>
        <w:tc>
          <w:tcPr>
            <w:tcW w:w="430" w:type="pct"/>
            <w:gridSpan w:val="2"/>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89.5</w:t>
            </w:r>
          </w:p>
        </w:tc>
        <w:tc>
          <w:tcPr>
            <w:tcW w:w="431" w:type="pct"/>
            <w:gridSpan w:val="2"/>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91.0</w:t>
            </w:r>
          </w:p>
        </w:tc>
        <w:tc>
          <w:tcPr>
            <w:tcW w:w="427" w:type="pct"/>
            <w:gridSpan w:val="2"/>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76.3</w:t>
            </w:r>
          </w:p>
        </w:tc>
        <w:tc>
          <w:tcPr>
            <w:tcW w:w="427" w:type="pct"/>
            <w:gridSpan w:val="2"/>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77.7</w:t>
            </w:r>
          </w:p>
        </w:tc>
        <w:tc>
          <w:tcPr>
            <w:tcW w:w="443" w:type="pct"/>
            <w:gridSpan w:val="3"/>
            <w:shd w:val="clear" w:color="auto" w:fill="auto"/>
          </w:tcPr>
          <w:p w:rsidR="0036788A" w:rsidRPr="0079799B" w:rsidRDefault="0036788A" w:rsidP="00676F75">
            <w:pPr>
              <w:spacing w:afterLines="40" w:after="96" w:line="220" w:lineRule="atLeast"/>
              <w:jc w:val="right"/>
              <w:rPr>
                <w:rFonts w:ascii="Arial" w:hAnsi="Arial" w:cs="Arial"/>
                <w:sz w:val="20"/>
                <w:szCs w:val="20"/>
              </w:rPr>
            </w:pPr>
            <w:r w:rsidRPr="0079799B">
              <w:rPr>
                <w:rFonts w:ascii="Arial" w:hAnsi="Arial" w:cs="Arial"/>
                <w:sz w:val="20"/>
                <w:szCs w:val="20"/>
              </w:rPr>
              <w:t xml:space="preserve">  87.8</w:t>
            </w:r>
          </w:p>
        </w:tc>
      </w:tr>
      <w:tr w:rsidR="0036788A" w:rsidRPr="00B817EA" w:rsidTr="00384067">
        <w:trPr>
          <w:gridAfter w:val="1"/>
          <w:wAfter w:w="12" w:type="pct"/>
          <w:trHeight w:val="273"/>
        </w:trPr>
        <w:tc>
          <w:tcPr>
            <w:tcW w:w="4988" w:type="pct"/>
            <w:gridSpan w:val="24"/>
            <w:shd w:val="clear" w:color="auto" w:fill="auto"/>
          </w:tcPr>
          <w:p w:rsidR="0036788A" w:rsidRPr="00B817EA" w:rsidRDefault="0036788A" w:rsidP="00676F75">
            <w:pPr>
              <w:pStyle w:val="TableColumnHeading"/>
              <w:jc w:val="left"/>
            </w:pPr>
            <w:r>
              <w:t>Equity of access to GPs</w:t>
            </w:r>
            <w:r w:rsidRPr="005825CD">
              <w:t xml:space="preserve">, </w:t>
            </w:r>
            <w:r w:rsidRPr="00ED0744">
              <w:t>2012</w:t>
            </w:r>
            <w:r w:rsidRPr="00ED0744">
              <w:noBreakHyphen/>
              <w:t>13</w:t>
            </w:r>
            <w:r w:rsidRPr="00ED0744">
              <w:br/>
            </w:r>
            <w:r w:rsidRPr="00ED0744">
              <w:rPr>
                <w:i w:val="0"/>
                <w:sz w:val="16"/>
                <w:szCs w:val="16"/>
              </w:rPr>
              <w:t>Most recent data for this indicator are comparable and complete (subject to caveats) (chapter 11)</w:t>
            </w:r>
          </w:p>
        </w:tc>
      </w:tr>
      <w:tr w:rsidR="0036788A" w:rsidRPr="005825CD" w:rsidTr="00384067">
        <w:trPr>
          <w:gridAfter w:val="1"/>
          <w:wAfter w:w="12" w:type="pct"/>
          <w:trHeight w:val="273"/>
        </w:trPr>
        <w:tc>
          <w:tcPr>
            <w:tcW w:w="4988" w:type="pct"/>
            <w:gridSpan w:val="24"/>
            <w:shd w:val="clear" w:color="auto" w:fill="auto"/>
          </w:tcPr>
          <w:p w:rsidR="0036788A" w:rsidRPr="00517A92" w:rsidRDefault="0036788A" w:rsidP="00676F75">
            <w:pPr>
              <w:pStyle w:val="TableBodyText"/>
              <w:jc w:val="left"/>
            </w:pPr>
            <w:r w:rsidRPr="005825CD">
              <w:t xml:space="preserve">  </w:t>
            </w:r>
            <w:r>
              <w:t>F</w:t>
            </w:r>
            <w:r w:rsidRPr="003A2C6E">
              <w:t xml:space="preserve">ull time workload equivalent GPs </w:t>
            </w:r>
            <w:r>
              <w:t>by remoteness area</w:t>
            </w:r>
            <w:r w:rsidRPr="003A2C6E">
              <w:t xml:space="preserve"> per 100 000 people</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Major cities, rate</w:t>
            </w:r>
          </w:p>
        </w:tc>
        <w:tc>
          <w:tcPr>
            <w:tcW w:w="423" w:type="pct"/>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106.7</w:t>
            </w:r>
          </w:p>
        </w:tc>
        <w:tc>
          <w:tcPr>
            <w:tcW w:w="431"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99.1</w:t>
            </w:r>
          </w:p>
        </w:tc>
        <w:tc>
          <w:tcPr>
            <w:tcW w:w="422"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102.7</w:t>
            </w:r>
          </w:p>
        </w:tc>
        <w:tc>
          <w:tcPr>
            <w:tcW w:w="439"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71.5</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104.8</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72.6</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w:t>
            </w:r>
          </w:p>
        </w:tc>
        <w:tc>
          <w:tcPr>
            <w:tcW w:w="443"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98.9</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4E066A" w:rsidP="00676F75">
            <w:pPr>
              <w:pStyle w:val="TableBodyText"/>
              <w:jc w:val="left"/>
            </w:pPr>
            <w:r>
              <w:t>Outer regional, rate</w:t>
            </w:r>
          </w:p>
        </w:tc>
        <w:tc>
          <w:tcPr>
            <w:tcW w:w="423" w:type="pct"/>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79.2</w:t>
            </w:r>
          </w:p>
        </w:tc>
        <w:tc>
          <w:tcPr>
            <w:tcW w:w="431"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93.5</w:t>
            </w:r>
          </w:p>
        </w:tc>
        <w:tc>
          <w:tcPr>
            <w:tcW w:w="422"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93.8</w:t>
            </w:r>
          </w:p>
        </w:tc>
        <w:tc>
          <w:tcPr>
            <w:tcW w:w="439"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83.9</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87.5</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76.1</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74.4</w:t>
            </w:r>
          </w:p>
        </w:tc>
        <w:tc>
          <w:tcPr>
            <w:tcW w:w="443"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86.5</w:t>
            </w:r>
          </w:p>
        </w:tc>
      </w:tr>
      <w:tr w:rsidR="0036788A" w:rsidRPr="005825CD" w:rsidTr="00384067">
        <w:trPr>
          <w:gridAfter w:val="1"/>
          <w:wAfter w:w="12" w:type="pct"/>
          <w:trHeight w:val="273"/>
        </w:trPr>
        <w:tc>
          <w:tcPr>
            <w:tcW w:w="4988" w:type="pct"/>
            <w:gridSpan w:val="24"/>
            <w:shd w:val="clear" w:color="auto" w:fill="auto"/>
          </w:tcPr>
          <w:p w:rsidR="0036788A" w:rsidRPr="00517A92" w:rsidRDefault="0036788A" w:rsidP="00676F75">
            <w:pPr>
              <w:pStyle w:val="TableBodyText"/>
              <w:jc w:val="left"/>
            </w:pPr>
            <w:r w:rsidRPr="005825CD">
              <w:t xml:space="preserve">  </w:t>
            </w:r>
            <w:r w:rsidRPr="00BB039C">
              <w:t xml:space="preserve">Availability of </w:t>
            </w:r>
            <w:r w:rsidRPr="009C081A">
              <w:t>female GPs</w:t>
            </w:r>
            <w:r>
              <w:t xml:space="preserve"> per 100 000 females </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Rate</w:t>
            </w:r>
          </w:p>
        </w:tc>
        <w:tc>
          <w:tcPr>
            <w:tcW w:w="423" w:type="pct"/>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68.1</w:t>
            </w:r>
          </w:p>
        </w:tc>
        <w:tc>
          <w:tcPr>
            <w:tcW w:w="431"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62.1</w:t>
            </w:r>
          </w:p>
        </w:tc>
        <w:tc>
          <w:tcPr>
            <w:tcW w:w="422"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65.6</w:t>
            </w:r>
          </w:p>
        </w:tc>
        <w:tc>
          <w:tcPr>
            <w:tcW w:w="439"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44.5</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57.4</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63.0</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57.9</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58.4</w:t>
            </w:r>
          </w:p>
        </w:tc>
        <w:tc>
          <w:tcPr>
            <w:tcW w:w="443"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62.4</w:t>
            </w:r>
          </w:p>
        </w:tc>
      </w:tr>
      <w:tr w:rsidR="0036788A" w:rsidRPr="009B271F" w:rsidTr="00384067">
        <w:trPr>
          <w:gridAfter w:val="1"/>
          <w:wAfter w:w="12" w:type="pct"/>
          <w:trHeight w:val="273"/>
        </w:trPr>
        <w:tc>
          <w:tcPr>
            <w:tcW w:w="4988" w:type="pct"/>
            <w:gridSpan w:val="24"/>
            <w:shd w:val="clear" w:color="auto" w:fill="auto"/>
          </w:tcPr>
          <w:p w:rsidR="0036788A" w:rsidRPr="00150556" w:rsidRDefault="0036788A" w:rsidP="00676F75">
            <w:pPr>
              <w:pStyle w:val="TableColumnHeading"/>
              <w:jc w:val="left"/>
              <w:rPr>
                <w:rStyle w:val="DraftingNote"/>
                <w:color w:val="auto"/>
              </w:rPr>
            </w:pPr>
            <w:r w:rsidRPr="00E0303A">
              <w:t>Availability of public dentists —</w:t>
            </w:r>
            <w:r>
              <w:t xml:space="preserve"> </w:t>
            </w:r>
            <w:r w:rsidRPr="00E0303A">
              <w:t>per 100 000 people</w:t>
            </w:r>
            <w:r w:rsidRPr="00ED0744">
              <w:t>, 2012</w:t>
            </w:r>
            <w:r w:rsidRPr="00ED0744">
              <w:br/>
            </w:r>
            <w:r w:rsidRPr="00ED0744">
              <w:rPr>
                <w:i w:val="0"/>
                <w:sz w:val="16"/>
                <w:szCs w:val="16"/>
              </w:rPr>
              <w:t>Most recent data for this indicator are comparable and complete (subject to caveats) (chapter 11)</w:t>
            </w:r>
          </w:p>
        </w:tc>
      </w:tr>
      <w:tr w:rsidR="0036788A" w:rsidRPr="009B271F" w:rsidTr="00384067">
        <w:trPr>
          <w:gridAfter w:val="1"/>
          <w:wAfter w:w="12" w:type="pct"/>
        </w:trPr>
        <w:tc>
          <w:tcPr>
            <w:tcW w:w="122" w:type="pct"/>
            <w:shd w:val="clear" w:color="auto" w:fill="auto"/>
          </w:tcPr>
          <w:p w:rsidR="0036788A" w:rsidRPr="009B271F" w:rsidRDefault="0036788A" w:rsidP="00676F75">
            <w:pPr>
              <w:pStyle w:val="TableBodyText"/>
              <w:jc w:val="left"/>
              <w:rPr>
                <w:b/>
                <w:color w:val="0000FF"/>
                <w:vertAlign w:val="superscript"/>
              </w:rPr>
            </w:pPr>
          </w:p>
        </w:tc>
        <w:tc>
          <w:tcPr>
            <w:tcW w:w="994" w:type="pct"/>
            <w:gridSpan w:val="2"/>
            <w:shd w:val="clear" w:color="auto" w:fill="auto"/>
          </w:tcPr>
          <w:p w:rsidR="0036788A" w:rsidRPr="00E0303A" w:rsidRDefault="0036788A" w:rsidP="00676F75">
            <w:pPr>
              <w:pStyle w:val="TableBodyText"/>
              <w:jc w:val="left"/>
            </w:pPr>
            <w:r w:rsidRPr="00E0303A">
              <w:t>Proportion of total</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5.1</w:t>
            </w:r>
          </w:p>
        </w:tc>
        <w:tc>
          <w:tcPr>
            <w:tcW w:w="430"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4.2</w:t>
            </w:r>
          </w:p>
        </w:tc>
        <w:tc>
          <w:tcPr>
            <w:tcW w:w="430"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6.0</w:t>
            </w:r>
          </w:p>
        </w:tc>
        <w:tc>
          <w:tcPr>
            <w:tcW w:w="431"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5.6</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5.7</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3.8</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6.9</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8.1</w:t>
            </w:r>
          </w:p>
        </w:tc>
        <w:tc>
          <w:tcPr>
            <w:tcW w:w="429"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5.2</w:t>
            </w:r>
          </w:p>
        </w:tc>
      </w:tr>
      <w:tr w:rsidR="0036788A" w:rsidRPr="004236D8" w:rsidTr="00384067">
        <w:trPr>
          <w:gridAfter w:val="1"/>
          <w:wAfter w:w="12" w:type="pct"/>
          <w:trHeight w:val="273"/>
        </w:trPr>
        <w:tc>
          <w:tcPr>
            <w:tcW w:w="4988" w:type="pct"/>
            <w:gridSpan w:val="24"/>
            <w:shd w:val="clear" w:color="auto" w:fill="auto"/>
          </w:tcPr>
          <w:p w:rsidR="0036788A" w:rsidRPr="004236D8" w:rsidRDefault="0036788A" w:rsidP="00676F75">
            <w:pPr>
              <w:pStyle w:val="TableColumnHeading"/>
              <w:jc w:val="left"/>
            </w:pPr>
            <w:r w:rsidRPr="004236D8">
              <w:t xml:space="preserve">Early detection and early treatment for </w:t>
            </w:r>
            <w:r>
              <w:t>Indigenous Australians</w:t>
            </w:r>
            <w:r w:rsidRPr="004236D8">
              <w:t xml:space="preserve"> </w:t>
            </w:r>
            <w:r>
              <w:t xml:space="preserve">— Proportion of </w:t>
            </w:r>
            <w:r w:rsidRPr="004236D8">
              <w:t xml:space="preserve">Older </w:t>
            </w:r>
            <w:r>
              <w:t>Indigenous Australians</w:t>
            </w:r>
            <w:r w:rsidRPr="004236D8">
              <w:t xml:space="preserve"> who received a health assessment, </w:t>
            </w:r>
            <w:r w:rsidRPr="00ED0744">
              <w:t>2012</w:t>
            </w:r>
            <w:r w:rsidRPr="00ED0744">
              <w:noBreakHyphen/>
              <w:t>13</w:t>
            </w:r>
            <w:r w:rsidRPr="00ED0744">
              <w:br/>
            </w:r>
            <w:r w:rsidRPr="00ED0744">
              <w:rPr>
                <w:i w:val="0"/>
                <w:sz w:val="16"/>
                <w:szCs w:val="16"/>
              </w:rPr>
              <w:t>Most recent data for this indicator are comparable and complete (subject to caveats) (chapter 11)</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Proportion</w:t>
            </w:r>
          </w:p>
        </w:tc>
        <w:tc>
          <w:tcPr>
            <w:tcW w:w="423" w:type="pct"/>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29.8</w:t>
            </w:r>
          </w:p>
        </w:tc>
        <w:tc>
          <w:tcPr>
            <w:tcW w:w="431"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17.9</w:t>
            </w:r>
          </w:p>
        </w:tc>
        <w:tc>
          <w:tcPr>
            <w:tcW w:w="422"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37.0</w:t>
            </w:r>
          </w:p>
        </w:tc>
        <w:tc>
          <w:tcPr>
            <w:tcW w:w="439"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30.2</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21.0</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19.1</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26.1</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35.1</w:t>
            </w:r>
          </w:p>
        </w:tc>
        <w:tc>
          <w:tcPr>
            <w:tcW w:w="443"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30.3</w:t>
            </w:r>
          </w:p>
        </w:tc>
      </w:tr>
      <w:tr w:rsidR="0036788A" w:rsidRPr="00B817EA" w:rsidTr="00384067">
        <w:trPr>
          <w:gridAfter w:val="1"/>
          <w:wAfter w:w="12" w:type="pct"/>
          <w:trHeight w:val="273"/>
        </w:trPr>
        <w:tc>
          <w:tcPr>
            <w:tcW w:w="4988" w:type="pct"/>
            <w:gridSpan w:val="24"/>
            <w:shd w:val="clear" w:color="auto" w:fill="auto"/>
          </w:tcPr>
          <w:p w:rsidR="0036788A" w:rsidRPr="00B817EA" w:rsidRDefault="0036788A" w:rsidP="00676F75">
            <w:pPr>
              <w:pStyle w:val="TableColumnHeading"/>
              <w:jc w:val="left"/>
            </w:pPr>
            <w:r>
              <w:t>C</w:t>
            </w:r>
            <w:r w:rsidRPr="009C081A">
              <w:t>hildren receiving a fourth year developmental health check</w:t>
            </w:r>
            <w:r>
              <w:t xml:space="preserve">, </w:t>
            </w:r>
            <w:r w:rsidRPr="00ED0744">
              <w:t>2012</w:t>
            </w:r>
            <w:r w:rsidRPr="00ED0744">
              <w:noBreakHyphen/>
              <w:t>13</w:t>
            </w:r>
            <w:r w:rsidRPr="00ED0744">
              <w:br/>
            </w:r>
            <w:r w:rsidRPr="00ED0744">
              <w:rPr>
                <w:i w:val="0"/>
                <w:sz w:val="16"/>
                <w:szCs w:val="16"/>
              </w:rPr>
              <w:t>Most recent data for this indicator are comparable and complete (subject to caveats) (chapter 11)</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Proportion</w:t>
            </w:r>
          </w:p>
        </w:tc>
        <w:tc>
          <w:tcPr>
            <w:tcW w:w="423" w:type="pct"/>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61.4</w:t>
            </w:r>
          </w:p>
        </w:tc>
        <w:tc>
          <w:tcPr>
            <w:tcW w:w="431"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29.3</w:t>
            </w:r>
          </w:p>
        </w:tc>
        <w:tc>
          <w:tcPr>
            <w:tcW w:w="422"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72.1</w:t>
            </w:r>
          </w:p>
        </w:tc>
        <w:tc>
          <w:tcPr>
            <w:tcW w:w="439"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45.3</w:t>
            </w:r>
          </w:p>
        </w:tc>
        <w:tc>
          <w:tcPr>
            <w:tcW w:w="430"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48.1</w:t>
            </w:r>
          </w:p>
        </w:tc>
        <w:tc>
          <w:tcPr>
            <w:tcW w:w="431"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57.3</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35.3</w:t>
            </w:r>
          </w:p>
        </w:tc>
        <w:tc>
          <w:tcPr>
            <w:tcW w:w="427" w:type="pct"/>
            <w:gridSpan w:val="2"/>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65.0</w:t>
            </w:r>
          </w:p>
        </w:tc>
        <w:tc>
          <w:tcPr>
            <w:tcW w:w="443" w:type="pct"/>
            <w:gridSpan w:val="3"/>
            <w:shd w:val="clear" w:color="auto" w:fill="auto"/>
          </w:tcPr>
          <w:p w:rsidR="0036788A" w:rsidRPr="003F6091" w:rsidRDefault="0036788A" w:rsidP="00676F75">
            <w:pPr>
              <w:spacing w:afterLines="40" w:after="96" w:line="220" w:lineRule="atLeast"/>
              <w:jc w:val="right"/>
              <w:rPr>
                <w:rFonts w:ascii="Arial" w:hAnsi="Arial" w:cs="Arial"/>
                <w:sz w:val="20"/>
                <w:szCs w:val="20"/>
              </w:rPr>
            </w:pPr>
            <w:r w:rsidRPr="003F6091">
              <w:rPr>
                <w:rFonts w:ascii="Arial" w:hAnsi="Arial" w:cs="Arial"/>
                <w:sz w:val="20"/>
                <w:szCs w:val="20"/>
              </w:rPr>
              <w:t xml:space="preserve">  52.8</w:t>
            </w:r>
          </w:p>
        </w:tc>
      </w:tr>
      <w:tr w:rsidR="0036788A" w:rsidRPr="005825CD" w:rsidTr="00384067">
        <w:trPr>
          <w:gridAfter w:val="1"/>
          <w:wAfter w:w="12" w:type="pct"/>
          <w:trHeight w:val="177"/>
        </w:trPr>
        <w:tc>
          <w:tcPr>
            <w:tcW w:w="4988" w:type="pct"/>
            <w:gridSpan w:val="24"/>
            <w:shd w:val="clear" w:color="auto" w:fill="auto"/>
          </w:tcPr>
          <w:p w:rsidR="0036788A" w:rsidRPr="00C804F5" w:rsidRDefault="0036788A" w:rsidP="00676F75">
            <w:pPr>
              <w:pStyle w:val="Source"/>
              <w:spacing w:after="80"/>
            </w:pPr>
            <w:r w:rsidRPr="00B5543B">
              <w:t xml:space="preserve">Source: </w:t>
            </w:r>
            <w:r w:rsidRPr="00ED0744">
              <w:t xml:space="preserve">tables </w:t>
            </w:r>
            <w:proofErr w:type="spellStart"/>
            <w:r w:rsidRPr="00ED0744">
              <w:t>11A.11</w:t>
            </w:r>
            <w:proofErr w:type="spellEnd"/>
            <w:r w:rsidRPr="00ED0744">
              <w:t>–</w:t>
            </w:r>
            <w:proofErr w:type="spellStart"/>
            <w:r w:rsidRPr="00ED0744">
              <w:t>11A.31</w:t>
            </w:r>
            <w:proofErr w:type="spellEnd"/>
            <w:r w:rsidRPr="00ED0744">
              <w:t>.</w:t>
            </w:r>
          </w:p>
        </w:tc>
      </w:tr>
      <w:tr w:rsidR="0036788A" w:rsidRPr="001E0D4D" w:rsidTr="00384067">
        <w:trPr>
          <w:gridAfter w:val="1"/>
          <w:wAfter w:w="12" w:type="pct"/>
          <w:trHeight w:val="273"/>
        </w:trPr>
        <w:tc>
          <w:tcPr>
            <w:tcW w:w="4988" w:type="pct"/>
            <w:gridSpan w:val="24"/>
            <w:shd w:val="clear" w:color="auto" w:fill="auto"/>
          </w:tcPr>
          <w:p w:rsidR="0036788A" w:rsidRPr="001E0D4D" w:rsidRDefault="0036788A" w:rsidP="00676F75">
            <w:pPr>
              <w:pStyle w:val="TableColumnHeading"/>
              <w:jc w:val="left"/>
              <w:rPr>
                <w:b/>
                <w:i w:val="0"/>
              </w:rPr>
            </w:pPr>
            <w:r w:rsidRPr="001E0D4D">
              <w:rPr>
                <w:b/>
                <w:i w:val="0"/>
              </w:rPr>
              <w:t>Effectiveness — Access indicators</w:t>
            </w:r>
          </w:p>
        </w:tc>
      </w:tr>
      <w:tr w:rsidR="0036788A" w:rsidRPr="00B817EA" w:rsidTr="00384067">
        <w:trPr>
          <w:gridAfter w:val="1"/>
          <w:wAfter w:w="12" w:type="pct"/>
          <w:trHeight w:val="273"/>
        </w:trPr>
        <w:tc>
          <w:tcPr>
            <w:tcW w:w="4988" w:type="pct"/>
            <w:gridSpan w:val="24"/>
            <w:shd w:val="clear" w:color="auto" w:fill="auto"/>
          </w:tcPr>
          <w:p w:rsidR="0036788A" w:rsidRPr="00B817EA" w:rsidRDefault="0036788A" w:rsidP="00676F75">
            <w:pPr>
              <w:pStyle w:val="TableColumnHeading"/>
              <w:jc w:val="left"/>
            </w:pPr>
            <w:r>
              <w:t xml:space="preserve">Effectiveness of access to GPs </w:t>
            </w:r>
            <w:r>
              <w:br/>
            </w:r>
            <w:r w:rsidRPr="00ED0744">
              <w:rPr>
                <w:i w:val="0"/>
                <w:sz w:val="16"/>
                <w:szCs w:val="16"/>
              </w:rPr>
              <w:t>Most recent data for this indicator are comparable and complete (subject to caveats) for some but not all measures (chapter 11)</w:t>
            </w:r>
          </w:p>
        </w:tc>
      </w:tr>
      <w:tr w:rsidR="0036788A" w:rsidRPr="005825CD" w:rsidTr="00384067">
        <w:trPr>
          <w:gridAfter w:val="1"/>
          <w:wAfter w:w="12" w:type="pct"/>
          <w:trHeight w:val="273"/>
        </w:trPr>
        <w:tc>
          <w:tcPr>
            <w:tcW w:w="4988" w:type="pct"/>
            <w:gridSpan w:val="24"/>
            <w:shd w:val="clear" w:color="auto" w:fill="auto"/>
          </w:tcPr>
          <w:p w:rsidR="0036788A" w:rsidRPr="00517A92" w:rsidRDefault="0036788A" w:rsidP="00676F75">
            <w:pPr>
              <w:pStyle w:val="TableBodyText"/>
              <w:jc w:val="left"/>
            </w:pPr>
            <w:r w:rsidRPr="005825CD">
              <w:t xml:space="preserve">  </w:t>
            </w:r>
            <w:r w:rsidRPr="009C081A">
              <w:t>Bulk billing rates</w:t>
            </w:r>
            <w:r>
              <w:t xml:space="preserve"> </w:t>
            </w:r>
            <w:r w:rsidRPr="003C08C0">
              <w:t xml:space="preserve">for non-referred </w:t>
            </w:r>
            <w:r w:rsidRPr="00384067">
              <w:t>patients, 2012-13</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Proportion (%)</w:t>
            </w:r>
          </w:p>
        </w:tc>
        <w:tc>
          <w:tcPr>
            <w:tcW w:w="423" w:type="pct"/>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86.8</w:t>
            </w:r>
          </w:p>
        </w:tc>
        <w:tc>
          <w:tcPr>
            <w:tcW w:w="431"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82.1</w:t>
            </w:r>
          </w:p>
        </w:tc>
        <w:tc>
          <w:tcPr>
            <w:tcW w:w="42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81.7</w:t>
            </w:r>
          </w:p>
        </w:tc>
        <w:tc>
          <w:tcPr>
            <w:tcW w:w="439"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73.0</w:t>
            </w:r>
          </w:p>
        </w:tc>
        <w:tc>
          <w:tcPr>
            <w:tcW w:w="430"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81.4</w:t>
            </w:r>
          </w:p>
        </w:tc>
        <w:tc>
          <w:tcPr>
            <w:tcW w:w="431"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76.4</w:t>
            </w:r>
          </w:p>
        </w:tc>
        <w:tc>
          <w:tcPr>
            <w:tcW w:w="427"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55.0</w:t>
            </w:r>
          </w:p>
        </w:tc>
        <w:tc>
          <w:tcPr>
            <w:tcW w:w="427"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78.2</w:t>
            </w:r>
          </w:p>
        </w:tc>
        <w:tc>
          <w:tcPr>
            <w:tcW w:w="443"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82.3</w:t>
            </w:r>
          </w:p>
        </w:tc>
      </w:tr>
      <w:tr w:rsidR="0036788A" w:rsidRPr="00B817EA" w:rsidTr="00384067">
        <w:trPr>
          <w:gridAfter w:val="1"/>
          <w:wAfter w:w="12" w:type="pct"/>
        </w:trPr>
        <w:tc>
          <w:tcPr>
            <w:tcW w:w="4988" w:type="pct"/>
            <w:gridSpan w:val="24"/>
            <w:shd w:val="clear" w:color="auto" w:fill="auto"/>
          </w:tcPr>
          <w:p w:rsidR="0036788A" w:rsidRPr="00B817EA" w:rsidRDefault="0036788A" w:rsidP="00676F75">
            <w:pPr>
              <w:pStyle w:val="TableColumnHeading"/>
              <w:jc w:val="left"/>
            </w:pPr>
            <w:r>
              <w:rPr>
                <w:i w:val="0"/>
              </w:rPr>
              <w:t xml:space="preserve">  </w:t>
            </w:r>
            <w:r w:rsidRPr="00863567">
              <w:rPr>
                <w:i w:val="0"/>
              </w:rPr>
              <w:t xml:space="preserve">GP waiting times for urgent appointment, </w:t>
            </w:r>
            <w:r w:rsidRPr="008B11E3">
              <w:rPr>
                <w:i w:val="0"/>
                <w:shd w:val="clear" w:color="auto" w:fill="FFFFFF" w:themeFill="background1"/>
              </w:rPr>
              <w:t>2011-12</w:t>
            </w:r>
            <w:r w:rsidRPr="00863567">
              <w:rPr>
                <w:i w:val="0"/>
              </w:rPr>
              <w:t xml:space="preserve"> — less than 4 hours</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Proportion (%)</w:t>
            </w:r>
          </w:p>
        </w:tc>
        <w:tc>
          <w:tcPr>
            <w:tcW w:w="423" w:type="pct"/>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64.3</w:t>
            </w:r>
          </w:p>
        </w:tc>
        <w:tc>
          <w:tcPr>
            <w:tcW w:w="431"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63.4</w:t>
            </w:r>
          </w:p>
        </w:tc>
        <w:tc>
          <w:tcPr>
            <w:tcW w:w="42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66.8</w:t>
            </w:r>
          </w:p>
        </w:tc>
        <w:tc>
          <w:tcPr>
            <w:tcW w:w="439"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62.0</w:t>
            </w:r>
          </w:p>
        </w:tc>
        <w:tc>
          <w:tcPr>
            <w:tcW w:w="430"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66.2</w:t>
            </w:r>
          </w:p>
        </w:tc>
        <w:tc>
          <w:tcPr>
            <w:tcW w:w="431"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54.1</w:t>
            </w:r>
          </w:p>
        </w:tc>
        <w:tc>
          <w:tcPr>
            <w:tcW w:w="427"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61.2</w:t>
            </w:r>
          </w:p>
        </w:tc>
        <w:tc>
          <w:tcPr>
            <w:tcW w:w="427"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49.5</w:t>
            </w:r>
          </w:p>
        </w:tc>
        <w:tc>
          <w:tcPr>
            <w:tcW w:w="443"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64.1</w:t>
            </w:r>
          </w:p>
        </w:tc>
      </w:tr>
      <w:tr w:rsidR="0036788A" w:rsidRPr="00BA7EE7" w:rsidTr="00384067">
        <w:trPr>
          <w:gridAfter w:val="1"/>
          <w:wAfter w:w="12" w:type="pct"/>
        </w:trPr>
        <w:tc>
          <w:tcPr>
            <w:tcW w:w="4988" w:type="pct"/>
            <w:gridSpan w:val="24"/>
            <w:shd w:val="clear" w:color="auto" w:fill="auto"/>
          </w:tcPr>
          <w:p w:rsidR="0036788A" w:rsidRPr="00BA7EE7" w:rsidRDefault="0036788A" w:rsidP="00676F75">
            <w:pPr>
              <w:pStyle w:val="TableColumnHeading"/>
              <w:jc w:val="left"/>
            </w:pPr>
            <w:r>
              <w:rPr>
                <w:i w:val="0"/>
              </w:rPr>
              <w:t xml:space="preserve">  </w:t>
            </w:r>
            <w:r w:rsidRPr="00863567">
              <w:rPr>
                <w:i w:val="0"/>
              </w:rPr>
              <w:t xml:space="preserve">People deferring treatment due to </w:t>
            </w:r>
            <w:r>
              <w:rPr>
                <w:i w:val="0"/>
              </w:rPr>
              <w:t>cost</w:t>
            </w:r>
            <w:r w:rsidRPr="00863567">
              <w:rPr>
                <w:i w:val="0"/>
              </w:rPr>
              <w:t xml:space="preserve">, </w:t>
            </w:r>
            <w:r w:rsidRPr="00384067">
              <w:rPr>
                <w:i w:val="0"/>
              </w:rPr>
              <w:t>2012-13</w:t>
            </w:r>
            <w:r w:rsidRPr="00F32B0B">
              <w:t xml:space="preserve"> </w:t>
            </w:r>
            <w:r w:rsidRPr="00863567">
              <w:rPr>
                <w:i w:val="0"/>
              </w:rPr>
              <w:t>— deferring visits to GPs</w:t>
            </w:r>
          </w:p>
        </w:tc>
      </w:tr>
      <w:tr w:rsidR="0036788A" w:rsidRPr="00B817EA" w:rsidTr="00384067">
        <w:trPr>
          <w:gridAfter w:val="1"/>
          <w:wAfter w:w="12"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968" w:type="pct"/>
            <w:shd w:val="clear" w:color="auto" w:fill="auto"/>
          </w:tcPr>
          <w:p w:rsidR="0036788A" w:rsidRPr="0073742B" w:rsidRDefault="0036788A" w:rsidP="00676F75">
            <w:pPr>
              <w:pStyle w:val="TableBodyText"/>
              <w:jc w:val="left"/>
            </w:pPr>
            <w:r>
              <w:t>Proportion (%)</w:t>
            </w:r>
          </w:p>
        </w:tc>
        <w:tc>
          <w:tcPr>
            <w:tcW w:w="423" w:type="pct"/>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4.8</w:t>
            </w:r>
          </w:p>
        </w:tc>
        <w:tc>
          <w:tcPr>
            <w:tcW w:w="431"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5.2</w:t>
            </w:r>
          </w:p>
        </w:tc>
        <w:tc>
          <w:tcPr>
            <w:tcW w:w="42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6.3</w:t>
            </w:r>
          </w:p>
        </w:tc>
        <w:tc>
          <w:tcPr>
            <w:tcW w:w="439"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8.0</w:t>
            </w:r>
          </w:p>
        </w:tc>
        <w:tc>
          <w:tcPr>
            <w:tcW w:w="430"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6.1</w:t>
            </w:r>
          </w:p>
        </w:tc>
        <w:tc>
          <w:tcPr>
            <w:tcW w:w="431"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7.7</w:t>
            </w:r>
          </w:p>
        </w:tc>
        <w:tc>
          <w:tcPr>
            <w:tcW w:w="427"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8.8</w:t>
            </w:r>
          </w:p>
        </w:tc>
        <w:tc>
          <w:tcPr>
            <w:tcW w:w="427"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5.0</w:t>
            </w:r>
          </w:p>
        </w:tc>
        <w:tc>
          <w:tcPr>
            <w:tcW w:w="443"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5.8</w:t>
            </w:r>
          </w:p>
        </w:tc>
      </w:tr>
      <w:tr w:rsidR="00384067" w:rsidRPr="00B817EA" w:rsidTr="00384067">
        <w:trPr>
          <w:trHeight w:val="273"/>
        </w:trPr>
        <w:tc>
          <w:tcPr>
            <w:tcW w:w="5000" w:type="pct"/>
            <w:gridSpan w:val="25"/>
            <w:shd w:val="clear" w:color="auto" w:fill="auto"/>
          </w:tcPr>
          <w:p w:rsidR="00384067" w:rsidRPr="00B817EA" w:rsidRDefault="00384067" w:rsidP="00E32399">
            <w:pPr>
              <w:pStyle w:val="TableColumnHeading"/>
              <w:keepNext w:val="0"/>
              <w:jc w:val="left"/>
            </w:pPr>
            <w:r>
              <w:rPr>
                <w:i w:val="0"/>
              </w:rPr>
              <w:t xml:space="preserve">  </w:t>
            </w:r>
            <w:r w:rsidRPr="00964B7E">
              <w:rPr>
                <w:i w:val="0"/>
              </w:rPr>
              <w:t xml:space="preserve">Selected potentially avoidable GP-type presentations to emergency departments, </w:t>
            </w:r>
            <w:r w:rsidRPr="00384067">
              <w:rPr>
                <w:i w:val="0"/>
              </w:rPr>
              <w:t>2012-13</w:t>
            </w:r>
          </w:p>
        </w:tc>
      </w:tr>
      <w:tr w:rsidR="00384067" w:rsidRPr="00B817EA" w:rsidTr="00384067">
        <w:tc>
          <w:tcPr>
            <w:tcW w:w="146" w:type="pct"/>
            <w:gridSpan w:val="2"/>
            <w:shd w:val="clear" w:color="auto" w:fill="auto"/>
          </w:tcPr>
          <w:p w:rsidR="00384067" w:rsidRPr="005825CD" w:rsidRDefault="00384067" w:rsidP="00E32399">
            <w:pPr>
              <w:pStyle w:val="TableBodyText"/>
              <w:keepNext w:val="0"/>
              <w:jc w:val="left"/>
              <w:rPr>
                <w:vertAlign w:val="superscript"/>
              </w:rPr>
            </w:pPr>
          </w:p>
        </w:tc>
        <w:tc>
          <w:tcPr>
            <w:tcW w:w="969" w:type="pct"/>
            <w:shd w:val="clear" w:color="auto" w:fill="auto"/>
          </w:tcPr>
          <w:p w:rsidR="00384067" w:rsidRPr="0073742B" w:rsidRDefault="00384067" w:rsidP="00E32399">
            <w:pPr>
              <w:pStyle w:val="TableBodyText"/>
              <w:jc w:val="left"/>
            </w:pPr>
            <w:r>
              <w:t>‘000</w:t>
            </w:r>
          </w:p>
        </w:tc>
        <w:tc>
          <w:tcPr>
            <w:tcW w:w="435" w:type="pct"/>
            <w:gridSpan w:val="3"/>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682.3</w:t>
            </w:r>
          </w:p>
        </w:tc>
        <w:tc>
          <w:tcPr>
            <w:tcW w:w="430" w:type="pct"/>
            <w:gridSpan w:val="3"/>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574.5</w:t>
            </w:r>
          </w:p>
        </w:tc>
        <w:tc>
          <w:tcPr>
            <w:tcW w:w="430" w:type="pct"/>
            <w:gridSpan w:val="3"/>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383.8</w:t>
            </w:r>
          </w:p>
        </w:tc>
        <w:tc>
          <w:tcPr>
            <w:tcW w:w="430" w:type="pct"/>
            <w:gridSpan w:val="2"/>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282.1</w:t>
            </w:r>
          </w:p>
        </w:tc>
        <w:tc>
          <w:tcPr>
            <w:tcW w:w="430" w:type="pct"/>
            <w:gridSpan w:val="2"/>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105.9</w:t>
            </w:r>
          </w:p>
        </w:tc>
        <w:tc>
          <w:tcPr>
            <w:tcW w:w="430" w:type="pct"/>
            <w:gridSpan w:val="2"/>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61.6</w:t>
            </w:r>
          </w:p>
        </w:tc>
        <w:tc>
          <w:tcPr>
            <w:tcW w:w="430" w:type="pct"/>
            <w:gridSpan w:val="2"/>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46.6</w:t>
            </w:r>
          </w:p>
        </w:tc>
        <w:tc>
          <w:tcPr>
            <w:tcW w:w="431" w:type="pct"/>
            <w:gridSpan w:val="2"/>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39.8</w:t>
            </w:r>
          </w:p>
        </w:tc>
        <w:tc>
          <w:tcPr>
            <w:tcW w:w="438" w:type="pct"/>
            <w:gridSpan w:val="3"/>
            <w:shd w:val="clear" w:color="auto" w:fill="auto"/>
          </w:tcPr>
          <w:p w:rsidR="00384067" w:rsidRPr="003F6091" w:rsidRDefault="00384067" w:rsidP="00E32399">
            <w:pPr>
              <w:spacing w:afterLines="40" w:after="96" w:line="220" w:lineRule="atLeast"/>
              <w:jc w:val="right"/>
              <w:rPr>
                <w:rFonts w:ascii="Arial" w:hAnsi="Arial" w:cs="Arial"/>
                <w:sz w:val="20"/>
                <w:szCs w:val="20"/>
              </w:rPr>
            </w:pPr>
            <w:r w:rsidRPr="003F6091">
              <w:rPr>
                <w:rFonts w:ascii="Arial" w:hAnsi="Arial" w:cs="Arial"/>
                <w:sz w:val="20"/>
                <w:szCs w:val="20"/>
              </w:rPr>
              <w:t>2176.6</w:t>
            </w:r>
          </w:p>
        </w:tc>
      </w:tr>
      <w:tr w:rsidR="004E066A" w:rsidRPr="00B817EA" w:rsidTr="00384067">
        <w:trPr>
          <w:gridAfter w:val="1"/>
          <w:wAfter w:w="12" w:type="pct"/>
        </w:trPr>
        <w:tc>
          <w:tcPr>
            <w:tcW w:w="4988" w:type="pct"/>
            <w:gridSpan w:val="24"/>
            <w:shd w:val="clear" w:color="auto" w:fill="auto"/>
          </w:tcPr>
          <w:p w:rsidR="004E066A" w:rsidRPr="004E066A" w:rsidRDefault="004E066A" w:rsidP="00384067">
            <w:pPr>
              <w:spacing w:line="220" w:lineRule="atLeast"/>
              <w:jc w:val="right"/>
              <w:rPr>
                <w:rFonts w:ascii="Arial" w:hAnsi="Arial" w:cs="Arial"/>
                <w:sz w:val="18"/>
                <w:szCs w:val="18"/>
              </w:rPr>
            </w:pPr>
            <w:r w:rsidRPr="004E066A">
              <w:rPr>
                <w:rFonts w:ascii="Arial" w:hAnsi="Arial" w:cs="Arial"/>
                <w:sz w:val="18"/>
                <w:szCs w:val="18"/>
              </w:rPr>
              <w:t>(Continued next page)</w:t>
            </w:r>
          </w:p>
        </w:tc>
      </w:tr>
    </w:tbl>
    <w:p w:rsidR="00C23BD5" w:rsidRDefault="00C23BD5" w:rsidP="00C23BD5">
      <w:pPr>
        <w:pStyle w:val="TableTitle"/>
      </w:pPr>
      <w:r w:rsidRPr="00B4788D">
        <w:rPr>
          <w:b w:val="0"/>
        </w:rPr>
        <w:lastRenderedPageBreak/>
        <w:t>Table</w:t>
      </w:r>
      <w:r>
        <w:rPr>
          <w:b w:val="0"/>
        </w:rPr>
        <w:t xml:space="preserve"> </w:t>
      </w:r>
      <w:proofErr w:type="spellStart"/>
      <w:r w:rsidRPr="00F156AA">
        <w:rPr>
          <w:b w:val="0"/>
        </w:rPr>
        <w:t>E.</w:t>
      </w:r>
      <w:r>
        <w:rPr>
          <w:b w:val="0"/>
        </w:rPr>
        <w:t>7</w:t>
      </w:r>
      <w:proofErr w:type="spellEnd"/>
      <w:r w:rsidRPr="00B4788D">
        <w:rPr>
          <w:b w:val="0"/>
        </w:rPr>
        <w:tab/>
      </w:r>
      <w:r w:rsidRPr="005825CD">
        <w:rPr>
          <w:sz w:val="18"/>
          <w:szCs w:val="18"/>
        </w:rPr>
        <w:t>(continued)</w:t>
      </w:r>
      <w:r w:rsidRPr="00577BF4">
        <w:t xml:space="preserve"> </w:t>
      </w:r>
    </w:p>
    <w:tbl>
      <w:tblPr>
        <w:tblW w:w="5064" w:type="pct"/>
        <w:tblLayout w:type="fixed"/>
        <w:tblCellMar>
          <w:left w:w="0" w:type="dxa"/>
          <w:right w:w="0" w:type="dxa"/>
        </w:tblCellMar>
        <w:tblLook w:val="0000" w:firstRow="0" w:lastRow="0" w:firstColumn="0" w:lastColumn="0" w:noHBand="0" w:noVBand="0"/>
      </w:tblPr>
      <w:tblGrid>
        <w:gridCol w:w="200"/>
        <w:gridCol w:w="14"/>
        <w:gridCol w:w="1718"/>
        <w:gridCol w:w="37"/>
        <w:gridCol w:w="105"/>
        <w:gridCol w:w="662"/>
        <w:gridCol w:w="23"/>
        <w:gridCol w:w="59"/>
        <w:gridCol w:w="707"/>
        <w:gridCol w:w="21"/>
        <w:gridCol w:w="14"/>
        <w:gridCol w:w="762"/>
        <w:gridCol w:w="16"/>
        <w:gridCol w:w="664"/>
        <w:gridCol w:w="64"/>
        <w:gridCol w:w="64"/>
        <w:gridCol w:w="662"/>
        <w:gridCol w:w="12"/>
        <w:gridCol w:w="112"/>
        <w:gridCol w:w="632"/>
        <w:gridCol w:w="34"/>
        <w:gridCol w:w="125"/>
        <w:gridCol w:w="244"/>
        <w:gridCol w:w="347"/>
        <w:gridCol w:w="77"/>
        <w:gridCol w:w="130"/>
        <w:gridCol w:w="525"/>
        <w:gridCol w:w="32"/>
        <w:gridCol w:w="89"/>
        <w:gridCol w:w="27"/>
        <w:gridCol w:w="671"/>
        <w:gridCol w:w="52"/>
      </w:tblGrid>
      <w:tr w:rsidR="00C23BD5" w:rsidRPr="004C2CF4" w:rsidTr="00384067">
        <w:trPr>
          <w:gridAfter w:val="1"/>
          <w:wAfter w:w="37" w:type="pct"/>
          <w:cantSplit/>
          <w:tblHeader/>
        </w:trPr>
        <w:tc>
          <w:tcPr>
            <w:tcW w:w="1104" w:type="pct"/>
            <w:gridSpan w:val="4"/>
            <w:tcBorders>
              <w:top w:val="single" w:sz="6" w:space="0" w:color="auto"/>
              <w:bottom w:val="single" w:sz="6" w:space="0" w:color="auto"/>
            </w:tcBorders>
            <w:shd w:val="clear" w:color="auto" w:fill="auto"/>
          </w:tcPr>
          <w:p w:rsidR="00C23BD5" w:rsidRPr="00B817EA" w:rsidRDefault="00C23BD5" w:rsidP="00676F75">
            <w:pPr>
              <w:pStyle w:val="TableColumnHeading"/>
              <w:jc w:val="left"/>
            </w:pPr>
          </w:p>
        </w:tc>
        <w:tc>
          <w:tcPr>
            <w:tcW w:w="444" w:type="pct"/>
            <w:gridSpan w:val="3"/>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NSW</w:t>
            </w:r>
          </w:p>
        </w:tc>
        <w:tc>
          <w:tcPr>
            <w:tcW w:w="442" w:type="pct"/>
            <w:gridSpan w:val="3"/>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Vic</w:t>
            </w:r>
          </w:p>
        </w:tc>
        <w:tc>
          <w:tcPr>
            <w:tcW w:w="445" w:type="pct"/>
            <w:gridSpan w:val="3"/>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Qld</w:t>
            </w:r>
          </w:p>
        </w:tc>
        <w:tc>
          <w:tcPr>
            <w:tcW w:w="445" w:type="pct"/>
            <w:gridSpan w:val="3"/>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WA</w:t>
            </w:r>
          </w:p>
        </w:tc>
        <w:tc>
          <w:tcPr>
            <w:tcW w:w="442" w:type="pct"/>
            <w:gridSpan w:val="3"/>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SA</w:t>
            </w:r>
          </w:p>
        </w:tc>
        <w:tc>
          <w:tcPr>
            <w:tcW w:w="444" w:type="pct"/>
            <w:gridSpan w:val="3"/>
            <w:tcBorders>
              <w:top w:val="single" w:sz="6" w:space="0" w:color="auto"/>
              <w:bottom w:val="single" w:sz="6" w:space="0" w:color="auto"/>
            </w:tcBorders>
            <w:shd w:val="clear" w:color="auto" w:fill="auto"/>
          </w:tcPr>
          <w:p w:rsidR="00C23BD5" w:rsidRPr="00B817EA" w:rsidRDefault="00C23BD5" w:rsidP="00676F75">
            <w:pPr>
              <w:pStyle w:val="TableColumnHeading"/>
            </w:pPr>
            <w:proofErr w:type="spellStart"/>
            <w:r w:rsidRPr="00B817EA">
              <w:t>Tas</w:t>
            </w:r>
            <w:proofErr w:type="spellEnd"/>
          </w:p>
        </w:tc>
        <w:tc>
          <w:tcPr>
            <w:tcW w:w="444" w:type="pct"/>
            <w:gridSpan w:val="4"/>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ACT</w:t>
            </w:r>
          </w:p>
        </w:tc>
        <w:tc>
          <w:tcPr>
            <w:tcW w:w="378" w:type="pct"/>
            <w:gridSpan w:val="4"/>
            <w:tcBorders>
              <w:top w:val="single" w:sz="6" w:space="0" w:color="auto"/>
              <w:bottom w:val="single" w:sz="6" w:space="0" w:color="auto"/>
            </w:tcBorders>
            <w:shd w:val="clear" w:color="auto" w:fill="auto"/>
          </w:tcPr>
          <w:p w:rsidR="00C23BD5" w:rsidRPr="00B817EA" w:rsidRDefault="00C23BD5" w:rsidP="00676F75">
            <w:pPr>
              <w:pStyle w:val="TableColumnHeading"/>
            </w:pPr>
            <w:r w:rsidRPr="00B817EA">
              <w:t>NT</w:t>
            </w:r>
          </w:p>
        </w:tc>
        <w:tc>
          <w:tcPr>
            <w:tcW w:w="376" w:type="pct"/>
            <w:tcBorders>
              <w:top w:val="single" w:sz="6" w:space="0" w:color="auto"/>
              <w:bottom w:val="single" w:sz="6" w:space="0" w:color="auto"/>
            </w:tcBorders>
          </w:tcPr>
          <w:p w:rsidR="00C23BD5" w:rsidRPr="004C2CF4" w:rsidRDefault="00C23BD5" w:rsidP="00676F75">
            <w:pPr>
              <w:pStyle w:val="TableColumnHeading"/>
            </w:pPr>
            <w:proofErr w:type="spellStart"/>
            <w:r w:rsidRPr="00B817EA">
              <w:t>Aust</w:t>
            </w:r>
            <w:proofErr w:type="spellEnd"/>
          </w:p>
        </w:tc>
      </w:tr>
      <w:tr w:rsidR="0036788A" w:rsidRPr="00CD0F09" w:rsidTr="00384067">
        <w:trPr>
          <w:gridAfter w:val="1"/>
          <w:wAfter w:w="37" w:type="pct"/>
          <w:trHeight w:val="312"/>
        </w:trPr>
        <w:tc>
          <w:tcPr>
            <w:tcW w:w="4963" w:type="pct"/>
            <w:gridSpan w:val="31"/>
            <w:shd w:val="clear" w:color="auto" w:fill="auto"/>
          </w:tcPr>
          <w:p w:rsidR="0036788A" w:rsidRPr="000C22A5" w:rsidRDefault="0036788A" w:rsidP="00676F75">
            <w:pPr>
              <w:pStyle w:val="TableColumnHeading"/>
              <w:keepNext w:val="0"/>
              <w:jc w:val="left"/>
              <w:rPr>
                <w:b/>
              </w:rPr>
            </w:pPr>
            <w:r w:rsidRPr="000C22A5">
              <w:t xml:space="preserve">Financial barriers to </w:t>
            </w:r>
            <w:proofErr w:type="spellStart"/>
            <w:r w:rsidRPr="000C22A5">
              <w:t>PBS</w:t>
            </w:r>
            <w:proofErr w:type="spellEnd"/>
            <w:r w:rsidRPr="000C22A5">
              <w:t xml:space="preserve"> medicines</w:t>
            </w:r>
            <w:r>
              <w:t xml:space="preserve"> </w:t>
            </w:r>
          </w:p>
        </w:tc>
      </w:tr>
      <w:tr w:rsidR="0036788A" w:rsidRPr="00CD0F09" w:rsidTr="00384067">
        <w:trPr>
          <w:gridAfter w:val="1"/>
          <w:wAfter w:w="37" w:type="pct"/>
          <w:trHeight w:val="177"/>
        </w:trPr>
        <w:tc>
          <w:tcPr>
            <w:tcW w:w="4963" w:type="pct"/>
            <w:gridSpan w:val="31"/>
            <w:shd w:val="clear" w:color="auto" w:fill="auto"/>
          </w:tcPr>
          <w:p w:rsidR="0036788A" w:rsidRPr="000C22A5" w:rsidRDefault="0036788A" w:rsidP="00676F75">
            <w:pPr>
              <w:pStyle w:val="TableColumnHeading"/>
              <w:keepNext w:val="0"/>
              <w:jc w:val="left"/>
              <w:rPr>
                <w:i w:val="0"/>
              </w:rPr>
            </w:pPr>
            <w:r w:rsidRPr="000C22A5">
              <w:rPr>
                <w:i w:val="0"/>
              </w:rPr>
              <w:t xml:space="preserve">  People deferring treatment due to cost</w:t>
            </w:r>
            <w:r w:rsidRPr="00276E4F">
              <w:rPr>
                <w:i w:val="0"/>
              </w:rPr>
              <w:t xml:space="preserve">, </w:t>
            </w:r>
            <w:r w:rsidRPr="00276E4F">
              <w:t xml:space="preserve">2012-13 </w:t>
            </w:r>
            <w:r w:rsidRPr="00276E4F">
              <w:rPr>
                <w:i w:val="0"/>
              </w:rPr>
              <w:t>— deferring</w:t>
            </w:r>
            <w:r w:rsidRPr="000C22A5">
              <w:rPr>
                <w:i w:val="0"/>
              </w:rPr>
              <w:t xml:space="preserve"> purchase of medicines</w:t>
            </w:r>
            <w:r w:rsidRPr="000C22A5">
              <w:br/>
            </w:r>
            <w:r w:rsidRPr="00276E4F">
              <w:t xml:space="preserve">  </w:t>
            </w:r>
            <w:r w:rsidRPr="00276E4F">
              <w:rPr>
                <w:i w:val="0"/>
                <w:sz w:val="16"/>
                <w:szCs w:val="16"/>
              </w:rPr>
              <w:t>Most recent data for this indicator are comparable and complete (subject to caveats) (chapter 11)</w:t>
            </w:r>
          </w:p>
        </w:tc>
      </w:tr>
      <w:tr w:rsidR="00C23BD5" w:rsidRPr="00CD0F09" w:rsidTr="00384067">
        <w:trPr>
          <w:gridAfter w:val="1"/>
          <w:wAfter w:w="37" w:type="pct"/>
        </w:trPr>
        <w:tc>
          <w:tcPr>
            <w:tcW w:w="120" w:type="pct"/>
            <w:gridSpan w:val="2"/>
            <w:shd w:val="clear" w:color="auto" w:fill="auto"/>
          </w:tcPr>
          <w:p w:rsidR="0036788A" w:rsidRPr="000C22A5" w:rsidRDefault="0036788A" w:rsidP="00676F75">
            <w:pPr>
              <w:pStyle w:val="TableBodyText"/>
              <w:keepNext w:val="0"/>
              <w:jc w:val="left"/>
            </w:pPr>
          </w:p>
        </w:tc>
        <w:tc>
          <w:tcPr>
            <w:tcW w:w="1045" w:type="pct"/>
            <w:gridSpan w:val="3"/>
            <w:shd w:val="clear" w:color="auto" w:fill="auto"/>
          </w:tcPr>
          <w:p w:rsidR="0036788A" w:rsidRPr="000C22A5" w:rsidRDefault="0036788A" w:rsidP="00676F75">
            <w:pPr>
              <w:pStyle w:val="TableBodyText"/>
              <w:keepNext w:val="0"/>
              <w:jc w:val="left"/>
            </w:pPr>
            <w:r>
              <w:t>Proportion (%)</w:t>
            </w:r>
          </w:p>
        </w:tc>
        <w:tc>
          <w:tcPr>
            <w:tcW w:w="41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7.9</w:t>
            </w:r>
          </w:p>
        </w:tc>
        <w:tc>
          <w:tcPr>
            <w:tcW w:w="417"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8.6</w:t>
            </w:r>
          </w:p>
        </w:tc>
        <w:tc>
          <w:tcPr>
            <w:tcW w:w="426" w:type="pct"/>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9.9</w:t>
            </w:r>
          </w:p>
        </w:tc>
        <w:tc>
          <w:tcPr>
            <w:tcW w:w="41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7.1</w:t>
            </w:r>
          </w:p>
        </w:tc>
        <w:tc>
          <w:tcPr>
            <w:tcW w:w="41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9.1</w:t>
            </w:r>
          </w:p>
        </w:tc>
        <w:tc>
          <w:tcPr>
            <w:tcW w:w="418"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9.8</w:t>
            </w:r>
          </w:p>
        </w:tc>
        <w:tc>
          <w:tcPr>
            <w:tcW w:w="42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6.7</w:t>
            </w:r>
          </w:p>
        </w:tc>
        <w:tc>
          <w:tcPr>
            <w:tcW w:w="429"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8.9</w:t>
            </w:r>
          </w:p>
        </w:tc>
        <w:tc>
          <w:tcPr>
            <w:tcW w:w="437"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8.5</w:t>
            </w:r>
          </w:p>
        </w:tc>
      </w:tr>
      <w:tr w:rsidR="0036788A" w:rsidRPr="00B817EA" w:rsidTr="00384067">
        <w:trPr>
          <w:gridAfter w:val="1"/>
          <w:wAfter w:w="37" w:type="pct"/>
          <w:trHeight w:val="273"/>
        </w:trPr>
        <w:tc>
          <w:tcPr>
            <w:tcW w:w="4963" w:type="pct"/>
            <w:gridSpan w:val="31"/>
            <w:shd w:val="clear" w:color="auto" w:fill="auto"/>
          </w:tcPr>
          <w:p w:rsidR="0036788A" w:rsidRPr="00B817EA" w:rsidRDefault="0036788A" w:rsidP="00676F75">
            <w:pPr>
              <w:pStyle w:val="TableColumnHeading"/>
              <w:keepNext w:val="0"/>
              <w:jc w:val="left"/>
            </w:pPr>
            <w:r>
              <w:t>Public dentistry waiting times</w:t>
            </w:r>
            <w:r w:rsidRPr="00276E4F">
              <w:t xml:space="preserve">, 2012-13 </w:t>
            </w:r>
            <w:r w:rsidRPr="00276E4F">
              <w:rPr>
                <w:i w:val="0"/>
              </w:rPr>
              <w:t>— less than 1 month</w:t>
            </w:r>
            <w:r w:rsidRPr="00276E4F">
              <w:br/>
            </w:r>
            <w:r w:rsidRPr="00276E4F">
              <w:rPr>
                <w:i w:val="0"/>
                <w:sz w:val="16"/>
                <w:szCs w:val="16"/>
              </w:rPr>
              <w:t>Most recent data for this indicator are comparable and complete (subject to caveats) (chapter 11)</w:t>
            </w:r>
          </w:p>
        </w:tc>
      </w:tr>
      <w:tr w:rsidR="00C23BD5" w:rsidRPr="00B817EA" w:rsidTr="00384067">
        <w:trPr>
          <w:gridAfter w:val="1"/>
          <w:wAfter w:w="37" w:type="pct"/>
        </w:trPr>
        <w:tc>
          <w:tcPr>
            <w:tcW w:w="111" w:type="pct"/>
            <w:shd w:val="clear" w:color="auto" w:fill="auto"/>
          </w:tcPr>
          <w:p w:rsidR="0036788A" w:rsidRPr="005825CD" w:rsidRDefault="0036788A" w:rsidP="00676F75">
            <w:pPr>
              <w:pStyle w:val="TableBodyText"/>
              <w:keepNext w:val="0"/>
              <w:jc w:val="left"/>
              <w:rPr>
                <w:vertAlign w:val="superscript"/>
              </w:rPr>
            </w:pPr>
          </w:p>
        </w:tc>
        <w:tc>
          <w:tcPr>
            <w:tcW w:w="973" w:type="pct"/>
            <w:gridSpan w:val="2"/>
            <w:shd w:val="clear" w:color="auto" w:fill="auto"/>
          </w:tcPr>
          <w:p w:rsidR="0036788A" w:rsidRPr="0073742B" w:rsidRDefault="0036788A" w:rsidP="00676F75">
            <w:pPr>
              <w:pStyle w:val="TableBodyText"/>
              <w:keepNext w:val="0"/>
              <w:jc w:val="left"/>
            </w:pPr>
            <w:r>
              <w:t>Proportion (%)</w:t>
            </w:r>
          </w:p>
        </w:tc>
        <w:tc>
          <w:tcPr>
            <w:tcW w:w="45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34.2</w:t>
            </w:r>
          </w:p>
        </w:tc>
        <w:tc>
          <w:tcPr>
            <w:tcW w:w="443"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28.5</w:t>
            </w:r>
          </w:p>
        </w:tc>
        <w:tc>
          <w:tcPr>
            <w:tcW w:w="44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28.3</w:t>
            </w:r>
          </w:p>
        </w:tc>
        <w:tc>
          <w:tcPr>
            <w:tcW w:w="382"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37.4</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15.1</w:t>
            </w:r>
          </w:p>
        </w:tc>
        <w:tc>
          <w:tcPr>
            <w:tcW w:w="444"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32.5</w:t>
            </w:r>
          </w:p>
        </w:tc>
        <w:tc>
          <w:tcPr>
            <w:tcW w:w="445"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36.3</w:t>
            </w:r>
          </w:p>
        </w:tc>
        <w:tc>
          <w:tcPr>
            <w:tcW w:w="368"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40.4</w:t>
            </w:r>
          </w:p>
        </w:tc>
        <w:tc>
          <w:tcPr>
            <w:tcW w:w="454"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30.5</w:t>
            </w:r>
          </w:p>
        </w:tc>
      </w:tr>
      <w:tr w:rsidR="0036788A" w:rsidRPr="005825CD" w:rsidTr="00384067">
        <w:trPr>
          <w:gridAfter w:val="1"/>
          <w:wAfter w:w="37" w:type="pct"/>
          <w:trHeight w:val="158"/>
        </w:trPr>
        <w:tc>
          <w:tcPr>
            <w:tcW w:w="3905" w:type="pct"/>
            <w:gridSpan w:val="23"/>
            <w:shd w:val="clear" w:color="auto" w:fill="auto"/>
          </w:tcPr>
          <w:p w:rsidR="0036788A" w:rsidRPr="001960F2" w:rsidRDefault="0036788A" w:rsidP="00A5533C">
            <w:pPr>
              <w:pStyle w:val="Source"/>
              <w:spacing w:after="80"/>
            </w:pPr>
            <w:r>
              <w:t xml:space="preserve">Source: tables </w:t>
            </w:r>
            <w:proofErr w:type="spellStart"/>
            <w:r w:rsidRPr="00C23BD5">
              <w:t>11A.3</w:t>
            </w:r>
            <w:r w:rsidR="002803EA">
              <w:t>2</w:t>
            </w:r>
            <w:proofErr w:type="spellEnd"/>
            <w:r w:rsidRPr="00C23BD5">
              <w:t>–</w:t>
            </w:r>
            <w:proofErr w:type="spellStart"/>
            <w:r w:rsidRPr="00C23BD5">
              <w:t>11A.4</w:t>
            </w:r>
            <w:r w:rsidR="002803EA">
              <w:t>5</w:t>
            </w:r>
            <w:proofErr w:type="spellEnd"/>
            <w:r w:rsidR="00A5533C">
              <w:t>.</w:t>
            </w:r>
            <w:r w:rsidRPr="001960F2">
              <w:t xml:space="preserve"> </w:t>
            </w:r>
          </w:p>
        </w:tc>
        <w:tc>
          <w:tcPr>
            <w:tcW w:w="1058" w:type="pct"/>
            <w:gridSpan w:val="8"/>
            <w:shd w:val="clear" w:color="auto" w:fill="auto"/>
            <w:vAlign w:val="center"/>
          </w:tcPr>
          <w:p w:rsidR="0036788A" w:rsidRPr="00C804F5" w:rsidRDefault="0036788A" w:rsidP="00C23BD5">
            <w:pPr>
              <w:pStyle w:val="Source"/>
              <w:spacing w:after="80"/>
            </w:pPr>
          </w:p>
        </w:tc>
      </w:tr>
      <w:tr w:rsidR="0036788A" w:rsidRPr="001E0D4D" w:rsidTr="00384067">
        <w:trPr>
          <w:gridAfter w:val="1"/>
          <w:wAfter w:w="37" w:type="pct"/>
          <w:trHeight w:val="273"/>
        </w:trPr>
        <w:tc>
          <w:tcPr>
            <w:tcW w:w="4963" w:type="pct"/>
            <w:gridSpan w:val="31"/>
            <w:shd w:val="clear" w:color="auto" w:fill="auto"/>
          </w:tcPr>
          <w:p w:rsidR="0036788A" w:rsidRPr="001E0D4D" w:rsidRDefault="0036788A" w:rsidP="00676F75">
            <w:pPr>
              <w:pStyle w:val="TableColumnHeading"/>
              <w:spacing w:after="60"/>
              <w:jc w:val="left"/>
              <w:rPr>
                <w:b/>
                <w:i w:val="0"/>
              </w:rPr>
            </w:pPr>
            <w:r w:rsidRPr="001E0D4D">
              <w:rPr>
                <w:b/>
                <w:i w:val="0"/>
              </w:rPr>
              <w:t>Effectiveness — Appropriateness indicators</w:t>
            </w:r>
          </w:p>
        </w:tc>
      </w:tr>
      <w:tr w:rsidR="0036788A" w:rsidRPr="00B817EA" w:rsidTr="00384067">
        <w:trPr>
          <w:gridAfter w:val="1"/>
          <w:wAfter w:w="37" w:type="pct"/>
          <w:trHeight w:val="273"/>
        </w:trPr>
        <w:tc>
          <w:tcPr>
            <w:tcW w:w="4963" w:type="pct"/>
            <w:gridSpan w:val="31"/>
            <w:shd w:val="clear" w:color="auto" w:fill="auto"/>
          </w:tcPr>
          <w:p w:rsidR="0036788A" w:rsidRPr="00B817EA" w:rsidRDefault="0036788A" w:rsidP="00676F75">
            <w:pPr>
              <w:pStyle w:val="TableColumnHeading"/>
              <w:jc w:val="left"/>
            </w:pPr>
            <w:r w:rsidRPr="00A51EEB">
              <w:t>GPs with vocational registration</w:t>
            </w:r>
            <w:r>
              <w:t xml:space="preserve">, </w:t>
            </w:r>
            <w:r w:rsidRPr="00276E4F">
              <w:t>2012-13</w:t>
            </w:r>
            <w:r w:rsidRPr="00276E4F">
              <w:br/>
            </w:r>
            <w:r w:rsidRPr="00276E4F">
              <w:rPr>
                <w:i w:val="0"/>
                <w:sz w:val="16"/>
                <w:szCs w:val="16"/>
              </w:rPr>
              <w:t>Most recent data for this indicator are comparable and complete (subject to caveats) (chapter 11)</w:t>
            </w:r>
          </w:p>
        </w:tc>
      </w:tr>
      <w:tr w:rsidR="00C23BD5" w:rsidRPr="00B817EA" w:rsidTr="00384067">
        <w:trPr>
          <w:gridAfter w:val="1"/>
          <w:wAfter w:w="37" w:type="pct"/>
        </w:trPr>
        <w:tc>
          <w:tcPr>
            <w:tcW w:w="111" w:type="pct"/>
            <w:shd w:val="clear" w:color="auto" w:fill="auto"/>
          </w:tcPr>
          <w:p w:rsidR="0036788A" w:rsidRPr="005825CD" w:rsidRDefault="0036788A" w:rsidP="00676F75">
            <w:pPr>
              <w:pStyle w:val="TableBodyText"/>
              <w:jc w:val="left"/>
              <w:rPr>
                <w:vertAlign w:val="superscript"/>
              </w:rPr>
            </w:pPr>
          </w:p>
        </w:tc>
        <w:tc>
          <w:tcPr>
            <w:tcW w:w="994" w:type="pct"/>
            <w:gridSpan w:val="3"/>
            <w:shd w:val="clear" w:color="auto" w:fill="auto"/>
          </w:tcPr>
          <w:p w:rsidR="0036788A" w:rsidRPr="0073742B" w:rsidRDefault="0036788A" w:rsidP="00676F75">
            <w:pPr>
              <w:pStyle w:val="TableBodyText"/>
              <w:jc w:val="left"/>
            </w:pPr>
            <w:r>
              <w:t>Proportion (%)</w:t>
            </w:r>
          </w:p>
        </w:tc>
        <w:tc>
          <w:tcPr>
            <w:tcW w:w="444"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91.3</w:t>
            </w:r>
          </w:p>
        </w:tc>
        <w:tc>
          <w:tcPr>
            <w:tcW w:w="442"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86.9</w:t>
            </w:r>
          </w:p>
        </w:tc>
        <w:tc>
          <w:tcPr>
            <w:tcW w:w="445"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88.4</w:t>
            </w:r>
          </w:p>
        </w:tc>
        <w:tc>
          <w:tcPr>
            <w:tcW w:w="445"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90.7</w:t>
            </w:r>
          </w:p>
        </w:tc>
        <w:tc>
          <w:tcPr>
            <w:tcW w:w="442"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 xml:space="preserve">  90.7</w:t>
            </w:r>
          </w:p>
        </w:tc>
        <w:tc>
          <w:tcPr>
            <w:tcW w:w="444"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92.2</w:t>
            </w:r>
          </w:p>
        </w:tc>
        <w:tc>
          <w:tcPr>
            <w:tcW w:w="444" w:type="pct"/>
            <w:gridSpan w:val="4"/>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93.0</w:t>
            </w:r>
          </w:p>
        </w:tc>
        <w:tc>
          <w:tcPr>
            <w:tcW w:w="362" w:type="pct"/>
            <w:gridSpan w:val="3"/>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72.1</w:t>
            </w:r>
          </w:p>
        </w:tc>
        <w:tc>
          <w:tcPr>
            <w:tcW w:w="392" w:type="pct"/>
            <w:gridSpan w:val="2"/>
            <w:shd w:val="clear" w:color="auto" w:fill="auto"/>
          </w:tcPr>
          <w:p w:rsidR="0036788A" w:rsidRPr="00356E76" w:rsidRDefault="0036788A" w:rsidP="00676F75">
            <w:pPr>
              <w:spacing w:afterLines="40" w:after="96" w:line="220" w:lineRule="atLeast"/>
              <w:jc w:val="right"/>
              <w:rPr>
                <w:rFonts w:ascii="Arial" w:hAnsi="Arial" w:cs="Arial"/>
                <w:sz w:val="20"/>
                <w:szCs w:val="20"/>
              </w:rPr>
            </w:pPr>
            <w:r w:rsidRPr="00356E76">
              <w:rPr>
                <w:rFonts w:ascii="Arial" w:hAnsi="Arial" w:cs="Arial"/>
                <w:sz w:val="20"/>
                <w:szCs w:val="20"/>
              </w:rPr>
              <w:t>89.4</w:t>
            </w:r>
          </w:p>
        </w:tc>
      </w:tr>
      <w:tr w:rsidR="0036788A" w:rsidRPr="000C00EE" w:rsidTr="00384067">
        <w:trPr>
          <w:gridAfter w:val="1"/>
          <w:wAfter w:w="37" w:type="pct"/>
          <w:trHeight w:val="273"/>
        </w:trPr>
        <w:tc>
          <w:tcPr>
            <w:tcW w:w="4963" w:type="pct"/>
            <w:gridSpan w:val="31"/>
            <w:shd w:val="clear" w:color="auto" w:fill="auto"/>
          </w:tcPr>
          <w:p w:rsidR="0036788A" w:rsidRPr="000C00EE" w:rsidRDefault="0036788A" w:rsidP="00676F75">
            <w:pPr>
              <w:pStyle w:val="TableColumnHeading"/>
              <w:jc w:val="left"/>
            </w:pPr>
            <w:r w:rsidRPr="000C00EE">
              <w:t>General practices with accreditation, at 30 June 2011</w:t>
            </w:r>
            <w:r w:rsidRPr="000C00EE">
              <w:br/>
            </w:r>
            <w:r w:rsidRPr="00276E4F">
              <w:rPr>
                <w:i w:val="0"/>
                <w:sz w:val="16"/>
                <w:szCs w:val="16"/>
              </w:rPr>
              <w:t>Most recent available data for this indicator are comparable and complete (subject to caveats) (chapter 11)</w:t>
            </w:r>
          </w:p>
        </w:tc>
      </w:tr>
      <w:tr w:rsidR="0036788A" w:rsidRPr="000C00EE" w:rsidTr="00384067">
        <w:trPr>
          <w:gridAfter w:val="1"/>
          <w:wAfter w:w="37" w:type="pct"/>
        </w:trPr>
        <w:tc>
          <w:tcPr>
            <w:tcW w:w="111" w:type="pct"/>
            <w:shd w:val="clear" w:color="auto" w:fill="auto"/>
          </w:tcPr>
          <w:p w:rsidR="0036788A" w:rsidRPr="000C00EE" w:rsidRDefault="0036788A" w:rsidP="00676F75">
            <w:pPr>
              <w:pStyle w:val="TableBodyText"/>
              <w:jc w:val="left"/>
              <w:rPr>
                <w:vertAlign w:val="superscript"/>
              </w:rPr>
            </w:pPr>
          </w:p>
        </w:tc>
        <w:tc>
          <w:tcPr>
            <w:tcW w:w="994" w:type="pct"/>
            <w:gridSpan w:val="3"/>
            <w:shd w:val="clear" w:color="auto" w:fill="auto"/>
          </w:tcPr>
          <w:p w:rsidR="0036788A" w:rsidRPr="000C00EE" w:rsidRDefault="0036788A" w:rsidP="00676F75">
            <w:pPr>
              <w:pStyle w:val="TableBodyText"/>
              <w:jc w:val="left"/>
            </w:pPr>
            <w:r w:rsidRPr="000C00EE">
              <w:t>Proportion (%)</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61.1</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69.2</w:t>
            </w:r>
          </w:p>
        </w:tc>
        <w:tc>
          <w:tcPr>
            <w:tcW w:w="44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75.8</w:t>
            </w:r>
          </w:p>
        </w:tc>
        <w:tc>
          <w:tcPr>
            <w:tcW w:w="44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73.3</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69.1</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75.3</w:t>
            </w:r>
          </w:p>
        </w:tc>
        <w:tc>
          <w:tcPr>
            <w:tcW w:w="444"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70.2</w:t>
            </w:r>
          </w:p>
        </w:tc>
        <w:tc>
          <w:tcPr>
            <w:tcW w:w="36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45.7</w:t>
            </w:r>
          </w:p>
        </w:tc>
        <w:tc>
          <w:tcPr>
            <w:tcW w:w="392"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67.4</w:t>
            </w:r>
          </w:p>
        </w:tc>
      </w:tr>
      <w:tr w:rsidR="0036788A" w:rsidRPr="000C00EE" w:rsidTr="00384067">
        <w:trPr>
          <w:gridAfter w:val="1"/>
          <w:wAfter w:w="37" w:type="pct"/>
          <w:trHeight w:val="273"/>
        </w:trPr>
        <w:tc>
          <w:tcPr>
            <w:tcW w:w="4963" w:type="pct"/>
            <w:gridSpan w:val="31"/>
            <w:shd w:val="clear" w:color="auto" w:fill="auto"/>
          </w:tcPr>
          <w:p w:rsidR="0036788A" w:rsidRPr="000C00EE" w:rsidRDefault="0036788A" w:rsidP="00676F75">
            <w:pPr>
              <w:pStyle w:val="TableColumnHeading"/>
              <w:jc w:val="left"/>
              <w:rPr>
                <w:color w:val="0000FF"/>
              </w:rPr>
            </w:pPr>
            <w:r w:rsidRPr="000C00EE">
              <w:t>Management of upper respiratory tract infections</w:t>
            </w:r>
            <w:r w:rsidRPr="000C00EE">
              <w:br/>
            </w:r>
            <w:r w:rsidRPr="00276E4F">
              <w:rPr>
                <w:i w:val="0"/>
                <w:sz w:val="16"/>
                <w:szCs w:val="16"/>
              </w:rPr>
              <w:t>Most recent data for this indicator are comparable and complete (subject to caveats) (chapter 11)</w:t>
            </w:r>
          </w:p>
        </w:tc>
      </w:tr>
      <w:tr w:rsidR="0036788A" w:rsidRPr="000C00EE" w:rsidTr="00384067">
        <w:trPr>
          <w:gridAfter w:val="1"/>
          <w:wAfter w:w="37" w:type="pct"/>
        </w:trPr>
        <w:tc>
          <w:tcPr>
            <w:tcW w:w="4963" w:type="pct"/>
            <w:gridSpan w:val="31"/>
            <w:shd w:val="clear" w:color="auto" w:fill="auto"/>
          </w:tcPr>
          <w:p w:rsidR="0036788A" w:rsidRPr="000C00EE" w:rsidRDefault="0036788A" w:rsidP="00676F75">
            <w:pPr>
              <w:pStyle w:val="TableBodyText"/>
              <w:ind w:left="142" w:hanging="136"/>
              <w:jc w:val="left"/>
            </w:pPr>
            <w:r w:rsidRPr="000C00EE">
              <w:t xml:space="preserve">  Prescriptions for oral antibiotics used to treat upper respiratory tract infections </w:t>
            </w:r>
            <w:r w:rsidRPr="000C00EE">
              <w:br/>
            </w:r>
            <w:r w:rsidRPr="00276E4F">
              <w:t>per 1000 people, 2012-13</w:t>
            </w:r>
          </w:p>
        </w:tc>
      </w:tr>
      <w:tr w:rsidR="00C23BD5" w:rsidRPr="000C00EE" w:rsidTr="00384067">
        <w:trPr>
          <w:gridAfter w:val="1"/>
          <w:wAfter w:w="37" w:type="pct"/>
        </w:trPr>
        <w:tc>
          <w:tcPr>
            <w:tcW w:w="111" w:type="pct"/>
            <w:shd w:val="clear" w:color="auto" w:fill="auto"/>
          </w:tcPr>
          <w:p w:rsidR="0036788A" w:rsidRPr="000C00EE" w:rsidRDefault="0036788A" w:rsidP="00676F75">
            <w:pPr>
              <w:pStyle w:val="TableBodyText"/>
              <w:jc w:val="left"/>
              <w:rPr>
                <w:vertAlign w:val="superscript"/>
              </w:rPr>
            </w:pPr>
          </w:p>
        </w:tc>
        <w:tc>
          <w:tcPr>
            <w:tcW w:w="994" w:type="pct"/>
            <w:gridSpan w:val="3"/>
            <w:shd w:val="clear" w:color="auto" w:fill="auto"/>
          </w:tcPr>
          <w:p w:rsidR="0036788A" w:rsidRPr="000C00EE" w:rsidRDefault="0036788A" w:rsidP="00676F75">
            <w:pPr>
              <w:pStyle w:val="TableBodyText"/>
              <w:jc w:val="left"/>
            </w:pPr>
            <w:r w:rsidRPr="000C00EE">
              <w:t xml:space="preserve">Rate </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318.5</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311.4</w:t>
            </w:r>
          </w:p>
        </w:tc>
        <w:tc>
          <w:tcPr>
            <w:tcW w:w="44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311.1</w:t>
            </w:r>
          </w:p>
        </w:tc>
        <w:tc>
          <w:tcPr>
            <w:tcW w:w="44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191.1</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320.2</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331.6</w:t>
            </w:r>
          </w:p>
        </w:tc>
        <w:tc>
          <w:tcPr>
            <w:tcW w:w="444"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176.8</w:t>
            </w:r>
          </w:p>
        </w:tc>
        <w:tc>
          <w:tcPr>
            <w:tcW w:w="36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88.0</w:t>
            </w:r>
          </w:p>
        </w:tc>
        <w:tc>
          <w:tcPr>
            <w:tcW w:w="392"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297.1</w:t>
            </w:r>
          </w:p>
        </w:tc>
      </w:tr>
      <w:tr w:rsidR="0036788A" w:rsidRPr="000C00EE" w:rsidTr="00384067">
        <w:trPr>
          <w:gridAfter w:val="1"/>
          <w:wAfter w:w="37" w:type="pct"/>
        </w:trPr>
        <w:tc>
          <w:tcPr>
            <w:tcW w:w="4963" w:type="pct"/>
            <w:gridSpan w:val="31"/>
            <w:shd w:val="clear" w:color="auto" w:fill="auto"/>
          </w:tcPr>
          <w:p w:rsidR="0036788A" w:rsidRPr="000C00EE" w:rsidRDefault="0036788A" w:rsidP="00676F75">
            <w:pPr>
              <w:pStyle w:val="TableBodyText"/>
              <w:ind w:left="142" w:hanging="136"/>
              <w:jc w:val="left"/>
            </w:pPr>
            <w:r w:rsidRPr="000C00EE">
              <w:t xml:space="preserve">  Proportion of GP </w:t>
            </w:r>
            <w:r w:rsidRPr="00276E4F">
              <w:t xml:space="preserve">encounters for the management of acute </w:t>
            </w:r>
            <w:proofErr w:type="spellStart"/>
            <w:r w:rsidRPr="00276E4F">
              <w:t>URTI</w:t>
            </w:r>
            <w:proofErr w:type="spellEnd"/>
            <w:r w:rsidRPr="00276E4F">
              <w:t xml:space="preserve"> where systemic antibiotics were prescribed or supplied, April 2008 to March 2013</w:t>
            </w:r>
          </w:p>
        </w:tc>
      </w:tr>
      <w:tr w:rsidR="00C23BD5" w:rsidRPr="000C00EE" w:rsidTr="00384067">
        <w:trPr>
          <w:gridAfter w:val="1"/>
          <w:wAfter w:w="37" w:type="pct"/>
        </w:trPr>
        <w:tc>
          <w:tcPr>
            <w:tcW w:w="111" w:type="pct"/>
            <w:shd w:val="clear" w:color="auto" w:fill="auto"/>
          </w:tcPr>
          <w:p w:rsidR="0036788A" w:rsidRPr="000C00EE" w:rsidRDefault="0036788A" w:rsidP="00676F75">
            <w:pPr>
              <w:pStyle w:val="TableBodyText"/>
              <w:jc w:val="left"/>
              <w:rPr>
                <w:vertAlign w:val="superscript"/>
              </w:rPr>
            </w:pPr>
          </w:p>
        </w:tc>
        <w:tc>
          <w:tcPr>
            <w:tcW w:w="994" w:type="pct"/>
            <w:gridSpan w:val="3"/>
            <w:shd w:val="clear" w:color="auto" w:fill="auto"/>
          </w:tcPr>
          <w:p w:rsidR="0036788A" w:rsidRPr="000C00EE" w:rsidRDefault="0036788A" w:rsidP="00676F75">
            <w:pPr>
              <w:pStyle w:val="TableBodyText"/>
              <w:jc w:val="left"/>
            </w:pPr>
            <w:r w:rsidRPr="000C00EE">
              <w:t>Proportion (%)</w:t>
            </w:r>
          </w:p>
        </w:tc>
        <w:tc>
          <w:tcPr>
            <w:tcW w:w="444"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35.7</w:t>
            </w:r>
          </w:p>
        </w:tc>
        <w:tc>
          <w:tcPr>
            <w:tcW w:w="442"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29.9</w:t>
            </w:r>
          </w:p>
        </w:tc>
        <w:tc>
          <w:tcPr>
            <w:tcW w:w="445"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34.1</w:t>
            </w:r>
          </w:p>
        </w:tc>
        <w:tc>
          <w:tcPr>
            <w:tcW w:w="445"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25.9</w:t>
            </w:r>
          </w:p>
        </w:tc>
        <w:tc>
          <w:tcPr>
            <w:tcW w:w="442"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28.6</w:t>
            </w:r>
          </w:p>
        </w:tc>
        <w:tc>
          <w:tcPr>
            <w:tcW w:w="444"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26.5</w:t>
            </w:r>
          </w:p>
        </w:tc>
        <w:tc>
          <w:tcPr>
            <w:tcW w:w="444" w:type="pct"/>
            <w:gridSpan w:val="4"/>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28.0</w:t>
            </w:r>
          </w:p>
        </w:tc>
        <w:tc>
          <w:tcPr>
            <w:tcW w:w="362" w:type="pct"/>
            <w:gridSpan w:val="3"/>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21.4</w:t>
            </w:r>
          </w:p>
        </w:tc>
        <w:tc>
          <w:tcPr>
            <w:tcW w:w="392" w:type="pct"/>
            <w:gridSpan w:val="2"/>
            <w:shd w:val="clear" w:color="auto" w:fill="auto"/>
          </w:tcPr>
          <w:p w:rsidR="0036788A" w:rsidRPr="00C35259" w:rsidRDefault="0036788A" w:rsidP="00676F75">
            <w:pPr>
              <w:jc w:val="right"/>
              <w:rPr>
                <w:rFonts w:ascii="Arial" w:hAnsi="Arial" w:cs="Arial"/>
                <w:sz w:val="20"/>
                <w:szCs w:val="20"/>
              </w:rPr>
            </w:pPr>
            <w:r w:rsidRPr="00C35259">
              <w:rPr>
                <w:rFonts w:ascii="Arial" w:hAnsi="Arial" w:cs="Arial"/>
                <w:sz w:val="20"/>
                <w:szCs w:val="20"/>
              </w:rPr>
              <w:t>32.5</w:t>
            </w:r>
          </w:p>
        </w:tc>
      </w:tr>
      <w:tr w:rsidR="0036788A" w:rsidRPr="000C00EE" w:rsidTr="00384067">
        <w:trPr>
          <w:gridAfter w:val="1"/>
          <w:wAfter w:w="37" w:type="pct"/>
          <w:trHeight w:val="273"/>
        </w:trPr>
        <w:tc>
          <w:tcPr>
            <w:tcW w:w="4963" w:type="pct"/>
            <w:gridSpan w:val="31"/>
            <w:shd w:val="clear" w:color="auto" w:fill="auto"/>
          </w:tcPr>
          <w:p w:rsidR="0036788A" w:rsidRPr="000C00EE" w:rsidRDefault="0036788A" w:rsidP="00676F75">
            <w:pPr>
              <w:pStyle w:val="TableColumnHeading"/>
              <w:jc w:val="left"/>
              <w:rPr>
                <w:color w:val="0000FF"/>
              </w:rPr>
            </w:pPr>
            <w:r w:rsidRPr="000C00EE">
              <w:t>Management of chronic disease</w:t>
            </w:r>
            <w:r w:rsidRPr="000C00EE">
              <w:rPr>
                <w:i w:val="0"/>
              </w:rPr>
              <w:br/>
            </w:r>
            <w:r w:rsidRPr="00276E4F">
              <w:rPr>
                <w:i w:val="0"/>
                <w:sz w:val="16"/>
                <w:szCs w:val="16"/>
              </w:rPr>
              <w:t>Most recent data for this indicator are comparable and complete (subject to caveats) (chapter 11)</w:t>
            </w:r>
          </w:p>
        </w:tc>
      </w:tr>
      <w:tr w:rsidR="009758A7" w:rsidRPr="009758A7" w:rsidTr="00384067">
        <w:trPr>
          <w:gridAfter w:val="1"/>
          <w:wAfter w:w="37" w:type="pct"/>
        </w:trPr>
        <w:tc>
          <w:tcPr>
            <w:tcW w:w="4963" w:type="pct"/>
            <w:gridSpan w:val="31"/>
            <w:shd w:val="clear" w:color="auto" w:fill="auto"/>
          </w:tcPr>
          <w:p w:rsidR="0036788A" w:rsidRPr="00E879D2" w:rsidRDefault="0036788A" w:rsidP="009758A7">
            <w:pPr>
              <w:pStyle w:val="TableBodyText"/>
              <w:ind w:left="142" w:hanging="136"/>
              <w:jc w:val="left"/>
              <w:rPr>
                <w:rStyle w:val="DraftingNote"/>
                <w:color w:val="auto"/>
              </w:rPr>
            </w:pPr>
            <w:r w:rsidRPr="00E879D2">
              <w:t xml:space="preserve">  People with diabetes mellitus who have received an annual cycle of care within general practice, </w:t>
            </w:r>
            <w:r w:rsidRPr="00E879D2">
              <w:rPr>
                <w:i/>
              </w:rPr>
              <w:t>2012-13</w:t>
            </w:r>
          </w:p>
        </w:tc>
      </w:tr>
      <w:tr w:rsidR="00E879D2" w:rsidRPr="000C00EE" w:rsidTr="00384067">
        <w:trPr>
          <w:gridAfter w:val="1"/>
          <w:wAfter w:w="37" w:type="pct"/>
        </w:trPr>
        <w:tc>
          <w:tcPr>
            <w:tcW w:w="111" w:type="pct"/>
            <w:shd w:val="clear" w:color="auto" w:fill="auto"/>
          </w:tcPr>
          <w:p w:rsidR="00E879D2" w:rsidRPr="000C00EE" w:rsidRDefault="00E879D2" w:rsidP="00676F75">
            <w:pPr>
              <w:pStyle w:val="TableBodyText"/>
              <w:jc w:val="left"/>
              <w:rPr>
                <w:vertAlign w:val="superscript"/>
              </w:rPr>
            </w:pPr>
          </w:p>
        </w:tc>
        <w:tc>
          <w:tcPr>
            <w:tcW w:w="994" w:type="pct"/>
            <w:gridSpan w:val="3"/>
            <w:shd w:val="clear" w:color="auto" w:fill="auto"/>
          </w:tcPr>
          <w:p w:rsidR="00E879D2" w:rsidRPr="00E879D2" w:rsidRDefault="00E879D2" w:rsidP="00676F75">
            <w:pPr>
              <w:pStyle w:val="TableBodyText"/>
              <w:jc w:val="left"/>
            </w:pPr>
            <w:r w:rsidRPr="00E879D2">
              <w:t>Proportion (%)</w:t>
            </w:r>
          </w:p>
        </w:tc>
        <w:tc>
          <w:tcPr>
            <w:tcW w:w="444"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25.1</w:t>
            </w:r>
          </w:p>
        </w:tc>
        <w:tc>
          <w:tcPr>
            <w:tcW w:w="442"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26.2</w:t>
            </w:r>
          </w:p>
        </w:tc>
        <w:tc>
          <w:tcPr>
            <w:tcW w:w="445"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25.5</w:t>
            </w:r>
          </w:p>
        </w:tc>
        <w:tc>
          <w:tcPr>
            <w:tcW w:w="445"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20.5</w:t>
            </w:r>
          </w:p>
        </w:tc>
        <w:tc>
          <w:tcPr>
            <w:tcW w:w="442"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29.1</w:t>
            </w:r>
          </w:p>
        </w:tc>
        <w:tc>
          <w:tcPr>
            <w:tcW w:w="444"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31.9</w:t>
            </w:r>
          </w:p>
        </w:tc>
        <w:tc>
          <w:tcPr>
            <w:tcW w:w="444" w:type="pct"/>
            <w:gridSpan w:val="4"/>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15.4</w:t>
            </w:r>
          </w:p>
        </w:tc>
        <w:tc>
          <w:tcPr>
            <w:tcW w:w="362" w:type="pct"/>
            <w:gridSpan w:val="3"/>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19.2</w:t>
            </w:r>
          </w:p>
        </w:tc>
        <w:tc>
          <w:tcPr>
            <w:tcW w:w="392" w:type="pct"/>
            <w:gridSpan w:val="2"/>
            <w:shd w:val="clear" w:color="auto" w:fill="auto"/>
          </w:tcPr>
          <w:p w:rsidR="00E879D2" w:rsidRPr="00E879D2" w:rsidRDefault="00E879D2" w:rsidP="00E879D2">
            <w:pPr>
              <w:spacing w:afterLines="40" w:after="96" w:line="220" w:lineRule="atLeast"/>
              <w:jc w:val="right"/>
              <w:rPr>
                <w:rFonts w:ascii="Arial" w:hAnsi="Arial" w:cs="Arial"/>
                <w:sz w:val="20"/>
                <w:szCs w:val="20"/>
              </w:rPr>
            </w:pPr>
            <w:r w:rsidRPr="00E879D2">
              <w:rPr>
                <w:rFonts w:ascii="Arial" w:hAnsi="Arial" w:cs="Arial"/>
                <w:sz w:val="20"/>
                <w:szCs w:val="20"/>
              </w:rPr>
              <w:t xml:space="preserve">  25.0</w:t>
            </w:r>
          </w:p>
        </w:tc>
      </w:tr>
      <w:tr w:rsidR="0036788A" w:rsidRPr="000C00EE" w:rsidTr="00384067">
        <w:trPr>
          <w:gridAfter w:val="1"/>
          <w:wAfter w:w="37" w:type="pct"/>
        </w:trPr>
        <w:tc>
          <w:tcPr>
            <w:tcW w:w="4963" w:type="pct"/>
            <w:gridSpan w:val="31"/>
            <w:shd w:val="clear" w:color="auto" w:fill="auto"/>
          </w:tcPr>
          <w:p w:rsidR="0036788A" w:rsidRPr="000C00EE" w:rsidRDefault="0036788A" w:rsidP="00676F75">
            <w:pPr>
              <w:pStyle w:val="TableBodyText"/>
              <w:jc w:val="left"/>
            </w:pPr>
            <w:r w:rsidRPr="000C00EE">
              <w:t xml:space="preserve">  People with asthma who have a written asthma action plan, </w:t>
            </w:r>
            <w:r w:rsidRPr="00276E4F">
              <w:rPr>
                <w:i/>
              </w:rPr>
              <w:t>2011-12</w:t>
            </w:r>
            <w:r w:rsidRPr="000C00EE">
              <w:t xml:space="preserve"> </w:t>
            </w:r>
          </w:p>
        </w:tc>
      </w:tr>
      <w:tr w:rsidR="00C23BD5" w:rsidRPr="000C00EE" w:rsidTr="00384067">
        <w:trPr>
          <w:gridAfter w:val="1"/>
          <w:wAfter w:w="37" w:type="pct"/>
        </w:trPr>
        <w:tc>
          <w:tcPr>
            <w:tcW w:w="111" w:type="pct"/>
            <w:shd w:val="clear" w:color="auto" w:fill="auto"/>
          </w:tcPr>
          <w:p w:rsidR="0036788A" w:rsidRPr="000C00EE" w:rsidRDefault="0036788A" w:rsidP="00676F75">
            <w:pPr>
              <w:pStyle w:val="TableBodyText"/>
              <w:jc w:val="left"/>
              <w:rPr>
                <w:vertAlign w:val="superscript"/>
              </w:rPr>
            </w:pPr>
          </w:p>
        </w:tc>
        <w:tc>
          <w:tcPr>
            <w:tcW w:w="994" w:type="pct"/>
            <w:gridSpan w:val="3"/>
            <w:shd w:val="clear" w:color="auto" w:fill="auto"/>
          </w:tcPr>
          <w:p w:rsidR="0036788A" w:rsidRPr="000C00EE" w:rsidRDefault="0036788A" w:rsidP="00676F75">
            <w:pPr>
              <w:pStyle w:val="TableBodyText"/>
              <w:jc w:val="left"/>
            </w:pPr>
            <w:r w:rsidRPr="000C00EE">
              <w:t>Proportion (%)</w:t>
            </w:r>
          </w:p>
        </w:tc>
        <w:tc>
          <w:tcPr>
            <w:tcW w:w="444"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26.6</w:t>
            </w:r>
          </w:p>
        </w:tc>
        <w:tc>
          <w:tcPr>
            <w:tcW w:w="442"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25.3</w:t>
            </w:r>
          </w:p>
        </w:tc>
        <w:tc>
          <w:tcPr>
            <w:tcW w:w="445"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18.4</w:t>
            </w:r>
          </w:p>
        </w:tc>
        <w:tc>
          <w:tcPr>
            <w:tcW w:w="445"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24.5</w:t>
            </w:r>
          </w:p>
        </w:tc>
        <w:tc>
          <w:tcPr>
            <w:tcW w:w="442"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29.3</w:t>
            </w:r>
          </w:p>
        </w:tc>
        <w:tc>
          <w:tcPr>
            <w:tcW w:w="444"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22.6</w:t>
            </w:r>
          </w:p>
        </w:tc>
        <w:tc>
          <w:tcPr>
            <w:tcW w:w="444" w:type="pct"/>
            <w:gridSpan w:val="4"/>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24.3</w:t>
            </w:r>
          </w:p>
        </w:tc>
        <w:tc>
          <w:tcPr>
            <w:tcW w:w="362" w:type="pct"/>
            <w:gridSpan w:val="3"/>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33.7</w:t>
            </w:r>
          </w:p>
        </w:tc>
        <w:tc>
          <w:tcPr>
            <w:tcW w:w="392" w:type="pct"/>
            <w:gridSpan w:val="2"/>
            <w:shd w:val="clear" w:color="auto" w:fill="auto"/>
            <w:vAlign w:val="bottom"/>
          </w:tcPr>
          <w:p w:rsidR="0036788A" w:rsidRDefault="0036788A" w:rsidP="00676F75">
            <w:pPr>
              <w:jc w:val="right"/>
              <w:rPr>
                <w:rFonts w:ascii="Arial" w:hAnsi="Arial" w:cs="Arial"/>
                <w:sz w:val="20"/>
                <w:szCs w:val="20"/>
              </w:rPr>
            </w:pPr>
            <w:r>
              <w:rPr>
                <w:rFonts w:ascii="Arial" w:hAnsi="Arial" w:cs="Arial"/>
                <w:sz w:val="20"/>
                <w:szCs w:val="20"/>
              </w:rPr>
              <w:t>24.6</w:t>
            </w:r>
          </w:p>
        </w:tc>
      </w:tr>
      <w:tr w:rsidR="0036788A" w:rsidRPr="000C00EE" w:rsidTr="00384067">
        <w:trPr>
          <w:gridAfter w:val="1"/>
          <w:wAfter w:w="37" w:type="pct"/>
          <w:trHeight w:val="273"/>
        </w:trPr>
        <w:tc>
          <w:tcPr>
            <w:tcW w:w="4963" w:type="pct"/>
            <w:gridSpan w:val="31"/>
            <w:shd w:val="clear" w:color="auto" w:fill="auto"/>
          </w:tcPr>
          <w:p w:rsidR="0036788A" w:rsidRPr="000C00EE" w:rsidRDefault="0036788A" w:rsidP="00676F75">
            <w:pPr>
              <w:pStyle w:val="TableColumnHeading"/>
              <w:jc w:val="left"/>
            </w:pPr>
            <w:r w:rsidRPr="000C00EE">
              <w:t xml:space="preserve">Pathology tests and diagnostic imaging — Medicare benefits for pathology tests, </w:t>
            </w:r>
            <w:r w:rsidRPr="00276E4F">
              <w:t>2012-13</w:t>
            </w:r>
            <w:r w:rsidRPr="000C00EE">
              <w:br/>
            </w:r>
            <w:r w:rsidRPr="00276E4F">
              <w:rPr>
                <w:i w:val="0"/>
                <w:sz w:val="16"/>
                <w:szCs w:val="16"/>
              </w:rPr>
              <w:t>Most recent data for this indicator are comparable and complete (subject to caveats) (chapter 11)</w:t>
            </w:r>
          </w:p>
        </w:tc>
      </w:tr>
      <w:tr w:rsidR="00C23BD5" w:rsidRPr="000C00EE" w:rsidTr="00384067">
        <w:trPr>
          <w:gridAfter w:val="1"/>
          <w:wAfter w:w="37" w:type="pct"/>
        </w:trPr>
        <w:tc>
          <w:tcPr>
            <w:tcW w:w="111" w:type="pct"/>
            <w:shd w:val="clear" w:color="auto" w:fill="auto"/>
          </w:tcPr>
          <w:p w:rsidR="0036788A" w:rsidRPr="000C00EE" w:rsidRDefault="0036788A" w:rsidP="00676F75">
            <w:pPr>
              <w:pStyle w:val="TableBodyText"/>
              <w:jc w:val="left"/>
              <w:rPr>
                <w:vertAlign w:val="superscript"/>
              </w:rPr>
            </w:pPr>
          </w:p>
        </w:tc>
        <w:tc>
          <w:tcPr>
            <w:tcW w:w="994" w:type="pct"/>
            <w:gridSpan w:val="3"/>
            <w:shd w:val="clear" w:color="auto" w:fill="auto"/>
          </w:tcPr>
          <w:p w:rsidR="0036788A" w:rsidRPr="000C00EE" w:rsidRDefault="0036788A" w:rsidP="00676F75">
            <w:pPr>
              <w:pStyle w:val="TableBodyText"/>
              <w:jc w:val="left"/>
            </w:pPr>
            <w:r w:rsidRPr="000C00EE">
              <w:t>$ per person</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63.8</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59.4</w:t>
            </w:r>
          </w:p>
        </w:tc>
        <w:tc>
          <w:tcPr>
            <w:tcW w:w="44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67.0</w:t>
            </w:r>
          </w:p>
        </w:tc>
        <w:tc>
          <w:tcPr>
            <w:tcW w:w="44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55.1</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59.3</w:t>
            </w:r>
          </w:p>
        </w:tc>
        <w:tc>
          <w:tcPr>
            <w:tcW w:w="44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55.7</w:t>
            </w:r>
          </w:p>
        </w:tc>
        <w:tc>
          <w:tcPr>
            <w:tcW w:w="444"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58.7</w:t>
            </w:r>
          </w:p>
        </w:tc>
        <w:tc>
          <w:tcPr>
            <w:tcW w:w="36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66.0</w:t>
            </w:r>
          </w:p>
        </w:tc>
        <w:tc>
          <w:tcPr>
            <w:tcW w:w="392"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61.8</w:t>
            </w:r>
          </w:p>
        </w:tc>
      </w:tr>
      <w:tr w:rsidR="0036788A" w:rsidRPr="000C00EE" w:rsidTr="00384067">
        <w:trPr>
          <w:gridAfter w:val="1"/>
          <w:wAfter w:w="37" w:type="pct"/>
          <w:trHeight w:val="177"/>
        </w:trPr>
        <w:tc>
          <w:tcPr>
            <w:tcW w:w="4963" w:type="pct"/>
            <w:gridSpan w:val="31"/>
            <w:shd w:val="clear" w:color="auto" w:fill="auto"/>
          </w:tcPr>
          <w:p w:rsidR="0036788A" w:rsidRPr="000C00EE" w:rsidRDefault="0036788A" w:rsidP="009D1395">
            <w:pPr>
              <w:pStyle w:val="Source"/>
              <w:spacing w:after="80"/>
            </w:pPr>
            <w:r>
              <w:t xml:space="preserve">Source: tables </w:t>
            </w:r>
            <w:proofErr w:type="spellStart"/>
            <w:r w:rsidRPr="00C04C33">
              <w:t>11A.46</w:t>
            </w:r>
            <w:proofErr w:type="spellEnd"/>
            <w:r w:rsidRPr="00C04C33">
              <w:t>–</w:t>
            </w:r>
            <w:proofErr w:type="spellStart"/>
            <w:r w:rsidRPr="00C04C33">
              <w:t>11A.6</w:t>
            </w:r>
            <w:r w:rsidR="009D1395">
              <w:t>6</w:t>
            </w:r>
            <w:proofErr w:type="spellEnd"/>
            <w:r w:rsidRPr="00C04C33">
              <w:t>.</w:t>
            </w:r>
          </w:p>
        </w:tc>
      </w:tr>
      <w:tr w:rsidR="00384067" w:rsidRPr="000C00EE" w:rsidTr="00384067">
        <w:trPr>
          <w:trHeight w:val="273"/>
        </w:trPr>
        <w:tc>
          <w:tcPr>
            <w:tcW w:w="5000" w:type="pct"/>
            <w:gridSpan w:val="32"/>
            <w:shd w:val="clear" w:color="auto" w:fill="auto"/>
          </w:tcPr>
          <w:p w:rsidR="00384067" w:rsidRPr="000C00EE" w:rsidRDefault="00384067" w:rsidP="00E32399">
            <w:pPr>
              <w:pStyle w:val="TableColumnHeading"/>
              <w:spacing w:after="60"/>
              <w:jc w:val="left"/>
              <w:rPr>
                <w:b/>
                <w:i w:val="0"/>
              </w:rPr>
            </w:pPr>
            <w:r w:rsidRPr="000C00EE">
              <w:rPr>
                <w:b/>
                <w:i w:val="0"/>
              </w:rPr>
              <w:t>Effectiveness — Quality — Safety indicators</w:t>
            </w:r>
          </w:p>
        </w:tc>
      </w:tr>
      <w:tr w:rsidR="00384067" w:rsidRPr="000C00EE" w:rsidTr="00384067">
        <w:trPr>
          <w:trHeight w:val="273"/>
        </w:trPr>
        <w:tc>
          <w:tcPr>
            <w:tcW w:w="5000" w:type="pct"/>
            <w:gridSpan w:val="32"/>
            <w:shd w:val="clear" w:color="auto" w:fill="auto"/>
          </w:tcPr>
          <w:p w:rsidR="00384067" w:rsidRPr="000C00EE" w:rsidRDefault="00384067" w:rsidP="00E32399">
            <w:pPr>
              <w:pStyle w:val="TableColumnHeading"/>
              <w:jc w:val="left"/>
            </w:pPr>
            <w:r w:rsidRPr="000C00EE">
              <w:t xml:space="preserve">Electronic health information systems — general practices using electronic systems, </w:t>
            </w:r>
            <w:r w:rsidRPr="000C00EE">
              <w:rPr>
                <w:shd w:val="clear" w:color="auto" w:fill="FFFFFF" w:themeFill="background1"/>
              </w:rPr>
              <w:t xml:space="preserve">May </w:t>
            </w:r>
            <w:r w:rsidRPr="002B0B6F">
              <w:t>2013</w:t>
            </w:r>
            <w:r w:rsidRPr="002B0B6F">
              <w:br/>
            </w:r>
            <w:r w:rsidRPr="002B0B6F">
              <w:rPr>
                <w:i w:val="0"/>
                <w:sz w:val="16"/>
                <w:szCs w:val="16"/>
              </w:rPr>
              <w:t>Most recent data for this indicator are comparable and complete (subject to caveats) (chapter 11)</w:t>
            </w:r>
          </w:p>
        </w:tc>
      </w:tr>
      <w:tr w:rsidR="00384067" w:rsidRPr="000C00EE" w:rsidTr="00384067">
        <w:tc>
          <w:tcPr>
            <w:tcW w:w="112" w:type="pct"/>
            <w:shd w:val="clear" w:color="auto" w:fill="auto"/>
          </w:tcPr>
          <w:p w:rsidR="00384067" w:rsidRPr="000C00EE" w:rsidRDefault="00384067" w:rsidP="00E32399">
            <w:pPr>
              <w:pStyle w:val="TableBodyText"/>
              <w:jc w:val="left"/>
              <w:rPr>
                <w:vertAlign w:val="superscript"/>
              </w:rPr>
            </w:pPr>
          </w:p>
        </w:tc>
        <w:tc>
          <w:tcPr>
            <w:tcW w:w="991" w:type="pct"/>
            <w:gridSpan w:val="3"/>
            <w:shd w:val="clear" w:color="auto" w:fill="auto"/>
          </w:tcPr>
          <w:p w:rsidR="00384067" w:rsidRPr="000C00EE" w:rsidRDefault="00384067" w:rsidP="00E32399">
            <w:pPr>
              <w:pStyle w:val="TableBodyText"/>
              <w:jc w:val="left"/>
            </w:pPr>
            <w:r w:rsidRPr="000C00EE">
              <w:t>Proportion (%)</w:t>
            </w:r>
          </w:p>
        </w:tc>
        <w:tc>
          <w:tcPr>
            <w:tcW w:w="443"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69.4</w:t>
            </w:r>
          </w:p>
        </w:tc>
        <w:tc>
          <w:tcPr>
            <w:tcW w:w="442"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76.2</w:t>
            </w:r>
          </w:p>
        </w:tc>
        <w:tc>
          <w:tcPr>
            <w:tcW w:w="445"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74.2</w:t>
            </w:r>
          </w:p>
        </w:tc>
        <w:tc>
          <w:tcPr>
            <w:tcW w:w="444"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68.4</w:t>
            </w:r>
          </w:p>
        </w:tc>
        <w:tc>
          <w:tcPr>
            <w:tcW w:w="442"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72.7</w:t>
            </w:r>
          </w:p>
        </w:tc>
        <w:tc>
          <w:tcPr>
            <w:tcW w:w="443"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75.6</w:t>
            </w:r>
          </w:p>
        </w:tc>
        <w:tc>
          <w:tcPr>
            <w:tcW w:w="448" w:type="pct"/>
            <w:gridSpan w:val="4"/>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80.0</w:t>
            </w:r>
          </w:p>
        </w:tc>
        <w:tc>
          <w:tcPr>
            <w:tcW w:w="363"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48.2</w:t>
            </w:r>
          </w:p>
        </w:tc>
        <w:tc>
          <w:tcPr>
            <w:tcW w:w="428"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72.2</w:t>
            </w:r>
          </w:p>
        </w:tc>
      </w:tr>
      <w:tr w:rsidR="00384067" w:rsidRPr="000C00EE" w:rsidTr="00384067">
        <w:trPr>
          <w:trHeight w:val="177"/>
        </w:trPr>
        <w:tc>
          <w:tcPr>
            <w:tcW w:w="5000" w:type="pct"/>
            <w:gridSpan w:val="32"/>
            <w:shd w:val="clear" w:color="auto" w:fill="auto"/>
          </w:tcPr>
          <w:p w:rsidR="00384067" w:rsidRPr="000C00EE" w:rsidRDefault="00384067" w:rsidP="00E32399">
            <w:pPr>
              <w:pStyle w:val="Source"/>
              <w:spacing w:after="80"/>
            </w:pPr>
            <w:r>
              <w:t xml:space="preserve">Source: tables </w:t>
            </w:r>
            <w:proofErr w:type="spellStart"/>
            <w:r>
              <w:t>11A.67</w:t>
            </w:r>
            <w:proofErr w:type="spellEnd"/>
            <w:r>
              <w:t>–</w:t>
            </w:r>
            <w:proofErr w:type="spellStart"/>
            <w:r>
              <w:t>11A.69</w:t>
            </w:r>
            <w:proofErr w:type="spellEnd"/>
            <w:r w:rsidRPr="000C00EE">
              <w:t>.</w:t>
            </w:r>
          </w:p>
        </w:tc>
      </w:tr>
      <w:tr w:rsidR="00C23BD5" w:rsidRPr="00B817EA" w:rsidTr="00384067">
        <w:trPr>
          <w:gridAfter w:val="1"/>
          <w:wAfter w:w="37" w:type="pct"/>
        </w:trPr>
        <w:tc>
          <w:tcPr>
            <w:tcW w:w="4963" w:type="pct"/>
            <w:gridSpan w:val="31"/>
            <w:shd w:val="clear" w:color="auto" w:fill="auto"/>
          </w:tcPr>
          <w:p w:rsidR="00C23BD5" w:rsidRPr="004E066A" w:rsidRDefault="00C23BD5" w:rsidP="00676F75">
            <w:pPr>
              <w:spacing w:afterLines="40" w:after="96" w:line="220" w:lineRule="atLeast"/>
              <w:jc w:val="right"/>
              <w:rPr>
                <w:rFonts w:ascii="Arial" w:hAnsi="Arial" w:cs="Arial"/>
                <w:sz w:val="18"/>
                <w:szCs w:val="18"/>
              </w:rPr>
            </w:pPr>
            <w:r w:rsidRPr="004E066A">
              <w:rPr>
                <w:rFonts w:ascii="Arial" w:hAnsi="Arial" w:cs="Arial"/>
                <w:sz w:val="18"/>
                <w:szCs w:val="18"/>
              </w:rPr>
              <w:t>(Continued next page)</w:t>
            </w:r>
          </w:p>
        </w:tc>
      </w:tr>
    </w:tbl>
    <w:p w:rsidR="00C23BD5" w:rsidRDefault="00C23BD5" w:rsidP="00C23BD5">
      <w:pPr>
        <w:pStyle w:val="TableTitle"/>
      </w:pPr>
      <w:r w:rsidRPr="00B4788D">
        <w:rPr>
          <w:b w:val="0"/>
        </w:rPr>
        <w:lastRenderedPageBreak/>
        <w:t>Table</w:t>
      </w:r>
      <w:r>
        <w:rPr>
          <w:b w:val="0"/>
        </w:rPr>
        <w:t xml:space="preserve"> </w:t>
      </w:r>
      <w:proofErr w:type="spellStart"/>
      <w:r w:rsidRPr="00F156AA">
        <w:rPr>
          <w:b w:val="0"/>
        </w:rPr>
        <w:t>E.</w:t>
      </w:r>
      <w:r>
        <w:rPr>
          <w:b w:val="0"/>
        </w:rPr>
        <w:t>7</w:t>
      </w:r>
      <w:proofErr w:type="spellEnd"/>
      <w:r w:rsidRPr="00B4788D">
        <w:rPr>
          <w:b w:val="0"/>
        </w:rPr>
        <w:tab/>
      </w:r>
      <w:r w:rsidRPr="005825CD">
        <w:rPr>
          <w:sz w:val="18"/>
          <w:szCs w:val="18"/>
        </w:rPr>
        <w:t>(continued)</w:t>
      </w:r>
      <w:r w:rsidRPr="00577BF4">
        <w:t xml:space="preserve"> </w:t>
      </w:r>
    </w:p>
    <w:tbl>
      <w:tblPr>
        <w:tblW w:w="5064" w:type="pct"/>
        <w:tblCellMar>
          <w:left w:w="0" w:type="dxa"/>
          <w:right w:w="0" w:type="dxa"/>
        </w:tblCellMar>
        <w:tblLook w:val="0000" w:firstRow="0" w:lastRow="0" w:firstColumn="0" w:lastColumn="0" w:noHBand="0" w:noVBand="0"/>
      </w:tblPr>
      <w:tblGrid>
        <w:gridCol w:w="198"/>
        <w:gridCol w:w="64"/>
        <w:gridCol w:w="1692"/>
        <w:gridCol w:w="7"/>
        <w:gridCol w:w="104"/>
        <w:gridCol w:w="675"/>
        <w:gridCol w:w="6"/>
        <w:gridCol w:w="88"/>
        <w:gridCol w:w="690"/>
        <w:gridCol w:w="7"/>
        <w:gridCol w:w="76"/>
        <w:gridCol w:w="8"/>
        <w:gridCol w:w="699"/>
        <w:gridCol w:w="7"/>
        <w:gridCol w:w="58"/>
        <w:gridCol w:w="7"/>
        <w:gridCol w:w="708"/>
        <w:gridCol w:w="7"/>
        <w:gridCol w:w="19"/>
        <w:gridCol w:w="61"/>
        <w:gridCol w:w="691"/>
        <w:gridCol w:w="8"/>
        <w:gridCol w:w="29"/>
        <w:gridCol w:w="42"/>
        <w:gridCol w:w="690"/>
        <w:gridCol w:w="6"/>
        <w:gridCol w:w="51"/>
        <w:gridCol w:w="24"/>
        <w:gridCol w:w="696"/>
        <w:gridCol w:w="68"/>
        <w:gridCol w:w="11"/>
        <w:gridCol w:w="612"/>
        <w:gridCol w:w="34"/>
        <w:gridCol w:w="18"/>
        <w:gridCol w:w="28"/>
        <w:gridCol w:w="630"/>
        <w:gridCol w:w="82"/>
      </w:tblGrid>
      <w:tr w:rsidR="00776750" w:rsidRPr="004C2CF4" w:rsidTr="00384067">
        <w:trPr>
          <w:cantSplit/>
          <w:tblHeader/>
        </w:trPr>
        <w:tc>
          <w:tcPr>
            <w:tcW w:w="1099" w:type="pct"/>
            <w:gridSpan w:val="3"/>
            <w:tcBorders>
              <w:top w:val="single" w:sz="6" w:space="0" w:color="auto"/>
              <w:bottom w:val="single" w:sz="6" w:space="0" w:color="auto"/>
            </w:tcBorders>
            <w:shd w:val="clear" w:color="auto" w:fill="auto"/>
          </w:tcPr>
          <w:p w:rsidR="00776750" w:rsidRPr="00B817EA" w:rsidRDefault="00776750" w:rsidP="00676F75">
            <w:pPr>
              <w:pStyle w:val="TableColumnHeading"/>
              <w:jc w:val="left"/>
            </w:pPr>
          </w:p>
        </w:tc>
        <w:tc>
          <w:tcPr>
            <w:tcW w:w="443" w:type="pct"/>
            <w:gridSpan w:val="3"/>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NSW</w:t>
            </w:r>
          </w:p>
        </w:tc>
        <w:tc>
          <w:tcPr>
            <w:tcW w:w="442" w:type="pct"/>
            <w:gridSpan w:val="3"/>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Vic</w:t>
            </w:r>
          </w:p>
        </w:tc>
        <w:tc>
          <w:tcPr>
            <w:tcW w:w="445" w:type="pct"/>
            <w:gridSpan w:val="4"/>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Qld</w:t>
            </w:r>
          </w:p>
        </w:tc>
        <w:tc>
          <w:tcPr>
            <w:tcW w:w="448" w:type="pct"/>
            <w:gridSpan w:val="6"/>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WA</w:t>
            </w:r>
          </w:p>
        </w:tc>
        <w:tc>
          <w:tcPr>
            <w:tcW w:w="442" w:type="pct"/>
            <w:gridSpan w:val="4"/>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SA</w:t>
            </w:r>
          </w:p>
        </w:tc>
        <w:tc>
          <w:tcPr>
            <w:tcW w:w="443" w:type="pct"/>
            <w:gridSpan w:val="4"/>
            <w:tcBorders>
              <w:top w:val="single" w:sz="6" w:space="0" w:color="auto"/>
              <w:bottom w:val="single" w:sz="6" w:space="0" w:color="auto"/>
            </w:tcBorders>
            <w:shd w:val="clear" w:color="auto" w:fill="auto"/>
          </w:tcPr>
          <w:p w:rsidR="00776750" w:rsidRPr="00B817EA" w:rsidRDefault="00776750" w:rsidP="00676F75">
            <w:pPr>
              <w:pStyle w:val="TableColumnHeading"/>
            </w:pPr>
            <w:proofErr w:type="spellStart"/>
            <w:r w:rsidRPr="00B817EA">
              <w:t>Tas</w:t>
            </w:r>
            <w:proofErr w:type="spellEnd"/>
          </w:p>
        </w:tc>
        <w:tc>
          <w:tcPr>
            <w:tcW w:w="443" w:type="pct"/>
            <w:gridSpan w:val="3"/>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ACT</w:t>
            </w:r>
          </w:p>
        </w:tc>
        <w:tc>
          <w:tcPr>
            <w:tcW w:w="379" w:type="pct"/>
            <w:gridSpan w:val="4"/>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NT</w:t>
            </w:r>
          </w:p>
        </w:tc>
        <w:tc>
          <w:tcPr>
            <w:tcW w:w="416" w:type="pct"/>
            <w:gridSpan w:val="3"/>
            <w:tcBorders>
              <w:top w:val="single" w:sz="6" w:space="0" w:color="auto"/>
              <w:bottom w:val="single" w:sz="6" w:space="0" w:color="auto"/>
            </w:tcBorders>
          </w:tcPr>
          <w:p w:rsidR="00776750" w:rsidRPr="004C2CF4" w:rsidRDefault="00776750" w:rsidP="00676F75">
            <w:pPr>
              <w:pStyle w:val="TableColumnHeading"/>
            </w:pPr>
            <w:proofErr w:type="spellStart"/>
            <w:r w:rsidRPr="00B817EA">
              <w:t>Aust</w:t>
            </w:r>
            <w:proofErr w:type="spellEnd"/>
          </w:p>
        </w:tc>
      </w:tr>
      <w:tr w:rsidR="0036788A" w:rsidRPr="000C00EE" w:rsidTr="00384067">
        <w:trPr>
          <w:trHeight w:val="273"/>
        </w:trPr>
        <w:tc>
          <w:tcPr>
            <w:tcW w:w="5000" w:type="pct"/>
            <w:gridSpan w:val="37"/>
            <w:shd w:val="clear" w:color="auto" w:fill="auto"/>
          </w:tcPr>
          <w:p w:rsidR="0036788A" w:rsidRPr="000C00EE" w:rsidRDefault="0036788A" w:rsidP="00676F75">
            <w:pPr>
              <w:pStyle w:val="TableColumnHeading"/>
              <w:spacing w:after="60"/>
              <w:jc w:val="left"/>
              <w:rPr>
                <w:b/>
                <w:i w:val="0"/>
              </w:rPr>
            </w:pPr>
            <w:r w:rsidRPr="000C00EE">
              <w:rPr>
                <w:b/>
                <w:i w:val="0"/>
              </w:rPr>
              <w:t>Effectiveness — Quality — Responsiveness indicators</w:t>
            </w:r>
          </w:p>
        </w:tc>
      </w:tr>
      <w:tr w:rsidR="0036788A" w:rsidRPr="000C00EE" w:rsidTr="00384067">
        <w:trPr>
          <w:trHeight w:val="273"/>
        </w:trPr>
        <w:tc>
          <w:tcPr>
            <w:tcW w:w="5000" w:type="pct"/>
            <w:gridSpan w:val="37"/>
            <w:shd w:val="clear" w:color="auto" w:fill="auto"/>
          </w:tcPr>
          <w:p w:rsidR="0036788A" w:rsidRPr="000C00EE" w:rsidRDefault="0036788A" w:rsidP="00676F75">
            <w:pPr>
              <w:pStyle w:val="TableColumnHeading"/>
              <w:jc w:val="left"/>
            </w:pPr>
            <w:r w:rsidRPr="000C00EE">
              <w:t>Patient satisfac</w:t>
            </w:r>
            <w:r w:rsidRPr="002B0B6F">
              <w:t>tion, 2012-13</w:t>
            </w:r>
            <w:r w:rsidRPr="002B0B6F">
              <w:br/>
            </w:r>
            <w:r w:rsidRPr="002B0B6F">
              <w:rPr>
                <w:i w:val="0"/>
                <w:sz w:val="16"/>
                <w:szCs w:val="16"/>
              </w:rPr>
              <w:t>Most recent data for this indicator are comparable and complete (subject to caveats) (chapter 11)</w:t>
            </w:r>
          </w:p>
        </w:tc>
      </w:tr>
      <w:tr w:rsidR="0036788A" w:rsidRPr="000C00EE" w:rsidTr="00384067">
        <w:trPr>
          <w:trHeight w:val="177"/>
        </w:trPr>
        <w:tc>
          <w:tcPr>
            <w:tcW w:w="5000" w:type="pct"/>
            <w:gridSpan w:val="37"/>
            <w:shd w:val="clear" w:color="auto" w:fill="auto"/>
          </w:tcPr>
          <w:p w:rsidR="0036788A" w:rsidRPr="000C00EE" w:rsidRDefault="0036788A" w:rsidP="00676F75">
            <w:pPr>
              <w:pStyle w:val="TableBodyText"/>
              <w:ind w:left="142"/>
              <w:jc w:val="left"/>
            </w:pPr>
            <w:r w:rsidRPr="000C00EE">
              <w:t>Proportion (%) of people who saw a practitioner in the previous 12 months where the practitioner always or often: listened carefully to them</w:t>
            </w:r>
          </w:p>
        </w:tc>
      </w:tr>
      <w:tr w:rsidR="00C23BD5" w:rsidRPr="000C00EE" w:rsidTr="00384067">
        <w:tc>
          <w:tcPr>
            <w:tcW w:w="112" w:type="pct"/>
            <w:shd w:val="clear" w:color="auto" w:fill="auto"/>
          </w:tcPr>
          <w:p w:rsidR="0036788A" w:rsidRPr="000C00EE" w:rsidRDefault="0036788A" w:rsidP="00676F75">
            <w:pPr>
              <w:pStyle w:val="TableBodyText"/>
              <w:jc w:val="left"/>
              <w:rPr>
                <w:vertAlign w:val="superscript"/>
              </w:rPr>
            </w:pPr>
          </w:p>
        </w:tc>
        <w:tc>
          <w:tcPr>
            <w:tcW w:w="991" w:type="pct"/>
            <w:gridSpan w:val="3"/>
            <w:shd w:val="clear" w:color="auto" w:fill="auto"/>
          </w:tcPr>
          <w:p w:rsidR="0036788A" w:rsidRPr="000C00EE" w:rsidRDefault="0036788A" w:rsidP="00676F75">
            <w:pPr>
              <w:pStyle w:val="TableBodyText"/>
              <w:jc w:val="left"/>
            </w:pPr>
            <w:r w:rsidRPr="000C00EE">
              <w:t>GP</w:t>
            </w:r>
          </w:p>
        </w:tc>
        <w:tc>
          <w:tcPr>
            <w:tcW w:w="443"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90.1</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89.4</w:t>
            </w:r>
          </w:p>
        </w:tc>
        <w:tc>
          <w:tcPr>
            <w:tcW w:w="445"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88.7</w:t>
            </w:r>
          </w:p>
        </w:tc>
        <w:tc>
          <w:tcPr>
            <w:tcW w:w="444" w:type="pct"/>
            <w:gridSpan w:val="5"/>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88.3</w:t>
            </w:r>
          </w:p>
        </w:tc>
        <w:tc>
          <w:tcPr>
            <w:tcW w:w="442"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88.2</w:t>
            </w:r>
          </w:p>
        </w:tc>
        <w:tc>
          <w:tcPr>
            <w:tcW w:w="443"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89.7</w:t>
            </w:r>
          </w:p>
        </w:tc>
        <w:tc>
          <w:tcPr>
            <w:tcW w:w="449"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89.5</w:t>
            </w:r>
          </w:p>
        </w:tc>
        <w:tc>
          <w:tcPr>
            <w:tcW w:w="363"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87.2</w:t>
            </w:r>
          </w:p>
        </w:tc>
        <w:tc>
          <w:tcPr>
            <w:tcW w:w="42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89.3</w:t>
            </w:r>
          </w:p>
        </w:tc>
      </w:tr>
      <w:tr w:rsidR="00C23BD5" w:rsidRPr="000C00EE" w:rsidTr="00384067">
        <w:tc>
          <w:tcPr>
            <w:tcW w:w="112" w:type="pct"/>
            <w:shd w:val="clear" w:color="auto" w:fill="auto"/>
          </w:tcPr>
          <w:p w:rsidR="0036788A" w:rsidRPr="000C00EE" w:rsidRDefault="0036788A" w:rsidP="00676F75">
            <w:pPr>
              <w:pStyle w:val="TableBodyText"/>
              <w:jc w:val="left"/>
              <w:rPr>
                <w:vertAlign w:val="superscript"/>
              </w:rPr>
            </w:pPr>
          </w:p>
        </w:tc>
        <w:tc>
          <w:tcPr>
            <w:tcW w:w="991" w:type="pct"/>
            <w:gridSpan w:val="3"/>
            <w:shd w:val="clear" w:color="auto" w:fill="auto"/>
          </w:tcPr>
          <w:p w:rsidR="0036788A" w:rsidRPr="000C00EE" w:rsidRDefault="0036788A" w:rsidP="00676F75">
            <w:pPr>
              <w:pStyle w:val="TableBodyText"/>
              <w:jc w:val="left"/>
            </w:pPr>
            <w:r w:rsidRPr="000C00EE">
              <w:t>Dental practitioner</w:t>
            </w:r>
          </w:p>
        </w:tc>
        <w:tc>
          <w:tcPr>
            <w:tcW w:w="443"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95.8</w:t>
            </w:r>
          </w:p>
        </w:tc>
        <w:tc>
          <w:tcPr>
            <w:tcW w:w="442"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94.2</w:t>
            </w:r>
          </w:p>
        </w:tc>
        <w:tc>
          <w:tcPr>
            <w:tcW w:w="445"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94.0</w:t>
            </w:r>
          </w:p>
        </w:tc>
        <w:tc>
          <w:tcPr>
            <w:tcW w:w="444" w:type="pct"/>
            <w:gridSpan w:val="5"/>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95.5</w:t>
            </w:r>
          </w:p>
        </w:tc>
        <w:tc>
          <w:tcPr>
            <w:tcW w:w="442"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94.4</w:t>
            </w:r>
          </w:p>
        </w:tc>
        <w:tc>
          <w:tcPr>
            <w:tcW w:w="443"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94.1</w:t>
            </w:r>
          </w:p>
        </w:tc>
        <w:tc>
          <w:tcPr>
            <w:tcW w:w="449"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94.8</w:t>
            </w:r>
          </w:p>
        </w:tc>
        <w:tc>
          <w:tcPr>
            <w:tcW w:w="363"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91.9</w:t>
            </w:r>
          </w:p>
        </w:tc>
        <w:tc>
          <w:tcPr>
            <w:tcW w:w="42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94.8</w:t>
            </w:r>
          </w:p>
        </w:tc>
      </w:tr>
      <w:tr w:rsidR="0036788A" w:rsidRPr="005825CD" w:rsidTr="00384067">
        <w:trPr>
          <w:trHeight w:val="177"/>
        </w:trPr>
        <w:tc>
          <w:tcPr>
            <w:tcW w:w="5000" w:type="pct"/>
            <w:gridSpan w:val="37"/>
            <w:shd w:val="clear" w:color="auto" w:fill="auto"/>
          </w:tcPr>
          <w:p w:rsidR="0036788A" w:rsidRPr="00C804F5" w:rsidRDefault="0036788A" w:rsidP="00AF3A30">
            <w:pPr>
              <w:pStyle w:val="Source"/>
              <w:spacing w:after="80"/>
            </w:pPr>
            <w:r>
              <w:t xml:space="preserve">Source: tables </w:t>
            </w:r>
            <w:proofErr w:type="spellStart"/>
            <w:r w:rsidR="00AF3A30">
              <w:t>11A.70</w:t>
            </w:r>
            <w:proofErr w:type="spellEnd"/>
            <w:r w:rsidRPr="002B0B6F">
              <w:t>–</w:t>
            </w:r>
            <w:proofErr w:type="spellStart"/>
            <w:r w:rsidRPr="002B0B6F">
              <w:t>11A.7</w:t>
            </w:r>
            <w:r w:rsidR="00AF3A30">
              <w:t>4</w:t>
            </w:r>
            <w:proofErr w:type="spellEnd"/>
            <w:r w:rsidRPr="002B0B6F">
              <w:t>.</w:t>
            </w:r>
          </w:p>
        </w:tc>
      </w:tr>
      <w:tr w:rsidR="0036788A" w:rsidRPr="001E0D4D" w:rsidTr="00384067">
        <w:trPr>
          <w:gridAfter w:val="1"/>
          <w:wAfter w:w="47" w:type="pct"/>
          <w:trHeight w:val="273"/>
        </w:trPr>
        <w:tc>
          <w:tcPr>
            <w:tcW w:w="4953" w:type="pct"/>
            <w:gridSpan w:val="36"/>
            <w:shd w:val="clear" w:color="auto" w:fill="auto"/>
          </w:tcPr>
          <w:p w:rsidR="0036788A" w:rsidRPr="001E0D4D" w:rsidRDefault="0036788A" w:rsidP="00676F75">
            <w:pPr>
              <w:pStyle w:val="TableColumnHeading"/>
              <w:keepNext w:val="0"/>
              <w:spacing w:after="60"/>
              <w:jc w:val="left"/>
              <w:rPr>
                <w:b/>
                <w:i w:val="0"/>
              </w:rPr>
            </w:pPr>
            <w:r w:rsidRPr="001E0D4D">
              <w:rPr>
                <w:b/>
                <w:i w:val="0"/>
              </w:rPr>
              <w:t>Effectiveness — Quality — Continuity indicators</w:t>
            </w:r>
          </w:p>
        </w:tc>
      </w:tr>
      <w:tr w:rsidR="0036788A" w:rsidRPr="00B817EA" w:rsidTr="00384067">
        <w:trPr>
          <w:gridAfter w:val="1"/>
          <w:wAfter w:w="47" w:type="pct"/>
          <w:trHeight w:val="273"/>
        </w:trPr>
        <w:tc>
          <w:tcPr>
            <w:tcW w:w="4953" w:type="pct"/>
            <w:gridSpan w:val="36"/>
            <w:shd w:val="clear" w:color="auto" w:fill="auto"/>
          </w:tcPr>
          <w:p w:rsidR="0036788A" w:rsidRPr="00B817EA" w:rsidRDefault="0036788A" w:rsidP="00676F75">
            <w:pPr>
              <w:pStyle w:val="TableColumnHeading"/>
              <w:keepNext w:val="0"/>
              <w:jc w:val="left"/>
            </w:pPr>
            <w:r>
              <w:t>Health assessments for older people — proportion of older people assessed</w:t>
            </w:r>
            <w:r w:rsidRPr="002B0B6F">
              <w:t>, 2012-13</w:t>
            </w:r>
            <w:r w:rsidRPr="002B0B6F">
              <w:br/>
            </w:r>
            <w:r w:rsidRPr="002B0B6F">
              <w:rPr>
                <w:i w:val="0"/>
                <w:sz w:val="16"/>
                <w:szCs w:val="16"/>
              </w:rPr>
              <w:t>Most recent data for this indicator are comparable and complete (subject to caveats) (chapter 11)</w:t>
            </w:r>
          </w:p>
        </w:tc>
      </w:tr>
      <w:tr w:rsidR="0036788A" w:rsidRPr="00B817EA" w:rsidTr="00384067">
        <w:trPr>
          <w:gridAfter w:val="1"/>
          <w:wAfter w:w="47" w:type="pct"/>
        </w:trPr>
        <w:tc>
          <w:tcPr>
            <w:tcW w:w="148" w:type="pct"/>
            <w:gridSpan w:val="2"/>
            <w:shd w:val="clear" w:color="auto" w:fill="auto"/>
          </w:tcPr>
          <w:p w:rsidR="0036788A" w:rsidRPr="005825CD" w:rsidRDefault="0036788A" w:rsidP="00676F75">
            <w:pPr>
              <w:pStyle w:val="TableBodyText"/>
              <w:keepNext w:val="0"/>
              <w:jc w:val="left"/>
              <w:rPr>
                <w:vertAlign w:val="superscript"/>
              </w:rPr>
            </w:pPr>
          </w:p>
        </w:tc>
        <w:tc>
          <w:tcPr>
            <w:tcW w:w="1014" w:type="pct"/>
            <w:gridSpan w:val="3"/>
            <w:shd w:val="clear" w:color="auto" w:fill="auto"/>
          </w:tcPr>
          <w:p w:rsidR="0036788A" w:rsidRPr="00D559A8" w:rsidRDefault="0036788A" w:rsidP="00676F75">
            <w:pPr>
              <w:pStyle w:val="TableBodyText"/>
              <w:keepNext w:val="0"/>
              <w:jc w:val="left"/>
            </w:pPr>
            <w:r>
              <w:t>Proportion (%)</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29.4 </w:t>
            </w:r>
          </w:p>
        </w:tc>
        <w:tc>
          <w:tcPr>
            <w:tcW w:w="440"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27.1 </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33.4 </w:t>
            </w:r>
          </w:p>
        </w:tc>
        <w:tc>
          <w:tcPr>
            <w:tcW w:w="445"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27.5 </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27.2 </w:t>
            </w:r>
          </w:p>
        </w:tc>
        <w:tc>
          <w:tcPr>
            <w:tcW w:w="433"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34.3 </w:t>
            </w:r>
          </w:p>
        </w:tc>
        <w:tc>
          <w:tcPr>
            <w:tcW w:w="43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22.0 </w:t>
            </w:r>
          </w:p>
        </w:tc>
        <w:tc>
          <w:tcPr>
            <w:tcW w:w="389"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26.5 </w:t>
            </w:r>
          </w:p>
        </w:tc>
        <w:tc>
          <w:tcPr>
            <w:tcW w:w="353" w:type="pct"/>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29.2 </w:t>
            </w:r>
          </w:p>
        </w:tc>
      </w:tr>
      <w:tr w:rsidR="0036788A" w:rsidRPr="005825CD" w:rsidTr="00384067">
        <w:trPr>
          <w:gridAfter w:val="1"/>
          <w:wAfter w:w="47" w:type="pct"/>
          <w:trHeight w:val="177"/>
        </w:trPr>
        <w:tc>
          <w:tcPr>
            <w:tcW w:w="4953" w:type="pct"/>
            <w:gridSpan w:val="36"/>
            <w:shd w:val="clear" w:color="auto" w:fill="auto"/>
          </w:tcPr>
          <w:p w:rsidR="0036788A" w:rsidRPr="00C804F5" w:rsidRDefault="0036788A" w:rsidP="00AF3A30">
            <w:pPr>
              <w:pStyle w:val="Source"/>
              <w:spacing w:after="80"/>
            </w:pPr>
            <w:r w:rsidRPr="00B5543B">
              <w:t xml:space="preserve">Source: </w:t>
            </w:r>
            <w:r w:rsidRPr="002B0B6F">
              <w:t xml:space="preserve">table </w:t>
            </w:r>
            <w:proofErr w:type="spellStart"/>
            <w:r w:rsidRPr="002B0B6F">
              <w:t>11A.7</w:t>
            </w:r>
            <w:r w:rsidR="00AF3A30">
              <w:t>5</w:t>
            </w:r>
            <w:proofErr w:type="spellEnd"/>
            <w:r w:rsidRPr="002B0B6F">
              <w:t>.</w:t>
            </w:r>
          </w:p>
        </w:tc>
      </w:tr>
      <w:tr w:rsidR="0036788A" w:rsidRPr="001E0D4D" w:rsidTr="00384067">
        <w:trPr>
          <w:gridAfter w:val="1"/>
          <w:wAfter w:w="47" w:type="pct"/>
          <w:trHeight w:val="273"/>
        </w:trPr>
        <w:tc>
          <w:tcPr>
            <w:tcW w:w="4953" w:type="pct"/>
            <w:gridSpan w:val="36"/>
            <w:shd w:val="clear" w:color="auto" w:fill="auto"/>
          </w:tcPr>
          <w:p w:rsidR="0036788A" w:rsidRPr="001E0D4D" w:rsidRDefault="0036788A" w:rsidP="00676F75">
            <w:pPr>
              <w:pStyle w:val="TableColumnHeading"/>
              <w:jc w:val="left"/>
              <w:rPr>
                <w:b/>
                <w:i w:val="0"/>
              </w:rPr>
            </w:pPr>
            <w:r w:rsidRPr="001E0D4D">
              <w:rPr>
                <w:b/>
                <w:i w:val="0"/>
              </w:rPr>
              <w:t>Efficiency indicators</w:t>
            </w:r>
          </w:p>
        </w:tc>
      </w:tr>
      <w:tr w:rsidR="0036788A" w:rsidRPr="00B817EA" w:rsidTr="00384067">
        <w:trPr>
          <w:gridAfter w:val="1"/>
          <w:wAfter w:w="47" w:type="pct"/>
          <w:trHeight w:val="273"/>
        </w:trPr>
        <w:tc>
          <w:tcPr>
            <w:tcW w:w="4953" w:type="pct"/>
            <w:gridSpan w:val="36"/>
            <w:shd w:val="clear" w:color="auto" w:fill="auto"/>
          </w:tcPr>
          <w:p w:rsidR="0036788A" w:rsidRPr="00B817EA" w:rsidRDefault="0036788A" w:rsidP="00F31EE9">
            <w:pPr>
              <w:pStyle w:val="TableColumnHeading"/>
              <w:jc w:val="left"/>
            </w:pPr>
            <w:r w:rsidRPr="00362C99">
              <w:t>Cost to government of general practice per person</w:t>
            </w:r>
            <w:r w:rsidR="00F31EE9">
              <w:t xml:space="preserve"> — fee-for-service expenditure</w:t>
            </w:r>
            <w:r>
              <w:t xml:space="preserve">, </w:t>
            </w:r>
            <w:r w:rsidRPr="002B0B6F">
              <w:t>2012-13</w:t>
            </w:r>
            <w:r w:rsidRPr="002B0B6F">
              <w:br/>
            </w:r>
            <w:r w:rsidRPr="002B0B6F">
              <w:rPr>
                <w:i w:val="0"/>
                <w:sz w:val="16"/>
                <w:szCs w:val="16"/>
              </w:rPr>
              <w:t>Most recent data for this indicator are comparable and complete (subject to caveats) (chapter 11)</w:t>
            </w:r>
          </w:p>
        </w:tc>
      </w:tr>
      <w:tr w:rsidR="0036788A" w:rsidRPr="00B817EA" w:rsidTr="00384067">
        <w:trPr>
          <w:gridAfter w:val="1"/>
          <w:wAfter w:w="47"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1014" w:type="pct"/>
            <w:gridSpan w:val="3"/>
            <w:shd w:val="clear" w:color="auto" w:fill="auto"/>
          </w:tcPr>
          <w:p w:rsidR="0036788A" w:rsidRPr="00D559A8" w:rsidRDefault="0036788A" w:rsidP="00676F75">
            <w:pPr>
              <w:pStyle w:val="TableBodyText"/>
              <w:jc w:val="left"/>
            </w:pPr>
            <w:r>
              <w:t>$</w:t>
            </w:r>
            <w:r w:rsidRPr="006E0A7D">
              <w:t xml:space="preserve"> per person</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303.1</w:t>
            </w:r>
          </w:p>
        </w:tc>
        <w:tc>
          <w:tcPr>
            <w:tcW w:w="440"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288.0</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299.9</w:t>
            </w:r>
          </w:p>
        </w:tc>
        <w:tc>
          <w:tcPr>
            <w:tcW w:w="399"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224.7</w:t>
            </w:r>
          </w:p>
        </w:tc>
        <w:tc>
          <w:tcPr>
            <w:tcW w:w="43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285.0</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265.1</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225.1</w:t>
            </w:r>
          </w:p>
        </w:tc>
        <w:tc>
          <w:tcPr>
            <w:tcW w:w="38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223.1</w:t>
            </w:r>
          </w:p>
        </w:tc>
        <w:tc>
          <w:tcPr>
            <w:tcW w:w="398"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286.1</w:t>
            </w:r>
          </w:p>
        </w:tc>
      </w:tr>
      <w:tr w:rsidR="0036788A" w:rsidRPr="005825CD" w:rsidTr="00384067">
        <w:trPr>
          <w:gridAfter w:val="1"/>
          <w:wAfter w:w="47" w:type="pct"/>
          <w:trHeight w:val="177"/>
        </w:trPr>
        <w:tc>
          <w:tcPr>
            <w:tcW w:w="4953" w:type="pct"/>
            <w:gridSpan w:val="36"/>
            <w:shd w:val="clear" w:color="auto" w:fill="auto"/>
          </w:tcPr>
          <w:p w:rsidR="0036788A" w:rsidRPr="00C804F5" w:rsidRDefault="0036788A" w:rsidP="00676F75">
            <w:pPr>
              <w:pStyle w:val="Source"/>
            </w:pPr>
            <w:r w:rsidRPr="00B5543B">
              <w:t xml:space="preserve">Source: table </w:t>
            </w:r>
            <w:proofErr w:type="spellStart"/>
            <w:r w:rsidRPr="00B5543B">
              <w:t>1</w:t>
            </w:r>
            <w:r>
              <w:t>1</w:t>
            </w:r>
            <w:r w:rsidRPr="00B5543B">
              <w:t>A.</w:t>
            </w:r>
            <w:r>
              <w:t>2</w:t>
            </w:r>
            <w:proofErr w:type="spellEnd"/>
            <w:r w:rsidRPr="00B5543B">
              <w:t>.</w:t>
            </w:r>
          </w:p>
        </w:tc>
      </w:tr>
      <w:tr w:rsidR="0036788A" w:rsidRPr="001E0D4D" w:rsidTr="00384067">
        <w:trPr>
          <w:gridAfter w:val="1"/>
          <w:wAfter w:w="47" w:type="pct"/>
          <w:trHeight w:val="273"/>
        </w:trPr>
        <w:tc>
          <w:tcPr>
            <w:tcW w:w="4953" w:type="pct"/>
            <w:gridSpan w:val="36"/>
            <w:shd w:val="clear" w:color="auto" w:fill="auto"/>
          </w:tcPr>
          <w:p w:rsidR="0036788A" w:rsidRPr="001E0D4D" w:rsidRDefault="0036788A" w:rsidP="00676F75">
            <w:pPr>
              <w:pStyle w:val="TableColumnHeading"/>
              <w:jc w:val="left"/>
              <w:rPr>
                <w:b/>
                <w:i w:val="0"/>
              </w:rPr>
            </w:pPr>
            <w:r w:rsidRPr="001E0D4D">
              <w:rPr>
                <w:b/>
                <w:i w:val="0"/>
              </w:rPr>
              <w:t>Outcome indicators</w:t>
            </w:r>
          </w:p>
        </w:tc>
      </w:tr>
      <w:tr w:rsidR="0036788A" w:rsidRPr="00B817EA" w:rsidTr="00384067">
        <w:trPr>
          <w:gridAfter w:val="1"/>
          <w:wAfter w:w="47" w:type="pct"/>
          <w:trHeight w:val="273"/>
        </w:trPr>
        <w:tc>
          <w:tcPr>
            <w:tcW w:w="4953" w:type="pct"/>
            <w:gridSpan w:val="36"/>
            <w:shd w:val="clear" w:color="auto" w:fill="auto"/>
          </w:tcPr>
          <w:p w:rsidR="0036788A" w:rsidRPr="00B817EA" w:rsidRDefault="0036788A" w:rsidP="00676F75">
            <w:pPr>
              <w:pStyle w:val="TableColumnHeading"/>
              <w:jc w:val="left"/>
            </w:pPr>
            <w:r w:rsidRPr="00362C99">
              <w:t>Child immunisation coverage</w:t>
            </w:r>
            <w:r>
              <w:t xml:space="preserve"> —</w:t>
            </w:r>
            <w:r w:rsidRPr="00356EDA">
              <w:t xml:space="preserve"> </w:t>
            </w:r>
            <w:r>
              <w:t>C</w:t>
            </w:r>
            <w:r w:rsidRPr="00362C99">
              <w:t>hildren aged 60 to 63 months fully immunised</w:t>
            </w:r>
            <w:r>
              <w:t xml:space="preserve">, </w:t>
            </w:r>
            <w:r w:rsidR="00F31EE9" w:rsidRPr="002B0B6F">
              <w:t>2012</w:t>
            </w:r>
            <w:r w:rsidR="00F31EE9" w:rsidRPr="002B0B6F">
              <w:noBreakHyphen/>
              <w:t>13</w:t>
            </w:r>
            <w:r w:rsidRPr="002B0B6F">
              <w:br/>
            </w:r>
            <w:r w:rsidRPr="002B0B6F">
              <w:rPr>
                <w:i w:val="0"/>
                <w:sz w:val="16"/>
                <w:szCs w:val="16"/>
              </w:rPr>
              <w:t>Most recent data for this indicator are comparable and complete (subject to caveats) (chapter 11)</w:t>
            </w:r>
          </w:p>
        </w:tc>
      </w:tr>
      <w:tr w:rsidR="0036788A" w:rsidRPr="00B817EA" w:rsidTr="00384067">
        <w:trPr>
          <w:gridAfter w:val="1"/>
          <w:wAfter w:w="47"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1014" w:type="pct"/>
            <w:gridSpan w:val="3"/>
            <w:shd w:val="clear" w:color="auto" w:fill="auto"/>
          </w:tcPr>
          <w:p w:rsidR="0036788A" w:rsidRPr="00D559A8" w:rsidRDefault="0036788A" w:rsidP="00676F75">
            <w:pPr>
              <w:pStyle w:val="TableBodyText"/>
              <w:jc w:val="left"/>
            </w:pPr>
            <w:r>
              <w:t>Proportion (%)</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91.6</w:t>
            </w:r>
          </w:p>
        </w:tc>
        <w:tc>
          <w:tcPr>
            <w:tcW w:w="43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92.6</w:t>
            </w:r>
          </w:p>
        </w:tc>
        <w:tc>
          <w:tcPr>
            <w:tcW w:w="436" w:type="pct"/>
            <w:gridSpan w:val="5"/>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91.5</w:t>
            </w:r>
          </w:p>
        </w:tc>
        <w:tc>
          <w:tcPr>
            <w:tcW w:w="399"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89.4</w:t>
            </w:r>
          </w:p>
        </w:tc>
        <w:tc>
          <w:tcPr>
            <w:tcW w:w="43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90.9</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92.9</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92.3</w:t>
            </w:r>
          </w:p>
        </w:tc>
        <w:tc>
          <w:tcPr>
            <w:tcW w:w="38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90.7</w:t>
            </w:r>
          </w:p>
        </w:tc>
        <w:tc>
          <w:tcPr>
            <w:tcW w:w="398"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91.5</w:t>
            </w:r>
          </w:p>
        </w:tc>
      </w:tr>
      <w:tr w:rsidR="0036788A" w:rsidRPr="00B817EA" w:rsidTr="00384067">
        <w:trPr>
          <w:gridAfter w:val="1"/>
          <w:wAfter w:w="47" w:type="pct"/>
          <w:trHeight w:val="273"/>
        </w:trPr>
        <w:tc>
          <w:tcPr>
            <w:tcW w:w="4953" w:type="pct"/>
            <w:gridSpan w:val="36"/>
            <w:shd w:val="clear" w:color="auto" w:fill="auto"/>
          </w:tcPr>
          <w:p w:rsidR="0036788A" w:rsidRPr="00B817EA" w:rsidRDefault="0036788A" w:rsidP="00676F75">
            <w:pPr>
              <w:pStyle w:val="TableColumnHeading"/>
              <w:jc w:val="left"/>
            </w:pPr>
            <w:r w:rsidRPr="00362C99">
              <w:t>Notifications of selected childhood diseases</w:t>
            </w:r>
            <w:r>
              <w:t xml:space="preserve"> —notifications per 100 000 children</w:t>
            </w:r>
            <w:r w:rsidRPr="002B0B6F">
              <w:t>, 2012</w:t>
            </w:r>
            <w:r w:rsidRPr="002B0B6F">
              <w:noBreakHyphen/>
              <w:t>13</w:t>
            </w:r>
            <w:r w:rsidRPr="002B0B6F">
              <w:br/>
            </w:r>
            <w:r w:rsidRPr="002B0B6F">
              <w:rPr>
                <w:i w:val="0"/>
                <w:sz w:val="16"/>
                <w:szCs w:val="16"/>
              </w:rPr>
              <w:t>Most recent data for this indicator are comparable and complete (subject to caveats) (chapter 11)</w:t>
            </w:r>
          </w:p>
        </w:tc>
      </w:tr>
      <w:tr w:rsidR="0036788A" w:rsidRPr="00B817EA" w:rsidTr="00384067">
        <w:trPr>
          <w:gridAfter w:val="1"/>
          <w:wAfter w:w="47"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1014" w:type="pct"/>
            <w:gridSpan w:val="3"/>
            <w:shd w:val="clear" w:color="auto" w:fill="auto"/>
          </w:tcPr>
          <w:p w:rsidR="0036788A" w:rsidRPr="00D559A8" w:rsidRDefault="0036788A" w:rsidP="00676F75">
            <w:pPr>
              <w:pStyle w:val="TableBodyText"/>
              <w:jc w:val="left"/>
            </w:pPr>
            <w:r>
              <w:t xml:space="preserve">Measles </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6.1</w:t>
            </w:r>
          </w:p>
        </w:tc>
        <w:tc>
          <w:tcPr>
            <w:tcW w:w="43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proofErr w:type="spellStart"/>
            <w:r w:rsidRPr="00FD7B2D">
              <w:rPr>
                <w:rFonts w:ascii="Arial" w:hAnsi="Arial" w:cs="Arial"/>
                <w:sz w:val="20"/>
                <w:szCs w:val="20"/>
              </w:rPr>
              <w:t>np</w:t>
            </w:r>
            <w:proofErr w:type="spellEnd"/>
          </w:p>
        </w:tc>
        <w:tc>
          <w:tcPr>
            <w:tcW w:w="436" w:type="pct"/>
            <w:gridSpan w:val="5"/>
            <w:shd w:val="clear" w:color="auto" w:fill="auto"/>
          </w:tcPr>
          <w:p w:rsidR="0036788A" w:rsidRPr="00FD7B2D" w:rsidRDefault="0036788A" w:rsidP="00676F75">
            <w:pPr>
              <w:spacing w:afterLines="40" w:after="96" w:line="220" w:lineRule="atLeast"/>
              <w:jc w:val="right"/>
              <w:rPr>
                <w:rFonts w:ascii="Arial" w:hAnsi="Arial" w:cs="Arial"/>
                <w:sz w:val="20"/>
                <w:szCs w:val="20"/>
              </w:rPr>
            </w:pPr>
            <w:proofErr w:type="spellStart"/>
            <w:r w:rsidRPr="00FD7B2D">
              <w:rPr>
                <w:rFonts w:ascii="Arial" w:hAnsi="Arial" w:cs="Arial"/>
                <w:sz w:val="20"/>
                <w:szCs w:val="20"/>
              </w:rPr>
              <w:t>np</w:t>
            </w:r>
            <w:proofErr w:type="spellEnd"/>
          </w:p>
        </w:tc>
        <w:tc>
          <w:tcPr>
            <w:tcW w:w="399"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0.6</w:t>
            </w:r>
          </w:p>
        </w:tc>
        <w:tc>
          <w:tcPr>
            <w:tcW w:w="43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proofErr w:type="spellStart"/>
            <w:r w:rsidRPr="00FD7B2D">
              <w:rPr>
                <w:rFonts w:ascii="Arial" w:hAnsi="Arial" w:cs="Arial"/>
                <w:sz w:val="20"/>
                <w:szCs w:val="20"/>
              </w:rPr>
              <w:t>np</w:t>
            </w:r>
            <w:proofErr w:type="spellEnd"/>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w:t>
            </w:r>
          </w:p>
        </w:tc>
        <w:tc>
          <w:tcPr>
            <w:tcW w:w="38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proofErr w:type="spellStart"/>
            <w:r w:rsidRPr="00FD7B2D">
              <w:rPr>
                <w:rFonts w:ascii="Arial" w:hAnsi="Arial" w:cs="Arial"/>
                <w:sz w:val="20"/>
                <w:szCs w:val="20"/>
              </w:rPr>
              <w:t>np</w:t>
            </w:r>
            <w:proofErr w:type="spellEnd"/>
          </w:p>
        </w:tc>
        <w:tc>
          <w:tcPr>
            <w:tcW w:w="398"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2.2</w:t>
            </w:r>
          </w:p>
        </w:tc>
      </w:tr>
      <w:tr w:rsidR="0036788A" w:rsidRPr="00B817EA" w:rsidTr="00384067">
        <w:trPr>
          <w:gridAfter w:val="1"/>
          <w:wAfter w:w="47" w:type="pct"/>
          <w:trHeight w:val="273"/>
        </w:trPr>
        <w:tc>
          <w:tcPr>
            <w:tcW w:w="4953" w:type="pct"/>
            <w:gridSpan w:val="36"/>
            <w:shd w:val="clear" w:color="auto" w:fill="auto"/>
          </w:tcPr>
          <w:p w:rsidR="0036788A" w:rsidRPr="00B817EA" w:rsidRDefault="0036788A" w:rsidP="00676F75">
            <w:pPr>
              <w:pStyle w:val="TableColumnHeading"/>
              <w:jc w:val="left"/>
            </w:pPr>
            <w:r w:rsidRPr="007143E0">
              <w:t xml:space="preserve">Participation rates for women in </w:t>
            </w:r>
            <w:r>
              <w:t>breast cancer</w:t>
            </w:r>
            <w:r w:rsidRPr="007143E0">
              <w:t xml:space="preserve"> screening</w:t>
            </w:r>
            <w:r w:rsidRPr="005C7EF8">
              <w:t xml:space="preserve"> </w:t>
            </w:r>
            <w:r>
              <w:t xml:space="preserve">— </w:t>
            </w:r>
            <w:r w:rsidRPr="005C7EF8">
              <w:t>Ages 50–69</w:t>
            </w:r>
            <w:r w:rsidRPr="002B0B6F">
              <w:t>, 1 January 2011 to 31 December 2012</w:t>
            </w:r>
            <w:r w:rsidRPr="002B0B6F">
              <w:rPr>
                <w:highlight w:val="yellow"/>
              </w:rPr>
              <w:br/>
            </w:r>
            <w:r w:rsidRPr="002B0B6F">
              <w:rPr>
                <w:i w:val="0"/>
                <w:sz w:val="16"/>
                <w:szCs w:val="16"/>
              </w:rPr>
              <w:t>Most recent data for this indicator are comparable and complete (subject to caveats) (chapter 11)</w:t>
            </w:r>
          </w:p>
        </w:tc>
      </w:tr>
      <w:tr w:rsidR="0036788A" w:rsidRPr="00B817EA" w:rsidTr="00384067">
        <w:trPr>
          <w:gridAfter w:val="1"/>
          <w:wAfter w:w="47"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1014" w:type="pct"/>
            <w:gridSpan w:val="3"/>
            <w:shd w:val="clear" w:color="auto" w:fill="auto"/>
          </w:tcPr>
          <w:p w:rsidR="0036788A" w:rsidRPr="00D559A8" w:rsidRDefault="0036788A" w:rsidP="00676F75">
            <w:pPr>
              <w:pStyle w:val="TableBodyText"/>
              <w:jc w:val="left"/>
            </w:pPr>
            <w:r>
              <w:t>Rate</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50.4</w:t>
            </w:r>
          </w:p>
        </w:tc>
        <w:tc>
          <w:tcPr>
            <w:tcW w:w="43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54.3</w:t>
            </w:r>
          </w:p>
        </w:tc>
        <w:tc>
          <w:tcPr>
            <w:tcW w:w="436" w:type="pct"/>
            <w:gridSpan w:val="5"/>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57.1</w:t>
            </w:r>
          </w:p>
        </w:tc>
        <w:tc>
          <w:tcPr>
            <w:tcW w:w="399"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57.8</w:t>
            </w:r>
          </w:p>
        </w:tc>
        <w:tc>
          <w:tcPr>
            <w:tcW w:w="43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58.8</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57.8</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53.5</w:t>
            </w:r>
          </w:p>
        </w:tc>
        <w:tc>
          <w:tcPr>
            <w:tcW w:w="38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41.6</w:t>
            </w:r>
          </w:p>
        </w:tc>
        <w:tc>
          <w:tcPr>
            <w:tcW w:w="398"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54.5</w:t>
            </w:r>
          </w:p>
        </w:tc>
      </w:tr>
      <w:tr w:rsidR="0036788A" w:rsidRPr="00B817EA" w:rsidTr="00384067">
        <w:trPr>
          <w:gridAfter w:val="1"/>
          <w:wAfter w:w="47" w:type="pct"/>
          <w:trHeight w:val="273"/>
        </w:trPr>
        <w:tc>
          <w:tcPr>
            <w:tcW w:w="4953" w:type="pct"/>
            <w:gridSpan w:val="36"/>
            <w:shd w:val="clear" w:color="auto" w:fill="auto"/>
          </w:tcPr>
          <w:p w:rsidR="0036788A" w:rsidRPr="00B817EA" w:rsidRDefault="0036788A" w:rsidP="00676F75">
            <w:pPr>
              <w:pStyle w:val="TableColumnHeading"/>
              <w:jc w:val="left"/>
            </w:pPr>
            <w:r w:rsidRPr="007143E0">
              <w:t>Participation rates for women in cervical screening</w:t>
            </w:r>
            <w:r>
              <w:t xml:space="preserve"> —</w:t>
            </w:r>
            <w:r w:rsidRPr="005C7EF8">
              <w:t xml:space="preserve"> Ages </w:t>
            </w:r>
            <w:r>
              <w:t>20</w:t>
            </w:r>
            <w:r w:rsidRPr="005C7EF8">
              <w:t>–69</w:t>
            </w:r>
            <w:r>
              <w:t xml:space="preserve"> (ASR)</w:t>
            </w:r>
            <w:r w:rsidRPr="002B0B6F">
              <w:t>, 1 January 2011 to 31 December 2012</w:t>
            </w:r>
            <w:r w:rsidRPr="002B0B6F">
              <w:rPr>
                <w:highlight w:val="yellow"/>
              </w:rPr>
              <w:br/>
            </w:r>
            <w:r w:rsidRPr="002B0B6F">
              <w:rPr>
                <w:i w:val="0"/>
                <w:sz w:val="16"/>
                <w:szCs w:val="16"/>
              </w:rPr>
              <w:t>Most recent data for this indicator are comparable and complete (subject to caveats) (chapter 11)</w:t>
            </w:r>
          </w:p>
        </w:tc>
      </w:tr>
      <w:tr w:rsidR="0036788A" w:rsidRPr="00B817EA" w:rsidTr="00384067">
        <w:trPr>
          <w:gridAfter w:val="1"/>
          <w:wAfter w:w="47" w:type="pct"/>
        </w:trPr>
        <w:tc>
          <w:tcPr>
            <w:tcW w:w="148" w:type="pct"/>
            <w:gridSpan w:val="2"/>
            <w:shd w:val="clear" w:color="auto" w:fill="auto"/>
          </w:tcPr>
          <w:p w:rsidR="0036788A" w:rsidRPr="005825CD" w:rsidRDefault="0036788A" w:rsidP="00676F75">
            <w:pPr>
              <w:pStyle w:val="TableBodyText"/>
              <w:jc w:val="left"/>
              <w:rPr>
                <w:vertAlign w:val="superscript"/>
              </w:rPr>
            </w:pPr>
          </w:p>
        </w:tc>
        <w:tc>
          <w:tcPr>
            <w:tcW w:w="1014" w:type="pct"/>
            <w:gridSpan w:val="3"/>
            <w:shd w:val="clear" w:color="auto" w:fill="auto"/>
          </w:tcPr>
          <w:p w:rsidR="0036788A" w:rsidRPr="00D559A8" w:rsidRDefault="0036788A" w:rsidP="00676F75">
            <w:pPr>
              <w:pStyle w:val="TableBodyText"/>
              <w:jc w:val="left"/>
            </w:pPr>
            <w:r>
              <w:t>Rate</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56.8</w:t>
            </w:r>
          </w:p>
        </w:tc>
        <w:tc>
          <w:tcPr>
            <w:tcW w:w="435"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61.1</w:t>
            </w:r>
          </w:p>
        </w:tc>
        <w:tc>
          <w:tcPr>
            <w:tcW w:w="436" w:type="pct"/>
            <w:gridSpan w:val="5"/>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55.8</w:t>
            </w:r>
          </w:p>
        </w:tc>
        <w:tc>
          <w:tcPr>
            <w:tcW w:w="399" w:type="pct"/>
            <w:gridSpan w:val="2"/>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55.9</w:t>
            </w:r>
          </w:p>
        </w:tc>
        <w:tc>
          <w:tcPr>
            <w:tcW w:w="436"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59.4</w:t>
            </w:r>
          </w:p>
        </w:tc>
        <w:tc>
          <w:tcPr>
            <w:tcW w:w="431"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56.6</w:t>
            </w:r>
          </w:p>
        </w:tc>
        <w:tc>
          <w:tcPr>
            <w:tcW w:w="434"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57.2</w:t>
            </w:r>
          </w:p>
        </w:tc>
        <w:tc>
          <w:tcPr>
            <w:tcW w:w="388" w:type="pct"/>
            <w:gridSpan w:val="3"/>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53.8</w:t>
            </w:r>
          </w:p>
        </w:tc>
        <w:tc>
          <w:tcPr>
            <w:tcW w:w="398" w:type="pct"/>
            <w:gridSpan w:val="4"/>
            <w:shd w:val="clear" w:color="auto" w:fill="auto"/>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57.7</w:t>
            </w:r>
          </w:p>
        </w:tc>
      </w:tr>
      <w:tr w:rsidR="00384067" w:rsidRPr="00B817EA" w:rsidTr="00384067">
        <w:trPr>
          <w:gridAfter w:val="1"/>
          <w:wAfter w:w="51" w:type="pct"/>
          <w:trHeight w:val="273"/>
        </w:trPr>
        <w:tc>
          <w:tcPr>
            <w:tcW w:w="4949" w:type="pct"/>
            <w:gridSpan w:val="36"/>
            <w:shd w:val="clear" w:color="auto" w:fill="auto"/>
          </w:tcPr>
          <w:p w:rsidR="00384067" w:rsidRPr="00B817EA" w:rsidRDefault="00384067" w:rsidP="00E32399">
            <w:pPr>
              <w:pStyle w:val="TableColumnHeading"/>
              <w:jc w:val="left"/>
            </w:pPr>
            <w:r w:rsidRPr="007143E0">
              <w:t>Influenza vaccination coverage for older people</w:t>
            </w:r>
            <w:r>
              <w:t xml:space="preserve"> — 65 years or over, 2009</w:t>
            </w:r>
            <w:r w:rsidRPr="00B20E15">
              <w:br/>
            </w:r>
            <w:r w:rsidRPr="00B7232B">
              <w:rPr>
                <w:i w:val="0"/>
                <w:sz w:val="16"/>
                <w:szCs w:val="16"/>
              </w:rPr>
              <w:t>Most recent data for this indicator are comparable and complete (subject to caveats) (chapter 11)</w:t>
            </w:r>
          </w:p>
        </w:tc>
      </w:tr>
      <w:tr w:rsidR="00384067" w:rsidRPr="00B817EA" w:rsidTr="00384067">
        <w:trPr>
          <w:gridAfter w:val="1"/>
          <w:wAfter w:w="51" w:type="pct"/>
        </w:trPr>
        <w:tc>
          <w:tcPr>
            <w:tcW w:w="147" w:type="pct"/>
            <w:gridSpan w:val="2"/>
            <w:shd w:val="clear" w:color="auto" w:fill="auto"/>
          </w:tcPr>
          <w:p w:rsidR="00384067" w:rsidRPr="005825CD" w:rsidRDefault="00384067" w:rsidP="00E32399">
            <w:pPr>
              <w:pStyle w:val="TableBodyText"/>
              <w:jc w:val="left"/>
              <w:rPr>
                <w:vertAlign w:val="superscript"/>
              </w:rPr>
            </w:pPr>
          </w:p>
        </w:tc>
        <w:tc>
          <w:tcPr>
            <w:tcW w:w="1013" w:type="pct"/>
            <w:gridSpan w:val="3"/>
            <w:shd w:val="clear" w:color="auto" w:fill="auto"/>
          </w:tcPr>
          <w:p w:rsidR="00384067" w:rsidRPr="00D559A8" w:rsidRDefault="00384067" w:rsidP="00E32399">
            <w:pPr>
              <w:pStyle w:val="TableBodyText"/>
              <w:jc w:val="left"/>
            </w:pPr>
            <w:r>
              <w:t>Rate</w:t>
            </w:r>
          </w:p>
        </w:tc>
        <w:tc>
          <w:tcPr>
            <w:tcW w:w="434"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72.7</w:t>
            </w:r>
          </w:p>
        </w:tc>
        <w:tc>
          <w:tcPr>
            <w:tcW w:w="434"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75.0</w:t>
            </w:r>
          </w:p>
        </w:tc>
        <w:tc>
          <w:tcPr>
            <w:tcW w:w="435" w:type="pct"/>
            <w:gridSpan w:val="4"/>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74.6</w:t>
            </w:r>
          </w:p>
        </w:tc>
        <w:tc>
          <w:tcPr>
            <w:tcW w:w="399" w:type="pct"/>
            <w:gridSpan w:val="2"/>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72.9</w:t>
            </w:r>
          </w:p>
        </w:tc>
        <w:tc>
          <w:tcPr>
            <w:tcW w:w="436" w:type="pct"/>
            <w:gridSpan w:val="4"/>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81.3</w:t>
            </w:r>
          </w:p>
        </w:tc>
        <w:tc>
          <w:tcPr>
            <w:tcW w:w="430" w:type="pct"/>
            <w:gridSpan w:val="4"/>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77.5</w:t>
            </w:r>
          </w:p>
        </w:tc>
        <w:tc>
          <w:tcPr>
            <w:tcW w:w="434" w:type="pct"/>
            <w:gridSpan w:val="4"/>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78.0</w:t>
            </w:r>
          </w:p>
        </w:tc>
        <w:tc>
          <w:tcPr>
            <w:tcW w:w="388" w:type="pct"/>
            <w:gridSpan w:val="3"/>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69.3</w:t>
            </w:r>
          </w:p>
        </w:tc>
        <w:tc>
          <w:tcPr>
            <w:tcW w:w="399" w:type="pct"/>
            <w:gridSpan w:val="4"/>
            <w:shd w:val="clear" w:color="auto" w:fill="auto"/>
          </w:tcPr>
          <w:p w:rsidR="00384067" w:rsidRPr="00FD7B2D" w:rsidRDefault="00384067" w:rsidP="00E32399">
            <w:pPr>
              <w:spacing w:afterLines="40" w:after="96" w:line="220" w:lineRule="atLeast"/>
              <w:jc w:val="right"/>
              <w:rPr>
                <w:rFonts w:ascii="Arial" w:hAnsi="Arial" w:cs="Arial"/>
                <w:sz w:val="20"/>
                <w:szCs w:val="20"/>
              </w:rPr>
            </w:pPr>
            <w:r w:rsidRPr="00FD7B2D">
              <w:rPr>
                <w:rFonts w:ascii="Arial" w:hAnsi="Arial" w:cs="Arial"/>
                <w:sz w:val="20"/>
                <w:szCs w:val="20"/>
              </w:rPr>
              <w:t>74.6</w:t>
            </w:r>
          </w:p>
        </w:tc>
      </w:tr>
      <w:tr w:rsidR="00C23BD5" w:rsidRPr="00B817EA" w:rsidTr="00384067">
        <w:trPr>
          <w:gridAfter w:val="1"/>
          <w:wAfter w:w="47" w:type="pct"/>
        </w:trPr>
        <w:tc>
          <w:tcPr>
            <w:tcW w:w="4953" w:type="pct"/>
            <w:gridSpan w:val="36"/>
            <w:shd w:val="clear" w:color="auto" w:fill="auto"/>
          </w:tcPr>
          <w:p w:rsidR="00C23BD5" w:rsidRPr="004E066A" w:rsidRDefault="00C23BD5" w:rsidP="00676F75">
            <w:pPr>
              <w:spacing w:afterLines="40" w:after="96" w:line="220" w:lineRule="atLeast"/>
              <w:jc w:val="right"/>
              <w:rPr>
                <w:rFonts w:ascii="Arial" w:hAnsi="Arial" w:cs="Arial"/>
                <w:sz w:val="18"/>
                <w:szCs w:val="18"/>
              </w:rPr>
            </w:pPr>
            <w:r w:rsidRPr="004E066A">
              <w:rPr>
                <w:rFonts w:ascii="Arial" w:hAnsi="Arial" w:cs="Arial"/>
                <w:sz w:val="18"/>
                <w:szCs w:val="18"/>
              </w:rPr>
              <w:t>(Continued next page)</w:t>
            </w:r>
          </w:p>
        </w:tc>
      </w:tr>
    </w:tbl>
    <w:p w:rsidR="00C23BD5" w:rsidRDefault="00C23BD5" w:rsidP="00C23BD5">
      <w:pPr>
        <w:pStyle w:val="TableTitle"/>
      </w:pPr>
      <w:r w:rsidRPr="00B4788D">
        <w:rPr>
          <w:b w:val="0"/>
        </w:rPr>
        <w:lastRenderedPageBreak/>
        <w:t>Table</w:t>
      </w:r>
      <w:r>
        <w:rPr>
          <w:b w:val="0"/>
        </w:rPr>
        <w:t xml:space="preserve"> </w:t>
      </w:r>
      <w:proofErr w:type="spellStart"/>
      <w:r w:rsidRPr="00F156AA">
        <w:rPr>
          <w:b w:val="0"/>
        </w:rPr>
        <w:t>E.</w:t>
      </w:r>
      <w:r>
        <w:rPr>
          <w:b w:val="0"/>
        </w:rPr>
        <w:t>7</w:t>
      </w:r>
      <w:proofErr w:type="spellEnd"/>
      <w:r w:rsidRPr="00B4788D">
        <w:rPr>
          <w:b w:val="0"/>
        </w:rPr>
        <w:tab/>
      </w:r>
      <w:r w:rsidRPr="005825CD">
        <w:rPr>
          <w:sz w:val="18"/>
          <w:szCs w:val="18"/>
        </w:rPr>
        <w:t>(continued)</w:t>
      </w:r>
      <w:r w:rsidRPr="00577BF4">
        <w:t xml:space="preserve"> </w:t>
      </w:r>
    </w:p>
    <w:tbl>
      <w:tblPr>
        <w:tblW w:w="5012" w:type="pct"/>
        <w:tblCellMar>
          <w:left w:w="0" w:type="dxa"/>
          <w:right w:w="0" w:type="dxa"/>
        </w:tblCellMar>
        <w:tblLook w:val="0000" w:firstRow="0" w:lastRow="0" w:firstColumn="0" w:lastColumn="0" w:noHBand="0" w:noVBand="0"/>
      </w:tblPr>
      <w:tblGrid>
        <w:gridCol w:w="261"/>
        <w:gridCol w:w="1695"/>
        <w:gridCol w:w="109"/>
        <w:gridCol w:w="107"/>
        <w:gridCol w:w="573"/>
        <w:gridCol w:w="93"/>
        <w:gridCol w:w="694"/>
        <w:gridCol w:w="79"/>
        <w:gridCol w:w="712"/>
        <w:gridCol w:w="63"/>
        <w:gridCol w:w="710"/>
        <w:gridCol w:w="18"/>
        <w:gridCol w:w="758"/>
        <w:gridCol w:w="30"/>
        <w:gridCol w:w="735"/>
        <w:gridCol w:w="53"/>
        <w:gridCol w:w="719"/>
        <w:gridCol w:w="69"/>
        <w:gridCol w:w="622"/>
        <w:gridCol w:w="53"/>
        <w:gridCol w:w="657"/>
      </w:tblGrid>
      <w:tr w:rsidR="00776750" w:rsidRPr="004C2CF4" w:rsidTr="00776750">
        <w:trPr>
          <w:cantSplit/>
          <w:tblHeader/>
        </w:trPr>
        <w:tc>
          <w:tcPr>
            <w:tcW w:w="1110"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jc w:val="left"/>
            </w:pPr>
          </w:p>
        </w:tc>
        <w:tc>
          <w:tcPr>
            <w:tcW w:w="448" w:type="pct"/>
            <w:gridSpan w:val="3"/>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NSW</w:t>
            </w:r>
          </w:p>
        </w:tc>
        <w:tc>
          <w:tcPr>
            <w:tcW w:w="447"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Vic</w:t>
            </w:r>
          </w:p>
        </w:tc>
        <w:tc>
          <w:tcPr>
            <w:tcW w:w="449"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Qld</w:t>
            </w:r>
          </w:p>
        </w:tc>
        <w:tc>
          <w:tcPr>
            <w:tcW w:w="449" w:type="pct"/>
            <w:gridSpan w:val="3"/>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WA</w:t>
            </w:r>
          </w:p>
        </w:tc>
        <w:tc>
          <w:tcPr>
            <w:tcW w:w="447"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SA</w:t>
            </w:r>
          </w:p>
        </w:tc>
        <w:tc>
          <w:tcPr>
            <w:tcW w:w="447"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pPr>
            <w:proofErr w:type="spellStart"/>
            <w:r w:rsidRPr="00B817EA">
              <w:t>Tas</w:t>
            </w:r>
            <w:proofErr w:type="spellEnd"/>
          </w:p>
        </w:tc>
        <w:tc>
          <w:tcPr>
            <w:tcW w:w="447"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ACT</w:t>
            </w:r>
          </w:p>
        </w:tc>
        <w:tc>
          <w:tcPr>
            <w:tcW w:w="383" w:type="pct"/>
            <w:gridSpan w:val="2"/>
            <w:tcBorders>
              <w:top w:val="single" w:sz="6" w:space="0" w:color="auto"/>
              <w:bottom w:val="single" w:sz="6" w:space="0" w:color="auto"/>
            </w:tcBorders>
            <w:shd w:val="clear" w:color="auto" w:fill="auto"/>
          </w:tcPr>
          <w:p w:rsidR="00776750" w:rsidRPr="00B817EA" w:rsidRDefault="00776750" w:rsidP="00676F75">
            <w:pPr>
              <w:pStyle w:val="TableColumnHeading"/>
            </w:pPr>
            <w:r w:rsidRPr="00B817EA">
              <w:t>NT</w:t>
            </w:r>
          </w:p>
        </w:tc>
        <w:tc>
          <w:tcPr>
            <w:tcW w:w="373" w:type="pct"/>
            <w:tcBorders>
              <w:top w:val="single" w:sz="6" w:space="0" w:color="auto"/>
              <w:bottom w:val="single" w:sz="6" w:space="0" w:color="auto"/>
            </w:tcBorders>
          </w:tcPr>
          <w:p w:rsidR="00776750" w:rsidRPr="004C2CF4" w:rsidRDefault="00776750" w:rsidP="00676F75">
            <w:pPr>
              <w:pStyle w:val="TableColumnHeading"/>
            </w:pPr>
            <w:proofErr w:type="spellStart"/>
            <w:r w:rsidRPr="00B817EA">
              <w:t>Aust</w:t>
            </w:r>
            <w:proofErr w:type="spellEnd"/>
          </w:p>
        </w:tc>
      </w:tr>
      <w:tr w:rsidR="0036788A" w:rsidRPr="00B817EA" w:rsidTr="00776750">
        <w:trPr>
          <w:trHeight w:val="273"/>
        </w:trPr>
        <w:tc>
          <w:tcPr>
            <w:tcW w:w="5000" w:type="pct"/>
            <w:gridSpan w:val="21"/>
            <w:shd w:val="clear" w:color="auto" w:fill="auto"/>
          </w:tcPr>
          <w:p w:rsidR="0036788A" w:rsidRPr="00B817EA" w:rsidRDefault="0036788A" w:rsidP="00676F75">
            <w:pPr>
              <w:pStyle w:val="TableColumnHeading"/>
              <w:jc w:val="left"/>
            </w:pPr>
            <w:r w:rsidRPr="001E55CA">
              <w:t xml:space="preserve">Separations for selected potentially preventable hospitalisations, </w:t>
            </w:r>
            <w:r w:rsidRPr="00B7232B">
              <w:t>2011-12, per 1000 people</w:t>
            </w:r>
            <w:r w:rsidRPr="00B7232B">
              <w:br/>
            </w:r>
            <w:r w:rsidRPr="00B7232B">
              <w:rPr>
                <w:i w:val="0"/>
                <w:sz w:val="16"/>
                <w:szCs w:val="16"/>
              </w:rPr>
              <w:t>Most recent data for the indicator are comparable and complete (subject to caveats) except for the measure potentially preventable hospitalisations for diabetes (chapter 11)</w:t>
            </w:r>
          </w:p>
        </w:tc>
      </w:tr>
      <w:tr w:rsidR="00C23BD5" w:rsidRPr="00B817EA" w:rsidTr="00B7232B">
        <w:tc>
          <w:tcPr>
            <w:tcW w:w="148" w:type="pct"/>
            <w:shd w:val="clear" w:color="auto" w:fill="auto"/>
          </w:tcPr>
          <w:p w:rsidR="0036788A" w:rsidRPr="005825CD" w:rsidRDefault="0036788A" w:rsidP="00676F75">
            <w:pPr>
              <w:pStyle w:val="TableBodyText"/>
              <w:jc w:val="left"/>
              <w:rPr>
                <w:vertAlign w:val="superscript"/>
              </w:rPr>
            </w:pPr>
          </w:p>
        </w:tc>
        <w:tc>
          <w:tcPr>
            <w:tcW w:w="1085" w:type="pct"/>
            <w:gridSpan w:val="3"/>
            <w:shd w:val="clear" w:color="auto" w:fill="auto"/>
            <w:vAlign w:val="center"/>
          </w:tcPr>
          <w:p w:rsidR="0036788A" w:rsidRPr="001E55CA" w:rsidRDefault="0036788A" w:rsidP="00676F75">
            <w:pPr>
              <w:pStyle w:val="TableBodyText"/>
              <w:ind w:right="-257"/>
              <w:jc w:val="left"/>
            </w:pPr>
            <w:r w:rsidRPr="001E55CA">
              <w:t xml:space="preserve">Vaccine-preventable </w:t>
            </w:r>
          </w:p>
        </w:tc>
        <w:tc>
          <w:tcPr>
            <w:tcW w:w="378"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0.8</w:t>
            </w:r>
          </w:p>
        </w:tc>
        <w:tc>
          <w:tcPr>
            <w:tcW w:w="439"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0.8</w:t>
            </w:r>
          </w:p>
        </w:tc>
        <w:tc>
          <w:tcPr>
            <w:tcW w:w="440"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0.9</w:t>
            </w:r>
          </w:p>
        </w:tc>
        <w:tc>
          <w:tcPr>
            <w:tcW w:w="403" w:type="pct"/>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0.8</w:t>
            </w:r>
          </w:p>
        </w:tc>
        <w:tc>
          <w:tcPr>
            <w:tcW w:w="440"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0.9</w:t>
            </w:r>
          </w:p>
        </w:tc>
        <w:tc>
          <w:tcPr>
            <w:tcW w:w="434"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0.5</w:t>
            </w:r>
          </w:p>
        </w:tc>
        <w:tc>
          <w:tcPr>
            <w:tcW w:w="438"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0.7</w:t>
            </w:r>
          </w:p>
        </w:tc>
        <w:tc>
          <w:tcPr>
            <w:tcW w:w="392"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3.1</w:t>
            </w:r>
          </w:p>
        </w:tc>
        <w:tc>
          <w:tcPr>
            <w:tcW w:w="403"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0.8</w:t>
            </w:r>
          </w:p>
        </w:tc>
      </w:tr>
      <w:tr w:rsidR="0036788A" w:rsidRPr="00B817EA" w:rsidTr="00776750">
        <w:trPr>
          <w:trHeight w:val="322"/>
        </w:trPr>
        <w:tc>
          <w:tcPr>
            <w:tcW w:w="148" w:type="pct"/>
            <w:shd w:val="clear" w:color="auto" w:fill="auto"/>
          </w:tcPr>
          <w:p w:rsidR="0036788A" w:rsidRPr="005825CD" w:rsidRDefault="0036788A" w:rsidP="00676F75">
            <w:pPr>
              <w:pStyle w:val="TableBodyText"/>
              <w:jc w:val="left"/>
              <w:rPr>
                <w:vertAlign w:val="superscript"/>
              </w:rPr>
            </w:pPr>
          </w:p>
        </w:tc>
        <w:tc>
          <w:tcPr>
            <w:tcW w:w="4852" w:type="pct"/>
            <w:gridSpan w:val="20"/>
            <w:shd w:val="clear" w:color="auto" w:fill="auto"/>
            <w:vAlign w:val="bottom"/>
          </w:tcPr>
          <w:p w:rsidR="0036788A" w:rsidRPr="008D0707" w:rsidRDefault="0036788A" w:rsidP="00676F75">
            <w:pPr>
              <w:pStyle w:val="BodyText"/>
              <w:spacing w:before="0" w:line="240" w:lineRule="auto"/>
              <w:jc w:val="left"/>
            </w:pPr>
            <w:r>
              <w:rPr>
                <w:rFonts w:ascii="Arial" w:hAnsi="Arial" w:cs="Arial"/>
                <w:sz w:val="20"/>
              </w:rPr>
              <w:t xml:space="preserve">Acute conditions </w:t>
            </w:r>
            <w:r>
              <w:rPr>
                <w:rFonts w:ascii="Arial" w:hAnsi="Arial" w:cs="Arial"/>
                <w:i/>
                <w:iCs/>
                <w:sz w:val="20"/>
              </w:rPr>
              <w:t>excluding dehydration and gastroenteritis</w:t>
            </w:r>
          </w:p>
        </w:tc>
      </w:tr>
      <w:tr w:rsidR="00C23BD5" w:rsidRPr="00B817EA" w:rsidTr="00B7232B">
        <w:tc>
          <w:tcPr>
            <w:tcW w:w="148" w:type="pct"/>
            <w:shd w:val="clear" w:color="auto" w:fill="auto"/>
          </w:tcPr>
          <w:p w:rsidR="0036788A" w:rsidRPr="005825CD" w:rsidRDefault="0036788A" w:rsidP="00676F75">
            <w:pPr>
              <w:pStyle w:val="TableBodyText"/>
              <w:jc w:val="left"/>
              <w:rPr>
                <w:vertAlign w:val="superscript"/>
              </w:rPr>
            </w:pPr>
          </w:p>
        </w:tc>
        <w:tc>
          <w:tcPr>
            <w:tcW w:w="1024" w:type="pct"/>
            <w:gridSpan w:val="2"/>
            <w:shd w:val="clear" w:color="auto" w:fill="auto"/>
            <w:vAlign w:val="center"/>
          </w:tcPr>
          <w:p w:rsidR="0036788A" w:rsidRPr="00295F66" w:rsidRDefault="0036788A" w:rsidP="00676F75">
            <w:pPr>
              <w:rPr>
                <w:rFonts w:ascii="Arial" w:hAnsi="Arial" w:cs="Arial"/>
                <w:sz w:val="20"/>
                <w:szCs w:val="20"/>
              </w:rPr>
            </w:pPr>
          </w:p>
        </w:tc>
        <w:tc>
          <w:tcPr>
            <w:tcW w:w="439" w:type="pct"/>
            <w:gridSpan w:val="3"/>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10.9</w:t>
            </w:r>
          </w:p>
        </w:tc>
        <w:tc>
          <w:tcPr>
            <w:tcW w:w="439"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12.0</w:t>
            </w:r>
          </w:p>
        </w:tc>
        <w:tc>
          <w:tcPr>
            <w:tcW w:w="440"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12.7</w:t>
            </w:r>
          </w:p>
        </w:tc>
        <w:tc>
          <w:tcPr>
            <w:tcW w:w="403" w:type="pct"/>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13.6</w:t>
            </w:r>
          </w:p>
        </w:tc>
        <w:tc>
          <w:tcPr>
            <w:tcW w:w="440"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12.8</w:t>
            </w:r>
          </w:p>
        </w:tc>
        <w:tc>
          <w:tcPr>
            <w:tcW w:w="434"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8.5</w:t>
            </w:r>
          </w:p>
        </w:tc>
        <w:tc>
          <w:tcPr>
            <w:tcW w:w="438"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9.5</w:t>
            </w:r>
          </w:p>
        </w:tc>
        <w:tc>
          <w:tcPr>
            <w:tcW w:w="392"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19.8</w:t>
            </w:r>
          </w:p>
        </w:tc>
        <w:tc>
          <w:tcPr>
            <w:tcW w:w="403"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12.0</w:t>
            </w:r>
          </w:p>
        </w:tc>
      </w:tr>
      <w:tr w:rsidR="0036788A" w:rsidRPr="00B817EA" w:rsidTr="00776750">
        <w:tc>
          <w:tcPr>
            <w:tcW w:w="148" w:type="pct"/>
            <w:shd w:val="clear" w:color="auto" w:fill="auto"/>
          </w:tcPr>
          <w:p w:rsidR="0036788A" w:rsidRPr="005825CD" w:rsidRDefault="0036788A" w:rsidP="00676F75">
            <w:pPr>
              <w:pStyle w:val="TableBodyText"/>
              <w:jc w:val="left"/>
              <w:rPr>
                <w:vertAlign w:val="superscript"/>
              </w:rPr>
            </w:pPr>
          </w:p>
        </w:tc>
        <w:tc>
          <w:tcPr>
            <w:tcW w:w="4852" w:type="pct"/>
            <w:gridSpan w:val="20"/>
            <w:shd w:val="clear" w:color="auto" w:fill="auto"/>
            <w:vAlign w:val="bottom"/>
          </w:tcPr>
          <w:p w:rsidR="0036788A" w:rsidRDefault="0036788A" w:rsidP="00676F75">
            <w:pPr>
              <w:pStyle w:val="TableBodyText"/>
              <w:jc w:val="left"/>
            </w:pPr>
            <w:r w:rsidRPr="00295F66">
              <w:t xml:space="preserve">Chronic conditions </w:t>
            </w:r>
            <w:r>
              <w:rPr>
                <w:rFonts w:cs="Arial"/>
                <w:i/>
                <w:iCs/>
              </w:rPr>
              <w:t xml:space="preserve">excluding </w:t>
            </w:r>
            <w:r w:rsidRPr="00F2081F">
              <w:rPr>
                <w:rFonts w:cs="Arial"/>
                <w:i/>
                <w:iCs/>
              </w:rPr>
              <w:t>additional diagnoses of diabetes complications</w:t>
            </w:r>
          </w:p>
        </w:tc>
      </w:tr>
      <w:tr w:rsidR="00C23BD5" w:rsidRPr="00B817EA" w:rsidTr="00B7232B">
        <w:tc>
          <w:tcPr>
            <w:tcW w:w="148" w:type="pct"/>
            <w:shd w:val="clear" w:color="auto" w:fill="auto"/>
          </w:tcPr>
          <w:p w:rsidR="0036788A" w:rsidRPr="005825CD" w:rsidRDefault="0036788A" w:rsidP="00676F75">
            <w:pPr>
              <w:pStyle w:val="TableBodyText"/>
              <w:jc w:val="left"/>
              <w:rPr>
                <w:vertAlign w:val="superscript"/>
              </w:rPr>
            </w:pPr>
          </w:p>
        </w:tc>
        <w:tc>
          <w:tcPr>
            <w:tcW w:w="1024" w:type="pct"/>
            <w:gridSpan w:val="2"/>
            <w:shd w:val="clear" w:color="auto" w:fill="auto"/>
          </w:tcPr>
          <w:p w:rsidR="0036788A" w:rsidRPr="001E55CA" w:rsidRDefault="0036788A" w:rsidP="00676F75">
            <w:pPr>
              <w:pStyle w:val="TableBodyText"/>
              <w:jc w:val="left"/>
            </w:pPr>
          </w:p>
        </w:tc>
        <w:tc>
          <w:tcPr>
            <w:tcW w:w="439" w:type="pct"/>
            <w:gridSpan w:val="3"/>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10.4</w:t>
            </w:r>
          </w:p>
        </w:tc>
        <w:tc>
          <w:tcPr>
            <w:tcW w:w="439"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11.9</w:t>
            </w:r>
          </w:p>
        </w:tc>
        <w:tc>
          <w:tcPr>
            <w:tcW w:w="440"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12.5</w:t>
            </w:r>
          </w:p>
        </w:tc>
        <w:tc>
          <w:tcPr>
            <w:tcW w:w="403" w:type="pct"/>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10.7</w:t>
            </w:r>
          </w:p>
        </w:tc>
        <w:tc>
          <w:tcPr>
            <w:tcW w:w="440"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11.4</w:t>
            </w:r>
          </w:p>
        </w:tc>
        <w:tc>
          <w:tcPr>
            <w:tcW w:w="434"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9.1</w:t>
            </w:r>
          </w:p>
        </w:tc>
        <w:tc>
          <w:tcPr>
            <w:tcW w:w="438"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8.5</w:t>
            </w:r>
          </w:p>
        </w:tc>
        <w:tc>
          <w:tcPr>
            <w:tcW w:w="392"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21.0</w:t>
            </w:r>
          </w:p>
        </w:tc>
        <w:tc>
          <w:tcPr>
            <w:tcW w:w="403" w:type="pct"/>
            <w:gridSpan w:val="2"/>
            <w:shd w:val="clear" w:color="auto" w:fill="auto"/>
            <w:vAlign w:val="bottom"/>
          </w:tcPr>
          <w:p w:rsidR="0036788A" w:rsidRPr="00FD7B2D" w:rsidRDefault="0036788A" w:rsidP="00676F75">
            <w:pPr>
              <w:spacing w:afterLines="40" w:after="96" w:line="220" w:lineRule="atLeast"/>
              <w:jc w:val="right"/>
              <w:rPr>
                <w:rFonts w:ascii="Arial" w:hAnsi="Arial" w:cs="Arial"/>
                <w:sz w:val="20"/>
                <w:szCs w:val="20"/>
              </w:rPr>
            </w:pPr>
            <w:r w:rsidRPr="00FD7B2D">
              <w:rPr>
                <w:rFonts w:ascii="Arial" w:hAnsi="Arial" w:cs="Arial"/>
                <w:sz w:val="20"/>
                <w:szCs w:val="20"/>
              </w:rPr>
              <w:t xml:space="preserve">  11.3</w:t>
            </w:r>
          </w:p>
        </w:tc>
      </w:tr>
      <w:tr w:rsidR="0036788A" w:rsidRPr="005825CD" w:rsidTr="00776750">
        <w:trPr>
          <w:trHeight w:val="177"/>
        </w:trPr>
        <w:tc>
          <w:tcPr>
            <w:tcW w:w="5000" w:type="pct"/>
            <w:gridSpan w:val="21"/>
            <w:tcBorders>
              <w:bottom w:val="single" w:sz="4" w:space="0" w:color="auto"/>
            </w:tcBorders>
            <w:shd w:val="clear" w:color="auto" w:fill="auto"/>
          </w:tcPr>
          <w:p w:rsidR="0036788A" w:rsidRPr="00C804F5" w:rsidRDefault="0036788A" w:rsidP="003A5BAA">
            <w:pPr>
              <w:pStyle w:val="Source"/>
            </w:pPr>
            <w:r w:rsidRPr="00B5543B">
              <w:t>Source: table</w:t>
            </w:r>
            <w:r>
              <w:t>s</w:t>
            </w:r>
            <w:r w:rsidRPr="00B5543B">
              <w:t xml:space="preserve"> </w:t>
            </w:r>
            <w:proofErr w:type="spellStart"/>
            <w:r w:rsidRPr="00B7232B">
              <w:t>11A.76</w:t>
            </w:r>
            <w:proofErr w:type="spellEnd"/>
            <w:r w:rsidRPr="00B7232B">
              <w:t>–</w:t>
            </w:r>
            <w:proofErr w:type="spellStart"/>
            <w:r w:rsidRPr="00B7232B">
              <w:t>11A</w:t>
            </w:r>
            <w:r w:rsidR="003A5BAA">
              <w:t>.</w:t>
            </w:r>
            <w:r w:rsidRPr="00B7232B">
              <w:t>9</w:t>
            </w:r>
            <w:r w:rsidR="003A5BAA">
              <w:t>3</w:t>
            </w:r>
            <w:proofErr w:type="spellEnd"/>
            <w:r w:rsidRPr="0016117B">
              <w:t>.</w:t>
            </w:r>
          </w:p>
        </w:tc>
      </w:tr>
    </w:tbl>
    <w:p w:rsidR="0077420C" w:rsidRPr="00B817EA" w:rsidRDefault="0077420C" w:rsidP="00595267">
      <w:pPr>
        <w:pStyle w:val="Note"/>
      </w:pPr>
      <w:r w:rsidRPr="00CC1617">
        <w:rPr>
          <w:rStyle w:val="NoteLabel"/>
        </w:rPr>
        <w:t>a</w:t>
      </w:r>
      <w:r w:rsidRPr="00B817EA">
        <w:t xml:space="preserve"> Caveats for these </w:t>
      </w:r>
      <w:r>
        <w:t xml:space="preserve">data are available in Chapter 11 and Attachment </w:t>
      </w:r>
      <w:proofErr w:type="spellStart"/>
      <w:r>
        <w:t>11</w:t>
      </w:r>
      <w:r w:rsidRPr="00B817EA">
        <w:t>A</w:t>
      </w:r>
      <w:proofErr w:type="spellEnd"/>
      <w:r w:rsidRPr="00B817EA">
        <w:t>. Refer to the indicator in</w:t>
      </w:r>
      <w:r>
        <w:t>terpretation boxes in chapter 11</w:t>
      </w:r>
      <w:r w:rsidRPr="00B817EA">
        <w:t xml:space="preserve"> for information to assist with</w:t>
      </w:r>
      <w:r>
        <w:t xml:space="preserve"> the</w:t>
      </w:r>
      <w:r w:rsidRPr="00B817EA">
        <w:t xml:space="preserve"> interpret</w:t>
      </w:r>
      <w:r>
        <w:t>ation of</w:t>
      </w:r>
      <w:r w:rsidRPr="00B817EA">
        <w:t xml:space="preserve"> data presented in this table. </w:t>
      </w:r>
      <w:r w:rsidRPr="00CC1617">
        <w:rPr>
          <w:rStyle w:val="NoteLabel"/>
        </w:rPr>
        <w:t>b</w:t>
      </w:r>
      <w:r w:rsidRPr="00B817EA">
        <w:t xml:space="preserve"> </w:t>
      </w:r>
      <w:r w:rsidRPr="00F85DD2">
        <w:t xml:space="preserve">Some data are derived from detailed data in Chapter 11 and Attachment </w:t>
      </w:r>
      <w:proofErr w:type="spellStart"/>
      <w:r w:rsidRPr="00F85DD2">
        <w:t>11A</w:t>
      </w:r>
      <w:proofErr w:type="spellEnd"/>
      <w:r w:rsidRPr="00F85DD2">
        <w:t xml:space="preserve">. – Nil or rounded to zero. </w:t>
      </w:r>
      <w:proofErr w:type="spellStart"/>
      <w:r w:rsidRPr="00912EF9">
        <w:rPr>
          <w:b/>
        </w:rPr>
        <w:t>na</w:t>
      </w:r>
      <w:proofErr w:type="spellEnd"/>
      <w:r w:rsidRPr="00602768">
        <w:t xml:space="preserve"> Not available</w:t>
      </w:r>
      <w:r>
        <w:t>.</w:t>
      </w:r>
      <w:r w:rsidRPr="00FD2674">
        <w:rPr>
          <w:b/>
        </w:rPr>
        <w:t xml:space="preserve"> </w:t>
      </w:r>
      <w:proofErr w:type="spellStart"/>
      <w:r w:rsidRPr="000C09E5">
        <w:rPr>
          <w:b/>
        </w:rPr>
        <w:t>np</w:t>
      </w:r>
      <w:proofErr w:type="spellEnd"/>
      <w:r>
        <w:t> </w:t>
      </w:r>
      <w:r w:rsidRPr="00FC2D33">
        <w:t>Not published.</w:t>
      </w:r>
    </w:p>
    <w:p w:rsidR="0077420C" w:rsidRDefault="0077420C" w:rsidP="0077420C">
      <w:pPr>
        <w:pStyle w:val="Source"/>
      </w:pPr>
      <w:r>
        <w:t>Source: Chapter 11</w:t>
      </w:r>
      <w:r w:rsidRPr="00B817EA">
        <w:t xml:space="preserve"> and Attachment </w:t>
      </w:r>
      <w:proofErr w:type="spellStart"/>
      <w:r w:rsidRPr="00B817EA">
        <w:t>1</w:t>
      </w:r>
      <w:r>
        <w:t>1</w:t>
      </w:r>
      <w:r w:rsidRPr="00B817EA">
        <w:t>A</w:t>
      </w:r>
      <w:proofErr w:type="spellEnd"/>
      <w:r w:rsidRPr="00B817EA">
        <w:t>.</w:t>
      </w:r>
    </w:p>
    <w:p w:rsidR="00874561" w:rsidRDefault="00874561" w:rsidP="00874561">
      <w:pPr>
        <w:pStyle w:val="Heading4"/>
      </w:pPr>
      <w:r>
        <w:t>Mental health management</w:t>
      </w:r>
    </w:p>
    <w:p w:rsidR="00BE3F64" w:rsidRDefault="00BE3F64" w:rsidP="00272B24">
      <w:pPr>
        <w:pStyle w:val="BodyText"/>
      </w:pPr>
      <w:r w:rsidRPr="00BE3F64">
        <w:t xml:space="preserve">The performance indicator framework for </w:t>
      </w:r>
      <w:r>
        <w:t>mental health management</w:t>
      </w:r>
      <w:r w:rsidRPr="00BE3F64">
        <w:t xml:space="preserve"> is presented in figure</w:t>
      </w:r>
      <w:r w:rsidR="002F1BA6">
        <w:t> </w:t>
      </w:r>
      <w:proofErr w:type="spellStart"/>
      <w:r w:rsidR="00F156AA">
        <w:t>E.23</w:t>
      </w:r>
      <w:proofErr w:type="spellEnd"/>
      <w:r w:rsidRPr="00BE3F64">
        <w:t>.</w:t>
      </w:r>
      <w:r w:rsidR="00EA5C87">
        <w:t xml:space="preserve"> This</w:t>
      </w:r>
      <w:r w:rsidR="00EA5C87" w:rsidRPr="00E6147C">
        <w:t xml:space="preserve"> framework provides comprehensive information on the equity, effectiveness</w:t>
      </w:r>
      <w:r w:rsidR="00EA5C87">
        <w:t>,</w:t>
      </w:r>
      <w:r w:rsidR="00EA5C87" w:rsidRPr="00E6147C">
        <w:t xml:space="preserve"> efficiency </w:t>
      </w:r>
      <w:r w:rsidR="00EA5C87">
        <w:t xml:space="preserve">and the outcomes </w:t>
      </w:r>
      <w:r w:rsidR="00EA5C87" w:rsidRPr="00E6147C">
        <w:t xml:space="preserve">of </w:t>
      </w:r>
      <w:r w:rsidR="00EA5C87">
        <w:t>mental health management.</w:t>
      </w:r>
    </w:p>
    <w:p w:rsidR="00874561" w:rsidRDefault="00874561" w:rsidP="004B15DF">
      <w:pPr>
        <w:pStyle w:val="FigureTitle"/>
        <w:spacing w:before="300" w:after="60"/>
      </w:pPr>
      <w:r>
        <w:rPr>
          <w:b w:val="0"/>
        </w:rPr>
        <w:lastRenderedPageBreak/>
        <w:t xml:space="preserve">Figure </w:t>
      </w:r>
      <w:bookmarkStart w:id="48" w:name="OLE_LINK38"/>
      <w:proofErr w:type="spellStart"/>
      <w:r w:rsidR="00F156AA">
        <w:rPr>
          <w:b w:val="0"/>
        </w:rPr>
        <w:t>E.</w:t>
      </w:r>
      <w:r w:rsidR="00C01FBD">
        <w:rPr>
          <w:b w:val="0"/>
          <w:noProof/>
        </w:rPr>
        <w:t>23</w:t>
      </w:r>
      <w:bookmarkEnd w:id="48"/>
      <w:proofErr w:type="spellEnd"/>
      <w:r>
        <w:tab/>
      </w:r>
      <w:r w:rsidR="00762F83">
        <w:t>M</w:t>
      </w:r>
      <w:r>
        <w:t>ental health management</w:t>
      </w:r>
      <w:r w:rsidR="00762F83">
        <w:t xml:space="preserve"> </w:t>
      </w:r>
      <w:r w:rsidR="00762F83" w:rsidRPr="00A05A09">
        <w:t xml:space="preserve">performance indicator </w:t>
      </w:r>
      <w:r w:rsidR="00762F83">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74561" w:rsidTr="00595267">
        <w:tc>
          <w:tcPr>
            <w:tcW w:w="8777" w:type="dxa"/>
            <w:shd w:val="clear" w:color="auto" w:fill="auto"/>
          </w:tcPr>
          <w:p w:rsidR="00874561" w:rsidRPr="00AE49E9" w:rsidRDefault="00C51163" w:rsidP="004B15DF">
            <w:pPr>
              <w:pStyle w:val="Figure"/>
              <w:keepNext w:val="0"/>
              <w:spacing w:after="0"/>
              <w:rPr>
                <w:b/>
              </w:rPr>
            </w:pPr>
            <w:r>
              <w:rPr>
                <w:b/>
                <w:noProof/>
              </w:rPr>
              <w:drawing>
                <wp:inline distT="0" distB="0" distL="0" distR="0" wp14:anchorId="32EEE8AF" wp14:editId="12614144">
                  <wp:extent cx="5495925" cy="7115175"/>
                  <wp:effectExtent l="0" t="0" r="0" b="0"/>
                  <wp:docPr id="2" name="Picture 2" descr="Figure E.23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t="1190"/>
                          <a:stretch/>
                        </pic:blipFill>
                        <pic:spPr bwMode="auto">
                          <a:xfrm>
                            <a:off x="0" y="0"/>
                            <a:ext cx="5495925" cy="71151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1236A" w:rsidRDefault="00A704EF" w:rsidP="00A704EF">
      <w:pPr>
        <w:pStyle w:val="BodyText"/>
      </w:pPr>
      <w:r w:rsidRPr="00700B93">
        <w:t xml:space="preserve">An overview of the </w:t>
      </w:r>
      <w:r>
        <w:t xml:space="preserve">mental </w:t>
      </w:r>
      <w:r w:rsidRPr="00AC5B89">
        <w:t xml:space="preserve">health management performance indicator results are presented in table </w:t>
      </w:r>
      <w:proofErr w:type="spellStart"/>
      <w:r w:rsidR="00F156AA">
        <w:t>E.</w:t>
      </w:r>
      <w:r w:rsidR="00F07431">
        <w:t>8</w:t>
      </w:r>
      <w:proofErr w:type="spellEnd"/>
      <w:r w:rsidRPr="00AC5B89">
        <w:t xml:space="preserve">. </w:t>
      </w:r>
      <w:r w:rsidR="008A62B8" w:rsidRPr="00AC5B89">
        <w:t>Information to assist the interpretation of these data can be found in the indicator</w:t>
      </w:r>
      <w:r w:rsidR="008A62B8">
        <w:t xml:space="preserve"> interpretation boxes in chapter 12 and the footnotes in attachment </w:t>
      </w:r>
      <w:proofErr w:type="spellStart"/>
      <w:r w:rsidR="008A62B8">
        <w:t>12A</w:t>
      </w:r>
      <w:proofErr w:type="spellEnd"/>
      <w:r w:rsidR="008A62B8">
        <w:t>.</w:t>
      </w:r>
    </w:p>
    <w:p w:rsidR="0086548B" w:rsidRPr="0086548B" w:rsidRDefault="00B1236A" w:rsidP="0086548B">
      <w:pPr>
        <w:pStyle w:val="TableTitle"/>
        <w:rPr>
          <w:vertAlign w:val="superscript"/>
        </w:rPr>
      </w:pPr>
      <w:bookmarkStart w:id="49" w:name="OLE_LINK10"/>
      <w:r w:rsidRPr="002C2448">
        <w:rPr>
          <w:b w:val="0"/>
        </w:rPr>
        <w:lastRenderedPageBreak/>
        <w:t xml:space="preserve">Table </w:t>
      </w:r>
      <w:bookmarkStart w:id="50" w:name="OLE_LINK11"/>
      <w:proofErr w:type="spellStart"/>
      <w:r w:rsidR="00F156AA">
        <w:rPr>
          <w:b w:val="0"/>
        </w:rPr>
        <w:t>E.</w:t>
      </w:r>
      <w:r w:rsidR="00C01FBD">
        <w:rPr>
          <w:b w:val="0"/>
          <w:noProof/>
        </w:rPr>
        <w:t>8</w:t>
      </w:r>
      <w:bookmarkEnd w:id="49"/>
      <w:bookmarkEnd w:id="50"/>
      <w:proofErr w:type="spellEnd"/>
      <w:r w:rsidR="00C13532" w:rsidRPr="002C2448">
        <w:rPr>
          <w:b w:val="0"/>
        </w:rPr>
        <w:tab/>
      </w:r>
      <w:r w:rsidR="00C13532" w:rsidRPr="002C2448">
        <w:t xml:space="preserve">Performance indicators for Mental health </w:t>
      </w:r>
      <w:proofErr w:type="spellStart"/>
      <w:r w:rsidR="00C13532" w:rsidRPr="002C2448">
        <w:t>management</w:t>
      </w:r>
      <w:r w:rsidR="000C09E5">
        <w:rPr>
          <w:vertAlign w:val="superscript"/>
        </w:rPr>
        <w:t>a</w:t>
      </w:r>
      <w:proofErr w:type="spellEnd"/>
    </w:p>
    <w:tbl>
      <w:tblPr>
        <w:tblW w:w="8807" w:type="dxa"/>
        <w:shd w:val="clear" w:color="auto" w:fill="FBD4B4" w:themeFill="accent6" w:themeFillTint="66"/>
        <w:tblLayout w:type="fixed"/>
        <w:tblCellMar>
          <w:left w:w="0" w:type="dxa"/>
          <w:right w:w="0" w:type="dxa"/>
        </w:tblCellMar>
        <w:tblLook w:val="0000" w:firstRow="0" w:lastRow="0" w:firstColumn="0" w:lastColumn="0" w:noHBand="0" w:noVBand="0"/>
      </w:tblPr>
      <w:tblGrid>
        <w:gridCol w:w="209"/>
        <w:gridCol w:w="40"/>
        <w:gridCol w:w="9"/>
        <w:gridCol w:w="1670"/>
        <w:gridCol w:w="10"/>
        <w:gridCol w:w="157"/>
        <w:gridCol w:w="601"/>
        <w:gridCol w:w="141"/>
        <w:gridCol w:w="621"/>
        <w:gridCol w:w="122"/>
        <w:gridCol w:w="639"/>
        <w:gridCol w:w="103"/>
        <w:gridCol w:w="660"/>
        <w:gridCol w:w="84"/>
        <w:gridCol w:w="676"/>
        <w:gridCol w:w="66"/>
        <w:gridCol w:w="698"/>
        <w:gridCol w:w="47"/>
        <w:gridCol w:w="713"/>
        <w:gridCol w:w="29"/>
        <w:gridCol w:w="735"/>
        <w:gridCol w:w="12"/>
        <w:gridCol w:w="765"/>
      </w:tblGrid>
      <w:tr w:rsidR="00274BF7" w:rsidRPr="004C2CF4" w:rsidTr="0086548B">
        <w:trPr>
          <w:cantSplit/>
          <w:tblHeader/>
        </w:trPr>
        <w:tc>
          <w:tcPr>
            <w:tcW w:w="1933" w:type="dxa"/>
            <w:gridSpan w:val="4"/>
            <w:tcBorders>
              <w:top w:val="single" w:sz="6" w:space="0" w:color="auto"/>
              <w:bottom w:val="single" w:sz="6" w:space="0" w:color="auto"/>
            </w:tcBorders>
            <w:shd w:val="clear" w:color="auto" w:fill="auto"/>
          </w:tcPr>
          <w:p w:rsidR="0086548B" w:rsidRPr="00B817EA" w:rsidRDefault="0086548B" w:rsidP="00DD4A25">
            <w:pPr>
              <w:pStyle w:val="TableColumnHeading"/>
              <w:jc w:val="left"/>
            </w:pPr>
          </w:p>
        </w:tc>
        <w:tc>
          <w:tcPr>
            <w:tcW w:w="763" w:type="dxa"/>
            <w:gridSpan w:val="3"/>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NSW</w:t>
            </w:r>
          </w:p>
        </w:tc>
        <w:tc>
          <w:tcPr>
            <w:tcW w:w="762" w:type="dxa"/>
            <w:gridSpan w:val="2"/>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Vic</w:t>
            </w:r>
          </w:p>
        </w:tc>
        <w:tc>
          <w:tcPr>
            <w:tcW w:w="761" w:type="dxa"/>
            <w:gridSpan w:val="2"/>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Qld</w:t>
            </w:r>
          </w:p>
        </w:tc>
        <w:tc>
          <w:tcPr>
            <w:tcW w:w="763" w:type="dxa"/>
            <w:gridSpan w:val="2"/>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WA</w:t>
            </w:r>
          </w:p>
        </w:tc>
        <w:tc>
          <w:tcPr>
            <w:tcW w:w="760" w:type="dxa"/>
            <w:gridSpan w:val="2"/>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SA</w:t>
            </w:r>
          </w:p>
        </w:tc>
        <w:tc>
          <w:tcPr>
            <w:tcW w:w="764" w:type="dxa"/>
            <w:gridSpan w:val="2"/>
            <w:tcBorders>
              <w:top w:val="single" w:sz="6" w:space="0" w:color="auto"/>
              <w:bottom w:val="single" w:sz="6" w:space="0" w:color="auto"/>
            </w:tcBorders>
            <w:shd w:val="clear" w:color="auto" w:fill="auto"/>
          </w:tcPr>
          <w:p w:rsidR="0086548B" w:rsidRPr="00B817EA" w:rsidRDefault="0086548B" w:rsidP="00DD4A25">
            <w:pPr>
              <w:pStyle w:val="TableColumnHeading"/>
            </w:pPr>
            <w:proofErr w:type="spellStart"/>
            <w:r w:rsidRPr="00B817EA">
              <w:t>Tas</w:t>
            </w:r>
            <w:proofErr w:type="spellEnd"/>
          </w:p>
        </w:tc>
        <w:tc>
          <w:tcPr>
            <w:tcW w:w="760" w:type="dxa"/>
            <w:gridSpan w:val="2"/>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ACT</w:t>
            </w:r>
          </w:p>
        </w:tc>
        <w:tc>
          <w:tcPr>
            <w:tcW w:w="776" w:type="dxa"/>
            <w:gridSpan w:val="3"/>
            <w:tcBorders>
              <w:top w:val="single" w:sz="6" w:space="0" w:color="auto"/>
              <w:bottom w:val="single" w:sz="6" w:space="0" w:color="auto"/>
            </w:tcBorders>
            <w:shd w:val="clear" w:color="auto" w:fill="auto"/>
          </w:tcPr>
          <w:p w:rsidR="0086548B" w:rsidRPr="00B817EA" w:rsidRDefault="0086548B" w:rsidP="00DD4A25">
            <w:pPr>
              <w:pStyle w:val="TableColumnHeading"/>
            </w:pPr>
            <w:r w:rsidRPr="00B817EA">
              <w:t>NT</w:t>
            </w:r>
          </w:p>
        </w:tc>
        <w:tc>
          <w:tcPr>
            <w:tcW w:w="765" w:type="dxa"/>
            <w:tcBorders>
              <w:top w:val="single" w:sz="6" w:space="0" w:color="auto"/>
              <w:bottom w:val="single" w:sz="6" w:space="0" w:color="auto"/>
            </w:tcBorders>
            <w:shd w:val="clear" w:color="auto" w:fill="auto"/>
          </w:tcPr>
          <w:p w:rsidR="0086548B" w:rsidRPr="004C2CF4" w:rsidRDefault="0086548B" w:rsidP="00DD4A25">
            <w:pPr>
              <w:pStyle w:val="TableColumnHeading"/>
            </w:pPr>
            <w:proofErr w:type="spellStart"/>
            <w:r w:rsidRPr="00B817EA">
              <w:t>Aust</w:t>
            </w:r>
            <w:proofErr w:type="spellEnd"/>
          </w:p>
        </w:tc>
      </w:tr>
      <w:tr w:rsidR="0086548B" w:rsidRPr="001C3248" w:rsidTr="00DD4A25">
        <w:trPr>
          <w:trHeight w:val="329"/>
        </w:trPr>
        <w:tc>
          <w:tcPr>
            <w:tcW w:w="8807" w:type="dxa"/>
            <w:gridSpan w:val="23"/>
            <w:tcBorders>
              <w:top w:val="single" w:sz="6" w:space="0" w:color="auto"/>
            </w:tcBorders>
            <w:shd w:val="clear" w:color="auto" w:fill="auto"/>
          </w:tcPr>
          <w:p w:rsidR="0086548B" w:rsidRPr="001C3248" w:rsidRDefault="0086548B" w:rsidP="00DD4A25">
            <w:pPr>
              <w:pStyle w:val="TableColumnHeading"/>
              <w:jc w:val="left"/>
              <w:rPr>
                <w:b/>
                <w:i w:val="0"/>
              </w:rPr>
            </w:pPr>
            <w:r w:rsidRPr="001C3248">
              <w:rPr>
                <w:b/>
                <w:i w:val="0"/>
              </w:rPr>
              <w:t>Equity — Access indicators</w:t>
            </w:r>
          </w:p>
        </w:tc>
      </w:tr>
      <w:tr w:rsidR="0086548B" w:rsidRPr="00B1236A" w:rsidTr="00DD4A25">
        <w:trPr>
          <w:trHeight w:val="273"/>
        </w:trPr>
        <w:tc>
          <w:tcPr>
            <w:tcW w:w="8807" w:type="dxa"/>
            <w:gridSpan w:val="23"/>
            <w:shd w:val="clear" w:color="auto" w:fill="auto"/>
          </w:tcPr>
          <w:p w:rsidR="0086548B" w:rsidRDefault="0086548B" w:rsidP="00DD4A25">
            <w:pPr>
              <w:pStyle w:val="TableBodyText"/>
              <w:jc w:val="left"/>
            </w:pPr>
            <w:r w:rsidRPr="00B1236A">
              <w:rPr>
                <w:i/>
              </w:rPr>
              <w:t>New client index</w:t>
            </w:r>
            <w:r>
              <w:t xml:space="preserve"> </w:t>
            </w:r>
          </w:p>
          <w:p w:rsidR="00780988" w:rsidRPr="00943D05" w:rsidRDefault="0086548B" w:rsidP="00DD4A25">
            <w:pPr>
              <w:pStyle w:val="TableBodyText"/>
              <w:jc w:val="left"/>
              <w:rPr>
                <w:sz w:val="16"/>
                <w:szCs w:val="16"/>
              </w:rPr>
            </w:pPr>
            <w:r w:rsidRPr="00780988">
              <w:rPr>
                <w:sz w:val="16"/>
                <w:szCs w:val="16"/>
              </w:rPr>
              <w:t>Most recent data for this measure are not directly comparable nor complete (chapter 12)</w:t>
            </w:r>
          </w:p>
        </w:tc>
      </w:tr>
      <w:tr w:rsidR="0086548B" w:rsidRPr="00B1236A" w:rsidTr="00DD4A25">
        <w:trPr>
          <w:trHeight w:val="273"/>
        </w:trPr>
        <w:tc>
          <w:tcPr>
            <w:tcW w:w="8807" w:type="dxa"/>
            <w:gridSpan w:val="23"/>
            <w:shd w:val="clear" w:color="auto" w:fill="auto"/>
          </w:tcPr>
          <w:p w:rsidR="0086548B" w:rsidRPr="00B1236A" w:rsidRDefault="0086548B" w:rsidP="00DD4A25">
            <w:pPr>
              <w:pStyle w:val="TableBodyText"/>
              <w:ind w:left="142"/>
              <w:jc w:val="left"/>
              <w:rPr>
                <w:i/>
              </w:rPr>
            </w:pPr>
            <w:r w:rsidRPr="00F32E32">
              <w:t xml:space="preserve">Proportion of clients under the care of State or Territory specialised public mental health services who were new </w:t>
            </w:r>
            <w:r w:rsidRPr="00780988">
              <w:t>clients, 2011-12</w:t>
            </w:r>
          </w:p>
        </w:tc>
      </w:tr>
      <w:tr w:rsidR="0086548B" w:rsidRPr="00B817EA" w:rsidTr="00780988">
        <w:tc>
          <w:tcPr>
            <w:tcW w:w="210" w:type="dxa"/>
            <w:shd w:val="clear" w:color="auto" w:fill="auto"/>
          </w:tcPr>
          <w:p w:rsidR="0086548B" w:rsidRPr="005825CD" w:rsidRDefault="0086548B" w:rsidP="00DD4A25">
            <w:pPr>
              <w:pStyle w:val="TableBodyText"/>
              <w:jc w:val="left"/>
              <w:rPr>
                <w:vertAlign w:val="superscript"/>
              </w:rPr>
            </w:pPr>
          </w:p>
        </w:tc>
        <w:tc>
          <w:tcPr>
            <w:tcW w:w="1723" w:type="dxa"/>
            <w:gridSpan w:val="3"/>
            <w:shd w:val="clear" w:color="auto" w:fill="auto"/>
          </w:tcPr>
          <w:p w:rsidR="0086548B" w:rsidRPr="00D559A8" w:rsidRDefault="0086548B" w:rsidP="00DD4A25">
            <w:pPr>
              <w:pStyle w:val="TableBodyText"/>
              <w:jc w:val="left"/>
            </w:pPr>
            <w:r>
              <w:t xml:space="preserve">Proportion </w:t>
            </w:r>
            <w:r w:rsidRPr="0068243B">
              <w:t>(%)</w:t>
            </w:r>
          </w:p>
        </w:tc>
        <w:tc>
          <w:tcPr>
            <w:tcW w:w="763" w:type="dxa"/>
            <w:gridSpan w:val="3"/>
            <w:shd w:val="clear" w:color="auto" w:fill="auto"/>
            <w:vAlign w:val="center"/>
          </w:tcPr>
          <w:p w:rsidR="0086548B" w:rsidRPr="007F6A38" w:rsidRDefault="0086548B" w:rsidP="00DD4A25">
            <w:pPr>
              <w:pStyle w:val="TableBodyText"/>
            </w:pPr>
            <w:r w:rsidRPr="007F6A38">
              <w:t xml:space="preserve">  39.8</w:t>
            </w:r>
          </w:p>
        </w:tc>
        <w:tc>
          <w:tcPr>
            <w:tcW w:w="762" w:type="dxa"/>
            <w:gridSpan w:val="2"/>
            <w:shd w:val="clear" w:color="auto" w:fill="auto"/>
            <w:vAlign w:val="center"/>
          </w:tcPr>
          <w:p w:rsidR="0086548B" w:rsidRPr="007F6A38" w:rsidRDefault="0086548B" w:rsidP="00DD4A25">
            <w:pPr>
              <w:pStyle w:val="TableBodyText"/>
            </w:pPr>
            <w:proofErr w:type="spellStart"/>
            <w:r w:rsidRPr="007F6A38">
              <w:t>na</w:t>
            </w:r>
            <w:proofErr w:type="spellEnd"/>
          </w:p>
        </w:tc>
        <w:tc>
          <w:tcPr>
            <w:tcW w:w="761" w:type="dxa"/>
            <w:gridSpan w:val="2"/>
            <w:shd w:val="clear" w:color="auto" w:fill="auto"/>
            <w:vAlign w:val="center"/>
          </w:tcPr>
          <w:p w:rsidR="0086548B" w:rsidRPr="007F6A38" w:rsidRDefault="0086548B" w:rsidP="00DD4A25">
            <w:pPr>
              <w:pStyle w:val="TableBodyText"/>
            </w:pPr>
            <w:r w:rsidRPr="007F6A38">
              <w:t xml:space="preserve">  45.5</w:t>
            </w:r>
          </w:p>
        </w:tc>
        <w:tc>
          <w:tcPr>
            <w:tcW w:w="763" w:type="dxa"/>
            <w:gridSpan w:val="2"/>
            <w:shd w:val="clear" w:color="auto" w:fill="auto"/>
            <w:vAlign w:val="center"/>
          </w:tcPr>
          <w:p w:rsidR="0086548B" w:rsidRPr="007F6A38" w:rsidRDefault="0086548B" w:rsidP="00DD4A25">
            <w:pPr>
              <w:pStyle w:val="TableBodyText"/>
            </w:pPr>
            <w:r w:rsidRPr="007F6A38">
              <w:t xml:space="preserve">  41.6</w:t>
            </w:r>
          </w:p>
        </w:tc>
        <w:tc>
          <w:tcPr>
            <w:tcW w:w="760" w:type="dxa"/>
            <w:gridSpan w:val="2"/>
            <w:shd w:val="clear" w:color="auto" w:fill="auto"/>
            <w:vAlign w:val="center"/>
          </w:tcPr>
          <w:p w:rsidR="0086548B" w:rsidRPr="007F6A38" w:rsidRDefault="0086548B" w:rsidP="00DD4A25">
            <w:pPr>
              <w:pStyle w:val="TableBodyText"/>
            </w:pPr>
            <w:r w:rsidRPr="007F6A38">
              <w:t xml:space="preserve">  42.7</w:t>
            </w:r>
          </w:p>
        </w:tc>
        <w:tc>
          <w:tcPr>
            <w:tcW w:w="764" w:type="dxa"/>
            <w:gridSpan w:val="2"/>
            <w:shd w:val="clear" w:color="auto" w:fill="auto"/>
            <w:vAlign w:val="center"/>
          </w:tcPr>
          <w:p w:rsidR="0086548B" w:rsidRPr="007F6A38" w:rsidRDefault="0086548B" w:rsidP="00DD4A25">
            <w:pPr>
              <w:pStyle w:val="TableBodyText"/>
            </w:pPr>
            <w:r w:rsidRPr="007F6A38">
              <w:t xml:space="preserve">  21.9</w:t>
            </w:r>
          </w:p>
        </w:tc>
        <w:tc>
          <w:tcPr>
            <w:tcW w:w="760" w:type="dxa"/>
            <w:gridSpan w:val="2"/>
            <w:shd w:val="clear" w:color="auto" w:fill="auto"/>
            <w:vAlign w:val="center"/>
          </w:tcPr>
          <w:p w:rsidR="0086548B" w:rsidRPr="007F6A38" w:rsidRDefault="0086548B" w:rsidP="00DD4A25">
            <w:pPr>
              <w:pStyle w:val="TableBodyText"/>
            </w:pPr>
            <w:r w:rsidRPr="007F6A38">
              <w:t xml:space="preserve">  42.2</w:t>
            </w:r>
          </w:p>
        </w:tc>
        <w:tc>
          <w:tcPr>
            <w:tcW w:w="776" w:type="dxa"/>
            <w:gridSpan w:val="3"/>
            <w:shd w:val="clear" w:color="auto" w:fill="auto"/>
            <w:vAlign w:val="center"/>
          </w:tcPr>
          <w:p w:rsidR="0086548B" w:rsidRPr="007F6A38" w:rsidRDefault="0086548B" w:rsidP="00DD4A25">
            <w:pPr>
              <w:pStyle w:val="TableBodyText"/>
            </w:pPr>
            <w:r w:rsidRPr="007F6A38">
              <w:t xml:space="preserve">  49.6</w:t>
            </w:r>
          </w:p>
        </w:tc>
        <w:tc>
          <w:tcPr>
            <w:tcW w:w="765" w:type="dxa"/>
            <w:shd w:val="clear" w:color="auto" w:fill="auto"/>
            <w:vAlign w:val="center"/>
          </w:tcPr>
          <w:p w:rsidR="0086548B" w:rsidRPr="007F6A38" w:rsidRDefault="0086548B" w:rsidP="00DD4A25">
            <w:pPr>
              <w:pStyle w:val="TableBodyText"/>
            </w:pPr>
            <w:r w:rsidRPr="007F6A38">
              <w:t xml:space="preserve">  41.5</w:t>
            </w:r>
          </w:p>
        </w:tc>
      </w:tr>
      <w:tr w:rsidR="0086548B" w:rsidRPr="00B1236A" w:rsidTr="00DD4A25">
        <w:trPr>
          <w:trHeight w:val="273"/>
        </w:trPr>
        <w:tc>
          <w:tcPr>
            <w:tcW w:w="8807" w:type="dxa"/>
            <w:gridSpan w:val="23"/>
            <w:shd w:val="clear" w:color="auto" w:fill="auto"/>
          </w:tcPr>
          <w:p w:rsidR="0086548B" w:rsidRPr="00B1236A" w:rsidRDefault="0086548B" w:rsidP="00DD4A25">
            <w:pPr>
              <w:pStyle w:val="TableColumnHeading"/>
              <w:jc w:val="left"/>
            </w:pPr>
            <w:r w:rsidRPr="00B1236A">
              <w:t xml:space="preserve">Mental health service use by </w:t>
            </w:r>
            <w:r>
              <w:t>selected community groups</w:t>
            </w:r>
          </w:p>
        </w:tc>
      </w:tr>
      <w:tr w:rsidR="0086548B" w:rsidRPr="00B1236A" w:rsidTr="00DD4A25">
        <w:trPr>
          <w:trHeight w:val="177"/>
        </w:trPr>
        <w:tc>
          <w:tcPr>
            <w:tcW w:w="8807" w:type="dxa"/>
            <w:gridSpan w:val="23"/>
            <w:shd w:val="clear" w:color="auto" w:fill="auto"/>
          </w:tcPr>
          <w:p w:rsidR="0086548B" w:rsidRDefault="0086548B" w:rsidP="00DD4A25">
            <w:pPr>
              <w:pStyle w:val="TableBodyText"/>
              <w:ind w:left="142"/>
              <w:jc w:val="left"/>
            </w:pPr>
            <w:r w:rsidRPr="00B1236A">
              <w:t xml:space="preserve">Proportion (%) of the Indigenous population using State and Territory mental health services, compared with the proportion for non-Indigenous </w:t>
            </w:r>
            <w:r w:rsidRPr="00780988">
              <w:t>population, 2011-12</w:t>
            </w:r>
            <w:r w:rsidRPr="00B1236A">
              <w:t xml:space="preserve"> </w:t>
            </w:r>
          </w:p>
          <w:p w:rsidR="0086548B" w:rsidRPr="007F6A38" w:rsidRDefault="0086548B" w:rsidP="00DD4A25">
            <w:pPr>
              <w:pStyle w:val="TableBodyText"/>
              <w:ind w:left="142"/>
              <w:jc w:val="left"/>
            </w:pPr>
            <w:r w:rsidRPr="00780988">
              <w:rPr>
                <w:sz w:val="16"/>
                <w:szCs w:val="16"/>
              </w:rPr>
              <w:t>Most recent data for this measure are comparable (subject to caveats), but not complete (chapter 12)</w:t>
            </w:r>
          </w:p>
        </w:tc>
      </w:tr>
      <w:tr w:rsidR="0086548B" w:rsidRPr="00B1236A" w:rsidTr="00780988">
        <w:tc>
          <w:tcPr>
            <w:tcW w:w="1933" w:type="dxa"/>
            <w:gridSpan w:val="4"/>
            <w:shd w:val="clear" w:color="auto" w:fill="auto"/>
          </w:tcPr>
          <w:p w:rsidR="0086548B" w:rsidRPr="00B1236A" w:rsidRDefault="0086548B" w:rsidP="00DD4A25">
            <w:pPr>
              <w:pStyle w:val="TableBodyText"/>
              <w:ind w:left="284"/>
              <w:jc w:val="left"/>
            </w:pPr>
            <w:r w:rsidRPr="00B1236A">
              <w:t>Indigenous</w:t>
            </w:r>
          </w:p>
        </w:tc>
        <w:tc>
          <w:tcPr>
            <w:tcW w:w="763" w:type="dxa"/>
            <w:gridSpan w:val="3"/>
            <w:shd w:val="clear" w:color="auto" w:fill="auto"/>
            <w:vAlign w:val="center"/>
          </w:tcPr>
          <w:p w:rsidR="0086548B" w:rsidRPr="007F6A38" w:rsidRDefault="0086548B" w:rsidP="00DD4A25">
            <w:pPr>
              <w:pStyle w:val="TableBodyText"/>
            </w:pPr>
            <w:r w:rsidRPr="007F6A38">
              <w:t xml:space="preserve">  5.4</w:t>
            </w:r>
          </w:p>
        </w:tc>
        <w:tc>
          <w:tcPr>
            <w:tcW w:w="762" w:type="dxa"/>
            <w:gridSpan w:val="2"/>
            <w:shd w:val="clear" w:color="auto" w:fill="auto"/>
            <w:vAlign w:val="center"/>
          </w:tcPr>
          <w:p w:rsidR="0086548B" w:rsidRPr="007F6A38" w:rsidRDefault="0086548B" w:rsidP="00DD4A25">
            <w:pPr>
              <w:pStyle w:val="TableBodyText"/>
            </w:pPr>
            <w:proofErr w:type="spellStart"/>
            <w:r w:rsidRPr="007F6A38">
              <w:t>na</w:t>
            </w:r>
            <w:proofErr w:type="spellEnd"/>
          </w:p>
        </w:tc>
        <w:tc>
          <w:tcPr>
            <w:tcW w:w="761" w:type="dxa"/>
            <w:gridSpan w:val="2"/>
            <w:shd w:val="clear" w:color="auto" w:fill="auto"/>
            <w:vAlign w:val="center"/>
          </w:tcPr>
          <w:p w:rsidR="0086548B" w:rsidRPr="007F6A38" w:rsidRDefault="0086548B" w:rsidP="00DD4A25">
            <w:pPr>
              <w:pStyle w:val="TableBodyText"/>
            </w:pPr>
            <w:r w:rsidRPr="007F6A38">
              <w:t xml:space="preserve">  4.8</w:t>
            </w:r>
          </w:p>
        </w:tc>
        <w:tc>
          <w:tcPr>
            <w:tcW w:w="763" w:type="dxa"/>
            <w:gridSpan w:val="2"/>
            <w:shd w:val="clear" w:color="auto" w:fill="auto"/>
            <w:vAlign w:val="center"/>
          </w:tcPr>
          <w:p w:rsidR="0086548B" w:rsidRPr="007F6A38" w:rsidRDefault="0086548B" w:rsidP="00DD4A25">
            <w:pPr>
              <w:pStyle w:val="TableBodyText"/>
            </w:pPr>
            <w:r w:rsidRPr="007F6A38">
              <w:t xml:space="preserve">  5.4</w:t>
            </w:r>
          </w:p>
        </w:tc>
        <w:tc>
          <w:tcPr>
            <w:tcW w:w="760" w:type="dxa"/>
            <w:gridSpan w:val="2"/>
            <w:shd w:val="clear" w:color="auto" w:fill="auto"/>
            <w:vAlign w:val="center"/>
          </w:tcPr>
          <w:p w:rsidR="0086548B" w:rsidRPr="007F6A38" w:rsidRDefault="0086548B" w:rsidP="00DD4A25">
            <w:pPr>
              <w:pStyle w:val="TableBodyText"/>
            </w:pPr>
            <w:r w:rsidRPr="007F6A38">
              <w:t xml:space="preserve">  6.9</w:t>
            </w:r>
          </w:p>
        </w:tc>
        <w:tc>
          <w:tcPr>
            <w:tcW w:w="764" w:type="dxa"/>
            <w:gridSpan w:val="2"/>
            <w:shd w:val="clear" w:color="auto" w:fill="auto"/>
            <w:vAlign w:val="center"/>
          </w:tcPr>
          <w:p w:rsidR="0086548B" w:rsidRPr="007F6A38" w:rsidRDefault="0086548B" w:rsidP="00DD4A25">
            <w:pPr>
              <w:pStyle w:val="TableBodyText"/>
            </w:pPr>
            <w:r w:rsidRPr="007F6A38">
              <w:t xml:space="preserve">  1.2</w:t>
            </w:r>
          </w:p>
        </w:tc>
        <w:tc>
          <w:tcPr>
            <w:tcW w:w="760" w:type="dxa"/>
            <w:gridSpan w:val="2"/>
            <w:shd w:val="clear" w:color="auto" w:fill="auto"/>
            <w:vAlign w:val="center"/>
          </w:tcPr>
          <w:p w:rsidR="0086548B" w:rsidRPr="007F6A38" w:rsidRDefault="0086548B" w:rsidP="00DD4A25">
            <w:pPr>
              <w:pStyle w:val="TableBodyText"/>
            </w:pPr>
            <w:r w:rsidRPr="007F6A38">
              <w:t xml:space="preserve">  7.9</w:t>
            </w:r>
          </w:p>
        </w:tc>
        <w:tc>
          <w:tcPr>
            <w:tcW w:w="776" w:type="dxa"/>
            <w:gridSpan w:val="3"/>
            <w:shd w:val="clear" w:color="auto" w:fill="auto"/>
            <w:vAlign w:val="center"/>
          </w:tcPr>
          <w:p w:rsidR="0086548B" w:rsidRPr="007F6A38" w:rsidRDefault="0086548B" w:rsidP="00DD4A25">
            <w:pPr>
              <w:pStyle w:val="TableBodyText"/>
            </w:pPr>
            <w:r w:rsidRPr="007F6A38">
              <w:t xml:space="preserve">  3.8</w:t>
            </w:r>
          </w:p>
        </w:tc>
        <w:tc>
          <w:tcPr>
            <w:tcW w:w="765" w:type="dxa"/>
            <w:shd w:val="clear" w:color="auto" w:fill="auto"/>
            <w:vAlign w:val="center"/>
          </w:tcPr>
          <w:p w:rsidR="0086548B" w:rsidRPr="007F6A38" w:rsidRDefault="0086548B" w:rsidP="00DD4A25">
            <w:pPr>
              <w:pStyle w:val="TableBodyText"/>
            </w:pPr>
            <w:proofErr w:type="spellStart"/>
            <w:r w:rsidRPr="007F6A38">
              <w:t>na</w:t>
            </w:r>
            <w:proofErr w:type="spellEnd"/>
          </w:p>
        </w:tc>
      </w:tr>
      <w:tr w:rsidR="0086548B" w:rsidRPr="00B1236A" w:rsidTr="00780988">
        <w:tc>
          <w:tcPr>
            <w:tcW w:w="1933" w:type="dxa"/>
            <w:gridSpan w:val="4"/>
            <w:shd w:val="clear" w:color="auto" w:fill="auto"/>
          </w:tcPr>
          <w:p w:rsidR="0086548B" w:rsidRPr="00B1236A" w:rsidRDefault="0086548B" w:rsidP="00DD4A25">
            <w:pPr>
              <w:pStyle w:val="TableBodyText"/>
              <w:ind w:left="284"/>
              <w:jc w:val="left"/>
            </w:pPr>
            <w:r w:rsidRPr="00B1236A">
              <w:t>Non-Indigenous</w:t>
            </w:r>
          </w:p>
        </w:tc>
        <w:tc>
          <w:tcPr>
            <w:tcW w:w="763" w:type="dxa"/>
            <w:gridSpan w:val="3"/>
            <w:shd w:val="clear" w:color="auto" w:fill="auto"/>
            <w:vAlign w:val="center"/>
          </w:tcPr>
          <w:p w:rsidR="0086548B" w:rsidRPr="007F6A38" w:rsidRDefault="0086548B" w:rsidP="00DD4A25">
            <w:pPr>
              <w:pStyle w:val="TableBodyText"/>
            </w:pPr>
            <w:r w:rsidRPr="007F6A38">
              <w:t xml:space="preserve">  1.2</w:t>
            </w:r>
          </w:p>
        </w:tc>
        <w:tc>
          <w:tcPr>
            <w:tcW w:w="762" w:type="dxa"/>
            <w:gridSpan w:val="2"/>
            <w:shd w:val="clear" w:color="auto" w:fill="auto"/>
            <w:vAlign w:val="center"/>
          </w:tcPr>
          <w:p w:rsidR="0086548B" w:rsidRPr="007F6A38" w:rsidRDefault="0086548B" w:rsidP="00DD4A25">
            <w:pPr>
              <w:pStyle w:val="TableBodyText"/>
            </w:pPr>
            <w:proofErr w:type="spellStart"/>
            <w:r w:rsidRPr="007F6A38">
              <w:t>na</w:t>
            </w:r>
            <w:proofErr w:type="spellEnd"/>
          </w:p>
        </w:tc>
        <w:tc>
          <w:tcPr>
            <w:tcW w:w="761" w:type="dxa"/>
            <w:gridSpan w:val="2"/>
            <w:shd w:val="clear" w:color="auto" w:fill="auto"/>
            <w:vAlign w:val="center"/>
          </w:tcPr>
          <w:p w:rsidR="0086548B" w:rsidRPr="007F6A38" w:rsidRDefault="0086548B" w:rsidP="00DD4A25">
            <w:pPr>
              <w:pStyle w:val="TableBodyText"/>
            </w:pPr>
            <w:r w:rsidRPr="007F6A38">
              <w:t xml:space="preserve">  1.7</w:t>
            </w:r>
          </w:p>
        </w:tc>
        <w:tc>
          <w:tcPr>
            <w:tcW w:w="763" w:type="dxa"/>
            <w:gridSpan w:val="2"/>
            <w:shd w:val="clear" w:color="auto" w:fill="auto"/>
            <w:vAlign w:val="center"/>
          </w:tcPr>
          <w:p w:rsidR="0086548B" w:rsidRPr="007F6A38" w:rsidRDefault="0086548B" w:rsidP="00DD4A25">
            <w:pPr>
              <w:pStyle w:val="TableBodyText"/>
            </w:pPr>
            <w:r w:rsidRPr="007F6A38">
              <w:t xml:space="preserve">  1.8</w:t>
            </w:r>
          </w:p>
        </w:tc>
        <w:tc>
          <w:tcPr>
            <w:tcW w:w="760" w:type="dxa"/>
            <w:gridSpan w:val="2"/>
            <w:shd w:val="clear" w:color="auto" w:fill="auto"/>
            <w:vAlign w:val="center"/>
          </w:tcPr>
          <w:p w:rsidR="0086548B" w:rsidRPr="007F6A38" w:rsidRDefault="0086548B" w:rsidP="00DD4A25">
            <w:pPr>
              <w:pStyle w:val="TableBodyText"/>
            </w:pPr>
            <w:r w:rsidRPr="007F6A38">
              <w:t xml:space="preserve">  1.7</w:t>
            </w:r>
          </w:p>
        </w:tc>
        <w:tc>
          <w:tcPr>
            <w:tcW w:w="764" w:type="dxa"/>
            <w:gridSpan w:val="2"/>
            <w:shd w:val="clear" w:color="auto" w:fill="auto"/>
            <w:vAlign w:val="center"/>
          </w:tcPr>
          <w:p w:rsidR="0086548B" w:rsidRPr="007F6A38" w:rsidRDefault="0086548B" w:rsidP="00DD4A25">
            <w:pPr>
              <w:pStyle w:val="TableBodyText"/>
            </w:pPr>
            <w:r w:rsidRPr="007F6A38">
              <w:t xml:space="preserve">  0.8</w:t>
            </w:r>
          </w:p>
        </w:tc>
        <w:tc>
          <w:tcPr>
            <w:tcW w:w="760" w:type="dxa"/>
            <w:gridSpan w:val="2"/>
            <w:shd w:val="clear" w:color="auto" w:fill="auto"/>
            <w:vAlign w:val="center"/>
          </w:tcPr>
          <w:p w:rsidR="0086548B" w:rsidRPr="007F6A38" w:rsidRDefault="0086548B" w:rsidP="00DD4A25">
            <w:pPr>
              <w:pStyle w:val="TableBodyText"/>
            </w:pPr>
            <w:r w:rsidRPr="007F6A38">
              <w:t xml:space="preserve">  1.9</w:t>
            </w:r>
          </w:p>
        </w:tc>
        <w:tc>
          <w:tcPr>
            <w:tcW w:w="776" w:type="dxa"/>
            <w:gridSpan w:val="3"/>
            <w:shd w:val="clear" w:color="auto" w:fill="auto"/>
            <w:vAlign w:val="center"/>
          </w:tcPr>
          <w:p w:rsidR="0086548B" w:rsidRPr="007F6A38" w:rsidRDefault="0086548B" w:rsidP="00DD4A25">
            <w:pPr>
              <w:pStyle w:val="TableBodyText"/>
            </w:pPr>
            <w:r w:rsidRPr="007F6A38">
              <w:t xml:space="preserve">  2.3</w:t>
            </w:r>
          </w:p>
        </w:tc>
        <w:tc>
          <w:tcPr>
            <w:tcW w:w="765" w:type="dxa"/>
            <w:shd w:val="clear" w:color="auto" w:fill="auto"/>
            <w:vAlign w:val="center"/>
          </w:tcPr>
          <w:p w:rsidR="0086548B" w:rsidRPr="007F6A38" w:rsidRDefault="0086548B" w:rsidP="00DD4A25">
            <w:pPr>
              <w:pStyle w:val="TableBodyText"/>
            </w:pPr>
            <w:proofErr w:type="spellStart"/>
            <w:r w:rsidRPr="007F6A38">
              <w:t>na</w:t>
            </w:r>
            <w:proofErr w:type="spellEnd"/>
          </w:p>
        </w:tc>
      </w:tr>
      <w:tr w:rsidR="0086548B" w:rsidRPr="00B1236A" w:rsidTr="00DD4A25">
        <w:tc>
          <w:tcPr>
            <w:tcW w:w="8807" w:type="dxa"/>
            <w:gridSpan w:val="23"/>
            <w:shd w:val="clear" w:color="auto" w:fill="auto"/>
          </w:tcPr>
          <w:p w:rsidR="0086548B" w:rsidRDefault="0086548B" w:rsidP="00DD4A25">
            <w:pPr>
              <w:pStyle w:val="TableBodyText"/>
              <w:ind w:left="142"/>
              <w:jc w:val="left"/>
            </w:pPr>
            <w:r w:rsidRPr="00B1236A">
              <w:t xml:space="preserve">Proportion (%) of the Indigenous population using </w:t>
            </w:r>
            <w:proofErr w:type="spellStart"/>
            <w:r w:rsidRPr="00B1236A">
              <w:t>MBS</w:t>
            </w:r>
            <w:proofErr w:type="spellEnd"/>
            <w:r>
              <w:t xml:space="preserve"> and </w:t>
            </w:r>
            <w:proofErr w:type="spellStart"/>
            <w:r>
              <w:t>DVA</w:t>
            </w:r>
            <w:proofErr w:type="spellEnd"/>
            <w:r>
              <w:t xml:space="preserve"> </w:t>
            </w:r>
            <w:r w:rsidRPr="00B1236A">
              <w:t xml:space="preserve">funded mental health services, compared with the proportion for non-Indigenous </w:t>
            </w:r>
            <w:r w:rsidRPr="00780988">
              <w:t>population, 2011-12</w:t>
            </w:r>
          </w:p>
          <w:p w:rsidR="0086548B" w:rsidRPr="00B1236A" w:rsidRDefault="0086548B" w:rsidP="00DD4A25">
            <w:pPr>
              <w:pStyle w:val="TableBodyText"/>
              <w:ind w:left="142"/>
              <w:jc w:val="left"/>
              <w:rPr>
                <w:rFonts w:cs="Arial"/>
              </w:rPr>
            </w:pPr>
            <w:r w:rsidRPr="00780988">
              <w:rPr>
                <w:sz w:val="16"/>
                <w:szCs w:val="16"/>
              </w:rPr>
              <w:t>Most recent data for this measure are comparable and complete (chapter 12)</w:t>
            </w:r>
          </w:p>
        </w:tc>
      </w:tr>
      <w:tr w:rsidR="0086548B" w:rsidRPr="00B1236A" w:rsidTr="00780988">
        <w:tc>
          <w:tcPr>
            <w:tcW w:w="1933" w:type="dxa"/>
            <w:gridSpan w:val="4"/>
            <w:shd w:val="clear" w:color="auto" w:fill="auto"/>
          </w:tcPr>
          <w:p w:rsidR="0086548B" w:rsidRPr="00B1236A" w:rsidRDefault="0086548B" w:rsidP="00DD4A25">
            <w:pPr>
              <w:pStyle w:val="TableBodyText"/>
              <w:ind w:left="284"/>
              <w:jc w:val="left"/>
            </w:pPr>
            <w:r w:rsidRPr="00B1236A">
              <w:t>Indigenous</w:t>
            </w:r>
          </w:p>
        </w:tc>
        <w:tc>
          <w:tcPr>
            <w:tcW w:w="763" w:type="dxa"/>
            <w:gridSpan w:val="3"/>
            <w:shd w:val="clear" w:color="auto" w:fill="auto"/>
            <w:vAlign w:val="center"/>
          </w:tcPr>
          <w:p w:rsidR="0086548B" w:rsidRPr="007F6A38" w:rsidRDefault="0086548B" w:rsidP="00DD4A25">
            <w:pPr>
              <w:pStyle w:val="TableBodyText"/>
            </w:pPr>
            <w:r w:rsidRPr="007F6A38">
              <w:t xml:space="preserve">  10.7</w:t>
            </w:r>
          </w:p>
        </w:tc>
        <w:tc>
          <w:tcPr>
            <w:tcW w:w="762" w:type="dxa"/>
            <w:gridSpan w:val="2"/>
            <w:shd w:val="clear" w:color="auto" w:fill="auto"/>
            <w:vAlign w:val="center"/>
          </w:tcPr>
          <w:p w:rsidR="0086548B" w:rsidRPr="007F6A38" w:rsidRDefault="0086548B" w:rsidP="00DD4A25">
            <w:pPr>
              <w:pStyle w:val="TableBodyText"/>
            </w:pPr>
            <w:r w:rsidRPr="007F6A38">
              <w:t xml:space="preserve">  12.5</w:t>
            </w:r>
          </w:p>
        </w:tc>
        <w:tc>
          <w:tcPr>
            <w:tcW w:w="761" w:type="dxa"/>
            <w:gridSpan w:val="2"/>
            <w:shd w:val="clear" w:color="auto" w:fill="auto"/>
            <w:vAlign w:val="center"/>
          </w:tcPr>
          <w:p w:rsidR="0086548B" w:rsidRPr="007F6A38" w:rsidRDefault="0086548B" w:rsidP="00DD4A25">
            <w:pPr>
              <w:pStyle w:val="TableBodyText"/>
            </w:pPr>
            <w:r w:rsidRPr="007F6A38">
              <w:t xml:space="preserve">  6.7</w:t>
            </w:r>
          </w:p>
        </w:tc>
        <w:tc>
          <w:tcPr>
            <w:tcW w:w="763" w:type="dxa"/>
            <w:gridSpan w:val="2"/>
            <w:shd w:val="clear" w:color="auto" w:fill="auto"/>
            <w:vAlign w:val="center"/>
          </w:tcPr>
          <w:p w:rsidR="0086548B" w:rsidRPr="007F6A38" w:rsidRDefault="0086548B" w:rsidP="00DD4A25">
            <w:pPr>
              <w:pStyle w:val="TableBodyText"/>
            </w:pPr>
            <w:r w:rsidRPr="007F6A38">
              <w:t xml:space="preserve">  4.0</w:t>
            </w:r>
          </w:p>
        </w:tc>
        <w:tc>
          <w:tcPr>
            <w:tcW w:w="760" w:type="dxa"/>
            <w:gridSpan w:val="2"/>
            <w:shd w:val="clear" w:color="auto" w:fill="auto"/>
            <w:vAlign w:val="center"/>
          </w:tcPr>
          <w:p w:rsidR="0086548B" w:rsidRPr="007F6A38" w:rsidRDefault="0086548B" w:rsidP="00DD4A25">
            <w:pPr>
              <w:pStyle w:val="TableBodyText"/>
            </w:pPr>
            <w:r w:rsidRPr="007F6A38">
              <w:t xml:space="preserve">  8.2</w:t>
            </w:r>
          </w:p>
        </w:tc>
        <w:tc>
          <w:tcPr>
            <w:tcW w:w="764" w:type="dxa"/>
            <w:gridSpan w:val="2"/>
            <w:shd w:val="clear" w:color="auto" w:fill="auto"/>
            <w:vAlign w:val="center"/>
          </w:tcPr>
          <w:p w:rsidR="0086548B" w:rsidRPr="007F6A38" w:rsidRDefault="0086548B" w:rsidP="00DD4A25">
            <w:pPr>
              <w:pStyle w:val="TableBodyText"/>
            </w:pPr>
            <w:r w:rsidRPr="007F6A38">
              <w:t xml:space="preserve">  8.4</w:t>
            </w:r>
          </w:p>
        </w:tc>
        <w:tc>
          <w:tcPr>
            <w:tcW w:w="760" w:type="dxa"/>
            <w:gridSpan w:val="2"/>
            <w:shd w:val="clear" w:color="auto" w:fill="auto"/>
            <w:vAlign w:val="center"/>
          </w:tcPr>
          <w:p w:rsidR="0086548B" w:rsidRPr="007F6A38" w:rsidRDefault="0086548B" w:rsidP="00DD4A25">
            <w:pPr>
              <w:pStyle w:val="TableBodyText"/>
            </w:pPr>
            <w:r w:rsidRPr="007F6A38">
              <w:t xml:space="preserve">  12.5</w:t>
            </w:r>
          </w:p>
        </w:tc>
        <w:tc>
          <w:tcPr>
            <w:tcW w:w="776" w:type="dxa"/>
            <w:gridSpan w:val="3"/>
            <w:shd w:val="clear" w:color="auto" w:fill="auto"/>
            <w:vAlign w:val="center"/>
          </w:tcPr>
          <w:p w:rsidR="0086548B" w:rsidRPr="007F6A38" w:rsidRDefault="0086548B" w:rsidP="00DD4A25">
            <w:pPr>
              <w:pStyle w:val="TableBodyText"/>
            </w:pPr>
            <w:r w:rsidRPr="007F6A38">
              <w:t xml:space="preserve">  1.5</w:t>
            </w:r>
          </w:p>
        </w:tc>
        <w:tc>
          <w:tcPr>
            <w:tcW w:w="765" w:type="dxa"/>
            <w:shd w:val="clear" w:color="auto" w:fill="auto"/>
            <w:vAlign w:val="center"/>
          </w:tcPr>
          <w:p w:rsidR="0086548B" w:rsidRPr="007F6A38" w:rsidRDefault="0086548B" w:rsidP="00DD4A25">
            <w:pPr>
              <w:pStyle w:val="TableBodyText"/>
            </w:pPr>
            <w:r w:rsidRPr="007F6A38">
              <w:t xml:space="preserve">  7.4</w:t>
            </w:r>
          </w:p>
        </w:tc>
      </w:tr>
      <w:tr w:rsidR="0086548B" w:rsidRPr="00B1236A" w:rsidTr="00780988">
        <w:tc>
          <w:tcPr>
            <w:tcW w:w="1933" w:type="dxa"/>
            <w:gridSpan w:val="4"/>
            <w:shd w:val="clear" w:color="auto" w:fill="auto"/>
          </w:tcPr>
          <w:p w:rsidR="0086548B" w:rsidRPr="00B1236A" w:rsidRDefault="0086548B" w:rsidP="00DD4A25">
            <w:pPr>
              <w:pStyle w:val="TableBodyText"/>
              <w:ind w:left="284"/>
              <w:jc w:val="left"/>
            </w:pPr>
            <w:r w:rsidRPr="00B1236A">
              <w:t>Non-Indigenous</w:t>
            </w:r>
          </w:p>
        </w:tc>
        <w:tc>
          <w:tcPr>
            <w:tcW w:w="763" w:type="dxa"/>
            <w:gridSpan w:val="3"/>
            <w:shd w:val="clear" w:color="auto" w:fill="auto"/>
            <w:vAlign w:val="center"/>
          </w:tcPr>
          <w:p w:rsidR="0086548B" w:rsidRPr="007F6A38" w:rsidRDefault="0086548B" w:rsidP="00DD4A25">
            <w:pPr>
              <w:pStyle w:val="TableBodyText"/>
            </w:pPr>
            <w:r w:rsidRPr="007F6A38">
              <w:t xml:space="preserve">  7.0</w:t>
            </w:r>
          </w:p>
        </w:tc>
        <w:tc>
          <w:tcPr>
            <w:tcW w:w="762" w:type="dxa"/>
            <w:gridSpan w:val="2"/>
            <w:shd w:val="clear" w:color="auto" w:fill="auto"/>
            <w:vAlign w:val="center"/>
          </w:tcPr>
          <w:p w:rsidR="0086548B" w:rsidRPr="007F6A38" w:rsidRDefault="0086548B" w:rsidP="00DD4A25">
            <w:pPr>
              <w:pStyle w:val="TableBodyText"/>
            </w:pPr>
            <w:r w:rsidRPr="007F6A38">
              <w:t xml:space="preserve">  7.8</w:t>
            </w:r>
          </w:p>
        </w:tc>
        <w:tc>
          <w:tcPr>
            <w:tcW w:w="761" w:type="dxa"/>
            <w:gridSpan w:val="2"/>
            <w:shd w:val="clear" w:color="auto" w:fill="auto"/>
            <w:vAlign w:val="center"/>
          </w:tcPr>
          <w:p w:rsidR="0086548B" w:rsidRPr="007F6A38" w:rsidRDefault="0086548B" w:rsidP="00DD4A25">
            <w:pPr>
              <w:pStyle w:val="TableBodyText"/>
            </w:pPr>
            <w:r w:rsidRPr="007F6A38">
              <w:t xml:space="preserve">  6.7</w:t>
            </w:r>
          </w:p>
        </w:tc>
        <w:tc>
          <w:tcPr>
            <w:tcW w:w="763" w:type="dxa"/>
            <w:gridSpan w:val="2"/>
            <w:shd w:val="clear" w:color="auto" w:fill="auto"/>
            <w:vAlign w:val="center"/>
          </w:tcPr>
          <w:p w:rsidR="0086548B" w:rsidRPr="007F6A38" w:rsidRDefault="0086548B" w:rsidP="00DD4A25">
            <w:pPr>
              <w:pStyle w:val="TableBodyText"/>
            </w:pPr>
            <w:r w:rsidRPr="007F6A38">
              <w:t xml:space="preserve">  5.5</w:t>
            </w:r>
          </w:p>
        </w:tc>
        <w:tc>
          <w:tcPr>
            <w:tcW w:w="760" w:type="dxa"/>
            <w:gridSpan w:val="2"/>
            <w:shd w:val="clear" w:color="auto" w:fill="auto"/>
            <w:vAlign w:val="center"/>
          </w:tcPr>
          <w:p w:rsidR="0086548B" w:rsidRPr="007F6A38" w:rsidRDefault="0086548B" w:rsidP="00DD4A25">
            <w:pPr>
              <w:pStyle w:val="TableBodyText"/>
            </w:pPr>
            <w:r w:rsidRPr="007F6A38">
              <w:t xml:space="preserve">  7.0</w:t>
            </w:r>
          </w:p>
        </w:tc>
        <w:tc>
          <w:tcPr>
            <w:tcW w:w="764" w:type="dxa"/>
            <w:gridSpan w:val="2"/>
            <w:shd w:val="clear" w:color="auto" w:fill="auto"/>
            <w:vAlign w:val="center"/>
          </w:tcPr>
          <w:p w:rsidR="0086548B" w:rsidRPr="007F6A38" w:rsidRDefault="0086548B" w:rsidP="00DD4A25">
            <w:pPr>
              <w:pStyle w:val="TableBodyText"/>
            </w:pPr>
            <w:r w:rsidRPr="007F6A38">
              <w:t xml:space="preserve">  6.2</w:t>
            </w:r>
          </w:p>
        </w:tc>
        <w:tc>
          <w:tcPr>
            <w:tcW w:w="760" w:type="dxa"/>
            <w:gridSpan w:val="2"/>
            <w:shd w:val="clear" w:color="auto" w:fill="auto"/>
            <w:vAlign w:val="center"/>
          </w:tcPr>
          <w:p w:rsidR="0086548B" w:rsidRPr="007F6A38" w:rsidRDefault="0086548B" w:rsidP="00DD4A25">
            <w:pPr>
              <w:pStyle w:val="TableBodyText"/>
            </w:pPr>
            <w:r w:rsidRPr="007F6A38">
              <w:t xml:space="preserve">  5.6</w:t>
            </w:r>
          </w:p>
        </w:tc>
        <w:tc>
          <w:tcPr>
            <w:tcW w:w="776" w:type="dxa"/>
            <w:gridSpan w:val="3"/>
            <w:shd w:val="clear" w:color="auto" w:fill="auto"/>
            <w:vAlign w:val="center"/>
          </w:tcPr>
          <w:p w:rsidR="0086548B" w:rsidRPr="007F6A38" w:rsidRDefault="0086548B" w:rsidP="00DD4A25">
            <w:pPr>
              <w:pStyle w:val="TableBodyText"/>
            </w:pPr>
            <w:r w:rsidRPr="007F6A38">
              <w:t xml:space="preserve">  3.6</w:t>
            </w:r>
          </w:p>
        </w:tc>
        <w:tc>
          <w:tcPr>
            <w:tcW w:w="765" w:type="dxa"/>
            <w:shd w:val="clear" w:color="auto" w:fill="auto"/>
            <w:vAlign w:val="center"/>
          </w:tcPr>
          <w:p w:rsidR="0086548B" w:rsidRPr="007F6A38" w:rsidRDefault="0086548B" w:rsidP="00DD4A25">
            <w:pPr>
              <w:pStyle w:val="TableBodyText"/>
            </w:pPr>
            <w:r w:rsidRPr="007F6A38">
              <w:t xml:space="preserve">  6.9</w:t>
            </w:r>
          </w:p>
        </w:tc>
      </w:tr>
      <w:tr w:rsidR="0086548B" w:rsidRPr="005825CD" w:rsidTr="00DD4A25">
        <w:trPr>
          <w:trHeight w:val="177"/>
        </w:trPr>
        <w:tc>
          <w:tcPr>
            <w:tcW w:w="8807" w:type="dxa"/>
            <w:gridSpan w:val="23"/>
            <w:shd w:val="clear" w:color="auto" w:fill="auto"/>
          </w:tcPr>
          <w:p w:rsidR="0086548B" w:rsidRPr="00C804F5" w:rsidRDefault="0086548B" w:rsidP="00230A98">
            <w:pPr>
              <w:pStyle w:val="Source"/>
              <w:spacing w:before="60" w:after="60"/>
            </w:pPr>
            <w:r w:rsidRPr="00B5543B">
              <w:t>Source: table</w:t>
            </w:r>
            <w:r>
              <w:t>s</w:t>
            </w:r>
            <w:r w:rsidRPr="00B5543B">
              <w:t xml:space="preserve"> </w:t>
            </w:r>
            <w:proofErr w:type="spellStart"/>
            <w:r w:rsidRPr="00B5543B">
              <w:t>1</w:t>
            </w:r>
            <w:r>
              <w:t>2</w:t>
            </w:r>
            <w:r w:rsidRPr="00B5543B">
              <w:t>A.</w:t>
            </w:r>
            <w:r>
              <w:t>25</w:t>
            </w:r>
            <w:proofErr w:type="spellEnd"/>
            <w:r>
              <w:t>–26</w:t>
            </w:r>
            <w:r w:rsidRPr="00B5543B">
              <w:t>.</w:t>
            </w:r>
          </w:p>
        </w:tc>
      </w:tr>
      <w:tr w:rsidR="0086548B" w:rsidRPr="001C3248" w:rsidTr="00DD4A25">
        <w:tc>
          <w:tcPr>
            <w:tcW w:w="8807" w:type="dxa"/>
            <w:gridSpan w:val="23"/>
            <w:shd w:val="clear" w:color="auto" w:fill="auto"/>
          </w:tcPr>
          <w:p w:rsidR="0086548B" w:rsidRPr="001C3248" w:rsidRDefault="0086548B" w:rsidP="00DD4A25">
            <w:pPr>
              <w:pStyle w:val="TableColumnHeading"/>
              <w:jc w:val="left"/>
              <w:rPr>
                <w:b/>
                <w:i w:val="0"/>
              </w:rPr>
            </w:pPr>
            <w:r w:rsidRPr="001C3248">
              <w:rPr>
                <w:b/>
                <w:i w:val="0"/>
              </w:rPr>
              <w:t>Effectiveness — Access indicators</w:t>
            </w:r>
          </w:p>
        </w:tc>
      </w:tr>
      <w:tr w:rsidR="0086548B" w:rsidRPr="00B1236A" w:rsidTr="00DD4A25">
        <w:tc>
          <w:tcPr>
            <w:tcW w:w="8807" w:type="dxa"/>
            <w:gridSpan w:val="23"/>
            <w:shd w:val="clear" w:color="auto" w:fill="auto"/>
          </w:tcPr>
          <w:p w:rsidR="0086548B" w:rsidRDefault="0086548B" w:rsidP="00DD4A25">
            <w:pPr>
              <w:pStyle w:val="TableBodyText"/>
              <w:ind w:left="0"/>
              <w:jc w:val="left"/>
              <w:rPr>
                <w:i/>
              </w:rPr>
            </w:pPr>
            <w:r w:rsidRPr="00B1236A">
              <w:rPr>
                <w:i/>
              </w:rPr>
              <w:t xml:space="preserve">Mental health service use by total </w:t>
            </w:r>
            <w:r w:rsidRPr="00E36CD6">
              <w:rPr>
                <w:i/>
              </w:rPr>
              <w:t>population</w:t>
            </w:r>
          </w:p>
          <w:p w:rsidR="0086548B" w:rsidRPr="00B1236A" w:rsidRDefault="0086548B" w:rsidP="00DD4A25">
            <w:pPr>
              <w:pStyle w:val="TableBodyText"/>
              <w:ind w:left="0"/>
              <w:jc w:val="left"/>
              <w:rPr>
                <w:i/>
              </w:rPr>
            </w:pPr>
            <w:r w:rsidRPr="00780988">
              <w:rPr>
                <w:sz w:val="16"/>
                <w:szCs w:val="16"/>
              </w:rPr>
              <w:t>Most recent data for this indicator are comparable, but not complete (chapter 12)</w:t>
            </w:r>
          </w:p>
        </w:tc>
      </w:tr>
      <w:tr w:rsidR="0086548B" w:rsidRPr="00B1236A" w:rsidTr="00DD4A25">
        <w:tc>
          <w:tcPr>
            <w:tcW w:w="8807" w:type="dxa"/>
            <w:gridSpan w:val="23"/>
            <w:shd w:val="clear" w:color="auto" w:fill="auto"/>
          </w:tcPr>
          <w:p w:rsidR="0086548B" w:rsidRPr="00B1236A" w:rsidRDefault="0086548B" w:rsidP="00DD4A25">
            <w:pPr>
              <w:pStyle w:val="TableBodyText"/>
              <w:ind w:left="142"/>
              <w:jc w:val="left"/>
            </w:pPr>
            <w:r w:rsidRPr="00B1236A">
              <w:t xml:space="preserve">Proportion (%) of the population in a State and Territory using a specialised public mental health service or a </w:t>
            </w:r>
            <w:proofErr w:type="spellStart"/>
            <w:r w:rsidRPr="00B1236A">
              <w:t>MBS</w:t>
            </w:r>
            <w:proofErr w:type="spellEnd"/>
            <w:r w:rsidRPr="00B1236A">
              <w:t xml:space="preserve">-subsidised </w:t>
            </w:r>
            <w:r w:rsidRPr="00780988">
              <w:t>service, 2011-12</w:t>
            </w:r>
          </w:p>
        </w:tc>
      </w:tr>
      <w:tr w:rsidR="0086548B" w:rsidRPr="00B1236A" w:rsidTr="00780988">
        <w:tc>
          <w:tcPr>
            <w:tcW w:w="2100" w:type="dxa"/>
            <w:gridSpan w:val="6"/>
            <w:shd w:val="clear" w:color="auto" w:fill="auto"/>
          </w:tcPr>
          <w:p w:rsidR="0086548B" w:rsidRPr="00B1236A" w:rsidRDefault="0086548B" w:rsidP="00DD4A25">
            <w:pPr>
              <w:pStyle w:val="TableBodyText"/>
              <w:ind w:left="284"/>
              <w:jc w:val="left"/>
            </w:pPr>
            <w:r w:rsidRPr="00B1236A">
              <w:t>Specialised public mental health</w:t>
            </w:r>
          </w:p>
        </w:tc>
        <w:tc>
          <w:tcPr>
            <w:tcW w:w="742" w:type="dxa"/>
            <w:gridSpan w:val="2"/>
            <w:shd w:val="clear" w:color="auto" w:fill="auto"/>
            <w:vAlign w:val="center"/>
          </w:tcPr>
          <w:p w:rsidR="0086548B" w:rsidRPr="007F6A38" w:rsidRDefault="0086548B" w:rsidP="00DD4A25">
            <w:pPr>
              <w:pStyle w:val="TableBodyText"/>
            </w:pPr>
            <w:r w:rsidRPr="007F6A38">
              <w:t>1.6</w:t>
            </w:r>
          </w:p>
        </w:tc>
        <w:tc>
          <w:tcPr>
            <w:tcW w:w="743" w:type="dxa"/>
            <w:gridSpan w:val="2"/>
            <w:shd w:val="clear" w:color="auto" w:fill="auto"/>
            <w:vAlign w:val="center"/>
          </w:tcPr>
          <w:p w:rsidR="0086548B" w:rsidRPr="007F6A38" w:rsidRDefault="0086548B" w:rsidP="00DD4A25">
            <w:pPr>
              <w:pStyle w:val="TableBodyText"/>
            </w:pPr>
            <w:proofErr w:type="spellStart"/>
            <w:r w:rsidRPr="007F6A38">
              <w:t>na</w:t>
            </w:r>
            <w:proofErr w:type="spellEnd"/>
          </w:p>
        </w:tc>
        <w:tc>
          <w:tcPr>
            <w:tcW w:w="742" w:type="dxa"/>
            <w:gridSpan w:val="2"/>
            <w:shd w:val="clear" w:color="auto" w:fill="auto"/>
            <w:vAlign w:val="center"/>
          </w:tcPr>
          <w:p w:rsidR="0086548B" w:rsidRPr="007F6A38" w:rsidRDefault="0086548B" w:rsidP="00DD4A25">
            <w:pPr>
              <w:pStyle w:val="TableBodyText"/>
            </w:pPr>
            <w:r w:rsidRPr="007F6A38">
              <w:t>1.8</w:t>
            </w:r>
          </w:p>
        </w:tc>
        <w:tc>
          <w:tcPr>
            <w:tcW w:w="744" w:type="dxa"/>
            <w:gridSpan w:val="2"/>
            <w:shd w:val="clear" w:color="auto" w:fill="auto"/>
            <w:vAlign w:val="center"/>
          </w:tcPr>
          <w:p w:rsidR="0086548B" w:rsidRPr="007F6A38" w:rsidRDefault="0086548B" w:rsidP="00DD4A25">
            <w:pPr>
              <w:pStyle w:val="TableBodyText"/>
            </w:pPr>
            <w:r w:rsidRPr="007F6A38">
              <w:t>2.0</w:t>
            </w:r>
          </w:p>
        </w:tc>
        <w:tc>
          <w:tcPr>
            <w:tcW w:w="742" w:type="dxa"/>
            <w:gridSpan w:val="2"/>
            <w:shd w:val="clear" w:color="auto" w:fill="auto"/>
            <w:vAlign w:val="center"/>
          </w:tcPr>
          <w:p w:rsidR="0086548B" w:rsidRPr="007F6A38" w:rsidRDefault="0086548B" w:rsidP="00DD4A25">
            <w:pPr>
              <w:pStyle w:val="TableBodyText"/>
            </w:pPr>
            <w:r w:rsidRPr="007F6A38">
              <w:t>2.1</w:t>
            </w:r>
          </w:p>
        </w:tc>
        <w:tc>
          <w:tcPr>
            <w:tcW w:w="745" w:type="dxa"/>
            <w:gridSpan w:val="2"/>
            <w:shd w:val="clear" w:color="auto" w:fill="auto"/>
            <w:vAlign w:val="center"/>
          </w:tcPr>
          <w:p w:rsidR="0086548B" w:rsidRPr="007F6A38" w:rsidRDefault="0086548B" w:rsidP="00DD4A25">
            <w:pPr>
              <w:pStyle w:val="TableBodyText"/>
            </w:pPr>
            <w:r w:rsidRPr="007F6A38">
              <w:t>1.6</w:t>
            </w:r>
          </w:p>
        </w:tc>
        <w:tc>
          <w:tcPr>
            <w:tcW w:w="742" w:type="dxa"/>
            <w:gridSpan w:val="2"/>
            <w:shd w:val="clear" w:color="auto" w:fill="auto"/>
            <w:vAlign w:val="center"/>
          </w:tcPr>
          <w:p w:rsidR="0086548B" w:rsidRPr="007F6A38" w:rsidRDefault="0086548B" w:rsidP="00DD4A25">
            <w:pPr>
              <w:pStyle w:val="TableBodyText"/>
            </w:pPr>
            <w:r w:rsidRPr="007F6A38">
              <w:t>2.2</w:t>
            </w:r>
          </w:p>
        </w:tc>
        <w:tc>
          <w:tcPr>
            <w:tcW w:w="742" w:type="dxa"/>
            <w:gridSpan w:val="2"/>
            <w:shd w:val="clear" w:color="auto" w:fill="auto"/>
            <w:vAlign w:val="center"/>
          </w:tcPr>
          <w:p w:rsidR="0086548B" w:rsidRPr="007F6A38" w:rsidRDefault="0086548B" w:rsidP="00DD4A25">
            <w:pPr>
              <w:pStyle w:val="TableBodyText"/>
            </w:pPr>
            <w:r w:rsidRPr="007F6A38">
              <w:t>2.7</w:t>
            </w:r>
          </w:p>
        </w:tc>
        <w:tc>
          <w:tcPr>
            <w:tcW w:w="765" w:type="dxa"/>
            <w:shd w:val="clear" w:color="auto" w:fill="auto"/>
            <w:vAlign w:val="center"/>
          </w:tcPr>
          <w:p w:rsidR="0086548B" w:rsidRPr="007F6A38" w:rsidRDefault="0086548B" w:rsidP="00DD4A25">
            <w:pPr>
              <w:pStyle w:val="TableBodyText"/>
            </w:pPr>
            <w:r w:rsidRPr="007F6A38">
              <w:t>1.4</w:t>
            </w:r>
          </w:p>
        </w:tc>
      </w:tr>
      <w:tr w:rsidR="0086548B" w:rsidRPr="00B1236A" w:rsidTr="00780988">
        <w:tc>
          <w:tcPr>
            <w:tcW w:w="2100" w:type="dxa"/>
            <w:gridSpan w:val="6"/>
            <w:shd w:val="clear" w:color="auto" w:fill="auto"/>
          </w:tcPr>
          <w:p w:rsidR="0086548B" w:rsidRPr="00B1236A" w:rsidRDefault="0086548B" w:rsidP="00DD4A25">
            <w:pPr>
              <w:pStyle w:val="TableBodyText"/>
              <w:ind w:left="284"/>
              <w:jc w:val="left"/>
            </w:pPr>
            <w:proofErr w:type="spellStart"/>
            <w:r w:rsidRPr="00B1236A">
              <w:t>MBS</w:t>
            </w:r>
            <w:proofErr w:type="spellEnd"/>
            <w:r>
              <w:t xml:space="preserve"> and </w:t>
            </w:r>
            <w:proofErr w:type="spellStart"/>
            <w:r>
              <w:t>DVA</w:t>
            </w:r>
            <w:proofErr w:type="spellEnd"/>
            <w:r>
              <w:t xml:space="preserve"> </w:t>
            </w:r>
            <w:r w:rsidRPr="00B1236A">
              <w:t>subsidised service</w:t>
            </w:r>
          </w:p>
        </w:tc>
        <w:tc>
          <w:tcPr>
            <w:tcW w:w="742" w:type="dxa"/>
            <w:gridSpan w:val="2"/>
            <w:shd w:val="clear" w:color="auto" w:fill="auto"/>
            <w:vAlign w:val="center"/>
          </w:tcPr>
          <w:p w:rsidR="0086548B" w:rsidRPr="007F6A38" w:rsidRDefault="0086548B" w:rsidP="00DD4A25">
            <w:pPr>
              <w:pStyle w:val="TableBodyText"/>
            </w:pPr>
            <w:r w:rsidRPr="007F6A38">
              <w:t xml:space="preserve">  7.3</w:t>
            </w:r>
          </w:p>
        </w:tc>
        <w:tc>
          <w:tcPr>
            <w:tcW w:w="743" w:type="dxa"/>
            <w:gridSpan w:val="2"/>
            <w:shd w:val="clear" w:color="auto" w:fill="auto"/>
            <w:vAlign w:val="center"/>
          </w:tcPr>
          <w:p w:rsidR="0086548B" w:rsidRPr="007F6A38" w:rsidRDefault="0086548B" w:rsidP="00DD4A25">
            <w:pPr>
              <w:pStyle w:val="TableBodyText"/>
            </w:pPr>
            <w:r w:rsidRPr="007F6A38">
              <w:t xml:space="preserve">  8.0</w:t>
            </w:r>
          </w:p>
        </w:tc>
        <w:tc>
          <w:tcPr>
            <w:tcW w:w="742" w:type="dxa"/>
            <w:gridSpan w:val="2"/>
            <w:shd w:val="clear" w:color="auto" w:fill="auto"/>
            <w:vAlign w:val="center"/>
          </w:tcPr>
          <w:p w:rsidR="0086548B" w:rsidRPr="007F6A38" w:rsidRDefault="0086548B" w:rsidP="00DD4A25">
            <w:pPr>
              <w:pStyle w:val="TableBodyText"/>
            </w:pPr>
            <w:r w:rsidRPr="007F6A38">
              <w:t xml:space="preserve">  7.0</w:t>
            </w:r>
          </w:p>
        </w:tc>
        <w:tc>
          <w:tcPr>
            <w:tcW w:w="744" w:type="dxa"/>
            <w:gridSpan w:val="2"/>
            <w:shd w:val="clear" w:color="auto" w:fill="auto"/>
            <w:vAlign w:val="center"/>
          </w:tcPr>
          <w:p w:rsidR="0086548B" w:rsidRPr="007F6A38" w:rsidRDefault="0086548B" w:rsidP="00DD4A25">
            <w:pPr>
              <w:pStyle w:val="TableBodyText"/>
            </w:pPr>
            <w:r w:rsidRPr="007F6A38">
              <w:t xml:space="preserve">  5.5</w:t>
            </w:r>
          </w:p>
        </w:tc>
        <w:tc>
          <w:tcPr>
            <w:tcW w:w="742" w:type="dxa"/>
            <w:gridSpan w:val="2"/>
            <w:shd w:val="clear" w:color="auto" w:fill="auto"/>
            <w:vAlign w:val="center"/>
          </w:tcPr>
          <w:p w:rsidR="0086548B" w:rsidRPr="007F6A38" w:rsidRDefault="0086548B" w:rsidP="00DD4A25">
            <w:pPr>
              <w:pStyle w:val="TableBodyText"/>
            </w:pPr>
            <w:r w:rsidRPr="007F6A38">
              <w:t xml:space="preserve">  7.2</w:t>
            </w:r>
          </w:p>
        </w:tc>
        <w:tc>
          <w:tcPr>
            <w:tcW w:w="745" w:type="dxa"/>
            <w:gridSpan w:val="2"/>
            <w:shd w:val="clear" w:color="auto" w:fill="auto"/>
            <w:vAlign w:val="center"/>
          </w:tcPr>
          <w:p w:rsidR="0086548B" w:rsidRPr="007F6A38" w:rsidRDefault="0086548B" w:rsidP="00DD4A25">
            <w:pPr>
              <w:pStyle w:val="TableBodyText"/>
            </w:pPr>
            <w:r w:rsidRPr="007F6A38">
              <w:t xml:space="preserve">  6.3</w:t>
            </w:r>
          </w:p>
        </w:tc>
        <w:tc>
          <w:tcPr>
            <w:tcW w:w="742" w:type="dxa"/>
            <w:gridSpan w:val="2"/>
            <w:shd w:val="clear" w:color="auto" w:fill="auto"/>
            <w:vAlign w:val="center"/>
          </w:tcPr>
          <w:p w:rsidR="0086548B" w:rsidRPr="007F6A38" w:rsidRDefault="0086548B" w:rsidP="00DD4A25">
            <w:pPr>
              <w:pStyle w:val="TableBodyText"/>
            </w:pPr>
            <w:r w:rsidRPr="007F6A38">
              <w:t xml:space="preserve">  5.7</w:t>
            </w:r>
          </w:p>
        </w:tc>
        <w:tc>
          <w:tcPr>
            <w:tcW w:w="742" w:type="dxa"/>
            <w:gridSpan w:val="2"/>
            <w:shd w:val="clear" w:color="auto" w:fill="auto"/>
            <w:vAlign w:val="center"/>
          </w:tcPr>
          <w:p w:rsidR="0086548B" w:rsidRPr="007F6A38" w:rsidRDefault="0086548B" w:rsidP="00DD4A25">
            <w:pPr>
              <w:pStyle w:val="TableBodyText"/>
            </w:pPr>
            <w:r w:rsidRPr="007F6A38">
              <w:t xml:space="preserve">  3.0</w:t>
            </w:r>
          </w:p>
        </w:tc>
        <w:tc>
          <w:tcPr>
            <w:tcW w:w="765" w:type="dxa"/>
            <w:shd w:val="clear" w:color="auto" w:fill="auto"/>
            <w:vAlign w:val="center"/>
          </w:tcPr>
          <w:p w:rsidR="0086548B" w:rsidRPr="007F6A38" w:rsidRDefault="0086548B" w:rsidP="00DD4A25">
            <w:pPr>
              <w:pStyle w:val="TableBodyText"/>
            </w:pPr>
            <w:r w:rsidRPr="007F6A38">
              <w:t xml:space="preserve">  7.1</w:t>
            </w:r>
          </w:p>
        </w:tc>
      </w:tr>
      <w:tr w:rsidR="0086548B" w:rsidRPr="00B1236A" w:rsidTr="00DD4A25">
        <w:tc>
          <w:tcPr>
            <w:tcW w:w="8807" w:type="dxa"/>
            <w:gridSpan w:val="23"/>
            <w:shd w:val="clear" w:color="auto" w:fill="auto"/>
          </w:tcPr>
          <w:p w:rsidR="0086548B" w:rsidRPr="003906D2" w:rsidRDefault="0086548B" w:rsidP="00DD4A25">
            <w:pPr>
              <w:pStyle w:val="TableBodyText"/>
              <w:jc w:val="left"/>
              <w:rPr>
                <w:i/>
              </w:rPr>
            </w:pPr>
            <w:r w:rsidRPr="003906D2">
              <w:rPr>
                <w:i/>
              </w:rPr>
              <w:t xml:space="preserve">Primary mental health care for children and </w:t>
            </w:r>
            <w:r w:rsidRPr="00E36CD6">
              <w:rPr>
                <w:i/>
              </w:rPr>
              <w:t>young people</w:t>
            </w:r>
            <w:r w:rsidRPr="00E36CD6">
              <w:rPr>
                <w:i/>
              </w:rPr>
              <w:br/>
            </w:r>
            <w:r w:rsidRPr="00780988">
              <w:rPr>
                <w:sz w:val="16"/>
                <w:szCs w:val="16"/>
              </w:rPr>
              <w:t>Most recent data for this indicator are comparable, but not complete (chapter 12)</w:t>
            </w:r>
          </w:p>
        </w:tc>
      </w:tr>
      <w:tr w:rsidR="0086548B" w:rsidRPr="00B1236A" w:rsidTr="00DD4A25">
        <w:tc>
          <w:tcPr>
            <w:tcW w:w="8807" w:type="dxa"/>
            <w:gridSpan w:val="23"/>
            <w:shd w:val="clear" w:color="auto" w:fill="auto"/>
          </w:tcPr>
          <w:p w:rsidR="0086548B" w:rsidRPr="00B1236A" w:rsidRDefault="0086548B" w:rsidP="00DD4A25">
            <w:pPr>
              <w:pStyle w:val="TableBodyText"/>
              <w:ind w:left="142"/>
              <w:jc w:val="left"/>
            </w:pPr>
            <w:r w:rsidRPr="00B1236A">
              <w:t xml:space="preserve">Proportion of young people aged under 25 years who had contact with primary mental health care services subsidised through the </w:t>
            </w:r>
            <w:proofErr w:type="spellStart"/>
            <w:r w:rsidRPr="00780988">
              <w:t>MBS</w:t>
            </w:r>
            <w:proofErr w:type="spellEnd"/>
            <w:r w:rsidRPr="00780988">
              <w:rPr>
                <w:i/>
              </w:rPr>
              <w:t xml:space="preserve">, </w:t>
            </w:r>
            <w:r w:rsidRPr="00780988">
              <w:t>2012-13</w:t>
            </w:r>
          </w:p>
        </w:tc>
      </w:tr>
      <w:tr w:rsidR="0086548B" w:rsidRPr="00B1236A" w:rsidTr="00780988">
        <w:tc>
          <w:tcPr>
            <w:tcW w:w="1933" w:type="dxa"/>
            <w:gridSpan w:val="4"/>
            <w:shd w:val="clear" w:color="auto" w:fill="auto"/>
          </w:tcPr>
          <w:p w:rsidR="0086548B" w:rsidRPr="00B1236A" w:rsidRDefault="0086548B" w:rsidP="00DD4A25">
            <w:pPr>
              <w:pStyle w:val="TableBodyText"/>
              <w:ind w:left="284"/>
              <w:jc w:val="left"/>
            </w:pPr>
            <w:r w:rsidRPr="00B1236A">
              <w:t>Proportion</w:t>
            </w:r>
            <w:r>
              <w:t xml:space="preserve"> (%)</w:t>
            </w:r>
          </w:p>
        </w:tc>
        <w:tc>
          <w:tcPr>
            <w:tcW w:w="763" w:type="dxa"/>
            <w:gridSpan w:val="3"/>
            <w:shd w:val="clear" w:color="auto" w:fill="auto"/>
            <w:vAlign w:val="center"/>
          </w:tcPr>
          <w:p w:rsidR="0086548B" w:rsidRPr="009F373D" w:rsidRDefault="0086548B" w:rsidP="00DD4A25">
            <w:pPr>
              <w:pStyle w:val="TableBodyText"/>
            </w:pPr>
            <w:r w:rsidRPr="009F373D">
              <w:t xml:space="preserve">  5.3</w:t>
            </w:r>
          </w:p>
        </w:tc>
        <w:tc>
          <w:tcPr>
            <w:tcW w:w="762" w:type="dxa"/>
            <w:gridSpan w:val="2"/>
            <w:shd w:val="clear" w:color="auto" w:fill="auto"/>
            <w:vAlign w:val="center"/>
          </w:tcPr>
          <w:p w:rsidR="0086548B" w:rsidRPr="009F373D" w:rsidRDefault="0086548B" w:rsidP="00DD4A25">
            <w:pPr>
              <w:pStyle w:val="TableBodyText"/>
            </w:pPr>
            <w:r w:rsidRPr="009F373D">
              <w:t xml:space="preserve">  6.1</w:t>
            </w:r>
          </w:p>
        </w:tc>
        <w:tc>
          <w:tcPr>
            <w:tcW w:w="761" w:type="dxa"/>
            <w:gridSpan w:val="2"/>
            <w:shd w:val="clear" w:color="auto" w:fill="auto"/>
            <w:vAlign w:val="center"/>
          </w:tcPr>
          <w:p w:rsidR="0086548B" w:rsidRPr="009F373D" w:rsidRDefault="0086548B" w:rsidP="00DD4A25">
            <w:pPr>
              <w:pStyle w:val="TableBodyText"/>
            </w:pPr>
            <w:r w:rsidRPr="009F373D">
              <w:t xml:space="preserve">  5.0</w:t>
            </w:r>
          </w:p>
        </w:tc>
        <w:tc>
          <w:tcPr>
            <w:tcW w:w="763" w:type="dxa"/>
            <w:gridSpan w:val="2"/>
            <w:shd w:val="clear" w:color="auto" w:fill="auto"/>
            <w:vAlign w:val="center"/>
          </w:tcPr>
          <w:p w:rsidR="0086548B" w:rsidRPr="009F373D" w:rsidRDefault="0086548B" w:rsidP="00DD4A25">
            <w:pPr>
              <w:pStyle w:val="TableBodyText"/>
            </w:pPr>
            <w:r w:rsidRPr="009F373D">
              <w:t xml:space="preserve">  3.9</w:t>
            </w:r>
          </w:p>
        </w:tc>
        <w:tc>
          <w:tcPr>
            <w:tcW w:w="760" w:type="dxa"/>
            <w:gridSpan w:val="2"/>
            <w:shd w:val="clear" w:color="auto" w:fill="auto"/>
            <w:vAlign w:val="center"/>
          </w:tcPr>
          <w:p w:rsidR="0086548B" w:rsidRPr="009F373D" w:rsidRDefault="0086548B" w:rsidP="00DD4A25">
            <w:pPr>
              <w:pStyle w:val="TableBodyText"/>
            </w:pPr>
            <w:r w:rsidRPr="009F373D">
              <w:t xml:space="preserve">  5.5</w:t>
            </w:r>
          </w:p>
        </w:tc>
        <w:tc>
          <w:tcPr>
            <w:tcW w:w="764" w:type="dxa"/>
            <w:gridSpan w:val="2"/>
            <w:shd w:val="clear" w:color="auto" w:fill="auto"/>
            <w:vAlign w:val="center"/>
          </w:tcPr>
          <w:p w:rsidR="0086548B" w:rsidRPr="009F373D" w:rsidRDefault="0086548B" w:rsidP="00DD4A25">
            <w:pPr>
              <w:pStyle w:val="TableBodyText"/>
            </w:pPr>
            <w:r w:rsidRPr="009F373D">
              <w:t xml:space="preserve">  5.2</w:t>
            </w:r>
          </w:p>
        </w:tc>
        <w:tc>
          <w:tcPr>
            <w:tcW w:w="760" w:type="dxa"/>
            <w:gridSpan w:val="2"/>
            <w:shd w:val="clear" w:color="auto" w:fill="auto"/>
            <w:vAlign w:val="center"/>
          </w:tcPr>
          <w:p w:rsidR="0086548B" w:rsidRPr="009F373D" w:rsidRDefault="0086548B" w:rsidP="00DD4A25">
            <w:pPr>
              <w:pStyle w:val="TableBodyText"/>
            </w:pPr>
            <w:r w:rsidRPr="009F373D">
              <w:t xml:space="preserve">  4.6</w:t>
            </w:r>
          </w:p>
        </w:tc>
        <w:tc>
          <w:tcPr>
            <w:tcW w:w="776" w:type="dxa"/>
            <w:gridSpan w:val="3"/>
            <w:shd w:val="clear" w:color="auto" w:fill="auto"/>
            <w:vAlign w:val="center"/>
          </w:tcPr>
          <w:p w:rsidR="0086548B" w:rsidRPr="009F373D" w:rsidRDefault="0086548B" w:rsidP="00DD4A25">
            <w:pPr>
              <w:pStyle w:val="TableBodyText"/>
            </w:pPr>
            <w:r w:rsidRPr="009F373D">
              <w:t xml:space="preserve">  1.8</w:t>
            </w:r>
          </w:p>
        </w:tc>
        <w:tc>
          <w:tcPr>
            <w:tcW w:w="765" w:type="dxa"/>
            <w:shd w:val="clear" w:color="auto" w:fill="auto"/>
            <w:vAlign w:val="center"/>
          </w:tcPr>
          <w:p w:rsidR="0086548B" w:rsidRPr="009F373D" w:rsidRDefault="0086548B" w:rsidP="00DD4A25">
            <w:pPr>
              <w:pStyle w:val="TableBodyText"/>
            </w:pPr>
            <w:r w:rsidRPr="009F373D">
              <w:t xml:space="preserve">  5.2</w:t>
            </w:r>
          </w:p>
        </w:tc>
      </w:tr>
      <w:tr w:rsidR="0086548B" w:rsidRPr="005825CD" w:rsidTr="00DD4A25">
        <w:trPr>
          <w:trHeight w:val="177"/>
        </w:trPr>
        <w:tc>
          <w:tcPr>
            <w:tcW w:w="8807" w:type="dxa"/>
            <w:gridSpan w:val="23"/>
            <w:shd w:val="clear" w:color="auto" w:fill="auto"/>
          </w:tcPr>
          <w:p w:rsidR="0086548B" w:rsidRPr="00C804F5" w:rsidRDefault="0086548B" w:rsidP="00230A98">
            <w:pPr>
              <w:pStyle w:val="Source"/>
              <w:spacing w:before="60" w:after="60"/>
            </w:pPr>
            <w:r w:rsidRPr="00B5543B">
              <w:t>Source: table</w:t>
            </w:r>
            <w:r>
              <w:t>s</w:t>
            </w:r>
            <w:r w:rsidRPr="00B5543B">
              <w:t xml:space="preserve"> </w:t>
            </w:r>
            <w:proofErr w:type="spellStart"/>
            <w:r w:rsidRPr="00B5543B">
              <w:t>1</w:t>
            </w:r>
            <w:r>
              <w:t>2</w:t>
            </w:r>
            <w:r w:rsidRPr="00B5543B">
              <w:t>A.</w:t>
            </w:r>
            <w:r>
              <w:t>30</w:t>
            </w:r>
            <w:proofErr w:type="spellEnd"/>
            <w:r>
              <w:t xml:space="preserve"> and </w:t>
            </w:r>
            <w:proofErr w:type="spellStart"/>
            <w:r w:rsidRPr="00B5543B">
              <w:t>1</w:t>
            </w:r>
            <w:r>
              <w:t>2</w:t>
            </w:r>
            <w:r w:rsidRPr="00B5543B">
              <w:t>A.</w:t>
            </w:r>
            <w:r>
              <w:t>33</w:t>
            </w:r>
            <w:proofErr w:type="spellEnd"/>
            <w:r w:rsidRPr="00B5543B">
              <w:t>.</w:t>
            </w:r>
          </w:p>
        </w:tc>
      </w:tr>
      <w:tr w:rsidR="0086548B" w:rsidRPr="001C3248" w:rsidTr="00DD4A25">
        <w:trPr>
          <w:trHeight w:val="273"/>
        </w:trPr>
        <w:tc>
          <w:tcPr>
            <w:tcW w:w="8807" w:type="dxa"/>
            <w:gridSpan w:val="23"/>
            <w:shd w:val="clear" w:color="auto" w:fill="auto"/>
          </w:tcPr>
          <w:p w:rsidR="0086548B" w:rsidRPr="001C3248" w:rsidRDefault="0086548B" w:rsidP="00DD4A25">
            <w:pPr>
              <w:pStyle w:val="TableColumnHeading"/>
              <w:jc w:val="left"/>
              <w:rPr>
                <w:b/>
                <w:i w:val="0"/>
              </w:rPr>
            </w:pPr>
            <w:r w:rsidRPr="001C3248">
              <w:rPr>
                <w:b/>
                <w:i w:val="0"/>
              </w:rPr>
              <w:t>Effectiveness — Appropriateness indicators</w:t>
            </w:r>
          </w:p>
        </w:tc>
      </w:tr>
      <w:tr w:rsidR="0086548B" w:rsidRPr="00B1236A" w:rsidTr="00DD4A25">
        <w:trPr>
          <w:trHeight w:val="273"/>
        </w:trPr>
        <w:tc>
          <w:tcPr>
            <w:tcW w:w="8807" w:type="dxa"/>
            <w:gridSpan w:val="23"/>
            <w:shd w:val="clear" w:color="auto" w:fill="auto"/>
          </w:tcPr>
          <w:p w:rsidR="0086548B" w:rsidRPr="00B1236A" w:rsidRDefault="0086548B" w:rsidP="00DD4A25">
            <w:pPr>
              <w:pStyle w:val="TableColumnHeading"/>
              <w:jc w:val="left"/>
            </w:pPr>
            <w:r w:rsidRPr="00B1236A">
              <w:t>Services reviewed against national standards</w:t>
            </w:r>
            <w:r w:rsidRPr="00B1236A">
              <w:br/>
            </w:r>
            <w:r w:rsidRPr="00780988">
              <w:rPr>
                <w:i w:val="0"/>
                <w:sz w:val="16"/>
                <w:szCs w:val="16"/>
              </w:rPr>
              <w:t>Most recent data for this indicator are complete, but not complete (chapter 12)</w:t>
            </w:r>
          </w:p>
        </w:tc>
      </w:tr>
      <w:tr w:rsidR="0086548B" w:rsidRPr="00B1236A" w:rsidTr="00DD4A25">
        <w:tc>
          <w:tcPr>
            <w:tcW w:w="8807" w:type="dxa"/>
            <w:gridSpan w:val="23"/>
            <w:shd w:val="clear" w:color="auto" w:fill="auto"/>
          </w:tcPr>
          <w:p w:rsidR="0086548B" w:rsidRPr="00B1236A" w:rsidRDefault="0086548B" w:rsidP="00DD4A25">
            <w:pPr>
              <w:pStyle w:val="TableBodyText"/>
              <w:ind w:left="142"/>
              <w:jc w:val="left"/>
            </w:pPr>
            <w:r w:rsidRPr="00B1236A">
              <w:t>Proportion of specialised public mental health services that had completed an external review against national standards and were assessed as meeting ‘all Standards’ (level 1</w:t>
            </w:r>
            <w:r w:rsidRPr="00780988">
              <w:t>), June 2012</w:t>
            </w:r>
            <w:r w:rsidRPr="00B1236A">
              <w:t xml:space="preserve"> </w:t>
            </w:r>
          </w:p>
        </w:tc>
      </w:tr>
      <w:tr w:rsidR="0086548B" w:rsidRPr="00B1236A" w:rsidTr="00780988">
        <w:tc>
          <w:tcPr>
            <w:tcW w:w="251" w:type="dxa"/>
            <w:gridSpan w:val="2"/>
            <w:tcBorders>
              <w:bottom w:val="single" w:sz="4" w:space="0" w:color="auto"/>
            </w:tcBorders>
            <w:shd w:val="clear" w:color="auto" w:fill="auto"/>
          </w:tcPr>
          <w:p w:rsidR="0086548B" w:rsidRPr="00B1236A" w:rsidRDefault="0086548B" w:rsidP="00DD4A25">
            <w:pPr>
              <w:pStyle w:val="TableBodyText"/>
              <w:jc w:val="left"/>
              <w:rPr>
                <w:vertAlign w:val="superscript"/>
              </w:rPr>
            </w:pPr>
          </w:p>
        </w:tc>
        <w:tc>
          <w:tcPr>
            <w:tcW w:w="1682" w:type="dxa"/>
            <w:gridSpan w:val="2"/>
            <w:tcBorders>
              <w:bottom w:val="single" w:sz="4" w:space="0" w:color="auto"/>
            </w:tcBorders>
            <w:shd w:val="clear" w:color="auto" w:fill="auto"/>
          </w:tcPr>
          <w:p w:rsidR="0086548B" w:rsidRPr="00B1236A" w:rsidRDefault="0086548B" w:rsidP="00DD4A25">
            <w:pPr>
              <w:pStyle w:val="TableBodyText"/>
              <w:jc w:val="left"/>
            </w:pPr>
            <w:r w:rsidRPr="00B1236A">
              <w:t>Proportion</w:t>
            </w:r>
            <w:r>
              <w:t xml:space="preserve"> (%)</w:t>
            </w:r>
          </w:p>
        </w:tc>
        <w:tc>
          <w:tcPr>
            <w:tcW w:w="763" w:type="dxa"/>
            <w:gridSpan w:val="3"/>
            <w:tcBorders>
              <w:bottom w:val="single" w:sz="4" w:space="0" w:color="auto"/>
            </w:tcBorders>
            <w:shd w:val="clear" w:color="auto" w:fill="auto"/>
            <w:vAlign w:val="center"/>
          </w:tcPr>
          <w:p w:rsidR="0086548B" w:rsidRPr="009F373D" w:rsidRDefault="0086548B" w:rsidP="00DD4A25">
            <w:pPr>
              <w:pStyle w:val="TableBodyText"/>
            </w:pPr>
            <w:r w:rsidRPr="009F373D">
              <w:t xml:space="preserve">  72.9</w:t>
            </w:r>
          </w:p>
        </w:tc>
        <w:tc>
          <w:tcPr>
            <w:tcW w:w="762"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63.4</w:t>
            </w:r>
          </w:p>
        </w:tc>
        <w:tc>
          <w:tcPr>
            <w:tcW w:w="761"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99.7</w:t>
            </w:r>
          </w:p>
        </w:tc>
        <w:tc>
          <w:tcPr>
            <w:tcW w:w="763"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62.9</w:t>
            </w:r>
          </w:p>
        </w:tc>
        <w:tc>
          <w:tcPr>
            <w:tcW w:w="760"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41.7</w:t>
            </w:r>
          </w:p>
        </w:tc>
        <w:tc>
          <w:tcPr>
            <w:tcW w:w="764"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w:t>
            </w:r>
          </w:p>
        </w:tc>
        <w:tc>
          <w:tcPr>
            <w:tcW w:w="760"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100.0</w:t>
            </w:r>
          </w:p>
        </w:tc>
        <w:tc>
          <w:tcPr>
            <w:tcW w:w="764"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100.0</w:t>
            </w:r>
          </w:p>
        </w:tc>
        <w:tc>
          <w:tcPr>
            <w:tcW w:w="777" w:type="dxa"/>
            <w:gridSpan w:val="2"/>
            <w:tcBorders>
              <w:bottom w:val="single" w:sz="4" w:space="0" w:color="auto"/>
            </w:tcBorders>
            <w:shd w:val="clear" w:color="auto" w:fill="auto"/>
            <w:vAlign w:val="center"/>
          </w:tcPr>
          <w:p w:rsidR="0086548B" w:rsidRPr="009F373D" w:rsidRDefault="0086548B" w:rsidP="00DD4A25">
            <w:pPr>
              <w:pStyle w:val="TableBodyText"/>
            </w:pPr>
            <w:r w:rsidRPr="009F373D">
              <w:t xml:space="preserve">  71.5</w:t>
            </w:r>
          </w:p>
        </w:tc>
      </w:tr>
      <w:tr w:rsidR="00E32399" w:rsidRPr="00B1236A" w:rsidTr="00E32399">
        <w:trPr>
          <w:trHeight w:val="273"/>
        </w:trPr>
        <w:tc>
          <w:tcPr>
            <w:tcW w:w="8807" w:type="dxa"/>
            <w:gridSpan w:val="23"/>
            <w:shd w:val="clear" w:color="auto" w:fill="auto"/>
          </w:tcPr>
          <w:p w:rsidR="00E32399" w:rsidRPr="00B1236A" w:rsidRDefault="00E32399" w:rsidP="00E32399">
            <w:pPr>
              <w:pStyle w:val="TableColumnHeading"/>
              <w:jc w:val="left"/>
            </w:pPr>
            <w:r w:rsidRPr="00B1236A">
              <w:t>Services provided in the appropriate setting</w:t>
            </w:r>
            <w:r w:rsidRPr="00B1236A">
              <w:br/>
            </w:r>
            <w:r w:rsidRPr="00A6710E">
              <w:rPr>
                <w:sz w:val="16"/>
                <w:szCs w:val="16"/>
              </w:rPr>
              <w:t>M</w:t>
            </w:r>
            <w:r w:rsidRPr="00A6710E">
              <w:rPr>
                <w:i w:val="0"/>
                <w:sz w:val="16"/>
                <w:szCs w:val="16"/>
              </w:rPr>
              <w:t>ost recent data for this measure are comparable and complete (chapter 12)</w:t>
            </w:r>
          </w:p>
        </w:tc>
      </w:tr>
      <w:tr w:rsidR="00E32399" w:rsidRPr="00B1236A" w:rsidTr="00E32399">
        <w:tc>
          <w:tcPr>
            <w:tcW w:w="8807" w:type="dxa"/>
            <w:gridSpan w:val="23"/>
            <w:shd w:val="clear" w:color="auto" w:fill="auto"/>
          </w:tcPr>
          <w:p w:rsidR="00E32399" w:rsidRPr="00B1236A" w:rsidRDefault="00E32399" w:rsidP="00E32399">
            <w:pPr>
              <w:pStyle w:val="TableBodyText"/>
              <w:ind w:left="142"/>
              <w:jc w:val="left"/>
            </w:pPr>
            <w:r w:rsidRPr="00B1236A">
              <w:t>Recurrent expenditure on community-based services as a proportion of total expenditure on mental health services</w:t>
            </w:r>
            <w:r w:rsidRPr="00A6710E">
              <w:t>, 2011-12</w:t>
            </w:r>
          </w:p>
        </w:tc>
      </w:tr>
      <w:tr w:rsidR="00E32399" w:rsidRPr="00B1236A" w:rsidTr="00E32399">
        <w:tc>
          <w:tcPr>
            <w:tcW w:w="261" w:type="dxa"/>
            <w:gridSpan w:val="3"/>
            <w:shd w:val="clear" w:color="auto" w:fill="auto"/>
          </w:tcPr>
          <w:p w:rsidR="00E32399" w:rsidRPr="00B1236A" w:rsidRDefault="00E32399" w:rsidP="00E32399">
            <w:pPr>
              <w:pStyle w:val="TableBodyText"/>
              <w:jc w:val="left"/>
              <w:rPr>
                <w:vertAlign w:val="superscript"/>
              </w:rPr>
            </w:pPr>
          </w:p>
        </w:tc>
        <w:tc>
          <w:tcPr>
            <w:tcW w:w="1682" w:type="dxa"/>
            <w:gridSpan w:val="2"/>
            <w:shd w:val="clear" w:color="auto" w:fill="auto"/>
          </w:tcPr>
          <w:p w:rsidR="00E32399" w:rsidRPr="00B1236A" w:rsidRDefault="00E32399" w:rsidP="00E32399">
            <w:pPr>
              <w:pStyle w:val="TableBodyText"/>
              <w:jc w:val="left"/>
            </w:pPr>
            <w:r w:rsidRPr="00B1236A">
              <w:t>Proportion</w:t>
            </w:r>
            <w:r>
              <w:t xml:space="preserve"> (%)</w:t>
            </w:r>
          </w:p>
        </w:tc>
        <w:tc>
          <w:tcPr>
            <w:tcW w:w="758" w:type="dxa"/>
            <w:gridSpan w:val="2"/>
            <w:shd w:val="clear" w:color="auto" w:fill="auto"/>
            <w:vAlign w:val="center"/>
          </w:tcPr>
          <w:p w:rsidR="00E32399" w:rsidRPr="009F373D" w:rsidRDefault="00E32399" w:rsidP="00E32399">
            <w:pPr>
              <w:pStyle w:val="TableBodyText"/>
            </w:pPr>
            <w:r w:rsidRPr="009F373D">
              <w:t xml:space="preserve">  43.5</w:t>
            </w:r>
          </w:p>
        </w:tc>
        <w:tc>
          <w:tcPr>
            <w:tcW w:w="762" w:type="dxa"/>
            <w:gridSpan w:val="2"/>
            <w:shd w:val="clear" w:color="auto" w:fill="auto"/>
            <w:vAlign w:val="center"/>
          </w:tcPr>
          <w:p w:rsidR="00E32399" w:rsidRPr="009F373D" w:rsidRDefault="00E32399" w:rsidP="00E32399">
            <w:pPr>
              <w:pStyle w:val="TableBodyText"/>
            </w:pPr>
            <w:r w:rsidRPr="009F373D">
              <w:t xml:space="preserve">  64.2</w:t>
            </w:r>
          </w:p>
        </w:tc>
        <w:tc>
          <w:tcPr>
            <w:tcW w:w="761" w:type="dxa"/>
            <w:gridSpan w:val="2"/>
            <w:shd w:val="clear" w:color="auto" w:fill="auto"/>
            <w:vAlign w:val="center"/>
          </w:tcPr>
          <w:p w:rsidR="00E32399" w:rsidRPr="009F373D" w:rsidRDefault="00E32399" w:rsidP="00E32399">
            <w:pPr>
              <w:pStyle w:val="TableBodyText"/>
            </w:pPr>
            <w:r w:rsidRPr="009F373D">
              <w:t xml:space="preserve">  56.3</w:t>
            </w:r>
          </w:p>
        </w:tc>
        <w:tc>
          <w:tcPr>
            <w:tcW w:w="763" w:type="dxa"/>
            <w:gridSpan w:val="2"/>
            <w:shd w:val="clear" w:color="auto" w:fill="auto"/>
            <w:vAlign w:val="center"/>
          </w:tcPr>
          <w:p w:rsidR="00E32399" w:rsidRPr="009F373D" w:rsidRDefault="00E32399" w:rsidP="00E32399">
            <w:pPr>
              <w:pStyle w:val="TableBodyText"/>
            </w:pPr>
            <w:r w:rsidRPr="009F373D">
              <w:t xml:space="preserve">  53.4</w:t>
            </w:r>
          </w:p>
        </w:tc>
        <w:tc>
          <w:tcPr>
            <w:tcW w:w="760" w:type="dxa"/>
            <w:gridSpan w:val="2"/>
            <w:shd w:val="clear" w:color="auto" w:fill="auto"/>
            <w:vAlign w:val="center"/>
          </w:tcPr>
          <w:p w:rsidR="00E32399" w:rsidRPr="009F373D" w:rsidRDefault="00E32399" w:rsidP="00E32399">
            <w:pPr>
              <w:pStyle w:val="TableBodyText"/>
            </w:pPr>
            <w:r w:rsidRPr="009F373D">
              <w:t xml:space="preserve">  58.8</w:t>
            </w:r>
          </w:p>
        </w:tc>
        <w:tc>
          <w:tcPr>
            <w:tcW w:w="759" w:type="dxa"/>
            <w:gridSpan w:val="2"/>
            <w:shd w:val="clear" w:color="auto" w:fill="auto"/>
            <w:vAlign w:val="center"/>
          </w:tcPr>
          <w:p w:rsidR="00E32399" w:rsidRPr="009F373D" w:rsidRDefault="00E32399" w:rsidP="00E32399">
            <w:pPr>
              <w:pStyle w:val="TableBodyText"/>
            </w:pPr>
            <w:r w:rsidRPr="009F373D">
              <w:t xml:space="preserve">  56.8</w:t>
            </w:r>
          </w:p>
        </w:tc>
        <w:tc>
          <w:tcPr>
            <w:tcW w:w="760" w:type="dxa"/>
            <w:gridSpan w:val="2"/>
            <w:shd w:val="clear" w:color="auto" w:fill="auto"/>
            <w:vAlign w:val="center"/>
          </w:tcPr>
          <w:p w:rsidR="00E32399" w:rsidRPr="009F373D" w:rsidRDefault="00E32399" w:rsidP="00E32399">
            <w:pPr>
              <w:pStyle w:val="TableBodyText"/>
            </w:pPr>
            <w:r w:rsidRPr="009F373D">
              <w:t xml:space="preserve">  74.4</w:t>
            </w:r>
          </w:p>
        </w:tc>
        <w:tc>
          <w:tcPr>
            <w:tcW w:w="764" w:type="dxa"/>
            <w:gridSpan w:val="2"/>
            <w:shd w:val="clear" w:color="auto" w:fill="auto"/>
            <w:vAlign w:val="center"/>
          </w:tcPr>
          <w:p w:rsidR="00E32399" w:rsidRPr="009F373D" w:rsidRDefault="00E32399" w:rsidP="00E32399">
            <w:pPr>
              <w:pStyle w:val="TableBodyText"/>
            </w:pPr>
            <w:r w:rsidRPr="009F373D">
              <w:t xml:space="preserve">  63.9</w:t>
            </w:r>
          </w:p>
        </w:tc>
        <w:tc>
          <w:tcPr>
            <w:tcW w:w="777" w:type="dxa"/>
            <w:gridSpan w:val="2"/>
            <w:shd w:val="clear" w:color="auto" w:fill="auto"/>
            <w:vAlign w:val="center"/>
          </w:tcPr>
          <w:p w:rsidR="00E32399" w:rsidRPr="009F373D" w:rsidRDefault="00E32399" w:rsidP="00E32399">
            <w:pPr>
              <w:pStyle w:val="TableBodyText"/>
            </w:pPr>
            <w:r w:rsidRPr="009F373D">
              <w:t xml:space="preserve">  54.2</w:t>
            </w:r>
          </w:p>
        </w:tc>
      </w:tr>
      <w:tr w:rsidR="00274BF7" w:rsidRPr="00B1236A" w:rsidTr="00DD4A25">
        <w:tc>
          <w:tcPr>
            <w:tcW w:w="8807" w:type="dxa"/>
            <w:gridSpan w:val="23"/>
            <w:tcBorders>
              <w:top w:val="single" w:sz="4" w:space="0" w:color="auto"/>
            </w:tcBorders>
            <w:shd w:val="clear" w:color="auto" w:fill="auto"/>
          </w:tcPr>
          <w:p w:rsidR="00274BF7" w:rsidRPr="00B1236A" w:rsidRDefault="00274BF7" w:rsidP="00230A98">
            <w:pPr>
              <w:pStyle w:val="Continued"/>
              <w:spacing w:before="120"/>
            </w:pPr>
            <w:r>
              <w:t>(</w:t>
            </w:r>
            <w:r w:rsidRPr="00577BF4">
              <w:t>Continued</w:t>
            </w:r>
            <w:r>
              <w:t xml:space="preserve"> next page)</w:t>
            </w:r>
          </w:p>
        </w:tc>
      </w:tr>
    </w:tbl>
    <w:p w:rsidR="00274BF7" w:rsidRPr="00274BF7" w:rsidRDefault="00274BF7" w:rsidP="00274BF7">
      <w:pPr>
        <w:pStyle w:val="TableTitle"/>
        <w:rPr>
          <w:vertAlign w:val="superscript"/>
        </w:rPr>
      </w:pPr>
      <w:r w:rsidRPr="002C2448">
        <w:rPr>
          <w:b w:val="0"/>
        </w:rPr>
        <w:lastRenderedPageBreak/>
        <w:t xml:space="preserve">Table </w:t>
      </w:r>
      <w:proofErr w:type="spellStart"/>
      <w:r>
        <w:rPr>
          <w:b w:val="0"/>
        </w:rPr>
        <w:t>E.</w:t>
      </w:r>
      <w:r w:rsidR="00C01FBD">
        <w:rPr>
          <w:b w:val="0"/>
          <w:noProof/>
        </w:rPr>
        <w:t>9</w:t>
      </w:r>
      <w:proofErr w:type="spellEnd"/>
      <w:r w:rsidRPr="002C2448">
        <w:rPr>
          <w:b w:val="0"/>
        </w:rPr>
        <w:tab/>
      </w:r>
      <w:r w:rsidRPr="0086548B">
        <w:rPr>
          <w:sz w:val="18"/>
          <w:szCs w:val="18"/>
        </w:rPr>
        <w:t>(Continued)</w:t>
      </w:r>
    </w:p>
    <w:tbl>
      <w:tblPr>
        <w:tblW w:w="8807" w:type="dxa"/>
        <w:shd w:val="clear" w:color="auto" w:fill="FBD4B4" w:themeFill="accent6" w:themeFillTint="66"/>
        <w:tblLayout w:type="fixed"/>
        <w:tblCellMar>
          <w:left w:w="0" w:type="dxa"/>
          <w:right w:w="0" w:type="dxa"/>
        </w:tblCellMar>
        <w:tblLook w:val="0000" w:firstRow="0" w:lastRow="0" w:firstColumn="0" w:lastColumn="0" w:noHBand="0" w:noVBand="0"/>
      </w:tblPr>
      <w:tblGrid>
        <w:gridCol w:w="334"/>
        <w:gridCol w:w="1503"/>
        <w:gridCol w:w="208"/>
        <w:gridCol w:w="564"/>
        <w:gridCol w:w="186"/>
        <w:gridCol w:w="586"/>
        <w:gridCol w:w="163"/>
        <w:gridCol w:w="608"/>
        <w:gridCol w:w="140"/>
        <w:gridCol w:w="631"/>
        <w:gridCol w:w="120"/>
        <w:gridCol w:w="653"/>
        <w:gridCol w:w="95"/>
        <w:gridCol w:w="676"/>
        <w:gridCol w:w="74"/>
        <w:gridCol w:w="700"/>
        <w:gridCol w:w="48"/>
        <w:gridCol w:w="741"/>
        <w:gridCol w:w="12"/>
        <w:gridCol w:w="765"/>
      </w:tblGrid>
      <w:tr w:rsidR="00274BF7" w:rsidRPr="004C2CF4" w:rsidTr="00DD4A25">
        <w:trPr>
          <w:cantSplit/>
          <w:tblHeader/>
        </w:trPr>
        <w:tc>
          <w:tcPr>
            <w:tcW w:w="2045" w:type="dxa"/>
            <w:gridSpan w:val="3"/>
            <w:tcBorders>
              <w:top w:val="single" w:sz="6" w:space="0" w:color="auto"/>
              <w:bottom w:val="single" w:sz="6" w:space="0" w:color="auto"/>
            </w:tcBorders>
            <w:shd w:val="clear" w:color="auto" w:fill="auto"/>
          </w:tcPr>
          <w:p w:rsidR="00274BF7" w:rsidRPr="00B817EA" w:rsidRDefault="00274BF7" w:rsidP="00DD4A25">
            <w:pPr>
              <w:pStyle w:val="TableColumnHeading"/>
              <w:jc w:val="left"/>
            </w:pPr>
          </w:p>
        </w:tc>
        <w:tc>
          <w:tcPr>
            <w:tcW w:w="750"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NSW</w:t>
            </w:r>
          </w:p>
        </w:tc>
        <w:tc>
          <w:tcPr>
            <w:tcW w:w="749"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Vic</w:t>
            </w:r>
          </w:p>
        </w:tc>
        <w:tc>
          <w:tcPr>
            <w:tcW w:w="748"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Qld</w:t>
            </w:r>
          </w:p>
        </w:tc>
        <w:tc>
          <w:tcPr>
            <w:tcW w:w="751"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WA</w:t>
            </w:r>
          </w:p>
        </w:tc>
        <w:tc>
          <w:tcPr>
            <w:tcW w:w="748"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SA</w:t>
            </w:r>
          </w:p>
        </w:tc>
        <w:tc>
          <w:tcPr>
            <w:tcW w:w="750"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proofErr w:type="spellStart"/>
            <w:r w:rsidRPr="00B817EA">
              <w:t>Tas</w:t>
            </w:r>
            <w:proofErr w:type="spellEnd"/>
          </w:p>
        </w:tc>
        <w:tc>
          <w:tcPr>
            <w:tcW w:w="748"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ACT</w:t>
            </w:r>
          </w:p>
        </w:tc>
        <w:tc>
          <w:tcPr>
            <w:tcW w:w="753" w:type="dxa"/>
            <w:gridSpan w:val="2"/>
            <w:tcBorders>
              <w:top w:val="single" w:sz="6" w:space="0" w:color="auto"/>
              <w:bottom w:val="single" w:sz="6" w:space="0" w:color="auto"/>
            </w:tcBorders>
            <w:shd w:val="clear" w:color="auto" w:fill="auto"/>
          </w:tcPr>
          <w:p w:rsidR="00274BF7" w:rsidRPr="00B817EA" w:rsidRDefault="00274BF7" w:rsidP="00DD4A25">
            <w:pPr>
              <w:pStyle w:val="TableColumnHeading"/>
            </w:pPr>
            <w:r w:rsidRPr="00B817EA">
              <w:t>NT</w:t>
            </w:r>
          </w:p>
        </w:tc>
        <w:tc>
          <w:tcPr>
            <w:tcW w:w="765" w:type="dxa"/>
            <w:tcBorders>
              <w:top w:val="single" w:sz="6" w:space="0" w:color="auto"/>
              <w:bottom w:val="single" w:sz="6" w:space="0" w:color="auto"/>
            </w:tcBorders>
            <w:shd w:val="clear" w:color="auto" w:fill="auto"/>
          </w:tcPr>
          <w:p w:rsidR="00274BF7" w:rsidRPr="004C2CF4" w:rsidRDefault="00274BF7" w:rsidP="00DD4A25">
            <w:pPr>
              <w:pStyle w:val="TableColumnHeading"/>
            </w:pPr>
            <w:proofErr w:type="spellStart"/>
            <w:r w:rsidRPr="00B817EA">
              <w:t>Aust</w:t>
            </w:r>
            <w:proofErr w:type="spellEnd"/>
          </w:p>
        </w:tc>
      </w:tr>
      <w:tr w:rsidR="0086548B" w:rsidRPr="00B1236A" w:rsidTr="00DD4A25">
        <w:trPr>
          <w:trHeight w:val="273"/>
        </w:trPr>
        <w:tc>
          <w:tcPr>
            <w:tcW w:w="8807" w:type="dxa"/>
            <w:gridSpan w:val="20"/>
            <w:shd w:val="clear" w:color="auto" w:fill="auto"/>
          </w:tcPr>
          <w:p w:rsidR="0086548B" w:rsidRDefault="0086548B" w:rsidP="00DD4A25">
            <w:pPr>
              <w:pStyle w:val="TableColumnHeading"/>
              <w:jc w:val="left"/>
            </w:pPr>
            <w:r w:rsidRPr="00B1236A">
              <w:rPr>
                <w:rFonts w:ascii="Times New Roman" w:hAnsi="Times New Roman"/>
                <w:i w:val="0"/>
                <w:sz w:val="26"/>
                <w:szCs w:val="24"/>
              </w:rPr>
              <w:br w:type="page"/>
            </w:r>
            <w:r w:rsidRPr="00B1236A">
              <w:t>Collection of information on consumers outcomes</w:t>
            </w:r>
          </w:p>
          <w:p w:rsidR="0086548B" w:rsidRPr="00B1236A" w:rsidRDefault="0086548B" w:rsidP="00DD4A25">
            <w:pPr>
              <w:pStyle w:val="TableColumnHeading"/>
              <w:jc w:val="left"/>
            </w:pPr>
            <w:r w:rsidRPr="00A6710E">
              <w:rPr>
                <w:i w:val="0"/>
                <w:sz w:val="16"/>
                <w:szCs w:val="16"/>
              </w:rPr>
              <w:t xml:space="preserve">Most recent data for this measure are comparable, but not complete (chapter 12) </w:t>
            </w:r>
            <w:r w:rsidRPr="00A6710E">
              <w:rPr>
                <w:i w:val="0"/>
              </w:rPr>
              <w:t xml:space="preserve"> </w:t>
            </w:r>
          </w:p>
        </w:tc>
      </w:tr>
      <w:tr w:rsidR="0086548B" w:rsidRPr="00B1236A" w:rsidTr="00DD4A25">
        <w:tc>
          <w:tcPr>
            <w:tcW w:w="8807" w:type="dxa"/>
            <w:gridSpan w:val="20"/>
            <w:shd w:val="clear" w:color="auto" w:fill="auto"/>
          </w:tcPr>
          <w:p w:rsidR="0086548B" w:rsidRPr="00B1236A" w:rsidRDefault="0086548B" w:rsidP="00DD4A25">
            <w:pPr>
              <w:pStyle w:val="TableBodyText"/>
              <w:ind w:left="142"/>
              <w:jc w:val="left"/>
            </w:pPr>
            <w:r w:rsidRPr="00B1236A">
              <w:t xml:space="preserve">Proportion of episodes with completed consumer outcomes measures collected for people in specialised public mental health services </w:t>
            </w:r>
            <w:r w:rsidRPr="00B1236A">
              <w:rPr>
                <w:rFonts w:cs="Arial"/>
              </w:rPr>
              <w:t>—</w:t>
            </w:r>
            <w:r w:rsidRPr="00B1236A">
              <w:t xml:space="preserve"> ongoing</w:t>
            </w:r>
            <w:r w:rsidRPr="00B1236A">
              <w:rPr>
                <w:rFonts w:cs="Arial"/>
              </w:rPr>
              <w:t xml:space="preserve"> </w:t>
            </w:r>
            <w:r w:rsidRPr="00A6710E">
              <w:t>community care, 2011-12</w:t>
            </w:r>
          </w:p>
        </w:tc>
      </w:tr>
      <w:tr w:rsidR="0086548B" w:rsidRPr="00B1236A" w:rsidTr="00A6710E">
        <w:tc>
          <w:tcPr>
            <w:tcW w:w="334" w:type="dxa"/>
            <w:shd w:val="clear" w:color="auto" w:fill="auto"/>
          </w:tcPr>
          <w:p w:rsidR="0086548B" w:rsidRPr="00B1236A" w:rsidRDefault="0086548B" w:rsidP="00DD4A25">
            <w:pPr>
              <w:pStyle w:val="TableBodyText"/>
              <w:jc w:val="left"/>
              <w:rPr>
                <w:vertAlign w:val="superscript"/>
              </w:rPr>
            </w:pPr>
          </w:p>
        </w:tc>
        <w:tc>
          <w:tcPr>
            <w:tcW w:w="1711" w:type="dxa"/>
            <w:gridSpan w:val="2"/>
            <w:shd w:val="clear" w:color="auto" w:fill="auto"/>
          </w:tcPr>
          <w:p w:rsidR="0086548B" w:rsidRPr="00B1236A" w:rsidRDefault="0086548B" w:rsidP="00DD4A25">
            <w:pPr>
              <w:pStyle w:val="TableBodyText"/>
              <w:jc w:val="left"/>
            </w:pPr>
            <w:r w:rsidRPr="00B1236A">
              <w:t>Proportion</w:t>
            </w:r>
            <w:r>
              <w:t xml:space="preserve"> (%)</w:t>
            </w:r>
          </w:p>
        </w:tc>
        <w:tc>
          <w:tcPr>
            <w:tcW w:w="750" w:type="dxa"/>
            <w:gridSpan w:val="2"/>
            <w:shd w:val="clear" w:color="auto" w:fill="auto"/>
            <w:vAlign w:val="center"/>
          </w:tcPr>
          <w:p w:rsidR="0086548B" w:rsidRPr="005D67CD" w:rsidRDefault="0086548B" w:rsidP="00DD4A25">
            <w:pPr>
              <w:pStyle w:val="TableBodyText"/>
            </w:pPr>
            <w:r w:rsidRPr="005D67CD">
              <w:t xml:space="preserve">  21.1</w:t>
            </w:r>
          </w:p>
        </w:tc>
        <w:tc>
          <w:tcPr>
            <w:tcW w:w="749" w:type="dxa"/>
            <w:gridSpan w:val="2"/>
            <w:shd w:val="clear" w:color="auto" w:fill="auto"/>
            <w:vAlign w:val="center"/>
          </w:tcPr>
          <w:p w:rsidR="0086548B" w:rsidRPr="005D67CD" w:rsidRDefault="0086548B" w:rsidP="00DD4A25">
            <w:pPr>
              <w:pStyle w:val="TableBodyText"/>
            </w:pPr>
            <w:proofErr w:type="spellStart"/>
            <w:r w:rsidRPr="005D67CD">
              <w:t>na</w:t>
            </w:r>
            <w:proofErr w:type="spellEnd"/>
          </w:p>
        </w:tc>
        <w:tc>
          <w:tcPr>
            <w:tcW w:w="748" w:type="dxa"/>
            <w:gridSpan w:val="2"/>
            <w:shd w:val="clear" w:color="auto" w:fill="auto"/>
            <w:vAlign w:val="center"/>
          </w:tcPr>
          <w:p w:rsidR="0086548B" w:rsidRPr="005D67CD" w:rsidRDefault="0086548B" w:rsidP="00DD4A25">
            <w:pPr>
              <w:pStyle w:val="TableBodyText"/>
            </w:pPr>
            <w:r w:rsidRPr="005D67CD">
              <w:t xml:space="preserve">  34.1</w:t>
            </w:r>
          </w:p>
        </w:tc>
        <w:tc>
          <w:tcPr>
            <w:tcW w:w="751" w:type="dxa"/>
            <w:gridSpan w:val="2"/>
            <w:shd w:val="clear" w:color="auto" w:fill="auto"/>
            <w:vAlign w:val="center"/>
          </w:tcPr>
          <w:p w:rsidR="0086548B" w:rsidRPr="005D67CD" w:rsidRDefault="0086548B" w:rsidP="00DD4A25">
            <w:pPr>
              <w:pStyle w:val="TableBodyText"/>
            </w:pPr>
            <w:r w:rsidRPr="005D67CD">
              <w:t xml:space="preserve">  29.1</w:t>
            </w:r>
          </w:p>
        </w:tc>
        <w:tc>
          <w:tcPr>
            <w:tcW w:w="748" w:type="dxa"/>
            <w:gridSpan w:val="2"/>
            <w:shd w:val="clear" w:color="auto" w:fill="auto"/>
            <w:vAlign w:val="center"/>
          </w:tcPr>
          <w:p w:rsidR="0086548B" w:rsidRPr="005D67CD" w:rsidRDefault="0086548B" w:rsidP="00DD4A25">
            <w:pPr>
              <w:pStyle w:val="TableBodyText"/>
            </w:pPr>
            <w:r w:rsidRPr="005D67CD">
              <w:t xml:space="preserve">  34.8</w:t>
            </w:r>
          </w:p>
        </w:tc>
        <w:tc>
          <w:tcPr>
            <w:tcW w:w="750" w:type="dxa"/>
            <w:gridSpan w:val="2"/>
            <w:shd w:val="clear" w:color="auto" w:fill="auto"/>
            <w:vAlign w:val="center"/>
          </w:tcPr>
          <w:p w:rsidR="0086548B" w:rsidRPr="005D67CD" w:rsidRDefault="0086548B" w:rsidP="00DD4A25">
            <w:pPr>
              <w:pStyle w:val="TableBodyText"/>
            </w:pPr>
            <w:r w:rsidRPr="005D67CD">
              <w:t xml:space="preserve">  23.3</w:t>
            </w:r>
          </w:p>
        </w:tc>
        <w:tc>
          <w:tcPr>
            <w:tcW w:w="748" w:type="dxa"/>
            <w:gridSpan w:val="2"/>
            <w:shd w:val="clear" w:color="auto" w:fill="auto"/>
            <w:vAlign w:val="center"/>
          </w:tcPr>
          <w:p w:rsidR="0086548B" w:rsidRPr="005D67CD" w:rsidRDefault="0086548B" w:rsidP="00DD4A25">
            <w:pPr>
              <w:pStyle w:val="TableBodyText"/>
            </w:pPr>
            <w:r w:rsidRPr="005D67CD">
              <w:t xml:space="preserve">  7.8</w:t>
            </w:r>
          </w:p>
        </w:tc>
        <w:tc>
          <w:tcPr>
            <w:tcW w:w="753" w:type="dxa"/>
            <w:gridSpan w:val="2"/>
            <w:shd w:val="clear" w:color="auto" w:fill="auto"/>
            <w:vAlign w:val="center"/>
          </w:tcPr>
          <w:p w:rsidR="0086548B" w:rsidRPr="005D67CD" w:rsidRDefault="0086548B" w:rsidP="00DD4A25">
            <w:pPr>
              <w:pStyle w:val="TableBodyText"/>
            </w:pPr>
            <w:r w:rsidRPr="005D67CD">
              <w:t xml:space="preserve">  19.7</w:t>
            </w:r>
          </w:p>
        </w:tc>
        <w:tc>
          <w:tcPr>
            <w:tcW w:w="765" w:type="dxa"/>
            <w:shd w:val="clear" w:color="auto" w:fill="auto"/>
            <w:vAlign w:val="center"/>
          </w:tcPr>
          <w:p w:rsidR="0086548B" w:rsidRPr="005D67CD" w:rsidRDefault="0086548B" w:rsidP="00DD4A25">
            <w:pPr>
              <w:pStyle w:val="TableBodyText"/>
            </w:pPr>
            <w:r w:rsidRPr="005D67CD">
              <w:t xml:space="preserve">  26.5</w:t>
            </w:r>
          </w:p>
        </w:tc>
      </w:tr>
      <w:tr w:rsidR="0086548B" w:rsidRPr="005825CD" w:rsidTr="00DD4A25">
        <w:trPr>
          <w:trHeight w:val="177"/>
        </w:trPr>
        <w:tc>
          <w:tcPr>
            <w:tcW w:w="8807" w:type="dxa"/>
            <w:gridSpan w:val="20"/>
            <w:shd w:val="clear" w:color="auto" w:fill="auto"/>
          </w:tcPr>
          <w:p w:rsidR="0086548B" w:rsidRPr="00C804F5" w:rsidRDefault="0086548B" w:rsidP="00DD4A25">
            <w:pPr>
              <w:pStyle w:val="Source"/>
            </w:pPr>
            <w:r w:rsidRPr="00B5543B">
              <w:t>Source: table</w:t>
            </w:r>
            <w:r>
              <w:t>s</w:t>
            </w:r>
            <w:r w:rsidRPr="00B5543B">
              <w:t xml:space="preserve"> </w:t>
            </w:r>
            <w:proofErr w:type="spellStart"/>
            <w:r w:rsidRPr="00B5543B">
              <w:t>1</w:t>
            </w:r>
            <w:r>
              <w:t>2</w:t>
            </w:r>
            <w:r w:rsidRPr="00B5543B">
              <w:t>A.</w:t>
            </w:r>
            <w:r>
              <w:t>34</w:t>
            </w:r>
            <w:proofErr w:type="spellEnd"/>
            <w:r>
              <w:t>–36</w:t>
            </w:r>
            <w:r w:rsidRPr="00B5543B">
              <w:t>.</w:t>
            </w:r>
          </w:p>
        </w:tc>
      </w:tr>
      <w:tr w:rsidR="0086548B" w:rsidRPr="001C3248" w:rsidTr="00DD4A25">
        <w:trPr>
          <w:trHeight w:val="387"/>
        </w:trPr>
        <w:tc>
          <w:tcPr>
            <w:tcW w:w="8807" w:type="dxa"/>
            <w:gridSpan w:val="20"/>
            <w:shd w:val="clear" w:color="auto" w:fill="auto"/>
          </w:tcPr>
          <w:p w:rsidR="0086548B" w:rsidRPr="001C3248" w:rsidRDefault="0086548B" w:rsidP="00DD4A25">
            <w:pPr>
              <w:pStyle w:val="TableColumnHeading"/>
              <w:jc w:val="left"/>
              <w:rPr>
                <w:b/>
                <w:i w:val="0"/>
              </w:rPr>
            </w:pPr>
            <w:r w:rsidRPr="001C3248">
              <w:rPr>
                <w:b/>
                <w:i w:val="0"/>
              </w:rPr>
              <w:t xml:space="preserve">Effectiveness — Quality — </w:t>
            </w:r>
            <w:r>
              <w:rPr>
                <w:b/>
                <w:i w:val="0"/>
              </w:rPr>
              <w:t>Safety</w:t>
            </w:r>
            <w:r w:rsidRPr="001C3248">
              <w:rPr>
                <w:b/>
                <w:i w:val="0"/>
              </w:rPr>
              <w:t xml:space="preserve"> indicators</w:t>
            </w:r>
          </w:p>
        </w:tc>
      </w:tr>
      <w:tr w:rsidR="0086548B" w:rsidRPr="00B1236A" w:rsidTr="00DD4A25">
        <w:trPr>
          <w:trHeight w:val="362"/>
        </w:trPr>
        <w:tc>
          <w:tcPr>
            <w:tcW w:w="8807" w:type="dxa"/>
            <w:gridSpan w:val="20"/>
            <w:shd w:val="clear" w:color="auto" w:fill="auto"/>
          </w:tcPr>
          <w:p w:rsidR="0086548B" w:rsidRDefault="0086548B" w:rsidP="00DD4A25">
            <w:pPr>
              <w:pStyle w:val="TableColumnHeading"/>
              <w:jc w:val="left"/>
              <w:rPr>
                <w:sz w:val="16"/>
                <w:szCs w:val="16"/>
                <w:shd w:val="clear" w:color="auto" w:fill="BFBFBF" w:themeFill="background1" w:themeFillShade="BF"/>
              </w:rPr>
            </w:pPr>
            <w:r w:rsidRPr="005D67CD">
              <w:t>Rate of seclusion ― acute inpatient units</w:t>
            </w:r>
            <w:r w:rsidRPr="007F6A38">
              <w:rPr>
                <w:sz w:val="16"/>
                <w:szCs w:val="16"/>
                <w:shd w:val="clear" w:color="auto" w:fill="BFBFBF" w:themeFill="background1" w:themeFillShade="BF"/>
              </w:rPr>
              <w:t xml:space="preserve"> </w:t>
            </w:r>
          </w:p>
          <w:p w:rsidR="0086548B" w:rsidRPr="00B1236A" w:rsidRDefault="0086548B" w:rsidP="00DD4A25">
            <w:pPr>
              <w:pStyle w:val="TableColumnHeading"/>
              <w:jc w:val="left"/>
            </w:pPr>
            <w:r w:rsidRPr="00A6710E">
              <w:rPr>
                <w:i w:val="0"/>
                <w:sz w:val="16"/>
                <w:szCs w:val="16"/>
              </w:rPr>
              <w:t>Most recent data for this indicator are comparable and complete (chapter 12)</w:t>
            </w:r>
          </w:p>
        </w:tc>
      </w:tr>
      <w:tr w:rsidR="0086548B" w:rsidRPr="00B1236A" w:rsidTr="00DD4A25">
        <w:trPr>
          <w:trHeight w:val="1166"/>
        </w:trPr>
        <w:tc>
          <w:tcPr>
            <w:tcW w:w="8807" w:type="dxa"/>
            <w:gridSpan w:val="20"/>
            <w:shd w:val="clear" w:color="auto" w:fill="auto"/>
          </w:tcPr>
          <w:tbl>
            <w:tblPr>
              <w:tblW w:w="8807" w:type="dxa"/>
              <w:shd w:val="clear" w:color="auto" w:fill="FBD4B4" w:themeFill="accent6" w:themeFillTint="66"/>
              <w:tblLayout w:type="fixed"/>
              <w:tblCellMar>
                <w:left w:w="0" w:type="dxa"/>
                <w:right w:w="0" w:type="dxa"/>
              </w:tblCellMar>
              <w:tblLook w:val="0000" w:firstRow="0" w:lastRow="0" w:firstColumn="0" w:lastColumn="0" w:noHBand="0" w:noVBand="0"/>
            </w:tblPr>
            <w:tblGrid>
              <w:gridCol w:w="334"/>
              <w:gridCol w:w="1651"/>
              <w:gridCol w:w="816"/>
              <w:gridCol w:w="750"/>
              <w:gridCol w:w="750"/>
              <w:gridCol w:w="751"/>
              <w:gridCol w:w="750"/>
              <w:gridCol w:w="749"/>
              <w:gridCol w:w="750"/>
              <w:gridCol w:w="750"/>
              <w:gridCol w:w="756"/>
            </w:tblGrid>
            <w:tr w:rsidR="0086548B" w:rsidRPr="00B1236A" w:rsidTr="00DD4A25">
              <w:tc>
                <w:tcPr>
                  <w:tcW w:w="8807" w:type="dxa"/>
                  <w:gridSpan w:val="11"/>
                  <w:shd w:val="clear" w:color="auto" w:fill="auto"/>
                </w:tcPr>
                <w:p w:rsidR="0086548B" w:rsidRPr="00B1236A" w:rsidRDefault="0086548B" w:rsidP="00347380">
                  <w:pPr>
                    <w:pStyle w:val="TableBodyText"/>
                    <w:ind w:left="142"/>
                    <w:jc w:val="left"/>
                  </w:pPr>
                  <w:r>
                    <w:t>N</w:t>
                  </w:r>
                  <w:r w:rsidRPr="005D67CD">
                    <w:t>umber of seclusion events per 1000 patient days in specialised public mental health acute inpatient units</w:t>
                  </w:r>
                  <w:r w:rsidRPr="00A6710E">
                    <w:t xml:space="preserve">, </w:t>
                  </w:r>
                  <w:r w:rsidRPr="005F1B06">
                    <w:t>201</w:t>
                  </w:r>
                  <w:r w:rsidR="00347380" w:rsidRPr="005F1B06">
                    <w:t>2</w:t>
                  </w:r>
                  <w:r w:rsidRPr="005F1B06">
                    <w:t>-1</w:t>
                  </w:r>
                  <w:r w:rsidR="00347380" w:rsidRPr="005F1B06">
                    <w:t>3</w:t>
                  </w:r>
                </w:p>
              </w:tc>
            </w:tr>
            <w:tr w:rsidR="00347380" w:rsidRPr="0050366D" w:rsidTr="005F1B06">
              <w:tc>
                <w:tcPr>
                  <w:tcW w:w="334" w:type="dxa"/>
                  <w:shd w:val="clear" w:color="auto" w:fill="auto"/>
                </w:tcPr>
                <w:p w:rsidR="00347380" w:rsidRPr="00B1236A" w:rsidRDefault="00347380" w:rsidP="00DD4A25">
                  <w:pPr>
                    <w:pStyle w:val="TableBodyText"/>
                    <w:jc w:val="left"/>
                    <w:rPr>
                      <w:vertAlign w:val="superscript"/>
                    </w:rPr>
                  </w:pPr>
                </w:p>
              </w:tc>
              <w:tc>
                <w:tcPr>
                  <w:tcW w:w="1651" w:type="dxa"/>
                  <w:shd w:val="clear" w:color="auto" w:fill="auto"/>
                </w:tcPr>
                <w:p w:rsidR="00347380" w:rsidRPr="00B1236A" w:rsidRDefault="00347380" w:rsidP="00DD4A25">
                  <w:pPr>
                    <w:pStyle w:val="TableBodyText"/>
                    <w:jc w:val="left"/>
                  </w:pPr>
                  <w:r>
                    <w:t>no.</w:t>
                  </w:r>
                </w:p>
              </w:tc>
              <w:tc>
                <w:tcPr>
                  <w:tcW w:w="816" w:type="dxa"/>
                  <w:shd w:val="clear" w:color="auto" w:fill="auto"/>
                </w:tcPr>
                <w:p w:rsidR="00347380" w:rsidRPr="0096623B" w:rsidRDefault="00347380" w:rsidP="00347380">
                  <w:pPr>
                    <w:pStyle w:val="TableBodyText"/>
                  </w:pPr>
                  <w:r w:rsidRPr="0096623B">
                    <w:t xml:space="preserve">  8.5</w:t>
                  </w:r>
                </w:p>
              </w:tc>
              <w:tc>
                <w:tcPr>
                  <w:tcW w:w="750" w:type="dxa"/>
                  <w:shd w:val="clear" w:color="auto" w:fill="auto"/>
                </w:tcPr>
                <w:p w:rsidR="00347380" w:rsidRPr="0096623B" w:rsidRDefault="00347380" w:rsidP="00347380">
                  <w:pPr>
                    <w:pStyle w:val="TableBodyText"/>
                  </w:pPr>
                  <w:r w:rsidRPr="0096623B">
                    <w:t xml:space="preserve">  10.9</w:t>
                  </w:r>
                </w:p>
              </w:tc>
              <w:tc>
                <w:tcPr>
                  <w:tcW w:w="750" w:type="dxa"/>
                  <w:shd w:val="clear" w:color="auto" w:fill="auto"/>
                </w:tcPr>
                <w:p w:rsidR="00347380" w:rsidRPr="0096623B" w:rsidRDefault="00347380" w:rsidP="00347380">
                  <w:pPr>
                    <w:pStyle w:val="TableBodyText"/>
                  </w:pPr>
                  <w:r w:rsidRPr="0096623B">
                    <w:t xml:space="preserve">  12.7</w:t>
                  </w:r>
                </w:p>
              </w:tc>
              <w:tc>
                <w:tcPr>
                  <w:tcW w:w="751" w:type="dxa"/>
                  <w:shd w:val="clear" w:color="auto" w:fill="auto"/>
                </w:tcPr>
                <w:p w:rsidR="00347380" w:rsidRPr="0096623B" w:rsidRDefault="00347380" w:rsidP="00347380">
                  <w:pPr>
                    <w:pStyle w:val="TableBodyText"/>
                  </w:pPr>
                  <w:r w:rsidRPr="0096623B">
                    <w:t xml:space="preserve">  6.0</w:t>
                  </w:r>
                </w:p>
              </w:tc>
              <w:tc>
                <w:tcPr>
                  <w:tcW w:w="750" w:type="dxa"/>
                  <w:shd w:val="clear" w:color="auto" w:fill="auto"/>
                </w:tcPr>
                <w:p w:rsidR="00347380" w:rsidRPr="0096623B" w:rsidRDefault="00347380" w:rsidP="00347380">
                  <w:pPr>
                    <w:pStyle w:val="TableBodyText"/>
                  </w:pPr>
                  <w:r w:rsidRPr="0096623B">
                    <w:t xml:space="preserve">  9.1</w:t>
                  </w:r>
                </w:p>
              </w:tc>
              <w:tc>
                <w:tcPr>
                  <w:tcW w:w="749" w:type="dxa"/>
                  <w:shd w:val="clear" w:color="auto" w:fill="auto"/>
                </w:tcPr>
                <w:p w:rsidR="00347380" w:rsidRPr="0096623B" w:rsidRDefault="00347380" w:rsidP="00347380">
                  <w:pPr>
                    <w:pStyle w:val="TableBodyText"/>
                  </w:pPr>
                  <w:r w:rsidRPr="0096623B">
                    <w:t xml:space="preserve">  19.7</w:t>
                  </w:r>
                </w:p>
              </w:tc>
              <w:tc>
                <w:tcPr>
                  <w:tcW w:w="750" w:type="dxa"/>
                  <w:shd w:val="clear" w:color="auto" w:fill="auto"/>
                </w:tcPr>
                <w:p w:rsidR="00347380" w:rsidRPr="0096623B" w:rsidRDefault="00347380" w:rsidP="00347380">
                  <w:pPr>
                    <w:pStyle w:val="TableBodyText"/>
                  </w:pPr>
                  <w:r w:rsidRPr="0096623B">
                    <w:t xml:space="preserve">  0.9</w:t>
                  </w:r>
                </w:p>
              </w:tc>
              <w:tc>
                <w:tcPr>
                  <w:tcW w:w="750" w:type="dxa"/>
                  <w:shd w:val="clear" w:color="auto" w:fill="auto"/>
                </w:tcPr>
                <w:p w:rsidR="00347380" w:rsidRPr="0096623B" w:rsidRDefault="00347380" w:rsidP="00347380">
                  <w:pPr>
                    <w:pStyle w:val="TableBodyText"/>
                  </w:pPr>
                  <w:r w:rsidRPr="0096623B">
                    <w:t xml:space="preserve">  15.8</w:t>
                  </w:r>
                </w:p>
              </w:tc>
              <w:tc>
                <w:tcPr>
                  <w:tcW w:w="756" w:type="dxa"/>
                  <w:shd w:val="clear" w:color="auto" w:fill="auto"/>
                </w:tcPr>
                <w:p w:rsidR="00347380" w:rsidRDefault="00347380" w:rsidP="00347380">
                  <w:pPr>
                    <w:pStyle w:val="TableBodyText"/>
                  </w:pPr>
                  <w:r w:rsidRPr="0096623B">
                    <w:t xml:space="preserve">  9.6</w:t>
                  </w:r>
                </w:p>
              </w:tc>
            </w:tr>
          </w:tbl>
          <w:p w:rsidR="0086548B" w:rsidRPr="00B1236A" w:rsidRDefault="0086548B" w:rsidP="00DD4A25">
            <w:pPr>
              <w:pStyle w:val="Source"/>
            </w:pPr>
            <w:r w:rsidRPr="00B5543B">
              <w:t xml:space="preserve">Source: table </w:t>
            </w:r>
            <w:proofErr w:type="spellStart"/>
            <w:r w:rsidRPr="00B5543B">
              <w:t>1</w:t>
            </w:r>
            <w:r>
              <w:t>2</w:t>
            </w:r>
            <w:r w:rsidRPr="00B5543B">
              <w:t>A.</w:t>
            </w:r>
            <w:r>
              <w:t>37</w:t>
            </w:r>
            <w:proofErr w:type="spellEnd"/>
            <w:r>
              <w:t>.</w:t>
            </w:r>
          </w:p>
        </w:tc>
      </w:tr>
      <w:tr w:rsidR="0086548B" w:rsidRPr="001C3248" w:rsidTr="00DD4A25">
        <w:trPr>
          <w:trHeight w:val="387"/>
        </w:trPr>
        <w:tc>
          <w:tcPr>
            <w:tcW w:w="8807" w:type="dxa"/>
            <w:gridSpan w:val="20"/>
            <w:shd w:val="clear" w:color="auto" w:fill="auto"/>
          </w:tcPr>
          <w:p w:rsidR="0086548B" w:rsidRPr="001C3248" w:rsidRDefault="0086548B" w:rsidP="00DD4A25">
            <w:pPr>
              <w:pStyle w:val="TableColumnHeading"/>
              <w:jc w:val="left"/>
              <w:rPr>
                <w:b/>
                <w:i w:val="0"/>
              </w:rPr>
            </w:pPr>
            <w:r w:rsidRPr="001C3248">
              <w:rPr>
                <w:b/>
                <w:i w:val="0"/>
              </w:rPr>
              <w:t>Effectiveness — Quality — Responsiveness indicators</w:t>
            </w:r>
          </w:p>
        </w:tc>
      </w:tr>
      <w:tr w:rsidR="0086548B" w:rsidRPr="00B1236A" w:rsidTr="00DD4A25">
        <w:trPr>
          <w:trHeight w:val="671"/>
        </w:trPr>
        <w:tc>
          <w:tcPr>
            <w:tcW w:w="8807" w:type="dxa"/>
            <w:gridSpan w:val="20"/>
            <w:shd w:val="clear" w:color="auto" w:fill="auto"/>
          </w:tcPr>
          <w:p w:rsidR="0086548B" w:rsidRPr="00B1236A" w:rsidRDefault="0086548B" w:rsidP="00DD4A25">
            <w:pPr>
              <w:pStyle w:val="TableColumnHeading"/>
              <w:jc w:val="left"/>
            </w:pPr>
            <w:r w:rsidRPr="00B1236A">
              <w:t>Consumer and carer involvement in decision making</w:t>
            </w:r>
            <w:r w:rsidRPr="00B1236A">
              <w:br/>
            </w:r>
            <w:r w:rsidRPr="00A6710E">
              <w:rPr>
                <w:i w:val="0"/>
                <w:sz w:val="16"/>
                <w:szCs w:val="16"/>
              </w:rPr>
              <w:t>Most recent data for this measure are comparable and complete (chapter 12)</w:t>
            </w:r>
            <w:r w:rsidRPr="00A6710E">
              <w:rPr>
                <w:sz w:val="16"/>
                <w:szCs w:val="16"/>
              </w:rPr>
              <w:t xml:space="preserve">  </w:t>
            </w:r>
          </w:p>
        </w:tc>
      </w:tr>
      <w:tr w:rsidR="0086548B" w:rsidRPr="00B1236A" w:rsidTr="00DD4A25">
        <w:tc>
          <w:tcPr>
            <w:tcW w:w="8807" w:type="dxa"/>
            <w:gridSpan w:val="20"/>
            <w:shd w:val="clear" w:color="auto" w:fill="auto"/>
          </w:tcPr>
          <w:p w:rsidR="0086548B" w:rsidRPr="00B1236A" w:rsidRDefault="0086548B" w:rsidP="00DD4A25">
            <w:pPr>
              <w:pStyle w:val="TableBodyText"/>
              <w:jc w:val="left"/>
            </w:pPr>
            <w:r w:rsidRPr="00B1236A">
              <w:t xml:space="preserve">Paid </w:t>
            </w:r>
            <w:r w:rsidRPr="00A6710E">
              <w:t>consumer workers (FTE</w:t>
            </w:r>
            <w:r w:rsidRPr="00B1236A">
              <w:t>) per 1000 paid direct care, consumer and carer staff (FTE</w:t>
            </w:r>
            <w:r w:rsidRPr="00A6710E">
              <w:t>), 2011-12</w:t>
            </w:r>
          </w:p>
        </w:tc>
      </w:tr>
      <w:tr w:rsidR="00560451" w:rsidRPr="00B1236A" w:rsidTr="005F1B06">
        <w:tc>
          <w:tcPr>
            <w:tcW w:w="334" w:type="dxa"/>
            <w:shd w:val="clear" w:color="auto" w:fill="auto"/>
          </w:tcPr>
          <w:p w:rsidR="00560451" w:rsidRPr="00B1236A" w:rsidRDefault="00560451" w:rsidP="002C196C">
            <w:pPr>
              <w:pStyle w:val="TableBodyText"/>
              <w:jc w:val="left"/>
              <w:rPr>
                <w:vertAlign w:val="superscript"/>
              </w:rPr>
            </w:pPr>
          </w:p>
        </w:tc>
        <w:tc>
          <w:tcPr>
            <w:tcW w:w="1711" w:type="dxa"/>
            <w:gridSpan w:val="2"/>
            <w:shd w:val="clear" w:color="auto" w:fill="auto"/>
          </w:tcPr>
          <w:p w:rsidR="00560451" w:rsidRPr="00B1236A" w:rsidRDefault="00560451" w:rsidP="002C196C">
            <w:pPr>
              <w:pStyle w:val="TableBodyText"/>
              <w:jc w:val="left"/>
            </w:pPr>
            <w:r w:rsidRPr="00B1236A">
              <w:t>no.</w:t>
            </w:r>
          </w:p>
        </w:tc>
        <w:tc>
          <w:tcPr>
            <w:tcW w:w="750" w:type="dxa"/>
            <w:gridSpan w:val="2"/>
            <w:shd w:val="clear" w:color="auto" w:fill="auto"/>
          </w:tcPr>
          <w:p w:rsidR="00560451" w:rsidRPr="004D3F68" w:rsidRDefault="00560451" w:rsidP="00560451">
            <w:pPr>
              <w:pStyle w:val="TableBodyText"/>
            </w:pPr>
            <w:r w:rsidRPr="004D3F68">
              <w:t xml:space="preserve">  3.0</w:t>
            </w:r>
          </w:p>
        </w:tc>
        <w:tc>
          <w:tcPr>
            <w:tcW w:w="749" w:type="dxa"/>
            <w:gridSpan w:val="2"/>
            <w:shd w:val="clear" w:color="auto" w:fill="auto"/>
          </w:tcPr>
          <w:p w:rsidR="00560451" w:rsidRPr="004D3F68" w:rsidRDefault="00560451" w:rsidP="00560451">
            <w:pPr>
              <w:pStyle w:val="TableBodyText"/>
            </w:pPr>
            <w:r w:rsidRPr="004D3F68">
              <w:t xml:space="preserve">  3.2</w:t>
            </w:r>
          </w:p>
        </w:tc>
        <w:tc>
          <w:tcPr>
            <w:tcW w:w="748" w:type="dxa"/>
            <w:gridSpan w:val="2"/>
            <w:shd w:val="clear" w:color="auto" w:fill="auto"/>
          </w:tcPr>
          <w:p w:rsidR="00560451" w:rsidRPr="004D3F68" w:rsidRDefault="00560451" w:rsidP="00560451">
            <w:pPr>
              <w:pStyle w:val="TableBodyText"/>
            </w:pPr>
            <w:r w:rsidRPr="004D3F68">
              <w:t xml:space="preserve">  3.9</w:t>
            </w:r>
          </w:p>
        </w:tc>
        <w:tc>
          <w:tcPr>
            <w:tcW w:w="751" w:type="dxa"/>
            <w:gridSpan w:val="2"/>
            <w:shd w:val="clear" w:color="auto" w:fill="auto"/>
          </w:tcPr>
          <w:p w:rsidR="00560451" w:rsidRPr="004D3F68" w:rsidRDefault="00560451" w:rsidP="00560451">
            <w:pPr>
              <w:pStyle w:val="TableBodyText"/>
            </w:pPr>
            <w:r w:rsidRPr="004D3F68">
              <w:t xml:space="preserve">  0.7</w:t>
            </w:r>
          </w:p>
        </w:tc>
        <w:tc>
          <w:tcPr>
            <w:tcW w:w="748" w:type="dxa"/>
            <w:gridSpan w:val="2"/>
            <w:shd w:val="clear" w:color="auto" w:fill="auto"/>
          </w:tcPr>
          <w:p w:rsidR="00560451" w:rsidRPr="004D3F68" w:rsidRDefault="00560451" w:rsidP="00560451">
            <w:pPr>
              <w:pStyle w:val="TableBodyText"/>
            </w:pPr>
            <w:r w:rsidRPr="004D3F68">
              <w:t xml:space="preserve">  4.0</w:t>
            </w:r>
          </w:p>
        </w:tc>
        <w:tc>
          <w:tcPr>
            <w:tcW w:w="750" w:type="dxa"/>
            <w:gridSpan w:val="2"/>
            <w:shd w:val="clear" w:color="auto" w:fill="auto"/>
          </w:tcPr>
          <w:p w:rsidR="00560451" w:rsidRPr="004D3F68" w:rsidRDefault="00560451" w:rsidP="00560451">
            <w:pPr>
              <w:pStyle w:val="TableBodyText"/>
            </w:pPr>
            <w:r w:rsidRPr="004D3F68">
              <w:t xml:space="preserve">  2.3</w:t>
            </w:r>
          </w:p>
        </w:tc>
        <w:tc>
          <w:tcPr>
            <w:tcW w:w="748" w:type="dxa"/>
            <w:gridSpan w:val="2"/>
            <w:shd w:val="clear" w:color="auto" w:fill="auto"/>
          </w:tcPr>
          <w:p w:rsidR="00560451" w:rsidRPr="004D3F68" w:rsidRDefault="00560451" w:rsidP="00560451">
            <w:pPr>
              <w:pStyle w:val="TableBodyText"/>
            </w:pPr>
            <w:r w:rsidRPr="004D3F68">
              <w:t>–</w:t>
            </w:r>
          </w:p>
        </w:tc>
        <w:tc>
          <w:tcPr>
            <w:tcW w:w="753" w:type="dxa"/>
            <w:gridSpan w:val="2"/>
            <w:shd w:val="clear" w:color="auto" w:fill="auto"/>
          </w:tcPr>
          <w:p w:rsidR="00560451" w:rsidRPr="004D3F68" w:rsidRDefault="00560451" w:rsidP="00560451">
            <w:pPr>
              <w:pStyle w:val="TableBodyText"/>
            </w:pPr>
            <w:r w:rsidRPr="004D3F68">
              <w:t>–</w:t>
            </w:r>
          </w:p>
        </w:tc>
        <w:tc>
          <w:tcPr>
            <w:tcW w:w="765" w:type="dxa"/>
            <w:shd w:val="clear" w:color="auto" w:fill="auto"/>
          </w:tcPr>
          <w:p w:rsidR="00560451" w:rsidRDefault="00560451" w:rsidP="00560451">
            <w:pPr>
              <w:pStyle w:val="TableBodyText"/>
            </w:pPr>
            <w:r w:rsidRPr="004D3F68">
              <w:t xml:space="preserve">  2.9</w:t>
            </w:r>
          </w:p>
        </w:tc>
      </w:tr>
      <w:tr w:rsidR="0086548B" w:rsidRPr="005825CD" w:rsidTr="00DD4A25">
        <w:trPr>
          <w:trHeight w:val="177"/>
        </w:trPr>
        <w:tc>
          <w:tcPr>
            <w:tcW w:w="8807" w:type="dxa"/>
            <w:gridSpan w:val="20"/>
            <w:shd w:val="clear" w:color="auto" w:fill="auto"/>
          </w:tcPr>
          <w:p w:rsidR="0086548B" w:rsidRPr="00C804F5" w:rsidRDefault="0086548B" w:rsidP="00DD4A25">
            <w:pPr>
              <w:pStyle w:val="Source"/>
            </w:pPr>
            <w:r w:rsidRPr="00B5543B">
              <w:t xml:space="preserve">Source: table </w:t>
            </w:r>
            <w:proofErr w:type="spellStart"/>
            <w:r w:rsidRPr="00B5543B">
              <w:t>1</w:t>
            </w:r>
            <w:r>
              <w:t>2</w:t>
            </w:r>
            <w:r w:rsidRPr="00B5543B">
              <w:t>A.</w:t>
            </w:r>
            <w:r>
              <w:t>38</w:t>
            </w:r>
            <w:proofErr w:type="spellEnd"/>
            <w:r>
              <w:t>.</w:t>
            </w:r>
          </w:p>
        </w:tc>
      </w:tr>
      <w:tr w:rsidR="0086548B" w:rsidRPr="001C3248" w:rsidTr="00DD4A25">
        <w:trPr>
          <w:trHeight w:val="273"/>
        </w:trPr>
        <w:tc>
          <w:tcPr>
            <w:tcW w:w="8807" w:type="dxa"/>
            <w:gridSpan w:val="20"/>
            <w:shd w:val="clear" w:color="auto" w:fill="auto"/>
          </w:tcPr>
          <w:p w:rsidR="0086548B" w:rsidRPr="001C3248" w:rsidRDefault="0086548B" w:rsidP="00DD4A25">
            <w:pPr>
              <w:pStyle w:val="TableColumnHeading"/>
              <w:jc w:val="left"/>
              <w:rPr>
                <w:b/>
                <w:i w:val="0"/>
              </w:rPr>
            </w:pPr>
            <w:r w:rsidRPr="001C3248">
              <w:rPr>
                <w:b/>
                <w:i w:val="0"/>
              </w:rPr>
              <w:t>Effectiveness — Quality — Continuity indicators</w:t>
            </w:r>
          </w:p>
        </w:tc>
      </w:tr>
      <w:tr w:rsidR="0086548B" w:rsidRPr="00B1236A" w:rsidTr="00DD4A25">
        <w:trPr>
          <w:trHeight w:val="273"/>
        </w:trPr>
        <w:tc>
          <w:tcPr>
            <w:tcW w:w="8807" w:type="dxa"/>
            <w:gridSpan w:val="20"/>
            <w:shd w:val="clear" w:color="auto" w:fill="auto"/>
          </w:tcPr>
          <w:p w:rsidR="0086548B" w:rsidRPr="00B1236A" w:rsidRDefault="0086548B" w:rsidP="00DD4A25">
            <w:pPr>
              <w:pStyle w:val="TableColumnHeading"/>
              <w:jc w:val="left"/>
            </w:pPr>
            <w:r w:rsidRPr="00B1236A">
              <w:t>Community follow up for people within the first 7 days of discharge from hospital</w:t>
            </w:r>
            <w:r w:rsidRPr="00157D9F">
              <w:rPr>
                <w:color w:val="3366FF"/>
              </w:rPr>
              <w:br/>
            </w:r>
            <w:r w:rsidRPr="00A6710E">
              <w:rPr>
                <w:i w:val="0"/>
                <w:sz w:val="16"/>
                <w:szCs w:val="16"/>
              </w:rPr>
              <w:t>Most recent data for this indicator are not comparable nor complete (chapter 12</w:t>
            </w:r>
            <w:r w:rsidRPr="00EC57FB">
              <w:rPr>
                <w:i w:val="0"/>
                <w:sz w:val="16"/>
                <w:szCs w:val="16"/>
                <w:shd w:val="clear" w:color="auto" w:fill="BFBFBF" w:themeFill="background1" w:themeFillShade="BF"/>
              </w:rPr>
              <w:t>)</w:t>
            </w:r>
            <w:r w:rsidRPr="00EC57FB">
              <w:rPr>
                <w:sz w:val="16"/>
                <w:szCs w:val="16"/>
                <w:shd w:val="clear" w:color="auto" w:fill="BFBFBF" w:themeFill="background1" w:themeFillShade="BF"/>
              </w:rPr>
              <w:t xml:space="preserve">  </w:t>
            </w:r>
          </w:p>
        </w:tc>
      </w:tr>
      <w:tr w:rsidR="0086548B" w:rsidRPr="00B1236A" w:rsidTr="00DD4A25">
        <w:tc>
          <w:tcPr>
            <w:tcW w:w="8807" w:type="dxa"/>
            <w:gridSpan w:val="20"/>
            <w:shd w:val="clear" w:color="auto" w:fill="auto"/>
          </w:tcPr>
          <w:p w:rsidR="0086548B" w:rsidRPr="00B1236A" w:rsidRDefault="0086548B" w:rsidP="00DD4A25">
            <w:pPr>
              <w:pStyle w:val="TableBodyText"/>
              <w:ind w:left="142"/>
              <w:jc w:val="left"/>
            </w:pPr>
            <w:r w:rsidRPr="00B1236A">
              <w:t xml:space="preserve">Proportion of overnight separations from psychiatric inpatient </w:t>
            </w:r>
            <w:r>
              <w:t xml:space="preserve">acute </w:t>
            </w:r>
            <w:r w:rsidRPr="00B1236A">
              <w:t>services with a community mental health service contact recorded in the 7 days following separation</w:t>
            </w:r>
            <w:r w:rsidRPr="00A6710E">
              <w:t>, 2011-12</w:t>
            </w:r>
          </w:p>
        </w:tc>
      </w:tr>
      <w:tr w:rsidR="0086548B" w:rsidRPr="00B1236A" w:rsidTr="00A6710E">
        <w:tc>
          <w:tcPr>
            <w:tcW w:w="334" w:type="dxa"/>
            <w:shd w:val="clear" w:color="auto" w:fill="auto"/>
          </w:tcPr>
          <w:p w:rsidR="0086548B" w:rsidRPr="00B1236A" w:rsidRDefault="0086548B" w:rsidP="00DD4A25">
            <w:pPr>
              <w:pStyle w:val="TableBodyText"/>
              <w:jc w:val="left"/>
              <w:rPr>
                <w:vertAlign w:val="superscript"/>
              </w:rPr>
            </w:pPr>
          </w:p>
        </w:tc>
        <w:tc>
          <w:tcPr>
            <w:tcW w:w="1711" w:type="dxa"/>
            <w:gridSpan w:val="2"/>
            <w:shd w:val="clear" w:color="auto" w:fill="auto"/>
          </w:tcPr>
          <w:p w:rsidR="0086548B" w:rsidRPr="00B1236A" w:rsidRDefault="0086548B" w:rsidP="00DD4A25">
            <w:pPr>
              <w:pStyle w:val="TableBodyText"/>
              <w:jc w:val="left"/>
            </w:pPr>
            <w:r w:rsidRPr="00C15AC2">
              <w:t>Proportion</w:t>
            </w:r>
            <w:r w:rsidRPr="00B1236A">
              <w:t xml:space="preserve"> </w:t>
            </w:r>
            <w:r>
              <w:t>(</w:t>
            </w:r>
            <w:r w:rsidRPr="00B1236A">
              <w:t>%</w:t>
            </w:r>
            <w:r>
              <w:t>)</w:t>
            </w:r>
          </w:p>
        </w:tc>
        <w:tc>
          <w:tcPr>
            <w:tcW w:w="750" w:type="dxa"/>
            <w:gridSpan w:val="2"/>
            <w:shd w:val="clear" w:color="auto" w:fill="auto"/>
            <w:vAlign w:val="center"/>
          </w:tcPr>
          <w:p w:rsidR="0086548B" w:rsidRPr="00227090" w:rsidRDefault="0086548B" w:rsidP="00DD4A25">
            <w:pPr>
              <w:pStyle w:val="TableBodyText"/>
            </w:pPr>
            <w:r w:rsidRPr="00227090">
              <w:t xml:space="preserve">  52.4</w:t>
            </w:r>
          </w:p>
        </w:tc>
        <w:tc>
          <w:tcPr>
            <w:tcW w:w="749" w:type="dxa"/>
            <w:gridSpan w:val="2"/>
            <w:shd w:val="clear" w:color="auto" w:fill="auto"/>
            <w:vAlign w:val="center"/>
          </w:tcPr>
          <w:p w:rsidR="0086548B" w:rsidRPr="00227090" w:rsidRDefault="0086548B" w:rsidP="00DD4A25">
            <w:pPr>
              <w:pStyle w:val="TableBodyText"/>
            </w:pPr>
            <w:proofErr w:type="spellStart"/>
            <w:r w:rsidRPr="00227090">
              <w:t>na</w:t>
            </w:r>
            <w:proofErr w:type="spellEnd"/>
          </w:p>
        </w:tc>
        <w:tc>
          <w:tcPr>
            <w:tcW w:w="748" w:type="dxa"/>
            <w:gridSpan w:val="2"/>
            <w:shd w:val="clear" w:color="auto" w:fill="auto"/>
            <w:vAlign w:val="center"/>
          </w:tcPr>
          <w:p w:rsidR="0086548B" w:rsidRPr="00227090" w:rsidRDefault="0086548B" w:rsidP="00DD4A25">
            <w:pPr>
              <w:pStyle w:val="TableBodyText"/>
            </w:pPr>
            <w:r w:rsidRPr="00227090">
              <w:t xml:space="preserve">  64.4</w:t>
            </w:r>
          </w:p>
        </w:tc>
        <w:tc>
          <w:tcPr>
            <w:tcW w:w="751" w:type="dxa"/>
            <w:gridSpan w:val="2"/>
            <w:shd w:val="clear" w:color="auto" w:fill="auto"/>
            <w:vAlign w:val="center"/>
          </w:tcPr>
          <w:p w:rsidR="0086548B" w:rsidRPr="00227090" w:rsidRDefault="0086548B" w:rsidP="00DD4A25">
            <w:pPr>
              <w:pStyle w:val="TableBodyText"/>
            </w:pPr>
            <w:r w:rsidRPr="00227090">
              <w:t xml:space="preserve">  50.7</w:t>
            </w:r>
          </w:p>
        </w:tc>
        <w:tc>
          <w:tcPr>
            <w:tcW w:w="748" w:type="dxa"/>
            <w:gridSpan w:val="2"/>
            <w:shd w:val="clear" w:color="auto" w:fill="auto"/>
            <w:vAlign w:val="center"/>
          </w:tcPr>
          <w:p w:rsidR="0086548B" w:rsidRPr="00227090" w:rsidRDefault="0086548B" w:rsidP="00DD4A25">
            <w:pPr>
              <w:pStyle w:val="TableBodyText"/>
            </w:pPr>
            <w:r w:rsidRPr="00227090">
              <w:t xml:space="preserve">  50.5</w:t>
            </w:r>
          </w:p>
        </w:tc>
        <w:tc>
          <w:tcPr>
            <w:tcW w:w="750" w:type="dxa"/>
            <w:gridSpan w:val="2"/>
            <w:shd w:val="clear" w:color="auto" w:fill="auto"/>
            <w:vAlign w:val="center"/>
          </w:tcPr>
          <w:p w:rsidR="0086548B" w:rsidRPr="00227090" w:rsidRDefault="0086548B" w:rsidP="00DD4A25">
            <w:pPr>
              <w:pStyle w:val="TableBodyText"/>
            </w:pPr>
            <w:r w:rsidRPr="00227090">
              <w:t xml:space="preserve">  27.4</w:t>
            </w:r>
          </w:p>
        </w:tc>
        <w:tc>
          <w:tcPr>
            <w:tcW w:w="748" w:type="dxa"/>
            <w:gridSpan w:val="2"/>
            <w:shd w:val="clear" w:color="auto" w:fill="auto"/>
            <w:vAlign w:val="center"/>
          </w:tcPr>
          <w:p w:rsidR="0086548B" w:rsidRPr="00227090" w:rsidRDefault="0086548B" w:rsidP="00DD4A25">
            <w:pPr>
              <w:pStyle w:val="TableBodyText"/>
            </w:pPr>
            <w:r w:rsidRPr="00227090">
              <w:t xml:space="preserve">  77.7</w:t>
            </w:r>
          </w:p>
        </w:tc>
        <w:tc>
          <w:tcPr>
            <w:tcW w:w="753" w:type="dxa"/>
            <w:gridSpan w:val="2"/>
            <w:shd w:val="clear" w:color="auto" w:fill="auto"/>
            <w:vAlign w:val="center"/>
          </w:tcPr>
          <w:p w:rsidR="0086548B" w:rsidRPr="00227090" w:rsidRDefault="0086548B" w:rsidP="00DD4A25">
            <w:pPr>
              <w:pStyle w:val="TableBodyText"/>
            </w:pPr>
            <w:r w:rsidRPr="00227090">
              <w:t xml:space="preserve">  44.1</w:t>
            </w:r>
          </w:p>
        </w:tc>
        <w:tc>
          <w:tcPr>
            <w:tcW w:w="765" w:type="dxa"/>
            <w:shd w:val="clear" w:color="auto" w:fill="auto"/>
            <w:vAlign w:val="center"/>
          </w:tcPr>
          <w:p w:rsidR="0086548B" w:rsidRPr="00227090" w:rsidRDefault="0086548B" w:rsidP="00DD4A25">
            <w:pPr>
              <w:pStyle w:val="TableBodyText"/>
            </w:pPr>
            <w:r w:rsidRPr="00227090">
              <w:t xml:space="preserve">  54.6</w:t>
            </w:r>
          </w:p>
        </w:tc>
      </w:tr>
      <w:tr w:rsidR="0086548B" w:rsidRPr="00B1236A" w:rsidTr="00DD4A25">
        <w:trPr>
          <w:trHeight w:val="273"/>
        </w:trPr>
        <w:tc>
          <w:tcPr>
            <w:tcW w:w="8807" w:type="dxa"/>
            <w:gridSpan w:val="20"/>
            <w:shd w:val="clear" w:color="auto" w:fill="auto"/>
          </w:tcPr>
          <w:p w:rsidR="0086548B" w:rsidRPr="00B1236A" w:rsidRDefault="0086548B" w:rsidP="00DD4A25">
            <w:pPr>
              <w:pStyle w:val="TableColumnHeading"/>
              <w:jc w:val="left"/>
            </w:pPr>
            <w:r w:rsidRPr="00B1236A">
              <w:t>Readmissions to hospital within 28 days of discharge</w:t>
            </w:r>
            <w:r w:rsidRPr="00B1236A">
              <w:br/>
            </w:r>
            <w:r w:rsidRPr="00A6710E">
              <w:rPr>
                <w:i w:val="0"/>
                <w:sz w:val="16"/>
                <w:szCs w:val="16"/>
              </w:rPr>
              <w:t>Most recent data for this indicator are complete, but not comparable (chapter 12)</w:t>
            </w:r>
            <w:r w:rsidRPr="00A6710E">
              <w:rPr>
                <w:sz w:val="16"/>
                <w:szCs w:val="16"/>
              </w:rPr>
              <w:t xml:space="preserve">  </w:t>
            </w:r>
          </w:p>
        </w:tc>
      </w:tr>
      <w:tr w:rsidR="0086548B" w:rsidRPr="00B1236A" w:rsidTr="00DD4A25">
        <w:trPr>
          <w:trHeight w:val="177"/>
        </w:trPr>
        <w:tc>
          <w:tcPr>
            <w:tcW w:w="8807" w:type="dxa"/>
            <w:gridSpan w:val="20"/>
            <w:shd w:val="clear" w:color="auto" w:fill="auto"/>
          </w:tcPr>
          <w:p w:rsidR="0086548B" w:rsidRPr="00157D9F" w:rsidRDefault="0086548B" w:rsidP="00DD4A25">
            <w:pPr>
              <w:pStyle w:val="TableBodyText"/>
              <w:ind w:left="142"/>
              <w:jc w:val="left"/>
              <w:rPr>
                <w:color w:val="3366FF"/>
              </w:rPr>
            </w:pPr>
            <w:r w:rsidRPr="00B1236A">
              <w:t xml:space="preserve">Proportion of overnight separations from psychiatric inpatient </w:t>
            </w:r>
            <w:r>
              <w:t xml:space="preserve">acute </w:t>
            </w:r>
            <w:r w:rsidRPr="00B1236A">
              <w:t>services that were followed by a readmission to a psychiatric inpatient service within 28 days of discharge</w:t>
            </w:r>
            <w:r w:rsidRPr="00A6710E">
              <w:t>, 2011-12</w:t>
            </w:r>
          </w:p>
        </w:tc>
      </w:tr>
      <w:tr w:rsidR="0086548B" w:rsidRPr="00B1236A" w:rsidTr="00A6710E">
        <w:tc>
          <w:tcPr>
            <w:tcW w:w="334" w:type="dxa"/>
            <w:shd w:val="clear" w:color="auto" w:fill="auto"/>
          </w:tcPr>
          <w:p w:rsidR="0086548B" w:rsidRPr="00B1236A" w:rsidRDefault="0086548B" w:rsidP="00DD4A25">
            <w:pPr>
              <w:pStyle w:val="TableBodyText"/>
              <w:jc w:val="left"/>
              <w:rPr>
                <w:vertAlign w:val="superscript"/>
              </w:rPr>
            </w:pPr>
          </w:p>
        </w:tc>
        <w:tc>
          <w:tcPr>
            <w:tcW w:w="1711" w:type="dxa"/>
            <w:gridSpan w:val="2"/>
            <w:shd w:val="clear" w:color="auto" w:fill="auto"/>
          </w:tcPr>
          <w:p w:rsidR="0086548B" w:rsidRPr="00C15AC2" w:rsidRDefault="0086548B" w:rsidP="00DD4A25">
            <w:pPr>
              <w:pStyle w:val="TableBodyText"/>
              <w:jc w:val="left"/>
            </w:pPr>
            <w:r w:rsidRPr="00C15AC2">
              <w:t>Proportion</w:t>
            </w:r>
            <w:r>
              <w:t xml:space="preserve"> (%)</w:t>
            </w:r>
          </w:p>
        </w:tc>
        <w:tc>
          <w:tcPr>
            <w:tcW w:w="750" w:type="dxa"/>
            <w:gridSpan w:val="2"/>
            <w:shd w:val="clear" w:color="auto" w:fill="auto"/>
            <w:vAlign w:val="center"/>
          </w:tcPr>
          <w:p w:rsidR="0086548B" w:rsidRPr="00227090" w:rsidRDefault="0086548B" w:rsidP="00DD4A25">
            <w:pPr>
              <w:pStyle w:val="TableBodyText"/>
            </w:pPr>
            <w:r w:rsidRPr="00227090">
              <w:t xml:space="preserve">  15.7</w:t>
            </w:r>
          </w:p>
        </w:tc>
        <w:tc>
          <w:tcPr>
            <w:tcW w:w="749" w:type="dxa"/>
            <w:gridSpan w:val="2"/>
            <w:shd w:val="clear" w:color="auto" w:fill="auto"/>
            <w:vAlign w:val="center"/>
          </w:tcPr>
          <w:p w:rsidR="0086548B" w:rsidRPr="00227090" w:rsidRDefault="0086548B" w:rsidP="00DD4A25">
            <w:pPr>
              <w:pStyle w:val="TableBodyText"/>
            </w:pPr>
            <w:r w:rsidRPr="00227090">
              <w:t xml:space="preserve">  14.3</w:t>
            </w:r>
          </w:p>
        </w:tc>
        <w:tc>
          <w:tcPr>
            <w:tcW w:w="748" w:type="dxa"/>
            <w:gridSpan w:val="2"/>
            <w:shd w:val="clear" w:color="auto" w:fill="auto"/>
            <w:vAlign w:val="center"/>
          </w:tcPr>
          <w:p w:rsidR="0086548B" w:rsidRPr="00227090" w:rsidRDefault="0086548B" w:rsidP="00DD4A25">
            <w:pPr>
              <w:pStyle w:val="TableBodyText"/>
            </w:pPr>
            <w:r w:rsidRPr="00227090">
              <w:t xml:space="preserve">  15.1</w:t>
            </w:r>
          </w:p>
        </w:tc>
        <w:tc>
          <w:tcPr>
            <w:tcW w:w="751" w:type="dxa"/>
            <w:gridSpan w:val="2"/>
            <w:shd w:val="clear" w:color="auto" w:fill="auto"/>
            <w:vAlign w:val="center"/>
          </w:tcPr>
          <w:p w:rsidR="0086548B" w:rsidRPr="00227090" w:rsidRDefault="0086548B" w:rsidP="00DD4A25">
            <w:pPr>
              <w:pStyle w:val="TableBodyText"/>
            </w:pPr>
            <w:r w:rsidRPr="00227090">
              <w:t xml:space="preserve">  13.7</w:t>
            </w:r>
          </w:p>
        </w:tc>
        <w:tc>
          <w:tcPr>
            <w:tcW w:w="748" w:type="dxa"/>
            <w:gridSpan w:val="2"/>
            <w:shd w:val="clear" w:color="auto" w:fill="auto"/>
            <w:vAlign w:val="center"/>
          </w:tcPr>
          <w:p w:rsidR="0086548B" w:rsidRPr="00227090" w:rsidRDefault="0086548B" w:rsidP="00DD4A25">
            <w:pPr>
              <w:pStyle w:val="TableBodyText"/>
            </w:pPr>
            <w:r w:rsidRPr="00227090">
              <w:t xml:space="preserve">  9.3</w:t>
            </w:r>
          </w:p>
        </w:tc>
        <w:tc>
          <w:tcPr>
            <w:tcW w:w="750" w:type="dxa"/>
            <w:gridSpan w:val="2"/>
            <w:shd w:val="clear" w:color="auto" w:fill="auto"/>
            <w:vAlign w:val="center"/>
          </w:tcPr>
          <w:p w:rsidR="0086548B" w:rsidRPr="00227090" w:rsidRDefault="0086548B" w:rsidP="00DD4A25">
            <w:pPr>
              <w:pStyle w:val="TableBodyText"/>
            </w:pPr>
            <w:r w:rsidRPr="00227090">
              <w:t xml:space="preserve">  14.1</w:t>
            </w:r>
          </w:p>
        </w:tc>
        <w:tc>
          <w:tcPr>
            <w:tcW w:w="748" w:type="dxa"/>
            <w:gridSpan w:val="2"/>
            <w:shd w:val="clear" w:color="auto" w:fill="auto"/>
            <w:vAlign w:val="center"/>
          </w:tcPr>
          <w:p w:rsidR="0086548B" w:rsidRPr="00227090" w:rsidRDefault="0086548B" w:rsidP="00DD4A25">
            <w:pPr>
              <w:pStyle w:val="TableBodyText"/>
            </w:pPr>
            <w:r w:rsidRPr="00227090">
              <w:t xml:space="preserve">  12.6</w:t>
            </w:r>
          </w:p>
        </w:tc>
        <w:tc>
          <w:tcPr>
            <w:tcW w:w="753" w:type="dxa"/>
            <w:gridSpan w:val="2"/>
            <w:shd w:val="clear" w:color="auto" w:fill="auto"/>
            <w:vAlign w:val="center"/>
          </w:tcPr>
          <w:p w:rsidR="0086548B" w:rsidRPr="00227090" w:rsidRDefault="0086548B" w:rsidP="00DD4A25">
            <w:pPr>
              <w:pStyle w:val="TableBodyText"/>
            </w:pPr>
            <w:r w:rsidRPr="00227090">
              <w:t xml:space="preserve">  9.8</w:t>
            </w:r>
          </w:p>
        </w:tc>
        <w:tc>
          <w:tcPr>
            <w:tcW w:w="765" w:type="dxa"/>
            <w:shd w:val="clear" w:color="auto" w:fill="auto"/>
            <w:vAlign w:val="center"/>
          </w:tcPr>
          <w:p w:rsidR="0086548B" w:rsidRPr="00227090" w:rsidRDefault="0086548B" w:rsidP="00DD4A25">
            <w:pPr>
              <w:pStyle w:val="TableBodyText"/>
            </w:pPr>
            <w:r w:rsidRPr="00227090">
              <w:t xml:space="preserve">  14.4</w:t>
            </w:r>
          </w:p>
        </w:tc>
      </w:tr>
      <w:tr w:rsidR="0086548B" w:rsidRPr="005825CD" w:rsidTr="00DD4A25">
        <w:trPr>
          <w:trHeight w:val="177"/>
        </w:trPr>
        <w:tc>
          <w:tcPr>
            <w:tcW w:w="8807" w:type="dxa"/>
            <w:gridSpan w:val="20"/>
            <w:shd w:val="clear" w:color="auto" w:fill="auto"/>
          </w:tcPr>
          <w:p w:rsidR="0086548B" w:rsidRPr="00C804F5" w:rsidRDefault="0086548B" w:rsidP="00DD4A25">
            <w:pPr>
              <w:pStyle w:val="Source"/>
            </w:pPr>
            <w:r w:rsidRPr="00B5543B">
              <w:t>Source: table</w:t>
            </w:r>
            <w:r>
              <w:t>s</w:t>
            </w:r>
            <w:r w:rsidRPr="00B5543B">
              <w:t xml:space="preserve"> </w:t>
            </w:r>
            <w:proofErr w:type="spellStart"/>
            <w:r w:rsidRPr="00B5543B">
              <w:t>1</w:t>
            </w:r>
            <w:r>
              <w:t>2</w:t>
            </w:r>
            <w:r w:rsidRPr="00B5543B">
              <w:t>A.</w:t>
            </w:r>
            <w:r>
              <w:t>39</w:t>
            </w:r>
            <w:proofErr w:type="spellEnd"/>
            <w:r>
              <w:t xml:space="preserve"> and </w:t>
            </w:r>
            <w:proofErr w:type="spellStart"/>
            <w:r>
              <w:t>12A.41</w:t>
            </w:r>
            <w:proofErr w:type="spellEnd"/>
            <w:r w:rsidRPr="00B5543B">
              <w:t>.</w:t>
            </w:r>
          </w:p>
        </w:tc>
      </w:tr>
      <w:tr w:rsidR="00B61A98" w:rsidRPr="001C3248" w:rsidTr="00F47535">
        <w:trPr>
          <w:trHeight w:val="273"/>
        </w:trPr>
        <w:tc>
          <w:tcPr>
            <w:tcW w:w="8807" w:type="dxa"/>
            <w:gridSpan w:val="20"/>
            <w:shd w:val="clear" w:color="auto" w:fill="auto"/>
          </w:tcPr>
          <w:p w:rsidR="00B61A98" w:rsidRPr="001C3248" w:rsidRDefault="00B61A98" w:rsidP="00F47535">
            <w:pPr>
              <w:pStyle w:val="TableColumnHeading"/>
              <w:jc w:val="left"/>
              <w:rPr>
                <w:b/>
                <w:i w:val="0"/>
              </w:rPr>
            </w:pPr>
            <w:r w:rsidRPr="001C3248">
              <w:rPr>
                <w:b/>
                <w:i w:val="0"/>
              </w:rPr>
              <w:t>Efficiency indicators</w:t>
            </w:r>
          </w:p>
        </w:tc>
      </w:tr>
      <w:tr w:rsidR="00B61A98" w:rsidRPr="00B1236A" w:rsidTr="00F47535">
        <w:trPr>
          <w:trHeight w:val="273"/>
        </w:trPr>
        <w:tc>
          <w:tcPr>
            <w:tcW w:w="8807" w:type="dxa"/>
            <w:gridSpan w:val="20"/>
            <w:shd w:val="clear" w:color="auto" w:fill="auto"/>
          </w:tcPr>
          <w:p w:rsidR="00B61A98" w:rsidRPr="00B1236A" w:rsidRDefault="00B61A98" w:rsidP="00F47535">
            <w:pPr>
              <w:pStyle w:val="TableColumnHeading"/>
              <w:jc w:val="left"/>
            </w:pPr>
            <w:r>
              <w:t>Cost of inpatient care</w:t>
            </w:r>
            <w:r w:rsidRPr="00B1236A">
              <w:br/>
            </w:r>
            <w:r w:rsidRPr="00DE72FE">
              <w:rPr>
                <w:i w:val="0"/>
                <w:sz w:val="16"/>
                <w:szCs w:val="16"/>
              </w:rPr>
              <w:t>Most recent data for this indicator are comparable and complete (chapter 12)</w:t>
            </w:r>
          </w:p>
        </w:tc>
      </w:tr>
      <w:tr w:rsidR="00B61A98" w:rsidRPr="00B1236A" w:rsidTr="00F47535">
        <w:tc>
          <w:tcPr>
            <w:tcW w:w="8807" w:type="dxa"/>
            <w:gridSpan w:val="20"/>
            <w:shd w:val="clear" w:color="auto" w:fill="auto"/>
          </w:tcPr>
          <w:p w:rsidR="00B61A98" w:rsidRPr="00B1236A" w:rsidRDefault="00B61A98" w:rsidP="00F47535">
            <w:pPr>
              <w:pStyle w:val="TableBodyText"/>
              <w:ind w:left="142"/>
              <w:jc w:val="left"/>
            </w:pPr>
            <w:r w:rsidRPr="00B1236A">
              <w:t xml:space="preserve">Cost per inpatient bed </w:t>
            </w:r>
            <w:r w:rsidRPr="00DE72FE">
              <w:t>day, 2011-12</w:t>
            </w:r>
          </w:p>
        </w:tc>
      </w:tr>
      <w:tr w:rsidR="00B61A98" w:rsidRPr="00B1236A" w:rsidTr="00F47535">
        <w:tc>
          <w:tcPr>
            <w:tcW w:w="8807" w:type="dxa"/>
            <w:gridSpan w:val="20"/>
            <w:shd w:val="clear" w:color="auto" w:fill="auto"/>
          </w:tcPr>
          <w:p w:rsidR="00B61A98" w:rsidRPr="0050366D" w:rsidRDefault="00B61A98" w:rsidP="00F47535">
            <w:pPr>
              <w:pStyle w:val="TableBodyText"/>
              <w:ind w:left="142"/>
              <w:jc w:val="left"/>
              <w:rPr>
                <w:rFonts w:cs="Arial"/>
              </w:rPr>
            </w:pPr>
            <w:r>
              <w:rPr>
                <w:rFonts w:cs="Arial"/>
              </w:rPr>
              <w:t>General mental health services (acute units)</w:t>
            </w:r>
          </w:p>
        </w:tc>
      </w:tr>
      <w:tr w:rsidR="00B61A98" w:rsidRPr="00B1236A" w:rsidTr="00F47535">
        <w:tc>
          <w:tcPr>
            <w:tcW w:w="334" w:type="dxa"/>
            <w:shd w:val="clear" w:color="auto" w:fill="auto"/>
          </w:tcPr>
          <w:p w:rsidR="00B61A98" w:rsidRPr="00B1236A" w:rsidRDefault="00B61A98" w:rsidP="00F47535">
            <w:pPr>
              <w:pStyle w:val="TableBodyText"/>
              <w:jc w:val="left"/>
              <w:rPr>
                <w:vertAlign w:val="superscript"/>
              </w:rPr>
            </w:pPr>
          </w:p>
        </w:tc>
        <w:tc>
          <w:tcPr>
            <w:tcW w:w="1503" w:type="dxa"/>
            <w:shd w:val="clear" w:color="auto" w:fill="auto"/>
          </w:tcPr>
          <w:p w:rsidR="00B61A98" w:rsidRPr="00B1236A" w:rsidRDefault="00B61A98" w:rsidP="00F47535">
            <w:pPr>
              <w:pStyle w:val="TableBodyText"/>
              <w:jc w:val="left"/>
            </w:pPr>
            <w:r>
              <w:t>$ per bed day</w:t>
            </w:r>
          </w:p>
        </w:tc>
        <w:tc>
          <w:tcPr>
            <w:tcW w:w="772" w:type="dxa"/>
            <w:gridSpan w:val="2"/>
            <w:shd w:val="clear" w:color="auto" w:fill="auto"/>
            <w:vAlign w:val="center"/>
          </w:tcPr>
          <w:p w:rsidR="00B61A98" w:rsidRPr="00EC57FB" w:rsidRDefault="00B61A98" w:rsidP="00F47535">
            <w:pPr>
              <w:pStyle w:val="TableBodyText"/>
            </w:pPr>
            <w:r w:rsidRPr="00EC57FB">
              <w:t xml:space="preserve">  949</w:t>
            </w:r>
          </w:p>
        </w:tc>
        <w:tc>
          <w:tcPr>
            <w:tcW w:w="772" w:type="dxa"/>
            <w:gridSpan w:val="2"/>
            <w:shd w:val="clear" w:color="auto" w:fill="auto"/>
            <w:vAlign w:val="center"/>
          </w:tcPr>
          <w:p w:rsidR="00B61A98" w:rsidRPr="00EC57FB" w:rsidRDefault="00B61A98" w:rsidP="00F47535">
            <w:pPr>
              <w:pStyle w:val="TableBodyText"/>
            </w:pPr>
            <w:r w:rsidRPr="00EC57FB">
              <w:t xml:space="preserve">  800</w:t>
            </w:r>
          </w:p>
        </w:tc>
        <w:tc>
          <w:tcPr>
            <w:tcW w:w="771" w:type="dxa"/>
            <w:gridSpan w:val="2"/>
            <w:shd w:val="clear" w:color="auto" w:fill="auto"/>
            <w:vAlign w:val="center"/>
          </w:tcPr>
          <w:p w:rsidR="00B61A98" w:rsidRPr="00EC57FB" w:rsidRDefault="00B61A98" w:rsidP="00F47535">
            <w:pPr>
              <w:pStyle w:val="TableBodyText"/>
            </w:pPr>
            <w:r w:rsidRPr="00EC57FB">
              <w:t xml:space="preserve">  859</w:t>
            </w:r>
          </w:p>
        </w:tc>
        <w:tc>
          <w:tcPr>
            <w:tcW w:w="771" w:type="dxa"/>
            <w:gridSpan w:val="2"/>
            <w:shd w:val="clear" w:color="auto" w:fill="auto"/>
            <w:vAlign w:val="center"/>
          </w:tcPr>
          <w:p w:rsidR="00B61A98" w:rsidRPr="00EC57FB" w:rsidRDefault="00B61A98" w:rsidP="00F47535">
            <w:pPr>
              <w:pStyle w:val="TableBodyText"/>
            </w:pPr>
            <w:r w:rsidRPr="00EC57FB">
              <w:t xml:space="preserve"> 1 123</w:t>
            </w:r>
          </w:p>
        </w:tc>
        <w:tc>
          <w:tcPr>
            <w:tcW w:w="773" w:type="dxa"/>
            <w:gridSpan w:val="2"/>
            <w:shd w:val="clear" w:color="auto" w:fill="auto"/>
            <w:vAlign w:val="center"/>
          </w:tcPr>
          <w:p w:rsidR="00B61A98" w:rsidRPr="00EC57FB" w:rsidRDefault="00B61A98" w:rsidP="00F47535">
            <w:pPr>
              <w:pStyle w:val="TableBodyText"/>
            </w:pPr>
            <w:r w:rsidRPr="00EC57FB">
              <w:t xml:space="preserve">  865</w:t>
            </w:r>
          </w:p>
        </w:tc>
        <w:tc>
          <w:tcPr>
            <w:tcW w:w="771" w:type="dxa"/>
            <w:gridSpan w:val="2"/>
            <w:shd w:val="clear" w:color="auto" w:fill="auto"/>
            <w:vAlign w:val="center"/>
          </w:tcPr>
          <w:p w:rsidR="00B61A98" w:rsidRPr="00EC57FB" w:rsidRDefault="00B61A98" w:rsidP="00F47535">
            <w:pPr>
              <w:pStyle w:val="TableBodyText"/>
            </w:pPr>
            <w:r w:rsidRPr="00EC57FB">
              <w:t xml:space="preserve">  931</w:t>
            </w:r>
          </w:p>
        </w:tc>
        <w:tc>
          <w:tcPr>
            <w:tcW w:w="774" w:type="dxa"/>
            <w:gridSpan w:val="2"/>
            <w:shd w:val="clear" w:color="auto" w:fill="auto"/>
            <w:vAlign w:val="center"/>
          </w:tcPr>
          <w:p w:rsidR="00B61A98" w:rsidRPr="00EC57FB" w:rsidRDefault="00B61A98" w:rsidP="00F47535">
            <w:pPr>
              <w:pStyle w:val="TableBodyText"/>
            </w:pPr>
            <w:r w:rsidRPr="00EC57FB">
              <w:t xml:space="preserve">  910</w:t>
            </w:r>
          </w:p>
        </w:tc>
        <w:tc>
          <w:tcPr>
            <w:tcW w:w="789" w:type="dxa"/>
            <w:gridSpan w:val="2"/>
            <w:shd w:val="clear" w:color="auto" w:fill="auto"/>
            <w:vAlign w:val="center"/>
          </w:tcPr>
          <w:p w:rsidR="00B61A98" w:rsidRPr="00EC57FB" w:rsidRDefault="00B61A98" w:rsidP="00F47535">
            <w:pPr>
              <w:pStyle w:val="TableBodyText"/>
            </w:pPr>
            <w:r w:rsidRPr="00EC57FB">
              <w:t xml:space="preserve"> 1 526</w:t>
            </w:r>
          </w:p>
        </w:tc>
        <w:tc>
          <w:tcPr>
            <w:tcW w:w="777" w:type="dxa"/>
            <w:gridSpan w:val="2"/>
            <w:shd w:val="clear" w:color="auto" w:fill="auto"/>
            <w:vAlign w:val="center"/>
          </w:tcPr>
          <w:p w:rsidR="00B61A98" w:rsidRPr="00EC57FB" w:rsidRDefault="00B61A98" w:rsidP="00F47535">
            <w:pPr>
              <w:pStyle w:val="TableBodyText"/>
            </w:pPr>
            <w:r w:rsidRPr="00EC57FB">
              <w:t xml:space="preserve">  921</w:t>
            </w:r>
          </w:p>
        </w:tc>
      </w:tr>
      <w:tr w:rsidR="00B61A98" w:rsidRPr="00B1236A" w:rsidTr="00F47535">
        <w:tc>
          <w:tcPr>
            <w:tcW w:w="8807" w:type="dxa"/>
            <w:gridSpan w:val="20"/>
            <w:shd w:val="clear" w:color="auto" w:fill="auto"/>
          </w:tcPr>
          <w:p w:rsidR="00B61A98" w:rsidRPr="00B1236A" w:rsidRDefault="00B61A98" w:rsidP="00F47535">
            <w:pPr>
              <w:pStyle w:val="TableBodyText"/>
              <w:ind w:left="142"/>
              <w:jc w:val="left"/>
            </w:pPr>
            <w:r w:rsidRPr="0050366D">
              <w:t>Public acute hospital with a psychiatric unit or ward (acute units)</w:t>
            </w:r>
          </w:p>
        </w:tc>
      </w:tr>
      <w:tr w:rsidR="00B61A98" w:rsidRPr="00B1236A" w:rsidTr="00F47535">
        <w:tc>
          <w:tcPr>
            <w:tcW w:w="334" w:type="dxa"/>
            <w:shd w:val="clear" w:color="auto" w:fill="auto"/>
          </w:tcPr>
          <w:p w:rsidR="00B61A98" w:rsidRPr="00B1236A" w:rsidRDefault="00B61A98" w:rsidP="00F47535">
            <w:pPr>
              <w:pStyle w:val="TableBodyText"/>
              <w:jc w:val="left"/>
              <w:rPr>
                <w:vertAlign w:val="superscript"/>
              </w:rPr>
            </w:pPr>
          </w:p>
        </w:tc>
        <w:tc>
          <w:tcPr>
            <w:tcW w:w="1503" w:type="dxa"/>
            <w:shd w:val="clear" w:color="auto" w:fill="auto"/>
          </w:tcPr>
          <w:p w:rsidR="00B61A98" w:rsidRPr="00B1236A" w:rsidRDefault="00B61A98" w:rsidP="00F47535">
            <w:pPr>
              <w:pStyle w:val="TableBodyText"/>
              <w:jc w:val="left"/>
            </w:pPr>
            <w:r>
              <w:t>$ per bed day</w:t>
            </w:r>
          </w:p>
        </w:tc>
        <w:tc>
          <w:tcPr>
            <w:tcW w:w="772" w:type="dxa"/>
            <w:gridSpan w:val="2"/>
            <w:shd w:val="clear" w:color="auto" w:fill="auto"/>
            <w:vAlign w:val="center"/>
          </w:tcPr>
          <w:p w:rsidR="00B61A98" w:rsidRPr="00EC57FB" w:rsidRDefault="00B61A98" w:rsidP="00F47535">
            <w:pPr>
              <w:pStyle w:val="TableBodyText"/>
            </w:pPr>
            <w:r w:rsidRPr="00EC57FB">
              <w:t xml:space="preserve">  944</w:t>
            </w:r>
          </w:p>
        </w:tc>
        <w:tc>
          <w:tcPr>
            <w:tcW w:w="772" w:type="dxa"/>
            <w:gridSpan w:val="2"/>
            <w:shd w:val="clear" w:color="auto" w:fill="auto"/>
            <w:vAlign w:val="center"/>
          </w:tcPr>
          <w:p w:rsidR="00B61A98" w:rsidRPr="00EC57FB" w:rsidRDefault="00B61A98" w:rsidP="00F47535">
            <w:pPr>
              <w:pStyle w:val="TableBodyText"/>
            </w:pPr>
            <w:r w:rsidRPr="00EC57FB">
              <w:t xml:space="preserve">  802</w:t>
            </w:r>
          </w:p>
        </w:tc>
        <w:tc>
          <w:tcPr>
            <w:tcW w:w="771" w:type="dxa"/>
            <w:gridSpan w:val="2"/>
            <w:shd w:val="clear" w:color="auto" w:fill="auto"/>
            <w:vAlign w:val="center"/>
          </w:tcPr>
          <w:p w:rsidR="00B61A98" w:rsidRPr="00EC57FB" w:rsidRDefault="00B61A98" w:rsidP="00F47535">
            <w:pPr>
              <w:pStyle w:val="TableBodyText"/>
            </w:pPr>
            <w:r w:rsidRPr="00EC57FB">
              <w:t xml:space="preserve">  891</w:t>
            </w:r>
          </w:p>
        </w:tc>
        <w:tc>
          <w:tcPr>
            <w:tcW w:w="771" w:type="dxa"/>
            <w:gridSpan w:val="2"/>
            <w:shd w:val="clear" w:color="auto" w:fill="auto"/>
            <w:vAlign w:val="center"/>
          </w:tcPr>
          <w:p w:rsidR="00B61A98" w:rsidRPr="00EC57FB" w:rsidRDefault="00B61A98" w:rsidP="00F47535">
            <w:pPr>
              <w:pStyle w:val="TableBodyText"/>
            </w:pPr>
            <w:r w:rsidRPr="00EC57FB">
              <w:t xml:space="preserve"> 1 104</w:t>
            </w:r>
          </w:p>
        </w:tc>
        <w:tc>
          <w:tcPr>
            <w:tcW w:w="773" w:type="dxa"/>
            <w:gridSpan w:val="2"/>
            <w:shd w:val="clear" w:color="auto" w:fill="auto"/>
            <w:vAlign w:val="center"/>
          </w:tcPr>
          <w:p w:rsidR="00B61A98" w:rsidRPr="00EC57FB" w:rsidRDefault="00B61A98" w:rsidP="00F47535">
            <w:pPr>
              <w:pStyle w:val="TableBodyText"/>
            </w:pPr>
            <w:r w:rsidRPr="00EC57FB">
              <w:t xml:space="preserve">  871</w:t>
            </w:r>
          </w:p>
        </w:tc>
        <w:tc>
          <w:tcPr>
            <w:tcW w:w="771" w:type="dxa"/>
            <w:gridSpan w:val="2"/>
            <w:shd w:val="clear" w:color="auto" w:fill="auto"/>
            <w:vAlign w:val="center"/>
          </w:tcPr>
          <w:p w:rsidR="00B61A98" w:rsidRPr="00EC57FB" w:rsidRDefault="00B61A98" w:rsidP="00F47535">
            <w:pPr>
              <w:pStyle w:val="TableBodyText"/>
            </w:pPr>
            <w:r w:rsidRPr="00EC57FB">
              <w:t xml:space="preserve"> 1 036</w:t>
            </w:r>
          </w:p>
        </w:tc>
        <w:tc>
          <w:tcPr>
            <w:tcW w:w="774" w:type="dxa"/>
            <w:gridSpan w:val="2"/>
            <w:shd w:val="clear" w:color="auto" w:fill="auto"/>
            <w:vAlign w:val="center"/>
          </w:tcPr>
          <w:p w:rsidR="00B61A98" w:rsidRPr="00EC57FB" w:rsidRDefault="00B61A98" w:rsidP="00F47535">
            <w:pPr>
              <w:pStyle w:val="TableBodyText"/>
            </w:pPr>
            <w:r w:rsidRPr="00EC57FB">
              <w:t>839</w:t>
            </w:r>
          </w:p>
        </w:tc>
        <w:tc>
          <w:tcPr>
            <w:tcW w:w="789" w:type="dxa"/>
            <w:gridSpan w:val="2"/>
            <w:shd w:val="clear" w:color="auto" w:fill="auto"/>
            <w:vAlign w:val="center"/>
          </w:tcPr>
          <w:p w:rsidR="00B61A98" w:rsidRPr="00EC57FB" w:rsidRDefault="00B61A98" w:rsidP="00F47535">
            <w:pPr>
              <w:pStyle w:val="TableBodyText"/>
            </w:pPr>
            <w:r w:rsidRPr="00EC57FB">
              <w:t xml:space="preserve"> 1 526</w:t>
            </w:r>
          </w:p>
        </w:tc>
        <w:tc>
          <w:tcPr>
            <w:tcW w:w="777" w:type="dxa"/>
            <w:gridSpan w:val="2"/>
            <w:shd w:val="clear" w:color="auto" w:fill="auto"/>
            <w:vAlign w:val="center"/>
          </w:tcPr>
          <w:p w:rsidR="00B61A98" w:rsidRPr="00EC57FB" w:rsidRDefault="00B61A98" w:rsidP="00F47535">
            <w:pPr>
              <w:pStyle w:val="TableBodyText"/>
            </w:pPr>
            <w:r w:rsidRPr="00EC57FB">
              <w:t xml:space="preserve">  918</w:t>
            </w:r>
          </w:p>
        </w:tc>
      </w:tr>
      <w:tr w:rsidR="00C51163" w:rsidRPr="00B1236A" w:rsidTr="00DD4A25">
        <w:tc>
          <w:tcPr>
            <w:tcW w:w="8807" w:type="dxa"/>
            <w:gridSpan w:val="20"/>
            <w:tcBorders>
              <w:top w:val="single" w:sz="4" w:space="0" w:color="auto"/>
            </w:tcBorders>
            <w:shd w:val="clear" w:color="auto" w:fill="auto"/>
          </w:tcPr>
          <w:p w:rsidR="00C51163" w:rsidRPr="00B1236A" w:rsidRDefault="00C51163" w:rsidP="00DD4A25">
            <w:pPr>
              <w:pStyle w:val="Continued"/>
            </w:pPr>
            <w:r>
              <w:t>(</w:t>
            </w:r>
            <w:r w:rsidRPr="00577BF4">
              <w:t>Continued</w:t>
            </w:r>
            <w:r>
              <w:t xml:space="preserve"> next page)</w:t>
            </w:r>
          </w:p>
        </w:tc>
      </w:tr>
    </w:tbl>
    <w:p w:rsidR="00C51163" w:rsidRPr="00C51163" w:rsidRDefault="00C51163" w:rsidP="00C51163">
      <w:pPr>
        <w:pStyle w:val="TableTitle"/>
        <w:rPr>
          <w:vertAlign w:val="superscript"/>
        </w:rPr>
      </w:pPr>
      <w:r w:rsidRPr="002C2448">
        <w:rPr>
          <w:b w:val="0"/>
        </w:rPr>
        <w:lastRenderedPageBreak/>
        <w:t xml:space="preserve">Table </w:t>
      </w:r>
      <w:proofErr w:type="spellStart"/>
      <w:r>
        <w:rPr>
          <w:b w:val="0"/>
        </w:rPr>
        <w:t>E.</w:t>
      </w:r>
      <w:r w:rsidR="00C01FBD">
        <w:rPr>
          <w:b w:val="0"/>
          <w:noProof/>
        </w:rPr>
        <w:t>10</w:t>
      </w:r>
      <w:proofErr w:type="spellEnd"/>
      <w:r w:rsidRPr="002C2448">
        <w:rPr>
          <w:b w:val="0"/>
        </w:rPr>
        <w:tab/>
      </w:r>
      <w:r w:rsidRPr="0086548B">
        <w:rPr>
          <w:sz w:val="18"/>
          <w:szCs w:val="18"/>
        </w:rPr>
        <w:t>(Continued)</w:t>
      </w:r>
    </w:p>
    <w:tbl>
      <w:tblPr>
        <w:tblW w:w="8807" w:type="dxa"/>
        <w:shd w:val="clear" w:color="auto" w:fill="FBD4B4" w:themeFill="accent6" w:themeFillTint="66"/>
        <w:tblLayout w:type="fixed"/>
        <w:tblCellMar>
          <w:left w:w="0" w:type="dxa"/>
          <w:right w:w="0" w:type="dxa"/>
        </w:tblCellMar>
        <w:tblLook w:val="0000" w:firstRow="0" w:lastRow="0" w:firstColumn="0" w:lastColumn="0" w:noHBand="0" w:noVBand="0"/>
      </w:tblPr>
      <w:tblGrid>
        <w:gridCol w:w="334"/>
        <w:gridCol w:w="1521"/>
        <w:gridCol w:w="190"/>
        <w:gridCol w:w="583"/>
        <w:gridCol w:w="167"/>
        <w:gridCol w:w="605"/>
        <w:gridCol w:w="144"/>
        <w:gridCol w:w="627"/>
        <w:gridCol w:w="121"/>
        <w:gridCol w:w="650"/>
        <w:gridCol w:w="101"/>
        <w:gridCol w:w="672"/>
        <w:gridCol w:w="76"/>
        <w:gridCol w:w="695"/>
        <w:gridCol w:w="55"/>
        <w:gridCol w:w="725"/>
        <w:gridCol w:w="23"/>
        <w:gridCol w:w="753"/>
        <w:gridCol w:w="765"/>
      </w:tblGrid>
      <w:tr w:rsidR="00C51163" w:rsidRPr="004C2CF4" w:rsidTr="00DD4A25">
        <w:trPr>
          <w:cantSplit/>
          <w:tblHeader/>
        </w:trPr>
        <w:tc>
          <w:tcPr>
            <w:tcW w:w="2045" w:type="dxa"/>
            <w:gridSpan w:val="3"/>
            <w:tcBorders>
              <w:top w:val="single" w:sz="6" w:space="0" w:color="auto"/>
              <w:bottom w:val="single" w:sz="6" w:space="0" w:color="auto"/>
            </w:tcBorders>
            <w:shd w:val="clear" w:color="auto" w:fill="auto"/>
          </w:tcPr>
          <w:p w:rsidR="00C51163" w:rsidRPr="00B817EA" w:rsidRDefault="00C51163" w:rsidP="00DD4A25">
            <w:pPr>
              <w:pStyle w:val="TableColumnHeading"/>
              <w:jc w:val="left"/>
            </w:pPr>
          </w:p>
        </w:tc>
        <w:tc>
          <w:tcPr>
            <w:tcW w:w="750"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NSW</w:t>
            </w:r>
          </w:p>
        </w:tc>
        <w:tc>
          <w:tcPr>
            <w:tcW w:w="749"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Vic</w:t>
            </w:r>
          </w:p>
        </w:tc>
        <w:tc>
          <w:tcPr>
            <w:tcW w:w="748"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Qld</w:t>
            </w:r>
          </w:p>
        </w:tc>
        <w:tc>
          <w:tcPr>
            <w:tcW w:w="751"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WA</w:t>
            </w:r>
          </w:p>
        </w:tc>
        <w:tc>
          <w:tcPr>
            <w:tcW w:w="748"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SA</w:t>
            </w:r>
          </w:p>
        </w:tc>
        <w:tc>
          <w:tcPr>
            <w:tcW w:w="750"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proofErr w:type="spellStart"/>
            <w:r w:rsidRPr="00B817EA">
              <w:t>Tas</w:t>
            </w:r>
            <w:proofErr w:type="spellEnd"/>
          </w:p>
        </w:tc>
        <w:tc>
          <w:tcPr>
            <w:tcW w:w="748" w:type="dxa"/>
            <w:gridSpan w:val="2"/>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ACT</w:t>
            </w:r>
          </w:p>
        </w:tc>
        <w:tc>
          <w:tcPr>
            <w:tcW w:w="753" w:type="dxa"/>
            <w:tcBorders>
              <w:top w:val="single" w:sz="6" w:space="0" w:color="auto"/>
              <w:bottom w:val="single" w:sz="6" w:space="0" w:color="auto"/>
            </w:tcBorders>
            <w:shd w:val="clear" w:color="auto" w:fill="auto"/>
          </w:tcPr>
          <w:p w:rsidR="00C51163" w:rsidRPr="00B817EA" w:rsidRDefault="00C51163" w:rsidP="00DD4A25">
            <w:pPr>
              <w:pStyle w:val="TableColumnHeading"/>
            </w:pPr>
            <w:r w:rsidRPr="00B817EA">
              <w:t>NT</w:t>
            </w:r>
          </w:p>
        </w:tc>
        <w:tc>
          <w:tcPr>
            <w:tcW w:w="765" w:type="dxa"/>
            <w:tcBorders>
              <w:top w:val="single" w:sz="6" w:space="0" w:color="auto"/>
              <w:bottom w:val="single" w:sz="6" w:space="0" w:color="auto"/>
            </w:tcBorders>
            <w:shd w:val="clear" w:color="auto" w:fill="auto"/>
          </w:tcPr>
          <w:p w:rsidR="00C51163" w:rsidRPr="004C2CF4" w:rsidRDefault="00C51163" w:rsidP="00DD4A25">
            <w:pPr>
              <w:pStyle w:val="TableColumnHeading"/>
            </w:pPr>
            <w:proofErr w:type="spellStart"/>
            <w:r w:rsidRPr="00B817EA">
              <w:t>Aust</w:t>
            </w:r>
            <w:proofErr w:type="spellEnd"/>
          </w:p>
        </w:tc>
      </w:tr>
      <w:tr w:rsidR="0086548B" w:rsidRPr="00B1236A" w:rsidTr="00DD4A25">
        <w:tc>
          <w:tcPr>
            <w:tcW w:w="8807" w:type="dxa"/>
            <w:gridSpan w:val="19"/>
            <w:shd w:val="clear" w:color="auto" w:fill="auto"/>
          </w:tcPr>
          <w:p w:rsidR="0086548B" w:rsidRPr="00B1236A" w:rsidRDefault="0086548B" w:rsidP="00DD4A25">
            <w:pPr>
              <w:pStyle w:val="TableColumnHeading"/>
              <w:jc w:val="left"/>
            </w:pPr>
            <w:r w:rsidRPr="00B1236A">
              <w:t>Average recurrent cost per patient day for community residential services</w:t>
            </w:r>
            <w:r w:rsidRPr="00B1236A">
              <w:br/>
            </w:r>
            <w:r w:rsidRPr="00DE72FE">
              <w:rPr>
                <w:i w:val="0"/>
                <w:sz w:val="16"/>
                <w:szCs w:val="16"/>
              </w:rPr>
              <w:t>Most recent data for this indicator are comparable and complete (chapter 12)</w:t>
            </w:r>
          </w:p>
        </w:tc>
      </w:tr>
      <w:tr w:rsidR="0086548B" w:rsidRPr="00B1236A" w:rsidTr="00DD4A25">
        <w:tc>
          <w:tcPr>
            <w:tcW w:w="8807" w:type="dxa"/>
            <w:gridSpan w:val="19"/>
            <w:shd w:val="clear" w:color="auto" w:fill="auto"/>
          </w:tcPr>
          <w:p w:rsidR="0086548B" w:rsidRPr="00B1236A" w:rsidRDefault="0086548B" w:rsidP="00DD4A25">
            <w:pPr>
              <w:pStyle w:val="TableBodyText"/>
              <w:ind w:left="142"/>
              <w:jc w:val="left"/>
            </w:pPr>
            <w:r w:rsidRPr="00B1236A">
              <w:t>General adult units</w:t>
            </w:r>
            <w:r w:rsidRPr="00B1236A">
              <w:rPr>
                <w:rFonts w:cs="Arial"/>
              </w:rPr>
              <w:t xml:space="preserve"> —</w:t>
            </w:r>
            <w:r w:rsidRPr="00B1236A">
              <w:t xml:space="preserve"> 24-hour staffed units</w:t>
            </w:r>
            <w:r w:rsidRPr="00723E2E">
              <w:t>, 2011-12</w:t>
            </w:r>
          </w:p>
        </w:tc>
      </w:tr>
      <w:tr w:rsidR="0086548B" w:rsidRPr="00B1236A" w:rsidTr="00DE72FE">
        <w:tc>
          <w:tcPr>
            <w:tcW w:w="334" w:type="dxa"/>
            <w:shd w:val="clear" w:color="auto" w:fill="auto"/>
          </w:tcPr>
          <w:p w:rsidR="0086548B" w:rsidRPr="00B1236A" w:rsidRDefault="0086548B" w:rsidP="00DD4A25">
            <w:pPr>
              <w:pStyle w:val="TableBodyText"/>
              <w:jc w:val="left"/>
              <w:rPr>
                <w:vertAlign w:val="superscript"/>
              </w:rPr>
            </w:pPr>
          </w:p>
        </w:tc>
        <w:tc>
          <w:tcPr>
            <w:tcW w:w="1521" w:type="dxa"/>
            <w:shd w:val="clear" w:color="auto" w:fill="auto"/>
          </w:tcPr>
          <w:p w:rsidR="0086548B" w:rsidRPr="00B1236A" w:rsidRDefault="0086548B" w:rsidP="00DD4A25">
            <w:pPr>
              <w:pStyle w:val="TableBodyText"/>
              <w:ind w:right="0"/>
              <w:jc w:val="left"/>
            </w:pPr>
            <w:r w:rsidRPr="00B1236A">
              <w:t>$</w:t>
            </w:r>
            <w:r>
              <w:t xml:space="preserve"> per patient day</w:t>
            </w:r>
          </w:p>
        </w:tc>
        <w:tc>
          <w:tcPr>
            <w:tcW w:w="773" w:type="dxa"/>
            <w:gridSpan w:val="2"/>
            <w:shd w:val="clear" w:color="auto" w:fill="auto"/>
          </w:tcPr>
          <w:p w:rsidR="0086548B" w:rsidRPr="00BD2F0A" w:rsidRDefault="0086548B" w:rsidP="00DD4A25">
            <w:pPr>
              <w:pStyle w:val="TableBodyText"/>
            </w:pPr>
            <w:r w:rsidRPr="00BD2F0A">
              <w:t>225</w:t>
            </w:r>
          </w:p>
        </w:tc>
        <w:tc>
          <w:tcPr>
            <w:tcW w:w="772" w:type="dxa"/>
            <w:gridSpan w:val="2"/>
            <w:shd w:val="clear" w:color="auto" w:fill="auto"/>
          </w:tcPr>
          <w:p w:rsidR="0086548B" w:rsidRPr="00BD2F0A" w:rsidRDefault="0086548B" w:rsidP="00DD4A25">
            <w:pPr>
              <w:pStyle w:val="TableBodyText"/>
            </w:pPr>
            <w:r w:rsidRPr="00BD2F0A">
              <w:t>488</w:t>
            </w:r>
          </w:p>
        </w:tc>
        <w:tc>
          <w:tcPr>
            <w:tcW w:w="771" w:type="dxa"/>
            <w:gridSpan w:val="2"/>
            <w:shd w:val="clear" w:color="auto" w:fill="auto"/>
          </w:tcPr>
          <w:p w:rsidR="0086548B" w:rsidRPr="00BD2F0A" w:rsidRDefault="0086548B" w:rsidP="00DD4A25">
            <w:pPr>
              <w:pStyle w:val="TableBodyText"/>
            </w:pPr>
            <w:r w:rsidRPr="00BD2F0A">
              <w:t>..</w:t>
            </w:r>
          </w:p>
        </w:tc>
        <w:tc>
          <w:tcPr>
            <w:tcW w:w="771" w:type="dxa"/>
            <w:gridSpan w:val="2"/>
            <w:shd w:val="clear" w:color="auto" w:fill="auto"/>
          </w:tcPr>
          <w:p w:rsidR="0086548B" w:rsidRPr="00BD2F0A" w:rsidRDefault="0086548B" w:rsidP="00DD4A25">
            <w:pPr>
              <w:pStyle w:val="TableBodyText"/>
            </w:pPr>
            <w:r w:rsidRPr="00BD2F0A">
              <w:t>368</w:t>
            </w:r>
          </w:p>
        </w:tc>
        <w:tc>
          <w:tcPr>
            <w:tcW w:w="773" w:type="dxa"/>
            <w:gridSpan w:val="2"/>
            <w:shd w:val="clear" w:color="auto" w:fill="auto"/>
          </w:tcPr>
          <w:p w:rsidR="0086548B" w:rsidRPr="00BD2F0A" w:rsidRDefault="0086548B" w:rsidP="00DD4A25">
            <w:pPr>
              <w:pStyle w:val="TableBodyText"/>
            </w:pPr>
            <w:r w:rsidRPr="00BD2F0A">
              <w:t>484</w:t>
            </w:r>
          </w:p>
        </w:tc>
        <w:tc>
          <w:tcPr>
            <w:tcW w:w="771" w:type="dxa"/>
            <w:gridSpan w:val="2"/>
            <w:shd w:val="clear" w:color="auto" w:fill="auto"/>
          </w:tcPr>
          <w:p w:rsidR="0086548B" w:rsidRPr="00BD2F0A" w:rsidRDefault="0086548B" w:rsidP="00DD4A25">
            <w:pPr>
              <w:pStyle w:val="TableBodyText"/>
            </w:pPr>
            <w:r w:rsidRPr="00BD2F0A">
              <w:t>490</w:t>
            </w:r>
          </w:p>
        </w:tc>
        <w:tc>
          <w:tcPr>
            <w:tcW w:w="780" w:type="dxa"/>
            <w:gridSpan w:val="2"/>
            <w:shd w:val="clear" w:color="auto" w:fill="auto"/>
          </w:tcPr>
          <w:p w:rsidR="0086548B" w:rsidRPr="00BD2F0A" w:rsidRDefault="0086548B" w:rsidP="00DD4A25">
            <w:pPr>
              <w:pStyle w:val="TableBodyText"/>
            </w:pPr>
            <w:r w:rsidRPr="00BD2F0A">
              <w:t>650</w:t>
            </w:r>
          </w:p>
        </w:tc>
        <w:tc>
          <w:tcPr>
            <w:tcW w:w="776" w:type="dxa"/>
            <w:gridSpan w:val="2"/>
            <w:shd w:val="clear" w:color="auto" w:fill="auto"/>
          </w:tcPr>
          <w:p w:rsidR="0086548B" w:rsidRPr="00BD2F0A" w:rsidRDefault="0086548B" w:rsidP="00DD4A25">
            <w:pPr>
              <w:pStyle w:val="TableBodyText"/>
            </w:pPr>
            <w:r w:rsidRPr="00BD2F0A">
              <w:t>308</w:t>
            </w:r>
          </w:p>
        </w:tc>
        <w:tc>
          <w:tcPr>
            <w:tcW w:w="765" w:type="dxa"/>
            <w:shd w:val="clear" w:color="auto" w:fill="auto"/>
          </w:tcPr>
          <w:p w:rsidR="0086548B" w:rsidRPr="00BD2F0A" w:rsidRDefault="0086548B" w:rsidP="00DD4A25">
            <w:pPr>
              <w:pStyle w:val="TableBodyText"/>
            </w:pPr>
            <w:r w:rsidRPr="00BD2F0A">
              <w:t>447</w:t>
            </w:r>
          </w:p>
        </w:tc>
      </w:tr>
      <w:tr w:rsidR="0086548B" w:rsidRPr="00B1236A" w:rsidTr="00DD4A25">
        <w:trPr>
          <w:trHeight w:val="362"/>
        </w:trPr>
        <w:tc>
          <w:tcPr>
            <w:tcW w:w="8807" w:type="dxa"/>
            <w:gridSpan w:val="19"/>
            <w:shd w:val="clear" w:color="auto" w:fill="auto"/>
          </w:tcPr>
          <w:p w:rsidR="0086548B" w:rsidRDefault="0086548B" w:rsidP="00DD4A25">
            <w:pPr>
              <w:pStyle w:val="TableColumnHeading"/>
              <w:jc w:val="left"/>
            </w:pPr>
            <w:r w:rsidRPr="00B1236A">
              <w:t>Average cost of ambulatory care</w:t>
            </w:r>
            <w:r>
              <w:t xml:space="preserve"> </w:t>
            </w:r>
          </w:p>
          <w:p w:rsidR="0086548B" w:rsidRDefault="0086548B" w:rsidP="00DD4A25">
            <w:pPr>
              <w:pStyle w:val="TableColumnHeading"/>
              <w:jc w:val="left"/>
              <w:rPr>
                <w:sz w:val="16"/>
                <w:szCs w:val="16"/>
              </w:rPr>
            </w:pPr>
            <w:r w:rsidRPr="00DE72FE">
              <w:rPr>
                <w:i w:val="0"/>
                <w:sz w:val="16"/>
                <w:szCs w:val="16"/>
              </w:rPr>
              <w:t>Most recent data for this indicator are comparable, but not complete (chapter 12)</w:t>
            </w:r>
            <w:r w:rsidRPr="005D67CD">
              <w:rPr>
                <w:sz w:val="16"/>
                <w:szCs w:val="16"/>
              </w:rPr>
              <w:t xml:space="preserve">  </w:t>
            </w:r>
          </w:p>
          <w:p w:rsidR="0086548B" w:rsidRPr="00B1236A" w:rsidRDefault="0086548B" w:rsidP="00DD4A25">
            <w:pPr>
              <w:pStyle w:val="TableBodyText"/>
              <w:ind w:left="142"/>
              <w:jc w:val="left"/>
            </w:pPr>
            <w:r w:rsidRPr="00723E2E">
              <w:t xml:space="preserve">Average cost per treatment day of ambulatory </w:t>
            </w:r>
            <w:r w:rsidRPr="00DE72FE">
              <w:t>care, 2011-12</w:t>
            </w:r>
          </w:p>
        </w:tc>
      </w:tr>
      <w:tr w:rsidR="0086548B" w:rsidRPr="00B1236A" w:rsidTr="00DE72FE">
        <w:tc>
          <w:tcPr>
            <w:tcW w:w="334" w:type="dxa"/>
            <w:shd w:val="clear" w:color="auto" w:fill="auto"/>
          </w:tcPr>
          <w:p w:rsidR="0086548B" w:rsidRPr="00B1236A" w:rsidRDefault="0086548B" w:rsidP="00DD4A25">
            <w:pPr>
              <w:pStyle w:val="TableBodyText"/>
              <w:jc w:val="left"/>
              <w:rPr>
                <w:vertAlign w:val="superscript"/>
              </w:rPr>
            </w:pPr>
          </w:p>
        </w:tc>
        <w:tc>
          <w:tcPr>
            <w:tcW w:w="1521" w:type="dxa"/>
            <w:shd w:val="clear" w:color="auto" w:fill="auto"/>
          </w:tcPr>
          <w:p w:rsidR="0086548B" w:rsidRPr="00B1236A" w:rsidRDefault="0086548B" w:rsidP="00DD4A25">
            <w:pPr>
              <w:pStyle w:val="TableBodyText"/>
              <w:jc w:val="left"/>
            </w:pPr>
            <w:r w:rsidRPr="00B1236A">
              <w:t>$</w:t>
            </w:r>
            <w:r>
              <w:t xml:space="preserve"> per episode</w:t>
            </w:r>
          </w:p>
        </w:tc>
        <w:tc>
          <w:tcPr>
            <w:tcW w:w="773" w:type="dxa"/>
            <w:gridSpan w:val="2"/>
            <w:shd w:val="clear" w:color="auto" w:fill="auto"/>
            <w:vAlign w:val="center"/>
          </w:tcPr>
          <w:p w:rsidR="0086548B" w:rsidRPr="00723E2E" w:rsidRDefault="0086548B" w:rsidP="00DD4A25">
            <w:pPr>
              <w:pStyle w:val="TableBodyText"/>
            </w:pPr>
            <w:r w:rsidRPr="00723E2E">
              <w:t xml:space="preserve">  245</w:t>
            </w:r>
          </w:p>
        </w:tc>
        <w:tc>
          <w:tcPr>
            <w:tcW w:w="772" w:type="dxa"/>
            <w:gridSpan w:val="2"/>
            <w:shd w:val="clear" w:color="auto" w:fill="auto"/>
            <w:vAlign w:val="center"/>
          </w:tcPr>
          <w:p w:rsidR="0086548B" w:rsidRPr="00723E2E" w:rsidRDefault="0086548B" w:rsidP="00DD4A25">
            <w:pPr>
              <w:pStyle w:val="TableBodyText"/>
            </w:pPr>
            <w:proofErr w:type="spellStart"/>
            <w:r w:rsidRPr="00723E2E">
              <w:t>na</w:t>
            </w:r>
            <w:proofErr w:type="spellEnd"/>
          </w:p>
        </w:tc>
        <w:tc>
          <w:tcPr>
            <w:tcW w:w="771" w:type="dxa"/>
            <w:gridSpan w:val="2"/>
            <w:shd w:val="clear" w:color="auto" w:fill="auto"/>
            <w:vAlign w:val="center"/>
          </w:tcPr>
          <w:p w:rsidR="0086548B" w:rsidRPr="00723E2E" w:rsidRDefault="0086548B" w:rsidP="00DD4A25">
            <w:pPr>
              <w:pStyle w:val="TableBodyText"/>
            </w:pPr>
            <w:r w:rsidRPr="00723E2E">
              <w:t xml:space="preserve">  424</w:t>
            </w:r>
          </w:p>
        </w:tc>
        <w:tc>
          <w:tcPr>
            <w:tcW w:w="771" w:type="dxa"/>
            <w:gridSpan w:val="2"/>
            <w:shd w:val="clear" w:color="auto" w:fill="auto"/>
            <w:vAlign w:val="center"/>
          </w:tcPr>
          <w:p w:rsidR="0086548B" w:rsidRPr="00723E2E" w:rsidRDefault="0086548B" w:rsidP="00DD4A25">
            <w:pPr>
              <w:pStyle w:val="TableBodyText"/>
            </w:pPr>
            <w:r w:rsidRPr="00723E2E">
              <w:t xml:space="preserve">  431</w:t>
            </w:r>
          </w:p>
        </w:tc>
        <w:tc>
          <w:tcPr>
            <w:tcW w:w="773" w:type="dxa"/>
            <w:gridSpan w:val="2"/>
            <w:shd w:val="clear" w:color="auto" w:fill="auto"/>
            <w:vAlign w:val="center"/>
          </w:tcPr>
          <w:p w:rsidR="0086548B" w:rsidRPr="00723E2E" w:rsidRDefault="0086548B" w:rsidP="00DD4A25">
            <w:pPr>
              <w:pStyle w:val="TableBodyText"/>
            </w:pPr>
            <w:r w:rsidRPr="00723E2E">
              <w:t xml:space="preserve">  324</w:t>
            </w:r>
          </w:p>
        </w:tc>
        <w:tc>
          <w:tcPr>
            <w:tcW w:w="771" w:type="dxa"/>
            <w:gridSpan w:val="2"/>
            <w:shd w:val="clear" w:color="auto" w:fill="auto"/>
            <w:vAlign w:val="center"/>
          </w:tcPr>
          <w:p w:rsidR="0086548B" w:rsidRPr="00723E2E" w:rsidRDefault="0086548B" w:rsidP="00DD4A25">
            <w:pPr>
              <w:pStyle w:val="TableBodyText"/>
            </w:pPr>
            <w:r w:rsidRPr="00723E2E">
              <w:t xml:space="preserve">  467</w:t>
            </w:r>
          </w:p>
        </w:tc>
        <w:tc>
          <w:tcPr>
            <w:tcW w:w="780" w:type="dxa"/>
            <w:gridSpan w:val="2"/>
            <w:shd w:val="clear" w:color="auto" w:fill="auto"/>
            <w:vAlign w:val="center"/>
          </w:tcPr>
          <w:p w:rsidR="0086548B" w:rsidRPr="00723E2E" w:rsidRDefault="0086548B" w:rsidP="00DD4A25">
            <w:pPr>
              <w:pStyle w:val="TableBodyText"/>
            </w:pPr>
            <w:r w:rsidRPr="00723E2E">
              <w:t xml:space="preserve">  249</w:t>
            </w:r>
          </w:p>
        </w:tc>
        <w:tc>
          <w:tcPr>
            <w:tcW w:w="776" w:type="dxa"/>
            <w:gridSpan w:val="2"/>
            <w:shd w:val="clear" w:color="auto" w:fill="auto"/>
            <w:vAlign w:val="center"/>
          </w:tcPr>
          <w:p w:rsidR="0086548B" w:rsidRPr="00723E2E" w:rsidRDefault="0086548B" w:rsidP="00DD4A25">
            <w:pPr>
              <w:pStyle w:val="TableBodyText"/>
            </w:pPr>
            <w:r w:rsidRPr="00723E2E">
              <w:t xml:space="preserve">  543</w:t>
            </w:r>
          </w:p>
        </w:tc>
        <w:tc>
          <w:tcPr>
            <w:tcW w:w="765" w:type="dxa"/>
            <w:shd w:val="clear" w:color="auto" w:fill="auto"/>
            <w:vAlign w:val="center"/>
          </w:tcPr>
          <w:p w:rsidR="0086548B" w:rsidRPr="00723E2E" w:rsidRDefault="0086548B" w:rsidP="00DD4A25">
            <w:pPr>
              <w:pStyle w:val="TableBodyText"/>
            </w:pPr>
            <w:r w:rsidRPr="00723E2E">
              <w:t xml:space="preserve">  326</w:t>
            </w:r>
          </w:p>
        </w:tc>
      </w:tr>
      <w:tr w:rsidR="0086548B" w:rsidRPr="005825CD" w:rsidTr="00DD4A25">
        <w:trPr>
          <w:trHeight w:val="177"/>
        </w:trPr>
        <w:tc>
          <w:tcPr>
            <w:tcW w:w="8807" w:type="dxa"/>
            <w:gridSpan w:val="19"/>
            <w:shd w:val="clear" w:color="auto" w:fill="auto"/>
          </w:tcPr>
          <w:p w:rsidR="0086548B" w:rsidRPr="00C804F5" w:rsidRDefault="0086548B" w:rsidP="00DD4A25">
            <w:pPr>
              <w:pStyle w:val="Source"/>
            </w:pPr>
            <w:r w:rsidRPr="00B5543B">
              <w:t>Source: table</w:t>
            </w:r>
            <w:r>
              <w:t>s</w:t>
            </w:r>
            <w:r w:rsidRPr="00B5543B">
              <w:t xml:space="preserve"> </w:t>
            </w:r>
            <w:proofErr w:type="spellStart"/>
            <w:r w:rsidRPr="00B5543B">
              <w:t>1</w:t>
            </w:r>
            <w:r>
              <w:t>2</w:t>
            </w:r>
            <w:r w:rsidRPr="00B5543B">
              <w:t>A.</w:t>
            </w:r>
            <w:r>
              <w:t>43</w:t>
            </w:r>
            <w:proofErr w:type="spellEnd"/>
            <w:r>
              <w:t xml:space="preserve">, </w:t>
            </w:r>
            <w:proofErr w:type="spellStart"/>
            <w:r>
              <w:t>12A.45</w:t>
            </w:r>
            <w:proofErr w:type="spellEnd"/>
            <w:r w:rsidRPr="00723E2E">
              <w:t>–</w:t>
            </w:r>
            <w:r>
              <w:t xml:space="preserve">47. </w:t>
            </w:r>
          </w:p>
        </w:tc>
      </w:tr>
      <w:tr w:rsidR="0086548B" w:rsidRPr="001C3248" w:rsidTr="00DD4A25">
        <w:trPr>
          <w:trHeight w:val="273"/>
        </w:trPr>
        <w:tc>
          <w:tcPr>
            <w:tcW w:w="8807" w:type="dxa"/>
            <w:gridSpan w:val="19"/>
            <w:shd w:val="clear" w:color="auto" w:fill="auto"/>
          </w:tcPr>
          <w:p w:rsidR="0086548B" w:rsidRPr="001C3248" w:rsidRDefault="0086548B" w:rsidP="00DD4A25">
            <w:pPr>
              <w:pStyle w:val="TableColumnHeading"/>
              <w:jc w:val="left"/>
              <w:rPr>
                <w:b/>
                <w:i w:val="0"/>
              </w:rPr>
            </w:pPr>
            <w:r w:rsidRPr="001C3248">
              <w:rPr>
                <w:b/>
                <w:i w:val="0"/>
              </w:rPr>
              <w:t>Outcome indicators</w:t>
            </w:r>
          </w:p>
        </w:tc>
      </w:tr>
      <w:tr w:rsidR="0086548B" w:rsidRPr="00B817EA" w:rsidTr="00DD4A25">
        <w:tc>
          <w:tcPr>
            <w:tcW w:w="8807" w:type="dxa"/>
            <w:gridSpan w:val="19"/>
            <w:shd w:val="clear" w:color="auto" w:fill="auto"/>
          </w:tcPr>
          <w:p w:rsidR="0086548B" w:rsidRPr="00C15AC2" w:rsidRDefault="0086548B" w:rsidP="00DD4A25">
            <w:pPr>
              <w:pStyle w:val="TableColumnHeading"/>
              <w:jc w:val="left"/>
            </w:pPr>
            <w:r w:rsidRPr="00727E70">
              <w:t>Rates of licit and illicit drug use</w:t>
            </w:r>
            <w:r>
              <w:br/>
            </w:r>
            <w:r w:rsidRPr="00DE72FE">
              <w:rPr>
                <w:i w:val="0"/>
                <w:sz w:val="16"/>
                <w:szCs w:val="16"/>
              </w:rPr>
              <w:t>Most recent data for this indicator are comparable and complete (chapter 12)</w:t>
            </w:r>
          </w:p>
        </w:tc>
      </w:tr>
      <w:tr w:rsidR="0086548B" w:rsidRPr="00B817EA" w:rsidTr="00DD4A25">
        <w:tc>
          <w:tcPr>
            <w:tcW w:w="8807" w:type="dxa"/>
            <w:gridSpan w:val="19"/>
            <w:shd w:val="clear" w:color="auto" w:fill="auto"/>
          </w:tcPr>
          <w:p w:rsidR="0086548B" w:rsidRPr="00C15AC2" w:rsidRDefault="0086548B" w:rsidP="00DD4A25">
            <w:pPr>
              <w:pStyle w:val="TableBodyText"/>
              <w:ind w:left="142"/>
              <w:jc w:val="left"/>
            </w:pPr>
            <w:r>
              <w:t>P</w:t>
            </w:r>
            <w:r w:rsidRPr="00051190">
              <w:t xml:space="preserve">roportion of </w:t>
            </w:r>
            <w:r>
              <w:t>people</w:t>
            </w:r>
            <w:r w:rsidRPr="00727E70">
              <w:t xml:space="preserve"> aged 14</w:t>
            </w:r>
            <w:r>
              <w:t xml:space="preserve"> years</w:t>
            </w:r>
            <w:r w:rsidRPr="00727E70">
              <w:t xml:space="preserve"> or over </w:t>
            </w:r>
            <w:r>
              <w:t>who</w:t>
            </w:r>
            <w:r w:rsidRPr="00727E70">
              <w:t xml:space="preserve"> use</w:t>
            </w:r>
            <w:r>
              <w:t>d</w:t>
            </w:r>
            <w:r w:rsidRPr="00727E70">
              <w:t xml:space="preserve"> </w:t>
            </w:r>
            <w:r>
              <w:t>any illicit drug</w:t>
            </w:r>
            <w:r w:rsidRPr="00727E70">
              <w:t xml:space="preserve"> in the preceding 12 months</w:t>
            </w:r>
            <w:r>
              <w:t>, 2010</w:t>
            </w:r>
          </w:p>
        </w:tc>
      </w:tr>
      <w:tr w:rsidR="0086548B" w:rsidRPr="00B817EA" w:rsidTr="00DE72FE">
        <w:tc>
          <w:tcPr>
            <w:tcW w:w="334" w:type="dxa"/>
            <w:shd w:val="clear" w:color="auto" w:fill="auto"/>
          </w:tcPr>
          <w:p w:rsidR="0086548B" w:rsidRPr="00C15AC2" w:rsidRDefault="0086548B" w:rsidP="00DD4A25">
            <w:pPr>
              <w:pStyle w:val="TableBodyText"/>
              <w:jc w:val="left"/>
              <w:rPr>
                <w:vertAlign w:val="superscript"/>
              </w:rPr>
            </w:pPr>
          </w:p>
        </w:tc>
        <w:tc>
          <w:tcPr>
            <w:tcW w:w="1521" w:type="dxa"/>
            <w:shd w:val="clear" w:color="auto" w:fill="auto"/>
          </w:tcPr>
          <w:p w:rsidR="0086548B" w:rsidRPr="00C15AC2" w:rsidRDefault="0086548B" w:rsidP="00DD4A25">
            <w:pPr>
              <w:pStyle w:val="TableBodyText"/>
              <w:jc w:val="left"/>
            </w:pPr>
            <w:r w:rsidRPr="00C15AC2">
              <w:t>Proportion</w:t>
            </w:r>
            <w:r>
              <w:t> (%)</w:t>
            </w:r>
          </w:p>
        </w:tc>
        <w:tc>
          <w:tcPr>
            <w:tcW w:w="773" w:type="dxa"/>
            <w:gridSpan w:val="2"/>
            <w:shd w:val="clear" w:color="auto" w:fill="auto"/>
            <w:vAlign w:val="center"/>
          </w:tcPr>
          <w:p w:rsidR="0086548B" w:rsidRPr="00167599" w:rsidRDefault="0086548B" w:rsidP="00DD4A25">
            <w:pPr>
              <w:pStyle w:val="TableBodyText"/>
            </w:pPr>
            <w:r w:rsidRPr="00167599">
              <w:t>11.4</w:t>
            </w:r>
          </w:p>
        </w:tc>
        <w:tc>
          <w:tcPr>
            <w:tcW w:w="772" w:type="dxa"/>
            <w:gridSpan w:val="2"/>
            <w:shd w:val="clear" w:color="auto" w:fill="auto"/>
            <w:vAlign w:val="center"/>
          </w:tcPr>
          <w:p w:rsidR="0086548B" w:rsidRPr="00167599" w:rsidRDefault="0086548B" w:rsidP="00DD4A25">
            <w:pPr>
              <w:pStyle w:val="TableBodyText"/>
            </w:pPr>
            <w:r w:rsidRPr="00167599">
              <w:t>11.0</w:t>
            </w:r>
          </w:p>
        </w:tc>
        <w:tc>
          <w:tcPr>
            <w:tcW w:w="771" w:type="dxa"/>
            <w:gridSpan w:val="2"/>
            <w:shd w:val="clear" w:color="auto" w:fill="auto"/>
            <w:vAlign w:val="center"/>
          </w:tcPr>
          <w:p w:rsidR="0086548B" w:rsidRPr="00167599" w:rsidRDefault="0086548B" w:rsidP="00DD4A25">
            <w:pPr>
              <w:pStyle w:val="TableBodyText"/>
            </w:pPr>
            <w:r w:rsidRPr="00167599">
              <w:t>12.3</w:t>
            </w:r>
          </w:p>
        </w:tc>
        <w:tc>
          <w:tcPr>
            <w:tcW w:w="771" w:type="dxa"/>
            <w:gridSpan w:val="2"/>
            <w:shd w:val="clear" w:color="auto" w:fill="auto"/>
            <w:vAlign w:val="center"/>
          </w:tcPr>
          <w:p w:rsidR="0086548B" w:rsidRPr="00167599" w:rsidRDefault="0086548B" w:rsidP="00DD4A25">
            <w:pPr>
              <w:pStyle w:val="TableBodyText"/>
            </w:pPr>
            <w:r w:rsidRPr="00167599">
              <w:t>15.4</w:t>
            </w:r>
          </w:p>
        </w:tc>
        <w:tc>
          <w:tcPr>
            <w:tcW w:w="773" w:type="dxa"/>
            <w:gridSpan w:val="2"/>
            <w:shd w:val="clear" w:color="auto" w:fill="auto"/>
            <w:vAlign w:val="center"/>
          </w:tcPr>
          <w:p w:rsidR="0086548B" w:rsidRPr="00167599" w:rsidRDefault="0086548B" w:rsidP="00DD4A25">
            <w:pPr>
              <w:pStyle w:val="TableBodyText"/>
            </w:pPr>
            <w:r w:rsidRPr="00167599">
              <w:t>12.7</w:t>
            </w:r>
          </w:p>
        </w:tc>
        <w:tc>
          <w:tcPr>
            <w:tcW w:w="771" w:type="dxa"/>
            <w:gridSpan w:val="2"/>
            <w:shd w:val="clear" w:color="auto" w:fill="auto"/>
            <w:vAlign w:val="center"/>
          </w:tcPr>
          <w:p w:rsidR="0086548B" w:rsidRPr="00167599" w:rsidRDefault="0086548B" w:rsidP="00DD4A25">
            <w:pPr>
              <w:pStyle w:val="TableBodyText"/>
            </w:pPr>
            <w:r w:rsidRPr="00167599">
              <w:t>9.6</w:t>
            </w:r>
          </w:p>
        </w:tc>
        <w:tc>
          <w:tcPr>
            <w:tcW w:w="780" w:type="dxa"/>
            <w:gridSpan w:val="2"/>
            <w:shd w:val="clear" w:color="auto" w:fill="auto"/>
            <w:vAlign w:val="center"/>
          </w:tcPr>
          <w:p w:rsidR="0086548B" w:rsidRPr="00167599" w:rsidRDefault="0086548B" w:rsidP="00DD4A25">
            <w:pPr>
              <w:pStyle w:val="TableBodyText"/>
            </w:pPr>
            <w:r w:rsidRPr="00167599">
              <w:t>11.4</w:t>
            </w:r>
          </w:p>
        </w:tc>
        <w:tc>
          <w:tcPr>
            <w:tcW w:w="776" w:type="dxa"/>
            <w:gridSpan w:val="2"/>
            <w:shd w:val="clear" w:color="auto" w:fill="auto"/>
            <w:vAlign w:val="center"/>
          </w:tcPr>
          <w:p w:rsidR="0086548B" w:rsidRPr="00167599" w:rsidRDefault="0086548B" w:rsidP="00DD4A25">
            <w:pPr>
              <w:pStyle w:val="TableBodyText"/>
            </w:pPr>
            <w:r w:rsidRPr="00167599">
              <w:t>18.8</w:t>
            </w:r>
          </w:p>
        </w:tc>
        <w:tc>
          <w:tcPr>
            <w:tcW w:w="765" w:type="dxa"/>
            <w:shd w:val="clear" w:color="auto" w:fill="auto"/>
            <w:vAlign w:val="center"/>
          </w:tcPr>
          <w:p w:rsidR="0086548B" w:rsidRPr="00167599" w:rsidRDefault="0086548B" w:rsidP="00DD4A25">
            <w:pPr>
              <w:pStyle w:val="TableBodyText"/>
            </w:pPr>
            <w:r w:rsidRPr="00167599">
              <w:t>12.0</w:t>
            </w:r>
          </w:p>
        </w:tc>
      </w:tr>
      <w:tr w:rsidR="0086548B" w:rsidRPr="00B817EA" w:rsidTr="00DD4A25">
        <w:tc>
          <w:tcPr>
            <w:tcW w:w="8807" w:type="dxa"/>
            <w:gridSpan w:val="19"/>
            <w:shd w:val="clear" w:color="auto" w:fill="auto"/>
          </w:tcPr>
          <w:p w:rsidR="0086548B" w:rsidRPr="00C15AC2" w:rsidRDefault="0086548B" w:rsidP="00DD4A25">
            <w:pPr>
              <w:pStyle w:val="TableColumnHeading"/>
              <w:jc w:val="left"/>
            </w:pPr>
            <w:r w:rsidRPr="00C15AC2">
              <w:t>Prevalence of mental illness</w:t>
            </w:r>
            <w:r w:rsidRPr="00C15AC2">
              <w:br/>
            </w:r>
            <w:r w:rsidRPr="00DE72FE">
              <w:rPr>
                <w:i w:val="0"/>
                <w:sz w:val="16"/>
                <w:szCs w:val="16"/>
              </w:rPr>
              <w:t>Most recent data for this indicator are comparable and complete (chapter 12)</w:t>
            </w:r>
          </w:p>
        </w:tc>
      </w:tr>
      <w:tr w:rsidR="0086548B" w:rsidRPr="00B817EA" w:rsidTr="00DD4A25">
        <w:tc>
          <w:tcPr>
            <w:tcW w:w="8807" w:type="dxa"/>
            <w:gridSpan w:val="19"/>
            <w:shd w:val="clear" w:color="auto" w:fill="auto"/>
          </w:tcPr>
          <w:p w:rsidR="0086548B" w:rsidRPr="00C15AC2" w:rsidRDefault="0086548B" w:rsidP="00DD4A25">
            <w:pPr>
              <w:pStyle w:val="TableBodyText"/>
              <w:ind w:left="142"/>
              <w:jc w:val="left"/>
            </w:pPr>
            <w:r w:rsidRPr="00C15AC2">
              <w:t>Proportion of people with a lifetime mental disorders among adults aged 16–85 years, 2007</w:t>
            </w:r>
          </w:p>
        </w:tc>
      </w:tr>
      <w:tr w:rsidR="0086548B" w:rsidRPr="00B817EA" w:rsidTr="00DE72FE">
        <w:tc>
          <w:tcPr>
            <w:tcW w:w="334" w:type="dxa"/>
            <w:shd w:val="clear" w:color="auto" w:fill="auto"/>
          </w:tcPr>
          <w:p w:rsidR="0086548B" w:rsidRPr="00C15AC2" w:rsidRDefault="0086548B" w:rsidP="00DD4A25">
            <w:pPr>
              <w:pStyle w:val="TableBodyText"/>
              <w:jc w:val="left"/>
              <w:rPr>
                <w:vertAlign w:val="superscript"/>
              </w:rPr>
            </w:pPr>
          </w:p>
        </w:tc>
        <w:tc>
          <w:tcPr>
            <w:tcW w:w="1521" w:type="dxa"/>
            <w:shd w:val="clear" w:color="auto" w:fill="auto"/>
          </w:tcPr>
          <w:p w:rsidR="0086548B" w:rsidRPr="00C15AC2" w:rsidRDefault="0086548B" w:rsidP="00DD4A25">
            <w:pPr>
              <w:pStyle w:val="TableBodyText"/>
              <w:jc w:val="left"/>
            </w:pPr>
            <w:r w:rsidRPr="00C15AC2">
              <w:t>Proportion</w:t>
            </w:r>
            <w:r>
              <w:t xml:space="preserve"> (%)</w:t>
            </w:r>
          </w:p>
        </w:tc>
        <w:tc>
          <w:tcPr>
            <w:tcW w:w="773" w:type="dxa"/>
            <w:gridSpan w:val="2"/>
            <w:shd w:val="clear" w:color="auto" w:fill="auto"/>
            <w:vAlign w:val="center"/>
          </w:tcPr>
          <w:p w:rsidR="0086548B" w:rsidRPr="00D66DFA" w:rsidRDefault="0086548B" w:rsidP="00DD4A25">
            <w:pPr>
              <w:pStyle w:val="TableBodyText"/>
            </w:pPr>
            <w:r w:rsidRPr="00D66DFA">
              <w:t>20.1 ± 2.2</w:t>
            </w:r>
          </w:p>
        </w:tc>
        <w:tc>
          <w:tcPr>
            <w:tcW w:w="772" w:type="dxa"/>
            <w:gridSpan w:val="2"/>
            <w:shd w:val="clear" w:color="auto" w:fill="auto"/>
            <w:vAlign w:val="center"/>
          </w:tcPr>
          <w:p w:rsidR="0086548B" w:rsidRPr="00D66DFA" w:rsidRDefault="0086548B" w:rsidP="00DD4A25">
            <w:pPr>
              <w:pStyle w:val="TableBodyText"/>
            </w:pPr>
            <w:r w:rsidRPr="00D66DFA">
              <w:t>20.7 ± 2.3</w:t>
            </w:r>
          </w:p>
        </w:tc>
        <w:tc>
          <w:tcPr>
            <w:tcW w:w="771" w:type="dxa"/>
            <w:gridSpan w:val="2"/>
            <w:shd w:val="clear" w:color="auto" w:fill="auto"/>
            <w:vAlign w:val="center"/>
          </w:tcPr>
          <w:p w:rsidR="0086548B" w:rsidRPr="00D66DFA" w:rsidRDefault="0086548B" w:rsidP="00DD4A25">
            <w:pPr>
              <w:pStyle w:val="TableBodyText"/>
            </w:pPr>
            <w:r w:rsidRPr="00D66DFA">
              <w:t>19.2 ± 2.6</w:t>
            </w:r>
          </w:p>
        </w:tc>
        <w:tc>
          <w:tcPr>
            <w:tcW w:w="771" w:type="dxa"/>
            <w:gridSpan w:val="2"/>
            <w:shd w:val="clear" w:color="auto" w:fill="auto"/>
            <w:vAlign w:val="center"/>
          </w:tcPr>
          <w:p w:rsidR="0086548B" w:rsidRPr="00D66DFA" w:rsidRDefault="0086548B" w:rsidP="00DD4A25">
            <w:pPr>
              <w:pStyle w:val="TableBodyText"/>
            </w:pPr>
            <w:r w:rsidRPr="00D66DFA">
              <w:t>21.4 ± 4.1</w:t>
            </w:r>
          </w:p>
        </w:tc>
        <w:tc>
          <w:tcPr>
            <w:tcW w:w="773" w:type="dxa"/>
            <w:gridSpan w:val="2"/>
            <w:shd w:val="clear" w:color="auto" w:fill="auto"/>
            <w:vAlign w:val="center"/>
          </w:tcPr>
          <w:p w:rsidR="0086548B" w:rsidRPr="00D66DFA" w:rsidRDefault="0086548B" w:rsidP="00DD4A25">
            <w:pPr>
              <w:pStyle w:val="TableBodyText"/>
            </w:pPr>
            <w:r w:rsidRPr="00D66DFA">
              <w:t>19.1 ± 3.4</w:t>
            </w:r>
          </w:p>
        </w:tc>
        <w:tc>
          <w:tcPr>
            <w:tcW w:w="771" w:type="dxa"/>
            <w:gridSpan w:val="2"/>
            <w:shd w:val="clear" w:color="auto" w:fill="auto"/>
            <w:vAlign w:val="center"/>
          </w:tcPr>
          <w:p w:rsidR="0086548B" w:rsidRPr="00D66DFA" w:rsidRDefault="0086548B" w:rsidP="00DD4A25">
            <w:pPr>
              <w:pStyle w:val="TableBodyText"/>
            </w:pPr>
            <w:r w:rsidRPr="00D66DFA">
              <w:t>14.1 ±</w:t>
            </w:r>
            <w:r>
              <w:t xml:space="preserve"> </w:t>
            </w:r>
            <w:r w:rsidRPr="00D66DFA">
              <w:t>5.4</w:t>
            </w:r>
          </w:p>
        </w:tc>
        <w:tc>
          <w:tcPr>
            <w:tcW w:w="780" w:type="dxa"/>
            <w:gridSpan w:val="2"/>
            <w:shd w:val="clear" w:color="auto" w:fill="auto"/>
            <w:vAlign w:val="center"/>
          </w:tcPr>
          <w:p w:rsidR="0086548B" w:rsidRPr="00D66DFA" w:rsidRDefault="0086548B" w:rsidP="00DD4A25">
            <w:pPr>
              <w:pStyle w:val="TableBodyText"/>
            </w:pPr>
            <w:proofErr w:type="spellStart"/>
            <w:r w:rsidRPr="00D66DFA">
              <w:t>np</w:t>
            </w:r>
            <w:proofErr w:type="spellEnd"/>
          </w:p>
        </w:tc>
        <w:tc>
          <w:tcPr>
            <w:tcW w:w="776" w:type="dxa"/>
            <w:gridSpan w:val="2"/>
            <w:shd w:val="clear" w:color="auto" w:fill="auto"/>
            <w:vAlign w:val="center"/>
          </w:tcPr>
          <w:p w:rsidR="0086548B" w:rsidRPr="00D66DFA" w:rsidRDefault="0086548B" w:rsidP="00DD4A25">
            <w:pPr>
              <w:pStyle w:val="TableBodyText"/>
            </w:pPr>
            <w:proofErr w:type="spellStart"/>
            <w:r w:rsidRPr="00D66DFA">
              <w:t>np</w:t>
            </w:r>
            <w:proofErr w:type="spellEnd"/>
          </w:p>
        </w:tc>
        <w:tc>
          <w:tcPr>
            <w:tcW w:w="765" w:type="dxa"/>
            <w:shd w:val="clear" w:color="auto" w:fill="auto"/>
            <w:vAlign w:val="center"/>
          </w:tcPr>
          <w:p w:rsidR="0086548B" w:rsidRPr="00D66DFA" w:rsidRDefault="0086548B" w:rsidP="00DD4A25">
            <w:pPr>
              <w:pStyle w:val="TableBodyText"/>
            </w:pPr>
            <w:r w:rsidRPr="00D66DFA">
              <w:t>20.0 ± 1.1</w:t>
            </w:r>
          </w:p>
        </w:tc>
      </w:tr>
      <w:tr w:rsidR="0086548B" w:rsidRPr="00B817EA" w:rsidTr="00DD4A25">
        <w:tc>
          <w:tcPr>
            <w:tcW w:w="8807" w:type="dxa"/>
            <w:gridSpan w:val="19"/>
            <w:shd w:val="clear" w:color="auto" w:fill="auto"/>
          </w:tcPr>
          <w:p w:rsidR="0086548B" w:rsidRDefault="0086548B" w:rsidP="00DD4A25">
            <w:pPr>
              <w:pStyle w:val="TableColumnHeading"/>
              <w:jc w:val="left"/>
              <w:rPr>
                <w:sz w:val="16"/>
                <w:szCs w:val="16"/>
              </w:rPr>
            </w:pPr>
            <w:r w:rsidRPr="00C15AC2">
              <w:t>Mortality due to suicide</w:t>
            </w:r>
            <w:r>
              <w:t xml:space="preserve"> </w:t>
            </w:r>
            <w:r>
              <w:br/>
            </w:r>
            <w:r w:rsidRPr="00DE72FE">
              <w:rPr>
                <w:i w:val="0"/>
                <w:sz w:val="16"/>
                <w:szCs w:val="16"/>
              </w:rPr>
              <w:t>Most recent data for this indicator are comparable and complete (chapter 12)</w:t>
            </w:r>
          </w:p>
          <w:p w:rsidR="0086548B" w:rsidRPr="00C15AC2" w:rsidRDefault="0086548B" w:rsidP="00DD4A25">
            <w:pPr>
              <w:pStyle w:val="TableBodyText"/>
              <w:ind w:left="142"/>
              <w:jc w:val="left"/>
            </w:pPr>
            <w:r>
              <w:t>S</w:t>
            </w:r>
            <w:r w:rsidRPr="002E0F79">
              <w:t xml:space="preserve">uicide rate per </w:t>
            </w:r>
            <w:r w:rsidRPr="00D66DFA">
              <w:t>100</w:t>
            </w:r>
            <w:r w:rsidRPr="002E0F79">
              <w:t xml:space="preserve"> 000 </w:t>
            </w:r>
            <w:r w:rsidRPr="00DE72FE">
              <w:t>people, 2007–2011</w:t>
            </w:r>
          </w:p>
        </w:tc>
      </w:tr>
      <w:tr w:rsidR="0086548B" w:rsidRPr="00B817EA" w:rsidTr="00DE72FE">
        <w:tc>
          <w:tcPr>
            <w:tcW w:w="334" w:type="dxa"/>
            <w:shd w:val="clear" w:color="auto" w:fill="auto"/>
          </w:tcPr>
          <w:p w:rsidR="0086548B" w:rsidRPr="002C7043" w:rsidRDefault="0086548B" w:rsidP="00DD4A25">
            <w:pPr>
              <w:pStyle w:val="TableBodyText"/>
              <w:jc w:val="left"/>
              <w:rPr>
                <w:vertAlign w:val="superscript"/>
              </w:rPr>
            </w:pPr>
          </w:p>
        </w:tc>
        <w:tc>
          <w:tcPr>
            <w:tcW w:w="1521" w:type="dxa"/>
            <w:shd w:val="clear" w:color="auto" w:fill="auto"/>
          </w:tcPr>
          <w:p w:rsidR="0086548B" w:rsidRPr="002C7043" w:rsidRDefault="0086548B" w:rsidP="00DD4A25">
            <w:pPr>
              <w:pStyle w:val="TableBodyText"/>
              <w:jc w:val="left"/>
            </w:pPr>
            <w:r>
              <w:t>Rate</w:t>
            </w:r>
          </w:p>
        </w:tc>
        <w:tc>
          <w:tcPr>
            <w:tcW w:w="773" w:type="dxa"/>
            <w:gridSpan w:val="2"/>
            <w:shd w:val="clear" w:color="auto" w:fill="auto"/>
            <w:vAlign w:val="center"/>
          </w:tcPr>
          <w:p w:rsidR="0086548B" w:rsidRPr="00D66DFA" w:rsidRDefault="0086548B" w:rsidP="00DD4A25">
            <w:pPr>
              <w:pStyle w:val="TableBodyText"/>
            </w:pPr>
            <w:r w:rsidRPr="00D66DFA">
              <w:t xml:space="preserve">  8.6</w:t>
            </w:r>
          </w:p>
        </w:tc>
        <w:tc>
          <w:tcPr>
            <w:tcW w:w="772" w:type="dxa"/>
            <w:gridSpan w:val="2"/>
            <w:shd w:val="clear" w:color="auto" w:fill="auto"/>
            <w:vAlign w:val="center"/>
          </w:tcPr>
          <w:p w:rsidR="0086548B" w:rsidRPr="00D66DFA" w:rsidRDefault="0086548B" w:rsidP="00DD4A25">
            <w:pPr>
              <w:pStyle w:val="TableBodyText"/>
            </w:pPr>
            <w:r w:rsidRPr="00D66DFA">
              <w:t xml:space="preserve">  9.5</w:t>
            </w:r>
          </w:p>
        </w:tc>
        <w:tc>
          <w:tcPr>
            <w:tcW w:w="771" w:type="dxa"/>
            <w:gridSpan w:val="2"/>
            <w:shd w:val="clear" w:color="auto" w:fill="auto"/>
            <w:vAlign w:val="center"/>
          </w:tcPr>
          <w:p w:rsidR="0086548B" w:rsidRPr="00D66DFA" w:rsidRDefault="0086548B" w:rsidP="00DD4A25">
            <w:pPr>
              <w:pStyle w:val="TableBodyText"/>
            </w:pPr>
            <w:r w:rsidRPr="00D66DFA">
              <w:t xml:space="preserve">  12.7</w:t>
            </w:r>
          </w:p>
        </w:tc>
        <w:tc>
          <w:tcPr>
            <w:tcW w:w="771" w:type="dxa"/>
            <w:gridSpan w:val="2"/>
            <w:shd w:val="clear" w:color="auto" w:fill="auto"/>
            <w:vAlign w:val="center"/>
          </w:tcPr>
          <w:p w:rsidR="0086548B" w:rsidRPr="00D66DFA" w:rsidRDefault="0086548B" w:rsidP="00DD4A25">
            <w:pPr>
              <w:pStyle w:val="TableBodyText"/>
            </w:pPr>
            <w:r w:rsidRPr="00D66DFA">
              <w:t xml:space="preserve">  13.0</w:t>
            </w:r>
          </w:p>
        </w:tc>
        <w:tc>
          <w:tcPr>
            <w:tcW w:w="773" w:type="dxa"/>
            <w:gridSpan w:val="2"/>
            <w:shd w:val="clear" w:color="auto" w:fill="auto"/>
            <w:vAlign w:val="center"/>
          </w:tcPr>
          <w:p w:rsidR="0086548B" w:rsidRPr="00D66DFA" w:rsidRDefault="0086548B" w:rsidP="00DD4A25">
            <w:pPr>
              <w:pStyle w:val="TableBodyText"/>
            </w:pPr>
            <w:r w:rsidRPr="00D66DFA">
              <w:t xml:space="preserve">  12.0</w:t>
            </w:r>
          </w:p>
        </w:tc>
        <w:tc>
          <w:tcPr>
            <w:tcW w:w="771" w:type="dxa"/>
            <w:gridSpan w:val="2"/>
            <w:shd w:val="clear" w:color="auto" w:fill="auto"/>
            <w:vAlign w:val="center"/>
          </w:tcPr>
          <w:p w:rsidR="0086548B" w:rsidRPr="00D66DFA" w:rsidRDefault="0086548B" w:rsidP="00DD4A25">
            <w:pPr>
              <w:pStyle w:val="TableBodyText"/>
            </w:pPr>
            <w:r w:rsidRPr="00D66DFA">
              <w:t xml:space="preserve">  14.1</w:t>
            </w:r>
          </w:p>
        </w:tc>
        <w:tc>
          <w:tcPr>
            <w:tcW w:w="780" w:type="dxa"/>
            <w:gridSpan w:val="2"/>
            <w:shd w:val="clear" w:color="auto" w:fill="auto"/>
            <w:vAlign w:val="center"/>
          </w:tcPr>
          <w:p w:rsidR="0086548B" w:rsidRPr="00D66DFA" w:rsidRDefault="0086548B" w:rsidP="00DD4A25">
            <w:pPr>
              <w:pStyle w:val="TableBodyText"/>
            </w:pPr>
            <w:r w:rsidRPr="00D66DFA">
              <w:t xml:space="preserve">  9.9</w:t>
            </w:r>
          </w:p>
        </w:tc>
        <w:tc>
          <w:tcPr>
            <w:tcW w:w="776" w:type="dxa"/>
            <w:gridSpan w:val="2"/>
            <w:shd w:val="clear" w:color="auto" w:fill="auto"/>
            <w:vAlign w:val="center"/>
          </w:tcPr>
          <w:p w:rsidR="0086548B" w:rsidRPr="00D66DFA" w:rsidRDefault="0086548B" w:rsidP="00DD4A25">
            <w:pPr>
              <w:pStyle w:val="TableBodyText"/>
            </w:pPr>
            <w:r w:rsidRPr="00D66DFA">
              <w:t xml:space="preserve">  20.1</w:t>
            </w:r>
          </w:p>
        </w:tc>
        <w:tc>
          <w:tcPr>
            <w:tcW w:w="765" w:type="dxa"/>
            <w:shd w:val="clear" w:color="auto" w:fill="auto"/>
            <w:vAlign w:val="center"/>
          </w:tcPr>
          <w:p w:rsidR="0086548B" w:rsidRPr="00D66DFA" w:rsidRDefault="0086548B" w:rsidP="00DD4A25">
            <w:pPr>
              <w:pStyle w:val="TableBodyText"/>
            </w:pPr>
            <w:r w:rsidRPr="00D66DFA">
              <w:t xml:space="preserve">  10.6</w:t>
            </w:r>
          </w:p>
        </w:tc>
      </w:tr>
      <w:tr w:rsidR="0086548B" w:rsidRPr="00B817EA" w:rsidTr="00DD4A25">
        <w:tc>
          <w:tcPr>
            <w:tcW w:w="8807" w:type="dxa"/>
            <w:gridSpan w:val="19"/>
            <w:shd w:val="clear" w:color="auto" w:fill="auto"/>
          </w:tcPr>
          <w:p w:rsidR="0086548B" w:rsidRPr="00100D7C" w:rsidRDefault="0086548B" w:rsidP="00DD4A25">
            <w:pPr>
              <w:pStyle w:val="TableBodyText"/>
              <w:ind w:right="0"/>
              <w:jc w:val="left"/>
              <w:rPr>
                <w:i/>
              </w:rPr>
            </w:pPr>
            <w:r w:rsidRPr="00100D7C">
              <w:rPr>
                <w:i/>
              </w:rPr>
              <w:t>Social and economic inclusion of people with a mental illness</w:t>
            </w:r>
            <w:r>
              <w:rPr>
                <w:i/>
              </w:rPr>
              <w:br/>
            </w:r>
            <w:r w:rsidRPr="00DE72FE">
              <w:rPr>
                <w:sz w:val="16"/>
                <w:szCs w:val="16"/>
              </w:rPr>
              <w:t>Most recent data for this indicator are comparable and complete (chapter 12)</w:t>
            </w:r>
          </w:p>
        </w:tc>
      </w:tr>
      <w:tr w:rsidR="0086548B" w:rsidRPr="00B817EA" w:rsidTr="00DD4A25">
        <w:tc>
          <w:tcPr>
            <w:tcW w:w="8807" w:type="dxa"/>
            <w:gridSpan w:val="19"/>
            <w:shd w:val="clear" w:color="auto" w:fill="auto"/>
          </w:tcPr>
          <w:p w:rsidR="0086548B" w:rsidRPr="00C15AC2" w:rsidRDefault="0086548B" w:rsidP="00DD4A25">
            <w:pPr>
              <w:pStyle w:val="TableBodyText"/>
              <w:ind w:left="142" w:right="0"/>
              <w:jc w:val="left"/>
            </w:pPr>
            <w:r>
              <w:t>Proportion of people</w:t>
            </w:r>
            <w:r w:rsidRPr="0031622C">
              <w:t xml:space="preserve"> aged 16</w:t>
            </w:r>
            <w:r>
              <w:t>–</w:t>
            </w:r>
            <w:r w:rsidRPr="0031622C">
              <w:t xml:space="preserve">64 years </w:t>
            </w:r>
            <w:r>
              <w:t xml:space="preserve">with </w:t>
            </w:r>
            <w:r w:rsidRPr="00D66DFA">
              <w:t>mental or behavioural problems</w:t>
            </w:r>
            <w:r>
              <w:t xml:space="preserve"> who are employed</w:t>
            </w:r>
            <w:r w:rsidRPr="00D66DFA">
              <w:t xml:space="preserve">, </w:t>
            </w:r>
            <w:r w:rsidRPr="00DE72FE">
              <w:t>2011-12</w:t>
            </w:r>
            <w:r>
              <w:t xml:space="preserve"> </w:t>
            </w:r>
          </w:p>
        </w:tc>
      </w:tr>
      <w:tr w:rsidR="0086548B" w:rsidRPr="00B817EA" w:rsidTr="00DE72FE">
        <w:tc>
          <w:tcPr>
            <w:tcW w:w="334" w:type="dxa"/>
            <w:shd w:val="clear" w:color="auto" w:fill="auto"/>
          </w:tcPr>
          <w:p w:rsidR="0086548B" w:rsidRPr="00C15AC2" w:rsidRDefault="0086548B" w:rsidP="00DD4A25">
            <w:pPr>
              <w:pStyle w:val="TableBodyText"/>
              <w:jc w:val="left"/>
              <w:rPr>
                <w:vertAlign w:val="superscript"/>
              </w:rPr>
            </w:pPr>
          </w:p>
        </w:tc>
        <w:tc>
          <w:tcPr>
            <w:tcW w:w="1521" w:type="dxa"/>
            <w:shd w:val="clear" w:color="auto" w:fill="auto"/>
          </w:tcPr>
          <w:p w:rsidR="0086548B" w:rsidRPr="00C15AC2" w:rsidRDefault="0086548B" w:rsidP="00DD4A25">
            <w:pPr>
              <w:pStyle w:val="TableBodyText"/>
              <w:jc w:val="left"/>
            </w:pPr>
            <w:r>
              <w:t>Proportion (%)</w:t>
            </w:r>
          </w:p>
        </w:tc>
        <w:tc>
          <w:tcPr>
            <w:tcW w:w="773" w:type="dxa"/>
            <w:gridSpan w:val="2"/>
            <w:shd w:val="clear" w:color="auto" w:fill="auto"/>
            <w:vAlign w:val="center"/>
          </w:tcPr>
          <w:p w:rsidR="0086548B" w:rsidRPr="00D66DFA" w:rsidRDefault="0086548B" w:rsidP="00DD4A25">
            <w:pPr>
              <w:pStyle w:val="TableBodyText"/>
            </w:pPr>
            <w:r w:rsidRPr="00D66DFA">
              <w:t>65.2 ± 7.7</w:t>
            </w:r>
          </w:p>
        </w:tc>
        <w:tc>
          <w:tcPr>
            <w:tcW w:w="772" w:type="dxa"/>
            <w:gridSpan w:val="2"/>
            <w:shd w:val="clear" w:color="auto" w:fill="auto"/>
            <w:vAlign w:val="center"/>
          </w:tcPr>
          <w:p w:rsidR="0086548B" w:rsidRPr="00D66DFA" w:rsidRDefault="0086548B" w:rsidP="00DD4A25">
            <w:pPr>
              <w:pStyle w:val="TableBodyText"/>
            </w:pPr>
            <w:r w:rsidRPr="00D66DFA">
              <w:t>59.4 ± 6.4</w:t>
            </w:r>
          </w:p>
        </w:tc>
        <w:tc>
          <w:tcPr>
            <w:tcW w:w="771" w:type="dxa"/>
            <w:gridSpan w:val="2"/>
            <w:shd w:val="clear" w:color="auto" w:fill="auto"/>
            <w:vAlign w:val="center"/>
          </w:tcPr>
          <w:p w:rsidR="0086548B" w:rsidRPr="00D66DFA" w:rsidRDefault="0086548B" w:rsidP="00DD4A25">
            <w:pPr>
              <w:pStyle w:val="TableBodyText"/>
            </w:pPr>
            <w:r w:rsidRPr="00D66DFA">
              <w:t>57.7 ± 6.7</w:t>
            </w:r>
          </w:p>
        </w:tc>
        <w:tc>
          <w:tcPr>
            <w:tcW w:w="771" w:type="dxa"/>
            <w:gridSpan w:val="2"/>
            <w:shd w:val="clear" w:color="auto" w:fill="auto"/>
            <w:vAlign w:val="center"/>
          </w:tcPr>
          <w:p w:rsidR="0086548B" w:rsidRPr="00D66DFA" w:rsidRDefault="0086548B" w:rsidP="00DD4A25">
            <w:pPr>
              <w:pStyle w:val="TableBodyText"/>
            </w:pPr>
            <w:r w:rsidRPr="00D66DFA">
              <w:t>65.0 ± 5.9</w:t>
            </w:r>
          </w:p>
        </w:tc>
        <w:tc>
          <w:tcPr>
            <w:tcW w:w="773" w:type="dxa"/>
            <w:gridSpan w:val="2"/>
            <w:shd w:val="clear" w:color="auto" w:fill="auto"/>
            <w:vAlign w:val="center"/>
          </w:tcPr>
          <w:p w:rsidR="0086548B" w:rsidRPr="00D66DFA" w:rsidRDefault="0086548B" w:rsidP="00DD4A25">
            <w:pPr>
              <w:pStyle w:val="TableBodyText"/>
            </w:pPr>
            <w:r w:rsidRPr="00D66DFA">
              <w:t>61.2 ± 7.2</w:t>
            </w:r>
          </w:p>
        </w:tc>
        <w:tc>
          <w:tcPr>
            <w:tcW w:w="771" w:type="dxa"/>
            <w:gridSpan w:val="2"/>
            <w:shd w:val="clear" w:color="auto" w:fill="auto"/>
            <w:vAlign w:val="center"/>
          </w:tcPr>
          <w:p w:rsidR="0086548B" w:rsidRPr="00D66DFA" w:rsidRDefault="0086548B" w:rsidP="00DD4A25">
            <w:pPr>
              <w:pStyle w:val="TableBodyText"/>
            </w:pPr>
            <w:r w:rsidRPr="00D66DFA">
              <w:t>51.6 ± 8.7</w:t>
            </w:r>
          </w:p>
        </w:tc>
        <w:tc>
          <w:tcPr>
            <w:tcW w:w="780" w:type="dxa"/>
            <w:gridSpan w:val="2"/>
            <w:shd w:val="clear" w:color="auto" w:fill="auto"/>
            <w:vAlign w:val="center"/>
          </w:tcPr>
          <w:p w:rsidR="0086548B" w:rsidRPr="00D66DFA" w:rsidRDefault="0086548B" w:rsidP="00DD4A25">
            <w:pPr>
              <w:pStyle w:val="TableBodyText"/>
            </w:pPr>
            <w:r w:rsidRPr="00D66DFA">
              <w:t>72.5 ± 8.2</w:t>
            </w:r>
          </w:p>
        </w:tc>
        <w:tc>
          <w:tcPr>
            <w:tcW w:w="776" w:type="dxa"/>
            <w:gridSpan w:val="2"/>
            <w:shd w:val="clear" w:color="auto" w:fill="auto"/>
            <w:vAlign w:val="center"/>
          </w:tcPr>
          <w:p w:rsidR="0086548B" w:rsidRPr="00D66DFA" w:rsidRDefault="0086548B" w:rsidP="00DD4A25">
            <w:pPr>
              <w:pStyle w:val="TableBodyText"/>
            </w:pPr>
            <w:r w:rsidRPr="00D66DFA">
              <w:t>63.2 ± 10.3</w:t>
            </w:r>
          </w:p>
        </w:tc>
        <w:tc>
          <w:tcPr>
            <w:tcW w:w="765" w:type="dxa"/>
            <w:shd w:val="clear" w:color="auto" w:fill="auto"/>
            <w:vAlign w:val="center"/>
          </w:tcPr>
          <w:p w:rsidR="0086548B" w:rsidRPr="00D66DFA" w:rsidRDefault="0086548B" w:rsidP="00DD4A25">
            <w:pPr>
              <w:pStyle w:val="TableBodyText"/>
            </w:pPr>
            <w:r w:rsidRPr="00D66DFA">
              <w:t>61.7 ± 3.1</w:t>
            </w:r>
          </w:p>
        </w:tc>
      </w:tr>
      <w:tr w:rsidR="00B61A98" w:rsidRPr="00B817EA" w:rsidTr="00F47535">
        <w:tc>
          <w:tcPr>
            <w:tcW w:w="8807" w:type="dxa"/>
            <w:gridSpan w:val="19"/>
            <w:shd w:val="clear" w:color="auto" w:fill="auto"/>
          </w:tcPr>
          <w:p w:rsidR="00B61A98" w:rsidRPr="00100D7C" w:rsidRDefault="00B61A98" w:rsidP="00F47535">
            <w:pPr>
              <w:pStyle w:val="TableBodyText"/>
              <w:ind w:right="0"/>
              <w:jc w:val="left"/>
              <w:rPr>
                <w:i/>
              </w:rPr>
            </w:pPr>
            <w:r w:rsidRPr="00100D7C">
              <w:rPr>
                <w:i/>
              </w:rPr>
              <w:t>Mental health outcomes of consumers of specialised public mental health services</w:t>
            </w:r>
            <w:r>
              <w:rPr>
                <w:i/>
              </w:rPr>
              <w:br/>
            </w:r>
            <w:r w:rsidRPr="00D53C97">
              <w:rPr>
                <w:sz w:val="16"/>
                <w:szCs w:val="16"/>
              </w:rPr>
              <w:t xml:space="preserve">Most recent data for this indicator are not comparable nor complete (chapter 12)  </w:t>
            </w:r>
          </w:p>
        </w:tc>
      </w:tr>
      <w:tr w:rsidR="00B61A98" w:rsidRPr="00B817EA" w:rsidTr="00F47535">
        <w:trPr>
          <w:trHeight w:val="177"/>
        </w:trPr>
        <w:tc>
          <w:tcPr>
            <w:tcW w:w="8807" w:type="dxa"/>
            <w:gridSpan w:val="19"/>
            <w:shd w:val="clear" w:color="auto" w:fill="auto"/>
          </w:tcPr>
          <w:p w:rsidR="00B61A98" w:rsidRPr="00C15AC2" w:rsidRDefault="00B61A98" w:rsidP="00F47535">
            <w:pPr>
              <w:pStyle w:val="TableBodyText"/>
              <w:ind w:left="142" w:right="0"/>
              <w:jc w:val="left"/>
            </w:pPr>
            <w:r>
              <w:t xml:space="preserve">Proportion of people discharged from a State or Territory public hospital psychiatric inpatient unit who had a significant improvement in their clinical mental health </w:t>
            </w:r>
            <w:r w:rsidRPr="00D53C97">
              <w:t>outcomes, 2011-12</w:t>
            </w:r>
          </w:p>
        </w:tc>
      </w:tr>
      <w:tr w:rsidR="00B61A98" w:rsidRPr="00B817EA" w:rsidTr="00F47535">
        <w:tc>
          <w:tcPr>
            <w:tcW w:w="334" w:type="dxa"/>
            <w:shd w:val="clear" w:color="auto" w:fill="auto"/>
          </w:tcPr>
          <w:p w:rsidR="00B61A98" w:rsidRPr="002C7043" w:rsidRDefault="00B61A98" w:rsidP="00F47535">
            <w:pPr>
              <w:pStyle w:val="TableBodyText"/>
              <w:jc w:val="left"/>
              <w:rPr>
                <w:vertAlign w:val="superscript"/>
              </w:rPr>
            </w:pPr>
          </w:p>
        </w:tc>
        <w:tc>
          <w:tcPr>
            <w:tcW w:w="1521" w:type="dxa"/>
            <w:shd w:val="clear" w:color="auto" w:fill="auto"/>
          </w:tcPr>
          <w:p w:rsidR="00B61A98" w:rsidRPr="00C15AC2" w:rsidRDefault="00B61A98" w:rsidP="00F47535">
            <w:pPr>
              <w:pStyle w:val="TableBodyText"/>
              <w:jc w:val="left"/>
            </w:pPr>
            <w:r>
              <w:t>Proportion (%)</w:t>
            </w:r>
          </w:p>
        </w:tc>
        <w:tc>
          <w:tcPr>
            <w:tcW w:w="773" w:type="dxa"/>
            <w:gridSpan w:val="2"/>
            <w:shd w:val="clear" w:color="auto" w:fill="auto"/>
            <w:vAlign w:val="center"/>
          </w:tcPr>
          <w:p w:rsidR="00B61A98" w:rsidRPr="00D66DFA" w:rsidRDefault="00B61A98" w:rsidP="00F47535">
            <w:pPr>
              <w:pStyle w:val="TableBodyText"/>
            </w:pPr>
            <w:r w:rsidRPr="00D66DFA">
              <w:t>68.1</w:t>
            </w:r>
          </w:p>
        </w:tc>
        <w:tc>
          <w:tcPr>
            <w:tcW w:w="772" w:type="dxa"/>
            <w:gridSpan w:val="2"/>
            <w:shd w:val="clear" w:color="auto" w:fill="auto"/>
            <w:vAlign w:val="center"/>
          </w:tcPr>
          <w:p w:rsidR="00B61A98" w:rsidRPr="00D66DFA" w:rsidRDefault="00B61A98" w:rsidP="00F47535">
            <w:pPr>
              <w:pStyle w:val="TableBodyText"/>
            </w:pPr>
            <w:proofErr w:type="spellStart"/>
            <w:r w:rsidRPr="00D66DFA">
              <w:t>na</w:t>
            </w:r>
            <w:proofErr w:type="spellEnd"/>
          </w:p>
        </w:tc>
        <w:tc>
          <w:tcPr>
            <w:tcW w:w="771" w:type="dxa"/>
            <w:gridSpan w:val="2"/>
            <w:shd w:val="clear" w:color="auto" w:fill="auto"/>
            <w:vAlign w:val="center"/>
          </w:tcPr>
          <w:p w:rsidR="00B61A98" w:rsidRPr="00D66DFA" w:rsidRDefault="00B61A98" w:rsidP="00F47535">
            <w:pPr>
              <w:pStyle w:val="TableBodyText"/>
            </w:pPr>
            <w:r w:rsidRPr="00D66DFA">
              <w:t>73.4</w:t>
            </w:r>
          </w:p>
        </w:tc>
        <w:tc>
          <w:tcPr>
            <w:tcW w:w="771" w:type="dxa"/>
            <w:gridSpan w:val="2"/>
            <w:shd w:val="clear" w:color="auto" w:fill="auto"/>
            <w:vAlign w:val="center"/>
          </w:tcPr>
          <w:p w:rsidR="00B61A98" w:rsidRPr="00D66DFA" w:rsidRDefault="00B61A98" w:rsidP="00F47535">
            <w:pPr>
              <w:pStyle w:val="TableBodyText"/>
            </w:pPr>
            <w:r w:rsidRPr="00D66DFA">
              <w:t>72.1</w:t>
            </w:r>
          </w:p>
        </w:tc>
        <w:tc>
          <w:tcPr>
            <w:tcW w:w="773" w:type="dxa"/>
            <w:gridSpan w:val="2"/>
            <w:shd w:val="clear" w:color="auto" w:fill="auto"/>
            <w:vAlign w:val="center"/>
          </w:tcPr>
          <w:p w:rsidR="00B61A98" w:rsidRPr="00D66DFA" w:rsidRDefault="00B61A98" w:rsidP="00F47535">
            <w:pPr>
              <w:pStyle w:val="TableBodyText"/>
            </w:pPr>
            <w:r w:rsidRPr="00D66DFA">
              <w:t>71.3</w:t>
            </w:r>
          </w:p>
        </w:tc>
        <w:tc>
          <w:tcPr>
            <w:tcW w:w="771" w:type="dxa"/>
            <w:gridSpan w:val="2"/>
            <w:shd w:val="clear" w:color="auto" w:fill="auto"/>
            <w:vAlign w:val="center"/>
          </w:tcPr>
          <w:p w:rsidR="00B61A98" w:rsidRPr="00D66DFA" w:rsidRDefault="00B61A98" w:rsidP="00F47535">
            <w:pPr>
              <w:pStyle w:val="TableBodyText"/>
            </w:pPr>
            <w:r w:rsidRPr="00D66DFA">
              <w:t>73.0</w:t>
            </w:r>
          </w:p>
        </w:tc>
        <w:tc>
          <w:tcPr>
            <w:tcW w:w="780" w:type="dxa"/>
            <w:gridSpan w:val="2"/>
            <w:shd w:val="clear" w:color="auto" w:fill="auto"/>
            <w:vAlign w:val="center"/>
          </w:tcPr>
          <w:p w:rsidR="00B61A98" w:rsidRPr="00D66DFA" w:rsidRDefault="00B61A98" w:rsidP="00F47535">
            <w:pPr>
              <w:pStyle w:val="TableBodyText"/>
            </w:pPr>
            <w:proofErr w:type="spellStart"/>
            <w:r w:rsidRPr="00D66DFA">
              <w:t>np</w:t>
            </w:r>
            <w:proofErr w:type="spellEnd"/>
          </w:p>
        </w:tc>
        <w:tc>
          <w:tcPr>
            <w:tcW w:w="776" w:type="dxa"/>
            <w:gridSpan w:val="2"/>
            <w:shd w:val="clear" w:color="auto" w:fill="auto"/>
            <w:vAlign w:val="center"/>
          </w:tcPr>
          <w:p w:rsidR="00B61A98" w:rsidRPr="00D66DFA" w:rsidRDefault="00B61A98" w:rsidP="00F47535">
            <w:pPr>
              <w:pStyle w:val="TableBodyText"/>
            </w:pPr>
            <w:r w:rsidRPr="00D66DFA">
              <w:t>77.6</w:t>
            </w:r>
          </w:p>
        </w:tc>
        <w:tc>
          <w:tcPr>
            <w:tcW w:w="765" w:type="dxa"/>
            <w:shd w:val="clear" w:color="auto" w:fill="auto"/>
            <w:vAlign w:val="center"/>
          </w:tcPr>
          <w:p w:rsidR="00B61A98" w:rsidRPr="00D66DFA" w:rsidRDefault="00B61A98" w:rsidP="00F47535">
            <w:pPr>
              <w:pStyle w:val="TableBodyText"/>
            </w:pPr>
            <w:r w:rsidRPr="00D66DFA">
              <w:t>70.8</w:t>
            </w:r>
          </w:p>
        </w:tc>
      </w:tr>
      <w:tr w:rsidR="00B61A98" w:rsidRPr="005825CD" w:rsidTr="00F47535">
        <w:trPr>
          <w:trHeight w:val="177"/>
        </w:trPr>
        <w:tc>
          <w:tcPr>
            <w:tcW w:w="8807" w:type="dxa"/>
            <w:gridSpan w:val="19"/>
            <w:tcBorders>
              <w:bottom w:val="single" w:sz="4" w:space="0" w:color="auto"/>
            </w:tcBorders>
            <w:shd w:val="clear" w:color="auto" w:fill="auto"/>
          </w:tcPr>
          <w:p w:rsidR="00B61A98" w:rsidRPr="00C804F5" w:rsidRDefault="00B61A98" w:rsidP="00F47535">
            <w:pPr>
              <w:pStyle w:val="Source"/>
            </w:pPr>
            <w:r w:rsidRPr="00B5543B">
              <w:t>Source: table</w:t>
            </w:r>
            <w:r>
              <w:t>s</w:t>
            </w:r>
            <w:r w:rsidRPr="00B5543B">
              <w:t xml:space="preserve"> </w:t>
            </w:r>
            <w:proofErr w:type="spellStart"/>
            <w:r w:rsidRPr="00B5543B">
              <w:t>1</w:t>
            </w:r>
            <w:r>
              <w:t>2</w:t>
            </w:r>
            <w:r w:rsidRPr="00B5543B">
              <w:t>A.</w:t>
            </w:r>
            <w:r>
              <w:t>49</w:t>
            </w:r>
            <w:proofErr w:type="spellEnd"/>
            <w:r>
              <w:t xml:space="preserve">, </w:t>
            </w:r>
            <w:proofErr w:type="spellStart"/>
            <w:r>
              <w:t>12A.56</w:t>
            </w:r>
            <w:proofErr w:type="spellEnd"/>
            <w:r>
              <w:t xml:space="preserve">, </w:t>
            </w:r>
            <w:proofErr w:type="spellStart"/>
            <w:r>
              <w:t>12A.61</w:t>
            </w:r>
            <w:proofErr w:type="spellEnd"/>
            <w:r>
              <w:t xml:space="preserve">, </w:t>
            </w:r>
            <w:proofErr w:type="spellStart"/>
            <w:r>
              <w:t>12A.65</w:t>
            </w:r>
            <w:proofErr w:type="spellEnd"/>
            <w:r>
              <w:t xml:space="preserve"> and </w:t>
            </w:r>
            <w:proofErr w:type="spellStart"/>
            <w:r>
              <w:t>12A.72</w:t>
            </w:r>
            <w:proofErr w:type="spellEnd"/>
            <w:r w:rsidRPr="00B5543B">
              <w:t>.</w:t>
            </w:r>
          </w:p>
        </w:tc>
      </w:tr>
    </w:tbl>
    <w:p w:rsidR="00B61A98" w:rsidRPr="00664AD1" w:rsidRDefault="00B61A98" w:rsidP="00B61A98">
      <w:pPr>
        <w:pStyle w:val="Note"/>
      </w:pPr>
      <w:r w:rsidRPr="00CC1617">
        <w:rPr>
          <w:rStyle w:val="NoteLabel"/>
        </w:rPr>
        <w:t>a</w:t>
      </w:r>
      <w:r w:rsidRPr="00B817EA">
        <w:t xml:space="preserve"> Caveats for these </w:t>
      </w:r>
      <w:r>
        <w:t xml:space="preserve">data are available in chapter 12 and attachment </w:t>
      </w:r>
      <w:proofErr w:type="spellStart"/>
      <w:r>
        <w:t>12</w:t>
      </w:r>
      <w:r w:rsidRPr="00B817EA">
        <w:t>A</w:t>
      </w:r>
      <w:proofErr w:type="spellEnd"/>
      <w:r w:rsidRPr="00B817EA">
        <w:t>. Refer to the indicator in</w:t>
      </w:r>
      <w:r>
        <w:t>terpretation boxes in chapter 12</w:t>
      </w:r>
      <w:r w:rsidRPr="00B817EA">
        <w:t xml:space="preserve"> for information to assist with </w:t>
      </w:r>
      <w:r>
        <w:t xml:space="preserve">the </w:t>
      </w:r>
      <w:r w:rsidRPr="00B817EA">
        <w:t>interpret</w:t>
      </w:r>
      <w:r>
        <w:t>ation of</w:t>
      </w:r>
      <w:r w:rsidRPr="00B817EA">
        <w:t xml:space="preserve"> data presented in this table. </w:t>
      </w:r>
      <w:r>
        <w:br/>
      </w:r>
      <w:r w:rsidRPr="00F85DD2">
        <w:t>– Nil or rounded to zero. .. Not</w:t>
      </w:r>
      <w:r w:rsidRPr="00FC2D33">
        <w:t xml:space="preserve"> applicable. </w:t>
      </w:r>
      <w:proofErr w:type="spellStart"/>
      <w:r w:rsidRPr="00F466FB">
        <w:rPr>
          <w:b/>
        </w:rPr>
        <w:t>np</w:t>
      </w:r>
      <w:proofErr w:type="spellEnd"/>
      <w:r>
        <w:t> </w:t>
      </w:r>
      <w:r w:rsidRPr="00FC2D33">
        <w:t>Not published.</w:t>
      </w:r>
    </w:p>
    <w:p w:rsidR="00274BF7" w:rsidRDefault="00274BF7" w:rsidP="00274BF7">
      <w:pPr>
        <w:pStyle w:val="TableTitle"/>
        <w:rPr>
          <w:b w:val="0"/>
        </w:rPr>
      </w:pPr>
    </w:p>
    <w:p w:rsidR="00274BF7" w:rsidRDefault="00274BF7" w:rsidP="00274BF7">
      <w:pPr>
        <w:pStyle w:val="BodyText"/>
        <w:rPr>
          <w:rFonts w:ascii="Arial" w:hAnsi="Arial"/>
          <w:sz w:val="24"/>
        </w:rPr>
      </w:pPr>
      <w:r>
        <w:br w:type="page"/>
      </w:r>
    </w:p>
    <w:p w:rsidR="00E413AD" w:rsidRDefault="00F156AA" w:rsidP="00566D3F">
      <w:pPr>
        <w:pStyle w:val="Heading2"/>
        <w:keepLines/>
      </w:pPr>
      <w:bookmarkStart w:id="51" w:name="_Toc313526080"/>
      <w:bookmarkStart w:id="52" w:name="_Toc338147187"/>
      <w:proofErr w:type="spellStart"/>
      <w:r>
        <w:lastRenderedPageBreak/>
        <w:t>E.</w:t>
      </w:r>
      <w:r w:rsidR="00C01FBD">
        <w:rPr>
          <w:noProof/>
        </w:rPr>
        <w:t>3</w:t>
      </w:r>
      <w:proofErr w:type="spellEnd"/>
      <w:r w:rsidR="00EE0144">
        <w:tab/>
      </w:r>
      <w:r w:rsidR="003C2610">
        <w:t>Cross cutting and interface issues</w:t>
      </w:r>
      <w:bookmarkEnd w:id="51"/>
      <w:bookmarkEnd w:id="52"/>
    </w:p>
    <w:p w:rsidR="00C75378" w:rsidRDefault="009D76F0" w:rsidP="00462C42">
      <w:pPr>
        <w:pStyle w:val="BodyText"/>
      </w:pPr>
      <w:r>
        <w:t>M</w:t>
      </w:r>
      <w:r w:rsidR="000078C5">
        <w:t xml:space="preserve">any determinants affect Australian’s health </w:t>
      </w:r>
      <w:r w:rsidR="000078C5" w:rsidRPr="006F007C">
        <w:t>(</w:t>
      </w:r>
      <w:proofErr w:type="spellStart"/>
      <w:r w:rsidR="000078C5" w:rsidRPr="006F007C">
        <w:t>AIHW</w:t>
      </w:r>
      <w:proofErr w:type="spellEnd"/>
      <w:r w:rsidR="000078C5" w:rsidRPr="006F007C">
        <w:t> </w:t>
      </w:r>
      <w:r w:rsidR="00651CE7" w:rsidRPr="006F007C">
        <w:t>201</w:t>
      </w:r>
      <w:r w:rsidR="00A64FC1" w:rsidRPr="006F007C">
        <w:t>2</w:t>
      </w:r>
      <w:r w:rsidR="00651CE7" w:rsidRPr="006F007C">
        <w:t>)</w:t>
      </w:r>
      <w:r w:rsidR="000078C5" w:rsidRPr="006F007C">
        <w:t xml:space="preserve">. They include </w:t>
      </w:r>
      <w:r w:rsidR="00651CE7" w:rsidRPr="006F007C">
        <w:t>the delivery of a</w:t>
      </w:r>
      <w:r w:rsidR="00CB1CDF" w:rsidRPr="006F007C">
        <w:t>n</w:t>
      </w:r>
      <w:r w:rsidR="00651CE7" w:rsidRPr="006F007C">
        <w:t xml:space="preserve"> efficient, effective and equitable health service</w:t>
      </w:r>
      <w:r w:rsidRPr="006F007C">
        <w:t>, bu</w:t>
      </w:r>
      <w:r w:rsidR="00AA58BE" w:rsidRPr="006F007C">
        <w:t>t</w:t>
      </w:r>
      <w:r w:rsidR="00C75378" w:rsidRPr="006F007C">
        <w:t xml:space="preserve"> </w:t>
      </w:r>
      <w:r w:rsidR="00462C42">
        <w:t xml:space="preserve">also </w:t>
      </w:r>
      <w:r w:rsidR="000078C5">
        <w:t xml:space="preserve">factors such as </w:t>
      </w:r>
      <w:r w:rsidR="00651CE7">
        <w:t xml:space="preserve">individuals’ and communities’ </w:t>
      </w:r>
      <w:r w:rsidR="000078C5">
        <w:t>social</w:t>
      </w:r>
      <w:r w:rsidR="00651CE7">
        <w:t xml:space="preserve"> </w:t>
      </w:r>
      <w:r w:rsidR="00C75378">
        <w:t xml:space="preserve">and economic conditions and </w:t>
      </w:r>
      <w:r w:rsidR="000078C5">
        <w:t xml:space="preserve">background. </w:t>
      </w:r>
    </w:p>
    <w:p w:rsidR="00462C42" w:rsidRPr="009777D8" w:rsidRDefault="009D76F0" w:rsidP="00462C42">
      <w:pPr>
        <w:pStyle w:val="BodyText"/>
      </w:pPr>
      <w:r>
        <w:t>M</w:t>
      </w:r>
      <w:r w:rsidR="00462C42">
        <w:t xml:space="preserve">ajor improvements </w:t>
      </w:r>
      <w:r>
        <w:t xml:space="preserve">in health outcomes therefore </w:t>
      </w:r>
      <w:r w:rsidR="00462C42">
        <w:t xml:space="preserve">depend on strong partnerships between components of the </w:t>
      </w:r>
      <w:r>
        <w:t xml:space="preserve">health </w:t>
      </w:r>
      <w:r w:rsidR="00462C42">
        <w:t>system</w:t>
      </w:r>
      <w:r>
        <w:t xml:space="preserve"> and relationships between </w:t>
      </w:r>
      <w:r w:rsidR="00462C42">
        <w:t xml:space="preserve">the health sector </w:t>
      </w:r>
      <w:r w:rsidR="00D51CC2">
        <w:t xml:space="preserve">and </w:t>
      </w:r>
      <w:r w:rsidR="00462C42" w:rsidRPr="009777D8">
        <w:t>other government services</w:t>
      </w:r>
      <w:r w:rsidR="00462C42">
        <w:t>:</w:t>
      </w:r>
    </w:p>
    <w:p w:rsidR="00724F36" w:rsidRPr="006F007C" w:rsidRDefault="003143C8" w:rsidP="006F007C">
      <w:pPr>
        <w:pStyle w:val="ListBullet"/>
        <w:tabs>
          <w:tab w:val="left" w:pos="3119"/>
        </w:tabs>
      </w:pPr>
      <w:r w:rsidRPr="003143C8">
        <w:rPr>
          <w:i/>
        </w:rPr>
        <w:t>Early childhood, education and training</w:t>
      </w:r>
      <w:r>
        <w:rPr>
          <w:i/>
        </w:rPr>
        <w:t xml:space="preserve"> services</w:t>
      </w:r>
      <w:r>
        <w:t xml:space="preserve"> </w:t>
      </w:r>
      <w:r w:rsidR="00083159">
        <w:t xml:space="preserve">play </w:t>
      </w:r>
      <w:r>
        <w:t xml:space="preserve">an important role in shaping </w:t>
      </w:r>
      <w:r w:rsidR="002C2448">
        <w:t xml:space="preserve">a child’s </w:t>
      </w:r>
      <w:r>
        <w:t xml:space="preserve">development, which has consequences for overall health and wellbeing in later </w:t>
      </w:r>
      <w:r w:rsidRPr="006F007C">
        <w:t>life (</w:t>
      </w:r>
      <w:proofErr w:type="spellStart"/>
      <w:r w:rsidR="004C0C48" w:rsidRPr="006F007C">
        <w:t>AIHW</w:t>
      </w:r>
      <w:proofErr w:type="spellEnd"/>
      <w:r w:rsidR="004C0C48" w:rsidRPr="006F007C">
        <w:t xml:space="preserve"> 2011)</w:t>
      </w:r>
      <w:r w:rsidRPr="006F007C">
        <w:t>.</w:t>
      </w:r>
      <w:r w:rsidR="0069623F" w:rsidRPr="006F007C">
        <w:t xml:space="preserve"> </w:t>
      </w:r>
    </w:p>
    <w:p w:rsidR="00724F36" w:rsidRPr="006F007C" w:rsidRDefault="00724F36" w:rsidP="006F007C">
      <w:pPr>
        <w:pStyle w:val="ListBullet"/>
        <w:numPr>
          <w:ilvl w:val="0"/>
          <w:numId w:val="0"/>
        </w:numPr>
        <w:tabs>
          <w:tab w:val="left" w:pos="3119"/>
        </w:tabs>
        <w:ind w:left="340"/>
      </w:pPr>
      <w:r w:rsidRPr="006F007C">
        <w:t>Good health is critical to a child’s educational development.</w:t>
      </w:r>
      <w:r w:rsidR="000A48CA" w:rsidRPr="006F007C">
        <w:t xml:space="preserve"> </w:t>
      </w:r>
      <w:r w:rsidR="00317EA6" w:rsidRPr="006F007C">
        <w:t>I</w:t>
      </w:r>
      <w:r w:rsidR="000A48CA" w:rsidRPr="006F007C">
        <w:t xml:space="preserve">mpaired hearing, malnutrition, poor general health, including poor eyesight, </w:t>
      </w:r>
      <w:r w:rsidR="00C37D45" w:rsidRPr="006F007C">
        <w:t>anaemia, skin</w:t>
      </w:r>
      <w:r w:rsidR="000A48CA" w:rsidRPr="006F007C">
        <w:t xml:space="preserve"> diseases, and sleep deprivation have been identified as having adverse effects on the educational attainment of Indigenous children</w:t>
      </w:r>
      <w:r w:rsidR="00317EA6" w:rsidRPr="006F007C">
        <w:t xml:space="preserve"> (</w:t>
      </w:r>
      <w:proofErr w:type="spellStart"/>
      <w:r w:rsidR="00317EA6" w:rsidRPr="006F007C">
        <w:t>AMA</w:t>
      </w:r>
      <w:proofErr w:type="spellEnd"/>
      <w:r w:rsidR="00317EA6" w:rsidRPr="006F007C">
        <w:t> 2001).</w:t>
      </w:r>
    </w:p>
    <w:p w:rsidR="003143C8" w:rsidRPr="006F007C" w:rsidRDefault="003143C8" w:rsidP="006F007C">
      <w:pPr>
        <w:pStyle w:val="ListBullet"/>
        <w:tabs>
          <w:tab w:val="left" w:pos="3119"/>
        </w:tabs>
      </w:pPr>
      <w:r w:rsidRPr="006F007C">
        <w:rPr>
          <w:i/>
        </w:rPr>
        <w:t>Justice services</w:t>
      </w:r>
      <w:r w:rsidRPr="006F007C">
        <w:t xml:space="preserve"> have a critical role in providing a safe and secure society, free from violence. They also </w:t>
      </w:r>
      <w:r w:rsidR="00317EA6" w:rsidRPr="006F007C">
        <w:t>enforce</w:t>
      </w:r>
      <w:r w:rsidRPr="006F007C">
        <w:t xml:space="preserve"> laws designed to improve public health such as to prevent road traffic accident</w:t>
      </w:r>
      <w:r w:rsidR="000B7FAD" w:rsidRPr="006F007C">
        <w:t>s</w:t>
      </w:r>
      <w:r w:rsidRPr="006F007C">
        <w:t xml:space="preserve"> and the use of illicit drugs</w:t>
      </w:r>
      <w:r w:rsidR="00724F36" w:rsidRPr="006F007C">
        <w:t>.</w:t>
      </w:r>
    </w:p>
    <w:p w:rsidR="00724F36" w:rsidRPr="006F007C" w:rsidRDefault="00724F36" w:rsidP="006F007C">
      <w:pPr>
        <w:pStyle w:val="ListBullet"/>
        <w:numPr>
          <w:ilvl w:val="0"/>
          <w:numId w:val="0"/>
        </w:numPr>
        <w:tabs>
          <w:tab w:val="left" w:pos="3119"/>
        </w:tabs>
        <w:ind w:left="340"/>
      </w:pPr>
      <w:r w:rsidRPr="006F007C">
        <w:t>A person</w:t>
      </w:r>
      <w:r w:rsidR="001A4799" w:rsidRPr="006F007C">
        <w:t>’</w:t>
      </w:r>
      <w:r w:rsidRPr="006F007C">
        <w:t xml:space="preserve">s health can also be a critical factor in a </w:t>
      </w:r>
      <w:r w:rsidR="00A64FC1" w:rsidRPr="006F007C">
        <w:t>person’s</w:t>
      </w:r>
      <w:r w:rsidRPr="006F007C">
        <w:t xml:space="preserve"> interaction with the justice system. Research shows that prisoners have significantly worse health, with generally higher levels of diseases, mental illness and illicit drug use than Australians overall (</w:t>
      </w:r>
      <w:proofErr w:type="spellStart"/>
      <w:r w:rsidRPr="006F007C">
        <w:t>AIHW</w:t>
      </w:r>
      <w:proofErr w:type="spellEnd"/>
      <w:r w:rsidRPr="006F007C">
        <w:t> 201</w:t>
      </w:r>
      <w:r w:rsidR="00A64FC1" w:rsidRPr="006F007C">
        <w:t>2</w:t>
      </w:r>
      <w:r w:rsidRPr="006F007C">
        <w:t>)</w:t>
      </w:r>
      <w:r w:rsidR="00BB179B" w:rsidRPr="006F007C">
        <w:t>.</w:t>
      </w:r>
    </w:p>
    <w:p w:rsidR="003143C8" w:rsidRPr="009777D8" w:rsidRDefault="003143C8" w:rsidP="006F007C">
      <w:pPr>
        <w:pStyle w:val="ListBullet"/>
        <w:tabs>
          <w:tab w:val="left" w:pos="3119"/>
        </w:tabs>
      </w:pPr>
      <w:r w:rsidRPr="006F007C">
        <w:rPr>
          <w:i/>
        </w:rPr>
        <w:t>Emergency management services</w:t>
      </w:r>
      <w:r w:rsidRPr="006F007C">
        <w:t xml:space="preserve"> have </w:t>
      </w:r>
      <w:r w:rsidRPr="009777D8">
        <w:t>an important role in the preparation and response to emergency events</w:t>
      </w:r>
      <w:r>
        <w:t xml:space="preserve"> providing emergency first aid, protection and shelter</w:t>
      </w:r>
      <w:r w:rsidRPr="009777D8">
        <w:t xml:space="preserve">. </w:t>
      </w:r>
      <w:r w:rsidR="00317EA6">
        <w:t>A</w:t>
      </w:r>
      <w:r w:rsidRPr="009777D8">
        <w:t xml:space="preserve">mbulance services </w:t>
      </w:r>
      <w:r>
        <w:t xml:space="preserve">are an </w:t>
      </w:r>
      <w:r w:rsidRPr="009777D8">
        <w:t xml:space="preserve">integral part of </w:t>
      </w:r>
      <w:r>
        <w:t xml:space="preserve">a jurisdiction’s </w:t>
      </w:r>
      <w:r w:rsidRPr="009777D8">
        <w:t xml:space="preserve">health </w:t>
      </w:r>
      <w:r>
        <w:t>service</w:t>
      </w:r>
      <w:r w:rsidRPr="009777D8">
        <w:t xml:space="preserve"> providing emergency </w:t>
      </w:r>
      <w:r>
        <w:t>as well as</w:t>
      </w:r>
      <w:r w:rsidRPr="009777D8">
        <w:t xml:space="preserve"> non</w:t>
      </w:r>
      <w:r w:rsidRPr="009777D8">
        <w:noBreakHyphen/>
        <w:t>emergency patient care and transport.</w:t>
      </w:r>
    </w:p>
    <w:p w:rsidR="00083159" w:rsidRPr="006F007C" w:rsidRDefault="0069623F" w:rsidP="00083159">
      <w:pPr>
        <w:pStyle w:val="ListBullet"/>
      </w:pPr>
      <w:r>
        <w:rPr>
          <w:i/>
        </w:rPr>
        <w:t>C</w:t>
      </w:r>
      <w:r w:rsidR="003143C8" w:rsidRPr="003143C8">
        <w:rPr>
          <w:i/>
        </w:rPr>
        <w:t xml:space="preserve">ommunity services </w:t>
      </w:r>
      <w:r w:rsidR="003143C8" w:rsidRPr="0069623F">
        <w:t>an</w:t>
      </w:r>
      <w:r w:rsidR="003143C8" w:rsidRPr="006F007C">
        <w:t xml:space="preserve">d health </w:t>
      </w:r>
      <w:r w:rsidRPr="006F007C">
        <w:t>services</w:t>
      </w:r>
      <w:r w:rsidR="00C75378" w:rsidRPr="006F007C">
        <w:t xml:space="preserve"> interact at many levels</w:t>
      </w:r>
      <w:r w:rsidR="003143C8" w:rsidRPr="006F007C">
        <w:t xml:space="preserve">. </w:t>
      </w:r>
      <w:r w:rsidRPr="006F007C">
        <w:t xml:space="preserve">People with disability are more likely than others to have poor physical and mental health, and higher rates of risk factors such as smoking and </w:t>
      </w:r>
      <w:r w:rsidR="000B7FAD" w:rsidRPr="006F007C">
        <w:t>obesity</w:t>
      </w:r>
      <w:r w:rsidRPr="006F007C">
        <w:t xml:space="preserve"> (</w:t>
      </w:r>
      <w:proofErr w:type="spellStart"/>
      <w:r w:rsidRPr="006F007C">
        <w:t>AIHW</w:t>
      </w:r>
      <w:proofErr w:type="spellEnd"/>
      <w:r w:rsidRPr="006F007C">
        <w:t> 201</w:t>
      </w:r>
      <w:r w:rsidR="00A64FC1" w:rsidRPr="006F007C">
        <w:t>2</w:t>
      </w:r>
      <w:r w:rsidRPr="006F007C">
        <w:t xml:space="preserve">). </w:t>
      </w:r>
      <w:r w:rsidR="00724F36" w:rsidRPr="006F007C">
        <w:t xml:space="preserve">Aged care services can keep people living independently and healthily, without undue call on the health sector. </w:t>
      </w:r>
      <w:r w:rsidR="00C75378" w:rsidRPr="006F007C">
        <w:t>C</w:t>
      </w:r>
      <w:r w:rsidR="003143C8" w:rsidRPr="006F007C">
        <w:t xml:space="preserve">hild protection </w:t>
      </w:r>
      <w:r w:rsidR="00C75378" w:rsidRPr="006F007C">
        <w:t xml:space="preserve">services act to protect children </w:t>
      </w:r>
      <w:r w:rsidR="000B7FAD" w:rsidRPr="006F007C">
        <w:t xml:space="preserve">and </w:t>
      </w:r>
      <w:r w:rsidR="00C75378" w:rsidRPr="006F007C">
        <w:t xml:space="preserve">ensure their good health (while medical professionals are the </w:t>
      </w:r>
      <w:r w:rsidR="000B7FAD" w:rsidRPr="006F007C">
        <w:t>source of many child protection</w:t>
      </w:r>
      <w:r w:rsidR="00C75378" w:rsidRPr="006F007C">
        <w:t xml:space="preserve"> </w:t>
      </w:r>
      <w:r w:rsidR="003143C8" w:rsidRPr="006F007C">
        <w:t>notifications</w:t>
      </w:r>
      <w:r w:rsidR="00C75378" w:rsidRPr="006F007C">
        <w:t>)</w:t>
      </w:r>
      <w:r w:rsidR="003143C8" w:rsidRPr="006F007C">
        <w:t>.</w:t>
      </w:r>
    </w:p>
    <w:p w:rsidR="00462C42" w:rsidRPr="006F007C" w:rsidRDefault="00BB179B" w:rsidP="000B7FAD">
      <w:pPr>
        <w:pStyle w:val="ListBullet"/>
      </w:pPr>
      <w:r w:rsidRPr="006F007C">
        <w:rPr>
          <w:i/>
        </w:rPr>
        <w:t>Housing and homelessness services</w:t>
      </w:r>
      <w:r w:rsidRPr="006F007C">
        <w:t xml:space="preserve"> </w:t>
      </w:r>
      <w:r w:rsidR="00E51571" w:rsidRPr="006F007C">
        <w:t>play an important role in ensuring the health of Australians</w:t>
      </w:r>
      <w:r w:rsidR="000F3235" w:rsidRPr="006F007C">
        <w:t xml:space="preserve">. Living conditions </w:t>
      </w:r>
      <w:r w:rsidR="00C75378" w:rsidRPr="006F007C">
        <w:t xml:space="preserve">(particularly poor housing and infrastructure) are </w:t>
      </w:r>
      <w:r w:rsidR="000F3235" w:rsidRPr="006F007C">
        <w:t xml:space="preserve">a major contributor to health and </w:t>
      </w:r>
      <w:proofErr w:type="spellStart"/>
      <w:r w:rsidR="000F3235" w:rsidRPr="006F007C">
        <w:t>well being</w:t>
      </w:r>
      <w:proofErr w:type="spellEnd"/>
      <w:r w:rsidR="000F3235" w:rsidRPr="006F007C">
        <w:t>. People with unmet housing needs tend to experience higher death rates, poor health, and are more likely to have serious c</w:t>
      </w:r>
      <w:r w:rsidR="000B7FAD" w:rsidRPr="006F007C">
        <w:t>hronic illnesses (Garner 2006)</w:t>
      </w:r>
      <w:r w:rsidR="00462C42" w:rsidRPr="006F007C">
        <w:t>.</w:t>
      </w:r>
    </w:p>
    <w:p w:rsidR="00622285" w:rsidRPr="00595C97" w:rsidRDefault="00F156AA" w:rsidP="00A26AEB">
      <w:pPr>
        <w:pStyle w:val="Heading2"/>
      </w:pPr>
      <w:bookmarkStart w:id="53" w:name="_Toc313526081"/>
      <w:bookmarkStart w:id="54" w:name="_Toc338147188"/>
      <w:proofErr w:type="spellStart"/>
      <w:r>
        <w:lastRenderedPageBreak/>
        <w:t>E.</w:t>
      </w:r>
      <w:r w:rsidR="00C01FBD">
        <w:rPr>
          <w:noProof/>
        </w:rPr>
        <w:t>4</w:t>
      </w:r>
      <w:proofErr w:type="spellEnd"/>
      <w:r w:rsidR="00EE0144">
        <w:tab/>
      </w:r>
      <w:r w:rsidR="00622285" w:rsidRPr="00595C97">
        <w:t>Future directions</w:t>
      </w:r>
      <w:r w:rsidR="00082D42">
        <w:t xml:space="preserve"> in performance reporting</w:t>
      </w:r>
      <w:bookmarkEnd w:id="53"/>
      <w:bookmarkEnd w:id="54"/>
    </w:p>
    <w:p w:rsidR="00F74C7E" w:rsidRDefault="00F74C7E" w:rsidP="00CF7AC3">
      <w:pPr>
        <w:pStyle w:val="BodyText"/>
      </w:pPr>
      <w:r>
        <w:t xml:space="preserve">This health </w:t>
      </w:r>
      <w:r w:rsidR="00715541">
        <w:t>sector overview</w:t>
      </w:r>
      <w:r w:rsidRPr="00FD6A36">
        <w:t xml:space="preserve"> </w:t>
      </w:r>
      <w:r>
        <w:t xml:space="preserve">will </w:t>
      </w:r>
      <w:r w:rsidRPr="00FD6A36">
        <w:t xml:space="preserve">continue to </w:t>
      </w:r>
      <w:r>
        <w:t>be developed in future reports.</w:t>
      </w:r>
    </w:p>
    <w:p w:rsidR="00F74232" w:rsidRDefault="00F74232" w:rsidP="00F74232">
      <w:pPr>
        <w:pStyle w:val="BodyText"/>
      </w:pPr>
      <w:r>
        <w:t xml:space="preserve">It is anticipated that work undertaken to achieve the </w:t>
      </w:r>
      <w:proofErr w:type="spellStart"/>
      <w:r>
        <w:t>COAG</w:t>
      </w:r>
      <w:proofErr w:type="spellEnd"/>
      <w:r>
        <w:t xml:space="preserve"> aspirations will lead to improvements in performance reporting for the health sector. There are several </w:t>
      </w:r>
      <w:r w:rsidRPr="006677FB">
        <w:t xml:space="preserve">important </w:t>
      </w:r>
      <w:r>
        <w:t xml:space="preserve">national </w:t>
      </w:r>
      <w:r w:rsidRPr="006677FB">
        <w:t xml:space="preserve">initiatives </w:t>
      </w:r>
      <w:r>
        <w:t xml:space="preserve">currently underway. </w:t>
      </w:r>
      <w:proofErr w:type="spellStart"/>
      <w:r w:rsidRPr="00B34384">
        <w:t>COAG</w:t>
      </w:r>
      <w:proofErr w:type="spellEnd"/>
      <w:r w:rsidRPr="00B34384">
        <w:t xml:space="preserve"> has agreed</w:t>
      </w:r>
      <w:r>
        <w:t xml:space="preserve"> to </w:t>
      </w:r>
      <w:r w:rsidRPr="00B34384">
        <w:t xml:space="preserve">the National Health Reform </w:t>
      </w:r>
      <w:r w:rsidRPr="006F007C">
        <w:t>Agreement (</w:t>
      </w:r>
      <w:proofErr w:type="spellStart"/>
      <w:r w:rsidRPr="006F007C">
        <w:t>COAG</w:t>
      </w:r>
      <w:proofErr w:type="spellEnd"/>
      <w:r w:rsidRPr="006F007C">
        <w:t xml:space="preserve"> 2011). The Agreement </w:t>
      </w:r>
      <w:r>
        <w:t xml:space="preserve">includes a commitment </w:t>
      </w:r>
      <w:r w:rsidR="001A4799">
        <w:t xml:space="preserve">to </w:t>
      </w:r>
      <w:r w:rsidRPr="00B34384">
        <w:t>introduce clear and transparent performance reporting against the new Performance and Accountability Framework</w:t>
      </w:r>
      <w:r>
        <w:t xml:space="preserve"> that will include: </w:t>
      </w:r>
    </w:p>
    <w:p w:rsidR="00F74232" w:rsidRPr="00B34384" w:rsidRDefault="00F74232" w:rsidP="00F74232">
      <w:pPr>
        <w:pStyle w:val="ListBullet"/>
      </w:pPr>
      <w:r w:rsidRPr="00B34384">
        <w:t xml:space="preserve">a subset of the national performance indicators already agreed by </w:t>
      </w:r>
      <w:proofErr w:type="spellStart"/>
      <w:r w:rsidRPr="00B34384">
        <w:t>COAG</w:t>
      </w:r>
      <w:proofErr w:type="spellEnd"/>
      <w:r w:rsidRPr="00B34384">
        <w:t xml:space="preserve"> through the </w:t>
      </w:r>
      <w:proofErr w:type="spellStart"/>
      <w:r w:rsidRPr="00B34384">
        <w:t>NHA</w:t>
      </w:r>
      <w:proofErr w:type="spellEnd"/>
      <w:r w:rsidRPr="00B34384">
        <w:t xml:space="preserve"> </w:t>
      </w:r>
    </w:p>
    <w:p w:rsidR="00F74232" w:rsidRPr="00B34384" w:rsidRDefault="00F74232" w:rsidP="00F74232">
      <w:pPr>
        <w:pStyle w:val="ListBullet"/>
      </w:pPr>
      <w:r w:rsidRPr="00B34384">
        <w:t xml:space="preserve">reference to national clinical quality and safety standards developed by the </w:t>
      </w:r>
      <w:r w:rsidRPr="00527130">
        <w:t xml:space="preserve">Australian Commission on Safety and Quality in Health Care </w:t>
      </w:r>
    </w:p>
    <w:p w:rsidR="00F74232" w:rsidRPr="00B34384" w:rsidRDefault="00F74232" w:rsidP="00F74232">
      <w:pPr>
        <w:pStyle w:val="ListBullet"/>
      </w:pPr>
      <w:r w:rsidRPr="00B34384">
        <w:t xml:space="preserve">design principles for the new Hospital Performance Reports and Healthy Communities Reports. </w:t>
      </w:r>
    </w:p>
    <w:p w:rsidR="00F74232" w:rsidRDefault="00F74232" w:rsidP="00F74232">
      <w:pPr>
        <w:pStyle w:val="BodyText"/>
      </w:pPr>
      <w:r>
        <w:t>P</w:t>
      </w:r>
      <w:r w:rsidRPr="00527130">
        <w:t xml:space="preserve">erformance reporting </w:t>
      </w:r>
      <w:r>
        <w:t xml:space="preserve">will be </w:t>
      </w:r>
      <w:r w:rsidRPr="00527130">
        <w:t>through the establishment of the Nation</w:t>
      </w:r>
      <w:r>
        <w:t>al Health Performance Authority. The Authority will:</w:t>
      </w:r>
    </w:p>
    <w:p w:rsidR="00F74232" w:rsidRDefault="00F74232" w:rsidP="00F74232">
      <w:pPr>
        <w:pStyle w:val="ListBullet"/>
      </w:pPr>
      <w:r>
        <w:t>provide clear and transparent quarterly public reporting of the performance of every Local Hospital Network, private hospital and Medicare Local</w:t>
      </w:r>
    </w:p>
    <w:p w:rsidR="00F74232" w:rsidRDefault="00F74232" w:rsidP="00F74232">
      <w:pPr>
        <w:pStyle w:val="ListBullet"/>
      </w:pPr>
      <w:r>
        <w:t>monitor the performance of Local Hospital Networks, Medicare Locals and hospitals</w:t>
      </w:r>
    </w:p>
    <w:p w:rsidR="00F74232" w:rsidRDefault="00F74232" w:rsidP="00F74232">
      <w:pPr>
        <w:pStyle w:val="ListBullet"/>
      </w:pPr>
      <w:r>
        <w:t>develop additional performance indicators as appropriate</w:t>
      </w:r>
    </w:p>
    <w:p w:rsidR="00F74232" w:rsidRDefault="00F74232" w:rsidP="00F74232">
      <w:pPr>
        <w:pStyle w:val="ListBullet"/>
      </w:pPr>
      <w:r>
        <w:t xml:space="preserve">maintain the </w:t>
      </w:r>
      <w:proofErr w:type="spellStart"/>
      <w:r>
        <w:t>MyHospitals</w:t>
      </w:r>
      <w:proofErr w:type="spellEnd"/>
      <w:r>
        <w:t xml:space="preserve"> website.</w:t>
      </w:r>
    </w:p>
    <w:p w:rsidR="00F74232" w:rsidRDefault="00F74232" w:rsidP="00CF7AC3">
      <w:pPr>
        <w:pStyle w:val="BodyText"/>
      </w:pPr>
      <w:r w:rsidRPr="00B34384">
        <w:t xml:space="preserve">The </w:t>
      </w:r>
      <w:proofErr w:type="spellStart"/>
      <w:r w:rsidRPr="00B34384">
        <w:t>COAG</w:t>
      </w:r>
      <w:proofErr w:type="spellEnd"/>
      <w:r w:rsidRPr="00B34384">
        <w:t xml:space="preserve"> Reform Council will continue its role of reviewing the national performance indicators at a State </w:t>
      </w:r>
      <w:r>
        <w:t xml:space="preserve">and Territory </w:t>
      </w:r>
      <w:r w:rsidRPr="00B34384">
        <w:t>level</w:t>
      </w:r>
      <w:r>
        <w:t xml:space="preserve">. It will </w:t>
      </w:r>
      <w:r w:rsidRPr="00B34384">
        <w:t xml:space="preserve">report on the performance of the </w:t>
      </w:r>
      <w:r>
        <w:t xml:space="preserve">Australian and State and Territory governments </w:t>
      </w:r>
      <w:r w:rsidRPr="00B34384">
        <w:t xml:space="preserve">in achieving the jurisdictional level outcomes and performance benchmarks included in the </w:t>
      </w:r>
      <w:proofErr w:type="spellStart"/>
      <w:r w:rsidRPr="00B34384">
        <w:t>NHA</w:t>
      </w:r>
      <w:proofErr w:type="spellEnd"/>
      <w:r w:rsidRPr="00B34384">
        <w:t>.</w:t>
      </w:r>
    </w:p>
    <w:p w:rsidR="00E15A25" w:rsidRDefault="00F74C7E" w:rsidP="00CF7AC3">
      <w:pPr>
        <w:pStyle w:val="BodyText"/>
      </w:pPr>
      <w:r>
        <w:t>The P</w:t>
      </w:r>
      <w:r w:rsidR="00AE6455" w:rsidRPr="00595C97">
        <w:t xml:space="preserve">ublic hospitals, </w:t>
      </w:r>
      <w:r>
        <w:t>P</w:t>
      </w:r>
      <w:r w:rsidR="00AE6455" w:rsidRPr="00595C97">
        <w:t xml:space="preserve">rimary and community health and </w:t>
      </w:r>
      <w:r>
        <w:t xml:space="preserve">Mental </w:t>
      </w:r>
      <w:r w:rsidR="00AE6455" w:rsidRPr="00595C97">
        <w:t xml:space="preserve">health management </w:t>
      </w:r>
      <w:r>
        <w:t>chapters</w:t>
      </w:r>
      <w:r w:rsidR="00AE6455" w:rsidRPr="00595C97">
        <w:t xml:space="preserve"> contain a service</w:t>
      </w:r>
      <w:r>
        <w:noBreakHyphen/>
      </w:r>
      <w:r w:rsidR="00AE6455" w:rsidRPr="00595C97">
        <w:t xml:space="preserve">specific section on future directions in performance reporting. </w:t>
      </w:r>
    </w:p>
    <w:p w:rsidR="00AD5A37" w:rsidRPr="00A05A09" w:rsidRDefault="00F156AA" w:rsidP="00686BAE">
      <w:pPr>
        <w:pStyle w:val="Heading2"/>
      </w:pPr>
      <w:bookmarkStart w:id="55" w:name="_Toc309732855"/>
      <w:bookmarkStart w:id="56" w:name="_Toc313526082"/>
      <w:bookmarkStart w:id="57" w:name="_Toc338147189"/>
      <w:proofErr w:type="spellStart"/>
      <w:r>
        <w:t>E.</w:t>
      </w:r>
      <w:r w:rsidR="00C01FBD">
        <w:rPr>
          <w:noProof/>
        </w:rPr>
        <w:t>5</w:t>
      </w:r>
      <w:proofErr w:type="spellEnd"/>
      <w:r w:rsidR="00AD5A37">
        <w:tab/>
      </w:r>
      <w:r w:rsidR="00AD5A37" w:rsidRPr="00A05A09">
        <w:t>Jurisdictions’ comments</w:t>
      </w:r>
      <w:bookmarkEnd w:id="55"/>
      <w:bookmarkEnd w:id="56"/>
      <w:bookmarkEnd w:id="57"/>
    </w:p>
    <w:p w:rsidR="00AD5A37" w:rsidRPr="00FE203B" w:rsidRDefault="00AD5A37" w:rsidP="00686BAE">
      <w:pPr>
        <w:pStyle w:val="BodyText"/>
        <w:rPr>
          <w:rStyle w:val="DraftingNote"/>
        </w:rPr>
      </w:pPr>
      <w:r w:rsidRPr="00A05A09">
        <w:t xml:space="preserve">This section provides comments from each jurisdiction on the services covered in this </w:t>
      </w:r>
      <w:r w:rsidR="00715541">
        <w:t>sector overview</w:t>
      </w:r>
      <w:r w:rsidR="004E7FF0">
        <w:t>.</w:t>
      </w:r>
    </w:p>
    <w:tbl>
      <w:tblPr>
        <w:tblW w:w="10632" w:type="dxa"/>
        <w:tblInd w:w="-885" w:type="dxa"/>
        <w:tblLayout w:type="fixed"/>
        <w:tblLook w:val="0000" w:firstRow="0" w:lastRow="0" w:firstColumn="0" w:lastColumn="0" w:noHBand="0" w:noVBand="0"/>
      </w:tblPr>
      <w:tblGrid>
        <w:gridCol w:w="993"/>
        <w:gridCol w:w="8789"/>
        <w:gridCol w:w="850"/>
      </w:tblGrid>
      <w:tr w:rsidR="00AD5A37" w:rsidRPr="00A05A09" w:rsidTr="008B11E3">
        <w:trPr>
          <w:cantSplit/>
        </w:trPr>
        <w:tc>
          <w:tcPr>
            <w:tcW w:w="993" w:type="dxa"/>
          </w:tcPr>
          <w:p w:rsidR="00AD5A37" w:rsidRPr="00A05A09" w:rsidRDefault="00AD5A37" w:rsidP="00DC6C35">
            <w:pPr>
              <w:pStyle w:val="BodyText"/>
              <w:jc w:val="right"/>
              <w:rPr>
                <w:rFonts w:ascii="Arial" w:hAnsi="Arial"/>
                <w:b/>
              </w:rPr>
            </w:pPr>
            <w:r w:rsidRPr="00A05A09">
              <w:lastRenderedPageBreak/>
              <w:br w:type="page"/>
            </w:r>
            <w:r w:rsidRPr="00A05A09">
              <w:rPr>
                <w:b/>
                <w:sz w:val="132"/>
              </w:rPr>
              <w:t>“</w:t>
            </w:r>
          </w:p>
        </w:tc>
        <w:tc>
          <w:tcPr>
            <w:tcW w:w="8789" w:type="dxa"/>
          </w:tcPr>
          <w:p w:rsidR="00AD5A37" w:rsidRPr="009D3BAC" w:rsidRDefault="009D3BAC" w:rsidP="009D3BAC">
            <w:pPr>
              <w:pStyle w:val="Jurisdictioncommentsheading"/>
            </w:pPr>
            <w:r w:rsidRPr="009D3BAC">
              <w:t>New South Wales Government comments</w:t>
            </w:r>
          </w:p>
          <w:p w:rsidR="009D3BAC" w:rsidRPr="009D3BAC" w:rsidRDefault="009D3BAC" w:rsidP="002468C9">
            <w:pPr>
              <w:pStyle w:val="Jurisdictioncommentsbodytext"/>
            </w:pPr>
            <w:r w:rsidRPr="009D3BAC">
              <w:t xml:space="preserve">During 2012-13 significant progress was made on our reform journey.  </w:t>
            </w:r>
          </w:p>
          <w:p w:rsidR="009D3BAC" w:rsidRPr="009D3BAC" w:rsidRDefault="009D3BAC" w:rsidP="002468C9">
            <w:pPr>
              <w:pStyle w:val="Jurisdictioncommentsbodytext"/>
            </w:pPr>
            <w:r w:rsidRPr="009D3BAC">
              <w:t>Partnerships between NSW Health organisations continue to mature, and we can report strong achievements against the targets in NSW 2021- A Plan to Make NSW Number One.</w:t>
            </w:r>
            <w:r w:rsidR="008867E3">
              <w:t xml:space="preserve"> </w:t>
            </w:r>
          </w:p>
          <w:p w:rsidR="009D3BAC" w:rsidRPr="009D3BAC" w:rsidRDefault="009D3BAC" w:rsidP="002468C9">
            <w:pPr>
              <w:pStyle w:val="Jurisdictioncommentsbodytext"/>
            </w:pPr>
            <w:r w:rsidRPr="009D3BAC">
              <w:t>NSW Health performed well against the key performance targets under Goals 11 and 12.</w:t>
            </w:r>
          </w:p>
          <w:p w:rsidR="009D3BAC" w:rsidRPr="009D3BAC" w:rsidRDefault="009D3BAC" w:rsidP="002468C9">
            <w:pPr>
              <w:pStyle w:val="Jurisdictioncommentsbodytext"/>
            </w:pPr>
            <w:r w:rsidRPr="009D3BAC">
              <w:t>Key achievements in Keeping people healthy and out of hospital (Goal 11) include:</w:t>
            </w:r>
          </w:p>
          <w:p w:rsidR="009D3BAC" w:rsidRPr="009D3BAC" w:rsidRDefault="008867E3" w:rsidP="002468C9">
            <w:pPr>
              <w:pStyle w:val="Jurisdictioncommentslistbullet"/>
            </w:pPr>
            <w:r>
              <w:t>Enrolled 4</w:t>
            </w:r>
            <w:r w:rsidR="009D3BAC" w:rsidRPr="009D3BAC">
              <w:t>446 adults in the Get Healthy I</w:t>
            </w:r>
            <w:r w:rsidR="009D3BAC">
              <w:t>nformation and Coaching Service</w:t>
            </w:r>
          </w:p>
          <w:p w:rsidR="009D3BAC" w:rsidRPr="009D3BAC" w:rsidRDefault="009D3BAC" w:rsidP="002468C9">
            <w:pPr>
              <w:pStyle w:val="Jurisdictioncommentslistbullet"/>
            </w:pPr>
            <w:r w:rsidRPr="009D3BAC">
              <w:t>Commenced the NSW Healthy Children’s Initiative 2013</w:t>
            </w:r>
            <w:r w:rsidR="008867E3">
              <w:rPr>
                <w:rFonts w:cs="Arial"/>
              </w:rPr>
              <w:t>–</w:t>
            </w:r>
            <w:r w:rsidRPr="009D3BAC">
              <w:t>2017 and the Healthy Worker Initiative 2013</w:t>
            </w:r>
            <w:r w:rsidR="008867E3">
              <w:rPr>
                <w:rFonts w:cs="Arial"/>
              </w:rPr>
              <w:t>–</w:t>
            </w:r>
            <w:r w:rsidRPr="009D3BAC">
              <w:t>2017 to promote healthy weight, healthy eating and physical activity. The rate of overweight and obesity has stabilise</w:t>
            </w:r>
            <w:r>
              <w:t>d for children and adults</w:t>
            </w:r>
          </w:p>
          <w:p w:rsidR="009D3BAC" w:rsidRPr="009D3BAC" w:rsidRDefault="009D3BAC" w:rsidP="002468C9">
            <w:pPr>
              <w:pStyle w:val="Jurisdictioncommentslistbullet"/>
            </w:pPr>
            <w:r w:rsidRPr="009D3BAC">
              <w:t>Implemented the NSW Tobacco Strategy 2012</w:t>
            </w:r>
            <w:r w:rsidR="008867E3">
              <w:rPr>
                <w:rFonts w:cs="Arial"/>
              </w:rPr>
              <w:t>–</w:t>
            </w:r>
            <w:r w:rsidRPr="009D3BAC">
              <w:t xml:space="preserve">17 to reduce smoking and decrease associated chronic diseases. The rate of smoking has declined since 2002 in both </w:t>
            </w:r>
            <w:r w:rsidR="008867E3">
              <w:t>Indigenous</w:t>
            </w:r>
            <w:r w:rsidRPr="009D3BAC">
              <w:t xml:space="preserve"> and non-</w:t>
            </w:r>
            <w:r w:rsidR="008867E3">
              <w:t>Indigenous</w:t>
            </w:r>
            <w:r w:rsidR="008867E3" w:rsidRPr="009D3BAC">
              <w:t xml:space="preserve"> </w:t>
            </w:r>
            <w:r>
              <w:t xml:space="preserve">adults aged 16 years </w:t>
            </w:r>
            <w:r w:rsidR="008867E3">
              <w:t>or</w:t>
            </w:r>
            <w:r>
              <w:t xml:space="preserve"> over</w:t>
            </w:r>
          </w:p>
          <w:p w:rsidR="009D3BAC" w:rsidRPr="009D3BAC" w:rsidRDefault="009D3BAC" w:rsidP="002468C9">
            <w:pPr>
              <w:pStyle w:val="Jurisdictioncommentslistbullet"/>
            </w:pPr>
            <w:r w:rsidRPr="009D3BAC">
              <w:t>Amended the Smoke-free Environment Act 2000 to reduce exposure to second hand smoke in a range of public places, with the first major changes taking effect in January 2013 with smoking restricted in outdoor public places which are most commonly visited by familie</w:t>
            </w:r>
            <w:r>
              <w:t>s and children</w:t>
            </w:r>
          </w:p>
          <w:p w:rsidR="009D3BAC" w:rsidRPr="009D3BAC" w:rsidRDefault="009D3BAC" w:rsidP="002468C9">
            <w:pPr>
              <w:pStyle w:val="Jurisdictioncommentslistbullet"/>
            </w:pPr>
            <w:r w:rsidRPr="009D3BAC">
              <w:t xml:space="preserve">Launched a range of evidence-based public education programs to reduce smoking and risky drinking, including two programs targeting people whose alcohol consumption </w:t>
            </w:r>
            <w:r>
              <w:t>poses a lifetime risk to health</w:t>
            </w:r>
          </w:p>
          <w:p w:rsidR="009D3BAC" w:rsidRPr="009D3BAC" w:rsidRDefault="009D3BAC" w:rsidP="002468C9">
            <w:pPr>
              <w:pStyle w:val="Jurisdictioncommentslistbullet"/>
            </w:pPr>
            <w:r w:rsidRPr="009D3BAC">
              <w:t>A significant decrease in Aboriginal infant mortality over the last 10 years. The gap between Aboriginal and non-Aboriginal infant mortality</w:t>
            </w:r>
            <w:r>
              <w:t xml:space="preserve"> has also reduced significantly</w:t>
            </w:r>
          </w:p>
          <w:p w:rsidR="009D3BAC" w:rsidRPr="009D3BAC" w:rsidRDefault="009D3BAC" w:rsidP="002468C9">
            <w:pPr>
              <w:pStyle w:val="Jurisdictioncommentslistbullet"/>
            </w:pPr>
            <w:r w:rsidRPr="009D3BAC">
              <w:t>Significant effort has been made to promote the benefits of timely complete immunisation. The rate for children who are fully immunised a</w:t>
            </w:r>
            <w:r>
              <w:t>t one year of age remains high.</w:t>
            </w:r>
          </w:p>
          <w:p w:rsidR="009D3BAC" w:rsidRPr="009D3BAC" w:rsidRDefault="009D3BAC" w:rsidP="002468C9">
            <w:pPr>
              <w:pStyle w:val="Jurisdictioncommentslistbullet"/>
            </w:pPr>
            <w:r w:rsidRPr="009D3BAC">
              <w:t>Key achievements in Providing world class clinical services with timely access and effective infrastructure (Goal 12) include:</w:t>
            </w:r>
          </w:p>
          <w:p w:rsidR="009D3BAC" w:rsidRPr="009D3BAC" w:rsidRDefault="009D3BAC" w:rsidP="002468C9">
            <w:pPr>
              <w:pStyle w:val="Jurisdictioncommentslistbullet"/>
            </w:pPr>
            <w:r w:rsidRPr="009D3BAC">
              <w:t>Meeting waiting time targets for booked surgery in all categories for the National Elective Surgery Targets (NEST) under the National Health Reform Agreem</w:t>
            </w:r>
            <w:r>
              <w:t>ent with the Federal Government</w:t>
            </w:r>
          </w:p>
          <w:p w:rsidR="009D3BAC" w:rsidRPr="009D3BAC" w:rsidRDefault="009D3BAC" w:rsidP="002468C9">
            <w:pPr>
              <w:pStyle w:val="Jurisdictioncommentslistbullet"/>
              <w:rPr>
                <w:b/>
              </w:rPr>
            </w:pPr>
            <w:r w:rsidRPr="009D3BAC">
              <w:t>Meeting or exceeding national performance targets in providing timely care for people presenting to our Emergency Departments in four out of five triage categories.</w:t>
            </w:r>
          </w:p>
        </w:tc>
        <w:tc>
          <w:tcPr>
            <w:tcW w:w="850" w:type="dxa"/>
          </w:tcPr>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p>
          <w:p w:rsidR="00AD5A37" w:rsidRDefault="00AD5A37" w:rsidP="00DC6C35">
            <w:pPr>
              <w:pStyle w:val="BodyText"/>
              <w:spacing w:after="140"/>
              <w:rPr>
                <w:rFonts w:ascii="Arial" w:hAnsi="Arial"/>
                <w:b/>
              </w:rPr>
            </w:pPr>
          </w:p>
          <w:p w:rsidR="00AD5A37" w:rsidRDefault="00AD5A37" w:rsidP="00DC6C35">
            <w:pPr>
              <w:pStyle w:val="BodyText"/>
              <w:spacing w:after="140"/>
              <w:rPr>
                <w:rFonts w:ascii="Arial" w:hAnsi="Arial"/>
                <w:b/>
              </w:rPr>
            </w:pPr>
          </w:p>
          <w:p w:rsidR="00B7363A" w:rsidRDefault="00B7363A" w:rsidP="00DC6C35">
            <w:pPr>
              <w:pStyle w:val="BodyText"/>
              <w:spacing w:after="140"/>
              <w:rPr>
                <w:rFonts w:ascii="Arial" w:hAnsi="Arial"/>
                <w:b/>
              </w:rPr>
            </w:pPr>
          </w:p>
          <w:p w:rsidR="00B7363A" w:rsidRDefault="00B7363A" w:rsidP="00DC6C35">
            <w:pPr>
              <w:pStyle w:val="BodyText"/>
              <w:spacing w:after="140"/>
              <w:rPr>
                <w:rFonts w:ascii="Arial" w:hAnsi="Arial"/>
                <w:b/>
              </w:rPr>
            </w:pPr>
          </w:p>
          <w:p w:rsidR="00B7363A" w:rsidRDefault="00B7363A" w:rsidP="00DC6C35">
            <w:pPr>
              <w:pStyle w:val="BodyText"/>
              <w:spacing w:after="140"/>
              <w:rPr>
                <w:rFonts w:ascii="Arial" w:hAnsi="Arial"/>
                <w:b/>
              </w:rPr>
            </w:pPr>
          </w:p>
          <w:p w:rsidR="00B7363A" w:rsidRPr="00A05A09" w:rsidRDefault="00B7363A" w:rsidP="00DC6C35">
            <w:pPr>
              <w:pStyle w:val="BodyText"/>
              <w:spacing w:after="140"/>
              <w:rPr>
                <w:rFonts w:ascii="Arial" w:hAnsi="Arial"/>
                <w:b/>
              </w:rPr>
            </w:pPr>
          </w:p>
          <w:p w:rsidR="00AD5A37" w:rsidRPr="00A05A09" w:rsidRDefault="00AD5A37" w:rsidP="00DC6C35">
            <w:pPr>
              <w:pStyle w:val="BodyText"/>
              <w:spacing w:after="140"/>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jc w:val="right"/>
              <w:rPr>
                <w:rFonts w:ascii="Arial" w:hAnsi="Arial"/>
                <w:b/>
              </w:rPr>
            </w:pPr>
            <w:r w:rsidRPr="00A05A09">
              <w:rPr>
                <w:b/>
                <w:sz w:val="132"/>
              </w:rPr>
              <w:lastRenderedPageBreak/>
              <w:t>“</w:t>
            </w:r>
          </w:p>
        </w:tc>
        <w:tc>
          <w:tcPr>
            <w:tcW w:w="8789" w:type="dxa"/>
          </w:tcPr>
          <w:p w:rsidR="00213B1C" w:rsidRDefault="00213B1C" w:rsidP="00213B1C">
            <w:pPr>
              <w:pStyle w:val="Jurisdictioncommentsheading"/>
            </w:pPr>
            <w:r>
              <w:t>Victorian</w:t>
            </w:r>
            <w:r w:rsidRPr="009D3BAC">
              <w:t xml:space="preserve"> Government comments</w:t>
            </w:r>
          </w:p>
          <w:p w:rsidR="00213B1C" w:rsidRPr="00213B1C" w:rsidRDefault="00213B1C" w:rsidP="002468C9">
            <w:pPr>
              <w:pStyle w:val="Jurisdictioncommentsheading"/>
              <w:spacing w:line="240" w:lineRule="auto"/>
              <w:rPr>
                <w:b w:val="0"/>
              </w:rPr>
            </w:pPr>
            <w:r w:rsidRPr="00213B1C">
              <w:rPr>
                <w:b w:val="0"/>
              </w:rPr>
              <w:t>In 2012-13, healthcare services in Victoria have been navigating through the challenges of a slower Australian economy, a growing and ageing population, and more complex healthcare needs. National Health Reform has been challenging as new national agencies have become established. Against this backdrop, in partnership with a range of healthcare providers, the Victorian government continues to build and maintain high quality health, mental health and aged care services for Victorians.</w:t>
            </w:r>
          </w:p>
          <w:p w:rsidR="00213B1C" w:rsidRPr="00213B1C" w:rsidRDefault="00213B1C" w:rsidP="002468C9">
            <w:pPr>
              <w:pStyle w:val="Jurisdictioncommentsheading"/>
              <w:spacing w:line="240" w:lineRule="auto"/>
              <w:rPr>
                <w:b w:val="0"/>
              </w:rPr>
            </w:pPr>
            <w:r w:rsidRPr="00213B1C">
              <w:rPr>
                <w:b w:val="0"/>
              </w:rPr>
              <w:t>Health spending in 2012-13 totalled $13.67 billion, which will increase to $14.34</w:t>
            </w:r>
            <w:r w:rsidR="002468C9">
              <w:rPr>
                <w:b w:val="0"/>
              </w:rPr>
              <w:t> </w:t>
            </w:r>
            <w:r w:rsidRPr="00213B1C">
              <w:rPr>
                <w:b w:val="0"/>
              </w:rPr>
              <w:t>billion in 2013-14. Increased investment in 2012-13 included $818 million over four years for growth in hospital services, including additional State funding for elective surgery in the context of lapsing Commonwealth funding for these services. A range of initiatives to support the rural maternity workforce and improve maternity service sustainability were also implemented in 2012-13.  Investment in the Victorian health system is continuing in 2013-14 with an additional $1.47 billion committed over 4 years for growth in hospital services.</w:t>
            </w:r>
          </w:p>
          <w:p w:rsidR="00213B1C" w:rsidRPr="00213B1C" w:rsidRDefault="00213B1C" w:rsidP="002468C9">
            <w:pPr>
              <w:pStyle w:val="Jurisdictioncommentsheading"/>
              <w:spacing w:line="240" w:lineRule="auto"/>
              <w:rPr>
                <w:b w:val="0"/>
              </w:rPr>
            </w:pPr>
            <w:r w:rsidRPr="00213B1C">
              <w:rPr>
                <w:b w:val="0"/>
              </w:rPr>
              <w:t>The Victorian Government is also committed to ensuring state-funded mental health services are a more integral and connected part of Victoria’s broader health and human services system, with community-based recovery-oriented treatment and care at the centre of reform. Investment of $1.14 billion was allocated in 2012-13, including additional funding for community-based mental health services, new and redeveloped acute and sub-acute mental health beds, and new specialist services.  Funding for mental health services will increase to over $1.2 billion in 2013-14 with new funding for more hospital beds for people with a mental illness, improved access to services for vulnerable Victorians and more support for mental health and alcohol and drug sector workers.</w:t>
            </w:r>
          </w:p>
          <w:p w:rsidR="00213B1C" w:rsidRPr="00213B1C" w:rsidRDefault="00213B1C" w:rsidP="002468C9">
            <w:pPr>
              <w:pStyle w:val="Jurisdictioncommentsheading"/>
              <w:spacing w:line="240" w:lineRule="auto"/>
              <w:rPr>
                <w:b w:val="0"/>
              </w:rPr>
            </w:pPr>
            <w:r w:rsidRPr="00213B1C">
              <w:rPr>
                <w:b w:val="0"/>
              </w:rPr>
              <w:t>Investment in State-funded primary health care in Victoria in 2012-13 included $61.8 million over four years to improve health outcomes for Aboriginal Victorians, including assistance to increase access to both Aboriginal community-controlled a</w:t>
            </w:r>
            <w:r w:rsidR="002468C9">
              <w:rPr>
                <w:b w:val="0"/>
              </w:rPr>
              <w:t xml:space="preserve">nd mainstream health services. </w:t>
            </w:r>
            <w:r w:rsidRPr="00213B1C">
              <w:rPr>
                <w:b w:val="0"/>
              </w:rPr>
              <w:t>Further State funding has been allocated in 2013-14 to improve health outcomes associated with cardiovascular disease and stroke, with improved access initiatives for Victorians living in rural and regional areas.</w:t>
            </w:r>
          </w:p>
          <w:p w:rsidR="00213B1C" w:rsidRPr="00213B1C" w:rsidRDefault="00213B1C" w:rsidP="002468C9">
            <w:pPr>
              <w:pStyle w:val="Jurisdictioncommentsheading"/>
              <w:spacing w:line="240" w:lineRule="auto"/>
              <w:rPr>
                <w:b w:val="0"/>
              </w:rPr>
            </w:pPr>
            <w:r w:rsidRPr="00213B1C">
              <w:rPr>
                <w:b w:val="0"/>
              </w:rPr>
              <w:t xml:space="preserve">Victoria’s clinical networks continue to provide leadership and support for collaboration between clinicians. Improved consumer information about the maternity and neonatal service system has also been published, including a </w:t>
            </w:r>
            <w:proofErr w:type="spellStart"/>
            <w:r w:rsidRPr="00213B1C">
              <w:rPr>
                <w:b w:val="0"/>
              </w:rPr>
              <w:t>statewide</w:t>
            </w:r>
            <w:proofErr w:type="spellEnd"/>
            <w:r w:rsidRPr="00213B1C">
              <w:rPr>
                <w:b w:val="0"/>
              </w:rPr>
              <w:t xml:space="preserve"> parenting kit for Victorian families that develops health literacy and facilitates better health outcomes for children.</w:t>
            </w:r>
          </w:p>
          <w:p w:rsidR="00AD5A37" w:rsidRPr="009D3BAC" w:rsidRDefault="00213B1C" w:rsidP="002468C9">
            <w:pPr>
              <w:pStyle w:val="Jurisdictioncommentsbodytext"/>
            </w:pPr>
            <w:r w:rsidRPr="00213B1C">
              <w:t>The Victorian Government is confident that Victoria’s health system is well placed to address major challenges ahead, continues to perform to a high standard, and is sustainable and responsive to people’s needs.</w:t>
            </w:r>
          </w:p>
        </w:tc>
        <w:tc>
          <w:tcPr>
            <w:tcW w:w="850" w:type="dxa"/>
            <w:tcBorders>
              <w:left w:val="nil"/>
            </w:tcBorders>
          </w:tcPr>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Pr>
                <w:rFonts w:ascii="Arial" w:hAnsi="Arial"/>
                <w:b/>
              </w:rPr>
              <w:br/>
            </w: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jc w:val="right"/>
              <w:rPr>
                <w:rFonts w:ascii="Arial" w:hAnsi="Arial"/>
                <w:b/>
                <w:sz w:val="24"/>
                <w:szCs w:val="24"/>
              </w:rPr>
            </w:pPr>
            <w:r w:rsidRPr="00A05A09">
              <w:rPr>
                <w:b/>
                <w:sz w:val="132"/>
              </w:rPr>
              <w:lastRenderedPageBreak/>
              <w:t>“</w:t>
            </w:r>
          </w:p>
        </w:tc>
        <w:tc>
          <w:tcPr>
            <w:tcW w:w="8789" w:type="dxa"/>
          </w:tcPr>
          <w:p w:rsidR="002468C9" w:rsidRDefault="002468C9" w:rsidP="002468C9">
            <w:pPr>
              <w:pStyle w:val="Jurisdictioncommentsheading"/>
              <w:spacing w:line="240" w:lineRule="auto"/>
            </w:pPr>
            <w:r>
              <w:t>Queensland</w:t>
            </w:r>
            <w:r w:rsidRPr="009D3BAC">
              <w:t xml:space="preserve"> Government comments</w:t>
            </w:r>
          </w:p>
          <w:p w:rsidR="002468C9" w:rsidRPr="002468C9" w:rsidRDefault="002468C9" w:rsidP="002468C9">
            <w:pPr>
              <w:pStyle w:val="Jurisdictioncommentsheading"/>
              <w:spacing w:line="240" w:lineRule="auto"/>
              <w:rPr>
                <w:b w:val="0"/>
              </w:rPr>
            </w:pPr>
            <w:r w:rsidRPr="002468C9">
              <w:rPr>
                <w:b w:val="0"/>
              </w:rPr>
              <w:t>The 2013-2014 Queensland State budget will see a record $12.3 billion invested in the Queensland healthcare system, an increase of 4.5 per cent on the 2012</w:t>
            </w:r>
            <w:r w:rsidR="005C1A1B">
              <w:rPr>
                <w:b w:val="0"/>
              </w:rPr>
              <w:noBreakHyphen/>
            </w:r>
            <w:r w:rsidRPr="002468C9">
              <w:rPr>
                <w:b w:val="0"/>
              </w:rPr>
              <w:t>2013 estimated actual budget. However, meeting healthcare needs sustainably also requires a continuing commitment to innovation and reform with a focus on measuring outputs and outcomes rather than just inputs.</w:t>
            </w:r>
          </w:p>
          <w:p w:rsidR="002468C9" w:rsidRPr="002468C9" w:rsidRDefault="002468C9" w:rsidP="002468C9">
            <w:pPr>
              <w:pStyle w:val="Jurisdictioncommentsheading"/>
              <w:spacing w:line="240" w:lineRule="auto"/>
              <w:rPr>
                <w:b w:val="0"/>
              </w:rPr>
            </w:pPr>
            <w:r w:rsidRPr="002468C9">
              <w:rPr>
                <w:b w:val="0"/>
              </w:rPr>
              <w:t>In 2013-2014, 83.7 per cent of the total Queensland Health budget will be channelled directly to independent Hospital and Health Services (</w:t>
            </w:r>
            <w:proofErr w:type="spellStart"/>
            <w:r w:rsidRPr="002468C9">
              <w:rPr>
                <w:b w:val="0"/>
              </w:rPr>
              <w:t>HHS</w:t>
            </w:r>
            <w:proofErr w:type="spellEnd"/>
            <w:r w:rsidRPr="002468C9">
              <w:rPr>
                <w:b w:val="0"/>
              </w:rPr>
              <w:t>)</w:t>
            </w:r>
            <w:r w:rsidR="005C1A1B">
              <w:rPr>
                <w:b w:val="0"/>
              </w:rPr>
              <w:t>,</w:t>
            </w:r>
            <w:r w:rsidRPr="002468C9">
              <w:rPr>
                <w:b w:val="0"/>
              </w:rPr>
              <w:t xml:space="preserve"> empowering local management and better responsiveness of healthcare services. The Queensland Government is committed to a robust performance management and reporting framework to hold </w:t>
            </w:r>
            <w:proofErr w:type="spellStart"/>
            <w:r w:rsidRPr="002468C9">
              <w:rPr>
                <w:b w:val="0"/>
              </w:rPr>
              <w:t>HHSs</w:t>
            </w:r>
            <w:proofErr w:type="spellEnd"/>
            <w:r w:rsidRPr="002468C9">
              <w:rPr>
                <w:b w:val="0"/>
              </w:rPr>
              <w:t xml:space="preserve"> accountable for their performance. Open hospital performance reporting allows healthcare consumers to more easily track and compare local health services. Services continue to be delivered within budget </w:t>
            </w:r>
            <w:r w:rsidR="005C1A1B">
              <w:rPr>
                <w:rFonts w:cs="Arial"/>
                <w:b w:val="0"/>
              </w:rPr>
              <w:t>—</w:t>
            </w:r>
            <w:r w:rsidRPr="002468C9">
              <w:rPr>
                <w:b w:val="0"/>
              </w:rPr>
              <w:t xml:space="preserve"> an overall surplus </w:t>
            </w:r>
            <w:r w:rsidR="005C1A1B">
              <w:rPr>
                <w:b w:val="0"/>
              </w:rPr>
              <w:t xml:space="preserve">that </w:t>
            </w:r>
            <w:r w:rsidRPr="002468C9">
              <w:rPr>
                <w:b w:val="0"/>
              </w:rPr>
              <w:t xml:space="preserve">was recorded by the </w:t>
            </w:r>
            <w:proofErr w:type="spellStart"/>
            <w:r w:rsidRPr="002468C9">
              <w:rPr>
                <w:b w:val="0"/>
              </w:rPr>
              <w:t>HHSs</w:t>
            </w:r>
            <w:proofErr w:type="spellEnd"/>
            <w:r w:rsidRPr="002468C9">
              <w:rPr>
                <w:b w:val="0"/>
              </w:rPr>
              <w:t xml:space="preserve"> in 2012</w:t>
            </w:r>
            <w:r w:rsidR="005C1A1B">
              <w:rPr>
                <w:b w:val="0"/>
              </w:rPr>
              <w:noBreakHyphen/>
            </w:r>
            <w:r w:rsidRPr="002468C9">
              <w:rPr>
                <w:b w:val="0"/>
              </w:rPr>
              <w:t>2013 is being reinvested in additional health services, including extra elective surgery activity to reduce waiting times across the state.</w:t>
            </w:r>
          </w:p>
          <w:p w:rsidR="002468C9" w:rsidRPr="002468C9" w:rsidRDefault="002468C9" w:rsidP="002468C9">
            <w:pPr>
              <w:pStyle w:val="Jurisdictioncommentsheading"/>
              <w:spacing w:line="240" w:lineRule="auto"/>
              <w:rPr>
                <w:b w:val="0"/>
              </w:rPr>
            </w:pPr>
            <w:r w:rsidRPr="002468C9">
              <w:rPr>
                <w:b w:val="0"/>
              </w:rPr>
              <w:t xml:space="preserve">The recently published Blueprint for better healthcare in Queensland outlines structural and cultural improvements that need to occur in coming years to establish Queensland as the leader in Australian healthcare. For instance, it sets a target for the cost of healthcare delivery to equal or better national benchmarks by </w:t>
            </w:r>
            <w:proofErr w:type="spellStart"/>
            <w:r w:rsidRPr="002468C9">
              <w:rPr>
                <w:b w:val="0"/>
              </w:rPr>
              <w:t>mid 2014</w:t>
            </w:r>
            <w:proofErr w:type="spellEnd"/>
            <w:r w:rsidRPr="002468C9">
              <w:rPr>
                <w:b w:val="0"/>
              </w:rPr>
              <w:t>. Improvements have already been achieved since 2009-2010, with further significant improvements expected in 2013-2014.</w:t>
            </w:r>
          </w:p>
          <w:p w:rsidR="002468C9" w:rsidRPr="002468C9" w:rsidRDefault="002468C9" w:rsidP="002468C9">
            <w:pPr>
              <w:pStyle w:val="Jurisdictioncommentsheading"/>
              <w:spacing w:line="240" w:lineRule="auto"/>
              <w:rPr>
                <w:b w:val="0"/>
              </w:rPr>
            </w:pPr>
            <w:r w:rsidRPr="002468C9">
              <w:rPr>
                <w:b w:val="0"/>
              </w:rPr>
              <w:t>Significant investment is being made to implement a range of clinical redesign projects. There are many positive indicators of performance with continued reductions in waiting times for emergency department and elective surgery, as well as decreasing average length of stay in our public hospitals. Increased partnerships with the private and not-for-profit sectors in providing innovative, effective and efficient public service delivery models are being explored</w:t>
            </w:r>
            <w:r w:rsidR="005C1A1B">
              <w:rPr>
                <w:b w:val="0"/>
              </w:rPr>
              <w:t>.</w:t>
            </w:r>
          </w:p>
          <w:p w:rsidR="002468C9" w:rsidRPr="002468C9" w:rsidRDefault="002468C9" w:rsidP="002468C9">
            <w:pPr>
              <w:pStyle w:val="Jurisdictioncommentsheading"/>
              <w:spacing w:line="240" w:lineRule="auto"/>
              <w:rPr>
                <w:b w:val="0"/>
              </w:rPr>
            </w:pPr>
            <w:r w:rsidRPr="002468C9">
              <w:rPr>
                <w:b w:val="0"/>
              </w:rPr>
              <w:t>Investment in Queensland’s healthcare infrastructure continued apace in 2013 with the opening of the Gold Coast University Hospital and further progress on the new Queensland Children’s Hospital and the Sunshine Coast Public University Hospital (</w:t>
            </w:r>
            <w:proofErr w:type="spellStart"/>
            <w:r w:rsidRPr="002468C9">
              <w:rPr>
                <w:b w:val="0"/>
              </w:rPr>
              <w:t>SCPUH</w:t>
            </w:r>
            <w:proofErr w:type="spellEnd"/>
            <w:r w:rsidRPr="002468C9">
              <w:rPr>
                <w:b w:val="0"/>
              </w:rPr>
              <w:t xml:space="preserve">). </w:t>
            </w:r>
          </w:p>
          <w:p w:rsidR="002468C9" w:rsidRPr="002468C9" w:rsidRDefault="002468C9" w:rsidP="002468C9">
            <w:pPr>
              <w:pStyle w:val="Jurisdictioncommentsheading"/>
              <w:spacing w:line="240" w:lineRule="auto"/>
              <w:rPr>
                <w:b w:val="0"/>
              </w:rPr>
            </w:pPr>
            <w:r w:rsidRPr="002468C9">
              <w:rPr>
                <w:b w:val="0"/>
              </w:rPr>
              <w:t xml:space="preserve">Queensland has the most decentralised population of any Australian jurisdiction. The recently announced expansion of the Rural </w:t>
            </w:r>
            <w:proofErr w:type="spellStart"/>
            <w:r w:rsidRPr="002468C9">
              <w:rPr>
                <w:b w:val="0"/>
              </w:rPr>
              <w:t>Telehealth</w:t>
            </w:r>
            <w:proofErr w:type="spellEnd"/>
            <w:r w:rsidRPr="002468C9">
              <w:rPr>
                <w:b w:val="0"/>
              </w:rPr>
              <w:t xml:space="preserve"> Service will help support equity of access to healthcare across the State. Improving Indigenous health toward ‘closing the gap’ is an ongoing priority with several initiatives this year including a new Brisbane-based Centre of Excellence in Indigenous Health.</w:t>
            </w:r>
          </w:p>
          <w:p w:rsidR="002468C9" w:rsidRPr="002468C9" w:rsidRDefault="002468C9" w:rsidP="002468C9">
            <w:pPr>
              <w:pStyle w:val="Jurisdictioncommentsheading"/>
              <w:spacing w:line="240" w:lineRule="auto"/>
              <w:rPr>
                <w:b w:val="0"/>
              </w:rPr>
            </w:pPr>
            <w:r w:rsidRPr="002468C9">
              <w:rPr>
                <w:b w:val="0"/>
              </w:rPr>
              <w:t>The Queensland Mental Health Commission was also established from 1 July 2013 to drive and lead cultural change in the way mental health, drug and alcohol services are planned and delivered. Other important developments include the launch of a new Queensland HIV Strategy to reduce infection rates, increased funding to clear cochlear implant waiting lists and the ‘Mums and Bubs’ package of enhanced Maternal and Child Health Services.</w:t>
            </w:r>
          </w:p>
          <w:p w:rsidR="00AD5A37" w:rsidRPr="009D3BAC" w:rsidRDefault="00AD5A37" w:rsidP="002468C9">
            <w:pPr>
              <w:pStyle w:val="Jurisdictioncommentsbodytext"/>
            </w:pPr>
          </w:p>
        </w:tc>
        <w:tc>
          <w:tcPr>
            <w:tcW w:w="850" w:type="dxa"/>
          </w:tcPr>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Default="00AD5A37" w:rsidP="00DC6C35">
            <w:pPr>
              <w:pStyle w:val="BodyText"/>
              <w:spacing w:before="0" w:after="140"/>
              <w:rPr>
                <w:rFonts w:ascii="Arial" w:hAnsi="Arial"/>
                <w:b/>
                <w:sz w:val="24"/>
                <w:szCs w:val="24"/>
              </w:rPr>
            </w:pPr>
          </w:p>
          <w:p w:rsidR="009E037C" w:rsidRDefault="009E037C" w:rsidP="00DC6C35">
            <w:pPr>
              <w:pStyle w:val="BodyText"/>
              <w:spacing w:before="0" w:after="140"/>
              <w:rPr>
                <w:rFonts w:ascii="Arial" w:hAnsi="Arial"/>
                <w:b/>
                <w:sz w:val="24"/>
                <w:szCs w:val="24"/>
              </w:rPr>
            </w:pPr>
          </w:p>
          <w:p w:rsidR="009E037C" w:rsidRDefault="009E037C" w:rsidP="00DC6C35">
            <w:pPr>
              <w:pStyle w:val="BodyText"/>
              <w:spacing w:before="0" w:after="140"/>
              <w:rPr>
                <w:rFonts w:ascii="Arial" w:hAnsi="Arial"/>
                <w:b/>
                <w:sz w:val="24"/>
                <w:szCs w:val="24"/>
              </w:rPr>
            </w:pPr>
          </w:p>
          <w:p w:rsidR="00AD5A37" w:rsidRPr="00A05A09" w:rsidRDefault="009E037C" w:rsidP="00DC6C35">
            <w:pPr>
              <w:pStyle w:val="BodyText"/>
              <w:spacing w:before="0" w:after="140"/>
              <w:rPr>
                <w:rFonts w:ascii="Arial" w:hAnsi="Arial"/>
                <w:b/>
                <w:sz w:val="24"/>
                <w:szCs w:val="24"/>
              </w:rPr>
            </w:pPr>
            <w:r>
              <w:rPr>
                <w:rFonts w:ascii="Arial" w:hAnsi="Arial"/>
                <w:b/>
                <w:sz w:val="24"/>
                <w:szCs w:val="24"/>
              </w:rPr>
              <w:br/>
            </w: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AD5A37" w:rsidP="00DC6C35">
            <w:pPr>
              <w:pStyle w:val="BodyText"/>
              <w:spacing w:before="0" w:after="140"/>
              <w:rPr>
                <w:rFonts w:ascii="Arial" w:hAnsi="Arial"/>
                <w:b/>
                <w:sz w:val="24"/>
                <w:szCs w:val="24"/>
              </w:rPr>
            </w:pPr>
          </w:p>
          <w:p w:rsidR="00AD5A37" w:rsidRPr="00A05A09" w:rsidRDefault="009E037C" w:rsidP="00DC6C35">
            <w:pPr>
              <w:pStyle w:val="BodyText"/>
              <w:spacing w:before="0" w:after="140"/>
              <w:rPr>
                <w:rFonts w:ascii="Arial" w:hAnsi="Arial"/>
                <w:b/>
                <w:sz w:val="24"/>
                <w:szCs w:val="24"/>
              </w:rPr>
            </w:pPr>
            <w:r>
              <w:rPr>
                <w:b/>
                <w:sz w:val="132"/>
              </w:rPr>
              <w:br/>
            </w:r>
            <w:r w:rsidR="00AD5A37" w:rsidRPr="00A05A09">
              <w:rPr>
                <w:b/>
                <w:sz w:val="132"/>
              </w:rPr>
              <w:t>”</w:t>
            </w:r>
          </w:p>
        </w:tc>
      </w:tr>
      <w:tr w:rsidR="00AD5A37" w:rsidRPr="00A05A09" w:rsidTr="008B11E3">
        <w:trPr>
          <w:cantSplit/>
        </w:trPr>
        <w:tc>
          <w:tcPr>
            <w:tcW w:w="993" w:type="dxa"/>
          </w:tcPr>
          <w:p w:rsidR="00AD5A37" w:rsidRPr="00A05A09" w:rsidRDefault="00AD5A37" w:rsidP="00DC6C35">
            <w:pPr>
              <w:pStyle w:val="BodyText"/>
              <w:jc w:val="right"/>
              <w:rPr>
                <w:b/>
                <w:sz w:val="132"/>
              </w:rPr>
            </w:pPr>
            <w:r w:rsidRPr="00A05A09">
              <w:rPr>
                <w:b/>
                <w:sz w:val="132"/>
              </w:rPr>
              <w:lastRenderedPageBreak/>
              <w:t>“</w:t>
            </w:r>
          </w:p>
        </w:tc>
        <w:tc>
          <w:tcPr>
            <w:tcW w:w="8789" w:type="dxa"/>
          </w:tcPr>
          <w:p w:rsidR="00C82596" w:rsidRDefault="00C82596" w:rsidP="00C82596">
            <w:pPr>
              <w:pStyle w:val="Jurisdictioncommentsheading"/>
              <w:spacing w:line="240" w:lineRule="auto"/>
            </w:pPr>
            <w:r>
              <w:t>Western Australian</w:t>
            </w:r>
            <w:r w:rsidRPr="009D3BAC">
              <w:t xml:space="preserve"> Government comments</w:t>
            </w:r>
          </w:p>
          <w:p w:rsidR="00C24ABA" w:rsidRDefault="00C24ABA" w:rsidP="00C24ABA">
            <w:pPr>
              <w:pStyle w:val="Jurisdictioncommentsbodytext"/>
            </w:pPr>
            <w:r>
              <w:t>In 2012-13, WA Health continued to provide a high quality service for the Western Australian community, despite increasing demand for its services from the State’s growing population. The solid performance was underpinned by long</w:t>
            </w:r>
            <w:r>
              <w:noBreakHyphen/>
              <w:t>term planning, regular and ongoing monitoring and review, innovative reform and a professional workforce. The year began with restructuring public health system governance through appointing five high-level governing councils. In addition, health system efforts were focused through the four pillars of the WA Health Strategic Intent 2010</w:t>
            </w:r>
            <w:r>
              <w:rPr>
                <w:rFonts w:cs="Arial"/>
              </w:rPr>
              <w:t>–</w:t>
            </w:r>
            <w:r>
              <w:t>2015:</w:t>
            </w:r>
          </w:p>
          <w:p w:rsidR="00C24ABA" w:rsidRDefault="00C24ABA" w:rsidP="00C24ABA">
            <w:pPr>
              <w:pStyle w:val="Jurisdictioncommentslistbullet"/>
              <w:jc w:val="left"/>
            </w:pPr>
            <w:r>
              <w:t>Caring for individuals and the community</w:t>
            </w:r>
            <w:r>
              <w:br/>
              <w:t xml:space="preserve">The Western Australian community benefits from effective public health programs, responsive health services and hospitals which meet high standards of safety and quality. The commitment to safety and quality was strengthened in 2012-13 by adopting new national safety and quality service standards. A range of public health initiatives aimed at preventing chronic disease and injury were delivered, including those designed to better protect the community from vaccine-preventable diseases and ongoing initiatives to reduce smoking. </w:t>
            </w:r>
          </w:p>
          <w:p w:rsidR="00C24ABA" w:rsidRDefault="00C24ABA" w:rsidP="00C24ABA">
            <w:pPr>
              <w:pStyle w:val="Jurisdictioncommentslistbullet"/>
              <w:jc w:val="left"/>
            </w:pPr>
            <w:r>
              <w:t>Caring for those who need it most</w:t>
            </w:r>
            <w:r>
              <w:br/>
              <w:t>In 2012-13, WA Health hospitals performed strongly against the National Emergency Access Target, with measures implemented to ensure timely access to appropriate care. Community care initiatives were established to enhance services for people with a disability or chronic health condition. New subacute care programs commenced and existing ones were expanded. WA Health has made a significant contribution under the National Partnership Agreement on Closing the Gap in Indigenous Health Outcomes, including 98 Aboriginal specific programs delivered in country Western Australia that improved health outcomes for Aboriginal people.</w:t>
            </w:r>
          </w:p>
          <w:p w:rsidR="00C24ABA" w:rsidRDefault="00C24ABA" w:rsidP="00C24ABA">
            <w:pPr>
              <w:pStyle w:val="Jurisdictioncommentslistbullet"/>
              <w:jc w:val="left"/>
            </w:pPr>
            <w:r>
              <w:t>Making the best use of funds and resources</w:t>
            </w:r>
            <w:r>
              <w:br/>
            </w:r>
            <w:proofErr w:type="spellStart"/>
            <w:r>
              <w:t>Statewide</w:t>
            </w:r>
            <w:proofErr w:type="spellEnd"/>
            <w:r>
              <w:t xml:space="preserve"> capital programs have progressed well, with several health building projects completed in 2012-13. Construction continued on other major developments including the Fiona Stanley and new children’s hospitals. Of WA Health services, 76 per cent are now funded under the Activity-Based Funding model with an aim to improve efficiency in service delivery. Implementation of an Emergency </w:t>
            </w:r>
            <w:proofErr w:type="spellStart"/>
            <w:r>
              <w:t>Telehealth</w:t>
            </w:r>
            <w:proofErr w:type="spellEnd"/>
            <w:r>
              <w:t xml:space="preserve"> Service in selected rural areas has delivered significant benefits to areas in need. </w:t>
            </w:r>
          </w:p>
          <w:p w:rsidR="00AD5A37" w:rsidRPr="00C82596" w:rsidRDefault="00C24ABA" w:rsidP="00C24ABA">
            <w:pPr>
              <w:pStyle w:val="Jurisdictioncommentslistbullet"/>
              <w:jc w:val="left"/>
            </w:pPr>
            <w:r>
              <w:t xml:space="preserve">Supporting our team </w:t>
            </w:r>
            <w:r>
              <w:br/>
              <w:t>WA Health has seen more doctors and nurses recruited to meet challenging health workforce demands, particularly in the country areas. Recognised as key to improving the health of Aboriginal people, WA Health also embarked on a range of initiatives to increase the number of Aboriginal people working in the health system.</w:t>
            </w:r>
          </w:p>
        </w:tc>
        <w:tc>
          <w:tcPr>
            <w:tcW w:w="850" w:type="dxa"/>
          </w:tcPr>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sidRPr="00A05A09">
              <w:rPr>
                <w:rFonts w:ascii="Arial" w:hAnsi="Arial"/>
                <w:b/>
              </w:rPr>
              <w:br/>
            </w:r>
          </w:p>
          <w:p w:rsidR="00AD5A37" w:rsidRPr="00A05A09" w:rsidRDefault="00AD5A37" w:rsidP="00DC6C35">
            <w:pPr>
              <w:pStyle w:val="BodyText"/>
              <w:spacing w:before="0" w:after="140"/>
              <w:jc w:val="left"/>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jc w:val="right"/>
              <w:rPr>
                <w:rFonts w:ascii="Arial" w:hAnsi="Arial"/>
                <w:b/>
              </w:rPr>
            </w:pPr>
            <w:r w:rsidRPr="00A05A09">
              <w:rPr>
                <w:b/>
                <w:sz w:val="132"/>
              </w:rPr>
              <w:lastRenderedPageBreak/>
              <w:t xml:space="preserve">“ </w:t>
            </w:r>
          </w:p>
        </w:tc>
        <w:tc>
          <w:tcPr>
            <w:tcW w:w="8789" w:type="dxa"/>
          </w:tcPr>
          <w:p w:rsidR="0070259D" w:rsidRDefault="0070259D" w:rsidP="0070259D">
            <w:pPr>
              <w:pStyle w:val="Jurisdictioncommentsheading"/>
              <w:spacing w:line="240" w:lineRule="auto"/>
            </w:pPr>
            <w:r>
              <w:t>South Australian</w:t>
            </w:r>
            <w:r w:rsidRPr="009D3BAC">
              <w:t xml:space="preserve"> Government comments</w:t>
            </w:r>
          </w:p>
          <w:p w:rsidR="0070259D" w:rsidRPr="0070259D" w:rsidRDefault="0070259D" w:rsidP="00676B42">
            <w:pPr>
              <w:pStyle w:val="Jurisdictioncommentsheading"/>
              <w:spacing w:line="240" w:lineRule="auto"/>
              <w:rPr>
                <w:b w:val="0"/>
              </w:rPr>
            </w:pPr>
            <w:r w:rsidRPr="0070259D">
              <w:rPr>
                <w:b w:val="0"/>
              </w:rPr>
              <w:t>In 2012-13, the Department for Health and Ageing experienced significant reform designed to support the department’s achievement of goals set out in the SA Health Care Plan 2007</w:t>
            </w:r>
            <w:r>
              <w:rPr>
                <w:rFonts w:cs="Arial"/>
                <w:b w:val="0"/>
              </w:rPr>
              <w:t>–</w:t>
            </w:r>
            <w:r w:rsidRPr="0070259D">
              <w:rPr>
                <w:b w:val="0"/>
              </w:rPr>
              <w:t>16.</w:t>
            </w:r>
          </w:p>
          <w:p w:rsidR="0070259D" w:rsidRPr="0070259D" w:rsidRDefault="0070259D" w:rsidP="00676B42">
            <w:pPr>
              <w:pStyle w:val="Jurisdictioncommentsheading"/>
              <w:spacing w:line="240" w:lineRule="auto"/>
              <w:rPr>
                <w:b w:val="0"/>
              </w:rPr>
            </w:pPr>
            <w:r w:rsidRPr="0070259D">
              <w:rPr>
                <w:b w:val="0"/>
              </w:rPr>
              <w:t xml:space="preserve">Significant legislative reform was achieved during 2012-13. The </w:t>
            </w:r>
            <w:r w:rsidRPr="0070259D">
              <w:rPr>
                <w:b w:val="0"/>
                <w:i/>
              </w:rPr>
              <w:t>Advance Care Directives Bill 2013</w:t>
            </w:r>
            <w:r w:rsidRPr="0070259D">
              <w:rPr>
                <w:b w:val="0"/>
              </w:rPr>
              <w:t xml:space="preserve">, which will simplify existing arrangements for advance care directives, passed both houses of the Parliament of South Australia and is likely to commence mid-2014. The </w:t>
            </w:r>
            <w:r w:rsidRPr="0070259D">
              <w:rPr>
                <w:b w:val="0"/>
                <w:i/>
              </w:rPr>
              <w:t>South Australian Public Health Act 2011</w:t>
            </w:r>
            <w:r w:rsidRPr="0070259D">
              <w:rPr>
                <w:b w:val="0"/>
              </w:rPr>
              <w:t xml:space="preserve"> became fully operational, providing the basis for developing a state Public Health Plan and local planning by local councils.</w:t>
            </w:r>
          </w:p>
          <w:p w:rsidR="0070259D" w:rsidRPr="0070259D" w:rsidRDefault="0070259D" w:rsidP="00676B42">
            <w:pPr>
              <w:pStyle w:val="Jurisdictioncommentsheading"/>
              <w:spacing w:line="240" w:lineRule="auto"/>
              <w:rPr>
                <w:b w:val="0"/>
              </w:rPr>
            </w:pPr>
            <w:r w:rsidRPr="0070259D">
              <w:rPr>
                <w:b w:val="0"/>
              </w:rPr>
              <w:t>SA Health continued to excel in the provision of Emergency Department and elective surgery services, bettering the national average in a number of key areas of hospital performance. By the end of 2012-13, there were no patients overdue for elective surgery in the South Australian public health system.</w:t>
            </w:r>
          </w:p>
          <w:p w:rsidR="0070259D" w:rsidRPr="0070259D" w:rsidRDefault="0070259D" w:rsidP="00676B42">
            <w:pPr>
              <w:pStyle w:val="Jurisdictioncommentsheading"/>
              <w:spacing w:line="240" w:lineRule="auto"/>
              <w:rPr>
                <w:b w:val="0"/>
              </w:rPr>
            </w:pPr>
            <w:r w:rsidRPr="0070259D">
              <w:rPr>
                <w:b w:val="0"/>
              </w:rPr>
              <w:t>The department progressed work on major capital developments during 2012-13 and investment in medical research and innovation continued, with the opening of the $5</w:t>
            </w:r>
            <w:r w:rsidR="00676B42">
              <w:rPr>
                <w:b w:val="0"/>
              </w:rPr>
              <w:t xml:space="preserve"> </w:t>
            </w:r>
            <w:r w:rsidRPr="0070259D">
              <w:rPr>
                <w:b w:val="0"/>
              </w:rPr>
              <w:t>m</w:t>
            </w:r>
            <w:r w:rsidR="00676B42">
              <w:rPr>
                <w:b w:val="0"/>
              </w:rPr>
              <w:t>illion</w:t>
            </w:r>
            <w:r w:rsidRPr="0070259D">
              <w:rPr>
                <w:b w:val="0"/>
              </w:rPr>
              <w:t xml:space="preserve"> Australian Cancer Research Foundation’s Cancer Genomics Facility at the SA Pathology site. Work on the new Royal Adelaide Hospital site reached several significant milestones and the $163</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Flinders Medical Centre redevelopment was opened. A new $12</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Rehabilitation and Allied Health Building at The Queen Elizabeth Hospital was opened and construction on the final phase of the $17.4</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Modbury Hospital Emergency Department redevelopment began. Young patients with chronic illnesses are now being treated in a new ward at the Women’s and Children’s Hospital, following the opening of the $5.4</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20-bed Cassia Ward</w:t>
            </w:r>
            <w:r w:rsidR="00676B42">
              <w:rPr>
                <w:b w:val="0"/>
              </w:rPr>
              <w:t>,</w:t>
            </w:r>
            <w:r w:rsidRPr="0070259D">
              <w:rPr>
                <w:b w:val="0"/>
              </w:rPr>
              <w:t xml:space="preserve"> and SA Ambulance Service launched its first </w:t>
            </w:r>
            <w:proofErr w:type="spellStart"/>
            <w:r w:rsidRPr="0070259D">
              <w:rPr>
                <w:b w:val="0"/>
              </w:rPr>
              <w:t>MedSTAR</w:t>
            </w:r>
            <w:proofErr w:type="spellEnd"/>
            <w:r w:rsidRPr="0070259D">
              <w:rPr>
                <w:b w:val="0"/>
              </w:rPr>
              <w:t xml:space="preserve"> Kids neonatal and paediatric ambulance.</w:t>
            </w:r>
          </w:p>
          <w:p w:rsidR="0070259D" w:rsidRPr="0070259D" w:rsidRDefault="0070259D" w:rsidP="00676B42">
            <w:pPr>
              <w:pStyle w:val="Jurisdictioncommentsheading"/>
              <w:spacing w:line="240" w:lineRule="auto"/>
              <w:rPr>
                <w:b w:val="0"/>
              </w:rPr>
            </w:pPr>
            <w:r w:rsidRPr="0070259D">
              <w:rPr>
                <w:b w:val="0"/>
              </w:rPr>
              <w:t xml:space="preserve">Investment continued in major </w:t>
            </w:r>
            <w:proofErr w:type="spellStart"/>
            <w:r w:rsidRPr="0070259D">
              <w:rPr>
                <w:b w:val="0"/>
              </w:rPr>
              <w:t>eHealth</w:t>
            </w:r>
            <w:proofErr w:type="spellEnd"/>
            <w:r w:rsidRPr="0070259D">
              <w:rPr>
                <w:b w:val="0"/>
              </w:rPr>
              <w:t xml:space="preserve"> initiatives. The largest, the Enterprise Patient Administration System (</w:t>
            </w:r>
            <w:proofErr w:type="spellStart"/>
            <w:r w:rsidRPr="0070259D">
              <w:rPr>
                <w:b w:val="0"/>
              </w:rPr>
              <w:t>EPAS</w:t>
            </w:r>
            <w:proofErr w:type="spellEnd"/>
            <w:r w:rsidRPr="0070259D">
              <w:rPr>
                <w:b w:val="0"/>
              </w:rPr>
              <w:t xml:space="preserve">), continued to progress during 2012-13. </w:t>
            </w:r>
            <w:proofErr w:type="spellStart"/>
            <w:r w:rsidRPr="0070259D">
              <w:rPr>
                <w:b w:val="0"/>
              </w:rPr>
              <w:t>EPAS</w:t>
            </w:r>
            <w:proofErr w:type="spellEnd"/>
            <w:r w:rsidRPr="0070259D">
              <w:rPr>
                <w:b w:val="0"/>
              </w:rPr>
              <w:t xml:space="preserve"> will provide the foundations for the delivery of an SA Health wide electronic health record and will help improve care by enabling clinicians to spend less time on paperwork and more time with patients at the bedside.</w:t>
            </w:r>
          </w:p>
          <w:p w:rsidR="0070259D" w:rsidRPr="0070259D" w:rsidRDefault="0070259D" w:rsidP="00676B42">
            <w:pPr>
              <w:pStyle w:val="Jurisdictioncommentsheading"/>
              <w:spacing w:line="240" w:lineRule="auto"/>
              <w:rPr>
                <w:b w:val="0"/>
              </w:rPr>
            </w:pPr>
            <w:r w:rsidRPr="0070259D">
              <w:rPr>
                <w:b w:val="0"/>
              </w:rPr>
              <w:t xml:space="preserve">The Northern Community Mental Health Centre was opened, furthering SA Health’s efforts to provide high-quality mental health services. This is the third </w:t>
            </w:r>
            <w:r w:rsidR="00676B42">
              <w:rPr>
                <w:b w:val="0"/>
              </w:rPr>
              <w:br/>
            </w:r>
            <w:r w:rsidRPr="0070259D">
              <w:rPr>
                <w:b w:val="0"/>
              </w:rPr>
              <w:t>of six being built across Adelaide as part of a $34</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 xml:space="preserve">state government initiative. </w:t>
            </w:r>
          </w:p>
          <w:p w:rsidR="0070259D" w:rsidRPr="0070259D" w:rsidRDefault="0070259D" w:rsidP="00676B42">
            <w:pPr>
              <w:pStyle w:val="Jurisdictioncommentsheading"/>
              <w:spacing w:line="240" w:lineRule="auto"/>
              <w:rPr>
                <w:b w:val="0"/>
              </w:rPr>
            </w:pPr>
            <w:r w:rsidRPr="0070259D">
              <w:rPr>
                <w:b w:val="0"/>
              </w:rPr>
              <w:t xml:space="preserve">Redevelopment works at Country Health SA sites progressed well </w:t>
            </w:r>
            <w:r w:rsidR="00676B42">
              <w:rPr>
                <w:b w:val="0"/>
              </w:rPr>
              <w:t>in</w:t>
            </w:r>
            <w:r w:rsidRPr="0070259D">
              <w:rPr>
                <w:b w:val="0"/>
              </w:rPr>
              <w:t xml:space="preserve"> 2012</w:t>
            </w:r>
            <w:r w:rsidR="00676B42">
              <w:rPr>
                <w:b w:val="0"/>
              </w:rPr>
              <w:noBreakHyphen/>
            </w:r>
            <w:r w:rsidRPr="0070259D">
              <w:rPr>
                <w:b w:val="0"/>
              </w:rPr>
              <w:t>13, including the $39.2</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Port Lincoln and $36</w:t>
            </w:r>
            <w:r w:rsidR="00676B42">
              <w:rPr>
                <w:b w:val="0"/>
              </w:rPr>
              <w:t xml:space="preserve"> </w:t>
            </w:r>
            <w:r w:rsidR="00676B42" w:rsidRPr="0070259D">
              <w:rPr>
                <w:b w:val="0"/>
              </w:rPr>
              <w:t>m</w:t>
            </w:r>
            <w:r w:rsidR="00676B42">
              <w:rPr>
                <w:b w:val="0"/>
              </w:rPr>
              <w:t>illion</w:t>
            </w:r>
            <w:r w:rsidR="00676B42" w:rsidRPr="0070259D">
              <w:rPr>
                <w:b w:val="0"/>
              </w:rPr>
              <w:t xml:space="preserve"> </w:t>
            </w:r>
            <w:r w:rsidRPr="0070259D">
              <w:rPr>
                <w:b w:val="0"/>
              </w:rPr>
              <w:t>Riverland hospitals. Redevelopment and upgrade works of the Emergency Departments at Cummins Hospital and the South Coast District Hospital in Victor Harbor were completed.</w:t>
            </w:r>
          </w:p>
          <w:p w:rsidR="0070259D" w:rsidRPr="0070259D" w:rsidRDefault="0070259D" w:rsidP="00676B42">
            <w:pPr>
              <w:pStyle w:val="Jurisdictioncommentsheading"/>
              <w:spacing w:line="240" w:lineRule="auto"/>
              <w:rPr>
                <w:b w:val="0"/>
              </w:rPr>
            </w:pPr>
            <w:r w:rsidRPr="0070259D">
              <w:rPr>
                <w:b w:val="0"/>
              </w:rPr>
              <w:t>SA Health’s efforts to reduce the prevalence of smoking continues to deliver good results. Data from the 2012 South Australian Health Omnibus Survey showed that the key target in the South Australian Tobacco Control Strategy 2011</w:t>
            </w:r>
            <w:r w:rsidR="00676B42">
              <w:rPr>
                <w:rFonts w:cs="Arial"/>
                <w:b w:val="0"/>
              </w:rPr>
              <w:t>–</w:t>
            </w:r>
            <w:r w:rsidRPr="0070259D">
              <w:rPr>
                <w:b w:val="0"/>
              </w:rPr>
              <w:t>16</w:t>
            </w:r>
            <w:r w:rsidR="00676B42">
              <w:rPr>
                <w:b w:val="0"/>
              </w:rPr>
              <w:t>,</w:t>
            </w:r>
            <w:r w:rsidRPr="0070259D">
              <w:rPr>
                <w:b w:val="0"/>
              </w:rPr>
              <w:t xml:space="preserve"> to reduce the percentage of young smo</w:t>
            </w:r>
            <w:r w:rsidR="00676B42">
              <w:rPr>
                <w:b w:val="0"/>
              </w:rPr>
              <w:t>kers (15 to 29 years) to 16 per </w:t>
            </w:r>
            <w:r w:rsidRPr="0070259D">
              <w:rPr>
                <w:b w:val="0"/>
              </w:rPr>
              <w:t>cent by 2016</w:t>
            </w:r>
            <w:r w:rsidR="00676B42">
              <w:rPr>
                <w:b w:val="0"/>
              </w:rPr>
              <w:t>,</w:t>
            </w:r>
            <w:r w:rsidRPr="0070259D">
              <w:rPr>
                <w:b w:val="0"/>
              </w:rPr>
              <w:t xml:space="preserve"> is on track.</w:t>
            </w:r>
          </w:p>
          <w:p w:rsidR="00AD5A37" w:rsidRPr="00A05A09" w:rsidRDefault="00AD5A37" w:rsidP="005B7DFD">
            <w:pPr>
              <w:pStyle w:val="Jurisdictioncommentsbodytext"/>
            </w:pPr>
          </w:p>
        </w:tc>
        <w:tc>
          <w:tcPr>
            <w:tcW w:w="850" w:type="dxa"/>
          </w:tcPr>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p>
          <w:p w:rsidR="00AD5A37" w:rsidRDefault="00AD5A37" w:rsidP="00DC6C35">
            <w:pPr>
              <w:pStyle w:val="BodyText"/>
              <w:spacing w:before="0" w:after="140"/>
              <w:jc w:val="left"/>
              <w:rPr>
                <w:rFonts w:ascii="Arial" w:hAnsi="Arial"/>
                <w:b/>
              </w:rPr>
            </w:pPr>
          </w:p>
          <w:p w:rsidR="0069031E" w:rsidRDefault="0069031E" w:rsidP="00DC6C35">
            <w:pPr>
              <w:pStyle w:val="BodyText"/>
              <w:spacing w:before="0" w:after="140"/>
              <w:jc w:val="left"/>
              <w:rPr>
                <w:rFonts w:ascii="Arial" w:hAnsi="Arial"/>
                <w:b/>
              </w:rPr>
            </w:pPr>
          </w:p>
          <w:p w:rsidR="0069031E" w:rsidRPr="00A05A09" w:rsidRDefault="0069031E" w:rsidP="00DC6C35">
            <w:pPr>
              <w:pStyle w:val="BodyText"/>
              <w:spacing w:before="0" w:after="140"/>
              <w:jc w:val="left"/>
              <w:rPr>
                <w:rFonts w:ascii="Arial" w:hAnsi="Arial"/>
                <w:b/>
              </w:rPr>
            </w:pPr>
          </w:p>
          <w:p w:rsidR="00AD5A37" w:rsidRPr="00A05A09" w:rsidRDefault="00AD5A37" w:rsidP="00DC6C35">
            <w:pPr>
              <w:pStyle w:val="BodyText"/>
              <w:spacing w:before="0" w:after="140"/>
              <w:jc w:val="left"/>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rPr>
                <w:rFonts w:ascii="Arial" w:hAnsi="Arial"/>
                <w:b/>
              </w:rPr>
            </w:pPr>
            <w:r w:rsidRPr="00A05A09">
              <w:rPr>
                <w:b/>
                <w:sz w:val="132"/>
              </w:rPr>
              <w:lastRenderedPageBreak/>
              <w:t>“</w:t>
            </w:r>
          </w:p>
        </w:tc>
        <w:tc>
          <w:tcPr>
            <w:tcW w:w="8789" w:type="dxa"/>
          </w:tcPr>
          <w:p w:rsidR="00A02955" w:rsidRDefault="00A02955" w:rsidP="00A02955">
            <w:pPr>
              <w:pStyle w:val="Jurisdictioncommentsheading"/>
              <w:spacing w:line="240" w:lineRule="auto"/>
            </w:pPr>
            <w:r>
              <w:t>Tasmanian</w:t>
            </w:r>
            <w:r w:rsidRPr="009D3BAC">
              <w:t xml:space="preserve"> Government comments</w:t>
            </w:r>
          </w:p>
          <w:p w:rsidR="00A02955" w:rsidRPr="00A02955" w:rsidRDefault="00A02955" w:rsidP="00A02955">
            <w:pPr>
              <w:pStyle w:val="Jurisdictioncommentsheading"/>
              <w:spacing w:line="240" w:lineRule="auto"/>
              <w:rPr>
                <w:b w:val="0"/>
              </w:rPr>
            </w:pPr>
            <w:r w:rsidRPr="00A02955">
              <w:rPr>
                <w:b w:val="0"/>
              </w:rPr>
              <w:t xml:space="preserve">During 2012-13 the Department of Health and Human Services has continued to deliver high quality health services to the population of Tasmania. </w:t>
            </w:r>
          </w:p>
          <w:p w:rsidR="00A02955" w:rsidRPr="00A02955" w:rsidRDefault="00A02955" w:rsidP="00A02955">
            <w:pPr>
              <w:pStyle w:val="Jurisdictioncommentsheading"/>
              <w:spacing w:line="240" w:lineRule="auto"/>
              <w:rPr>
                <w:b w:val="0"/>
              </w:rPr>
            </w:pPr>
            <w:r w:rsidRPr="00A02955">
              <w:rPr>
                <w:b w:val="0"/>
              </w:rPr>
              <w:t xml:space="preserve">This year marked the first year of operation of the three Tasmanian Health Organisations, and the first year in which service agreements were required in accordance with the </w:t>
            </w:r>
            <w:r w:rsidRPr="00A02955">
              <w:rPr>
                <w:b w:val="0"/>
                <w:i/>
              </w:rPr>
              <w:t>Tasmanian Health Organisation Act 2011</w:t>
            </w:r>
            <w:r w:rsidRPr="00A02955">
              <w:rPr>
                <w:b w:val="0"/>
              </w:rPr>
              <w:t xml:space="preserve">. </w:t>
            </w:r>
          </w:p>
          <w:p w:rsidR="00A02955" w:rsidRPr="00A02955" w:rsidRDefault="00A02955" w:rsidP="00A02955">
            <w:pPr>
              <w:pStyle w:val="Jurisdictioncommentsheading"/>
              <w:spacing w:line="240" w:lineRule="auto"/>
              <w:rPr>
                <w:b w:val="0"/>
              </w:rPr>
            </w:pPr>
            <w:r w:rsidRPr="00A02955">
              <w:rPr>
                <w:b w:val="0"/>
              </w:rPr>
              <w:t xml:space="preserve">In 2012-2013, Ambulance Tasmania reduced its </w:t>
            </w:r>
            <w:proofErr w:type="spellStart"/>
            <w:r w:rsidRPr="00A02955">
              <w:rPr>
                <w:b w:val="0"/>
              </w:rPr>
              <w:t>statewide</w:t>
            </w:r>
            <w:proofErr w:type="spellEnd"/>
            <w:r w:rsidRPr="00A02955">
              <w:rPr>
                <w:b w:val="0"/>
              </w:rPr>
              <w:t xml:space="preserve"> median emergency response times despite the number of call-outs increasing by more than </w:t>
            </w:r>
            <w:r>
              <w:rPr>
                <w:b w:val="0"/>
              </w:rPr>
              <w:br/>
            </w:r>
            <w:r w:rsidRPr="00A02955">
              <w:rPr>
                <w:b w:val="0"/>
              </w:rPr>
              <w:t xml:space="preserve">12 per cent, and </w:t>
            </w:r>
            <w:proofErr w:type="spellStart"/>
            <w:r w:rsidRPr="00A02955">
              <w:rPr>
                <w:b w:val="0"/>
              </w:rPr>
              <w:t>BreastScreen</w:t>
            </w:r>
            <w:proofErr w:type="spellEnd"/>
            <w:r w:rsidRPr="00A02955">
              <w:rPr>
                <w:b w:val="0"/>
              </w:rPr>
              <w:t xml:space="preserve"> Tasmania continued to out-perform the national target, with almost 93 per cent of clients assessed within the recommended timeframe.</w:t>
            </w:r>
          </w:p>
          <w:p w:rsidR="00A02955" w:rsidRPr="00A02955" w:rsidRDefault="00A02955" w:rsidP="00A02955">
            <w:pPr>
              <w:pStyle w:val="Jurisdictioncommentsheading"/>
              <w:spacing w:line="240" w:lineRule="auto"/>
              <w:rPr>
                <w:b w:val="0"/>
              </w:rPr>
            </w:pPr>
            <w:r w:rsidRPr="00A02955">
              <w:rPr>
                <w:b w:val="0"/>
              </w:rPr>
              <w:t xml:space="preserve">Another significant milestone was the passing of the new </w:t>
            </w:r>
            <w:r w:rsidRPr="00A02955">
              <w:rPr>
                <w:b w:val="0"/>
                <w:i/>
              </w:rPr>
              <w:t>Mental Health Act 2013</w:t>
            </w:r>
            <w:r w:rsidRPr="00A02955">
              <w:rPr>
                <w:b w:val="0"/>
              </w:rPr>
              <w:t xml:space="preserve"> through the Tasmanian Parliament, which comes into effect from 1</w:t>
            </w:r>
            <w:r>
              <w:rPr>
                <w:b w:val="0"/>
              </w:rPr>
              <w:t> </w:t>
            </w:r>
            <w:r w:rsidRPr="00A02955">
              <w:rPr>
                <w:b w:val="0"/>
              </w:rPr>
              <w:t>January 2014 to ensure there is a human rights approach taken to helping clients suffering from mental illness.</w:t>
            </w:r>
          </w:p>
          <w:p w:rsidR="00A02955" w:rsidRPr="00A02955" w:rsidRDefault="00A02955" w:rsidP="00A02955">
            <w:pPr>
              <w:pStyle w:val="Jurisdictioncommentsheading"/>
              <w:spacing w:line="240" w:lineRule="auto"/>
              <w:rPr>
                <w:b w:val="0"/>
              </w:rPr>
            </w:pPr>
            <w:r w:rsidRPr="00A02955">
              <w:rPr>
                <w:b w:val="0"/>
              </w:rPr>
              <w:t xml:space="preserve">Preventative health remains a core focus and this year the five-yearly </w:t>
            </w:r>
            <w:r w:rsidRPr="00A02955">
              <w:rPr>
                <w:b w:val="0"/>
                <w:i/>
              </w:rPr>
              <w:t>State of Public Health Report</w:t>
            </w:r>
            <w:r w:rsidRPr="00A02955">
              <w:rPr>
                <w:b w:val="0"/>
              </w:rPr>
              <w:t xml:space="preserve"> was released, accompanied by the </w:t>
            </w:r>
            <w:r w:rsidRPr="00A02955">
              <w:rPr>
                <w:b w:val="0"/>
                <w:i/>
              </w:rPr>
              <w:t>Health Indicators Tasmania Report</w:t>
            </w:r>
            <w:r w:rsidRPr="00A02955">
              <w:rPr>
                <w:b w:val="0"/>
              </w:rPr>
              <w:t xml:space="preserve">. It shows that the life-expectancy of Tasmanians is improving and self-reported health is generally good. However, Tasmania’s health challenges continue to be towards encouraging Tasmanians to maintain healthy lifestyles and to reduce the prevalence of smoking and chronic disease caused by obesity. Tasmania also has a generally older and more dispersed population than other states, creating particular challenges for our health system. </w:t>
            </w:r>
          </w:p>
          <w:p w:rsidR="00A02955" w:rsidRPr="00A02955" w:rsidRDefault="00A02955" w:rsidP="00A02955">
            <w:pPr>
              <w:pStyle w:val="Jurisdictioncommentsheading"/>
              <w:spacing w:line="240" w:lineRule="auto"/>
              <w:rPr>
                <w:b w:val="0"/>
              </w:rPr>
            </w:pPr>
            <w:r w:rsidRPr="00A02955">
              <w:rPr>
                <w:b w:val="0"/>
              </w:rPr>
              <w:t>To meet these and other challenges, the Tasmanian Lead Clinicians Group (</w:t>
            </w:r>
            <w:proofErr w:type="spellStart"/>
            <w:r w:rsidRPr="00A02955">
              <w:rPr>
                <w:b w:val="0"/>
              </w:rPr>
              <w:t>TLCG</w:t>
            </w:r>
            <w:proofErr w:type="spellEnd"/>
            <w:r w:rsidRPr="00A02955">
              <w:rPr>
                <w:b w:val="0"/>
              </w:rPr>
              <w:t xml:space="preserve">) is leading work to update Tasmania’s Health Plan. They are consulting widely with clinicians and stakeholders to ensure the vision for health services into the future remains flexible and relevant. </w:t>
            </w:r>
          </w:p>
          <w:p w:rsidR="00A02955" w:rsidRPr="00A02955" w:rsidRDefault="00A02955" w:rsidP="00A02955">
            <w:pPr>
              <w:pStyle w:val="Jurisdictioncommentsheading"/>
              <w:spacing w:line="240" w:lineRule="auto"/>
              <w:rPr>
                <w:b w:val="0"/>
              </w:rPr>
            </w:pPr>
            <w:r w:rsidRPr="00A02955">
              <w:rPr>
                <w:b w:val="0"/>
              </w:rPr>
              <w:t xml:space="preserve">The </w:t>
            </w:r>
            <w:proofErr w:type="spellStart"/>
            <w:r w:rsidRPr="00A02955">
              <w:rPr>
                <w:b w:val="0"/>
              </w:rPr>
              <w:t>TLCG</w:t>
            </w:r>
            <w:proofErr w:type="spellEnd"/>
            <w:r w:rsidRPr="00A02955">
              <w:rPr>
                <w:b w:val="0"/>
              </w:rPr>
              <w:t xml:space="preserve"> released </w:t>
            </w:r>
            <w:r w:rsidRPr="00A02955">
              <w:rPr>
                <w:b w:val="0"/>
                <w:i/>
              </w:rPr>
              <w:t>Tasmania’s Health Planning Framework</w:t>
            </w:r>
            <w:r w:rsidRPr="00A02955">
              <w:rPr>
                <w:b w:val="0"/>
              </w:rPr>
              <w:t xml:space="preserve"> in August 2013 as the first step in developing a new health plan. Following this, a discussion paper on Clinical Advisory Groups (</w:t>
            </w:r>
            <w:proofErr w:type="spellStart"/>
            <w:r w:rsidRPr="00A02955">
              <w:rPr>
                <w:b w:val="0"/>
              </w:rPr>
              <w:t>CAGs</w:t>
            </w:r>
            <w:proofErr w:type="spellEnd"/>
            <w:r w:rsidRPr="00A02955">
              <w:rPr>
                <w:b w:val="0"/>
              </w:rPr>
              <w:t xml:space="preserve">) was released seeking feedback on the proposed strategy for implementing the planning framework through the development of </w:t>
            </w:r>
            <w:proofErr w:type="spellStart"/>
            <w:r w:rsidRPr="00A02955">
              <w:rPr>
                <w:b w:val="0"/>
              </w:rPr>
              <w:t>CAGs</w:t>
            </w:r>
            <w:proofErr w:type="spellEnd"/>
            <w:r w:rsidRPr="00A02955">
              <w:rPr>
                <w:b w:val="0"/>
              </w:rPr>
              <w:t>.</w:t>
            </w:r>
          </w:p>
          <w:p w:rsidR="00A02955" w:rsidRPr="00A02955" w:rsidRDefault="00A02955" w:rsidP="00A02955">
            <w:pPr>
              <w:pStyle w:val="Jurisdictioncommentsheading"/>
              <w:spacing w:line="240" w:lineRule="auto"/>
              <w:rPr>
                <w:b w:val="0"/>
              </w:rPr>
            </w:pPr>
            <w:r w:rsidRPr="00A02955">
              <w:rPr>
                <w:b w:val="0"/>
              </w:rPr>
              <w:t xml:space="preserve">Work is currently underway to establish a number of these high level </w:t>
            </w:r>
            <w:proofErr w:type="spellStart"/>
            <w:r w:rsidRPr="00A02955">
              <w:rPr>
                <w:b w:val="0"/>
              </w:rPr>
              <w:t>CAGs</w:t>
            </w:r>
            <w:proofErr w:type="spellEnd"/>
            <w:r w:rsidRPr="00A02955">
              <w:rPr>
                <w:b w:val="0"/>
              </w:rPr>
              <w:t xml:space="preserve">. Each CAG will provide advice to the </w:t>
            </w:r>
            <w:proofErr w:type="spellStart"/>
            <w:r w:rsidRPr="00A02955">
              <w:rPr>
                <w:b w:val="0"/>
              </w:rPr>
              <w:t>TLCG</w:t>
            </w:r>
            <w:proofErr w:type="spellEnd"/>
            <w:r w:rsidRPr="00A02955">
              <w:rPr>
                <w:b w:val="0"/>
              </w:rPr>
              <w:t xml:space="preserve">, and lead work in a range of specific areas, including access to and integration of services; quality and safety of care; clinical governance and engagement; efficient resource utilisation; and, </w:t>
            </w:r>
            <w:proofErr w:type="spellStart"/>
            <w:r w:rsidRPr="00A02955">
              <w:rPr>
                <w:b w:val="0"/>
              </w:rPr>
              <w:t>statewide</w:t>
            </w:r>
            <w:proofErr w:type="spellEnd"/>
            <w:r w:rsidRPr="00A02955">
              <w:rPr>
                <w:b w:val="0"/>
              </w:rPr>
              <w:t xml:space="preserve"> service planning.</w:t>
            </w:r>
          </w:p>
          <w:p w:rsidR="00A02955" w:rsidRPr="0070259D" w:rsidRDefault="00A02955" w:rsidP="00A02955">
            <w:pPr>
              <w:pStyle w:val="Jurisdictioncommentsheading"/>
              <w:spacing w:line="240" w:lineRule="auto"/>
              <w:rPr>
                <w:b w:val="0"/>
              </w:rPr>
            </w:pPr>
            <w:r w:rsidRPr="00A02955">
              <w:rPr>
                <w:b w:val="0"/>
              </w:rPr>
              <w:t xml:space="preserve">The </w:t>
            </w:r>
            <w:proofErr w:type="spellStart"/>
            <w:r w:rsidRPr="00A02955">
              <w:rPr>
                <w:b w:val="0"/>
              </w:rPr>
              <w:t>TLCG</w:t>
            </w:r>
            <w:proofErr w:type="spellEnd"/>
            <w:r w:rsidRPr="00A02955">
              <w:rPr>
                <w:b w:val="0"/>
              </w:rPr>
              <w:t xml:space="preserve"> have also identified a number of priority areas for action over the next twelve months as we move forward in building an efficient, safe and sustainable health system for all Tasmanians.</w:t>
            </w:r>
          </w:p>
          <w:p w:rsidR="00AD5A37" w:rsidRPr="00DC6C35" w:rsidRDefault="00AD5A37" w:rsidP="00DC6C35">
            <w:pPr>
              <w:pStyle w:val="Jurisdictioncommentsbodytext"/>
              <w:rPr>
                <w:rStyle w:val="DraftingNote"/>
                <w:b w:val="0"/>
                <w:color w:val="auto"/>
                <w:u w:val="none"/>
              </w:rPr>
            </w:pPr>
          </w:p>
        </w:tc>
        <w:tc>
          <w:tcPr>
            <w:tcW w:w="850" w:type="dxa"/>
            <w:tcBorders>
              <w:left w:val="nil"/>
            </w:tcBorders>
          </w:tcPr>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Default="00AD5A37"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69031E" w:rsidRPr="00A05A09" w:rsidRDefault="0069031E"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rPr>
                <w:rFonts w:ascii="Arial" w:hAnsi="Arial"/>
                <w:b/>
              </w:rPr>
            </w:pPr>
            <w:r w:rsidRPr="00A05A09">
              <w:rPr>
                <w:b/>
                <w:sz w:val="132"/>
              </w:rPr>
              <w:lastRenderedPageBreak/>
              <w:t>“</w:t>
            </w:r>
          </w:p>
        </w:tc>
        <w:tc>
          <w:tcPr>
            <w:tcW w:w="8789" w:type="dxa"/>
          </w:tcPr>
          <w:p w:rsidR="00AD5A37" w:rsidRDefault="006E35F4" w:rsidP="00AD5A37">
            <w:pPr>
              <w:pStyle w:val="Jurisdictioncommentsbodytext"/>
              <w:rPr>
                <w:rFonts w:cs="Arial"/>
                <w:b/>
              </w:rPr>
            </w:pPr>
            <w:r>
              <w:rPr>
                <w:rFonts w:cs="Arial"/>
                <w:b/>
              </w:rPr>
              <w:t>Australian Capital Territory Government comments</w:t>
            </w:r>
          </w:p>
          <w:p w:rsidR="006E35F4" w:rsidRPr="006E35F4" w:rsidRDefault="006E35F4" w:rsidP="006E35F4">
            <w:pPr>
              <w:pStyle w:val="Jurisdictioncommentsbodytext"/>
              <w:rPr>
                <w:rFonts w:cs="Arial"/>
              </w:rPr>
            </w:pPr>
            <w:r w:rsidRPr="006E35F4">
              <w:rPr>
                <w:rFonts w:cs="Arial"/>
              </w:rPr>
              <w:t>The ACT Government, through ACT Health, plans, manages and delivers public sector health services to both ACT residents and residents in the NSW surrounding region. The total catchment population (the Australian Capital Region) was 617</w:t>
            </w:r>
            <w:r>
              <w:rPr>
                <w:rFonts w:cs="Arial"/>
              </w:rPr>
              <w:t> </w:t>
            </w:r>
            <w:r w:rsidRPr="006E35F4">
              <w:rPr>
                <w:rFonts w:cs="Arial"/>
              </w:rPr>
              <w:t>071 persons as at June 2012. Canberra is the major health referral centre for the Greater Southern Region of NSW.</w:t>
            </w:r>
          </w:p>
          <w:p w:rsidR="006E35F4" w:rsidRPr="006E35F4" w:rsidRDefault="006E35F4" w:rsidP="006E35F4">
            <w:pPr>
              <w:pStyle w:val="Jurisdictioncommentsbodytext"/>
              <w:rPr>
                <w:rFonts w:cs="Arial"/>
              </w:rPr>
            </w:pPr>
            <w:r w:rsidRPr="006E35F4">
              <w:rPr>
                <w:rFonts w:cs="Arial"/>
              </w:rPr>
              <w:t>As a result of the requirements under the current national health reform agenda, the ACT has established a Local Hospital Network comprising of Canberra Hospital and Health Services, Calvary Hospital, Clare Holland House, and Queen Elizabeth II Family Centre. The network provides a comprehens</w:t>
            </w:r>
            <w:r>
              <w:rPr>
                <w:rFonts w:cs="Arial"/>
              </w:rPr>
              <w:t>ive range of acute, sub</w:t>
            </w:r>
            <w:r>
              <w:rPr>
                <w:rFonts w:cs="Arial"/>
              </w:rPr>
              <w:noBreakHyphen/>
              <w:t xml:space="preserve"> and non</w:t>
            </w:r>
            <w:r>
              <w:rPr>
                <w:rFonts w:cs="Arial"/>
              </w:rPr>
              <w:noBreakHyphen/>
            </w:r>
            <w:r w:rsidRPr="006E35F4">
              <w:rPr>
                <w:rFonts w:cs="Arial"/>
              </w:rPr>
              <w:t>acute, emergency, non-admitted, and community based health services in the ACT.</w:t>
            </w:r>
          </w:p>
          <w:p w:rsidR="006E35F4" w:rsidRPr="006E35F4" w:rsidRDefault="006E35F4" w:rsidP="006E35F4">
            <w:pPr>
              <w:pStyle w:val="Jurisdictioncommentsbodytext"/>
              <w:rPr>
                <w:rFonts w:cs="Arial"/>
              </w:rPr>
            </w:pPr>
            <w:r w:rsidRPr="006E35F4">
              <w:rPr>
                <w:rFonts w:cs="Arial"/>
              </w:rPr>
              <w:t xml:space="preserve">In 2012-13, the ACT exceeded its target for the number of people removed from the elective surgery waiting list </w:t>
            </w:r>
            <w:r>
              <w:rPr>
                <w:rFonts w:cs="Arial"/>
              </w:rPr>
              <w:t>—</w:t>
            </w:r>
            <w:r w:rsidRPr="006E35F4">
              <w:rPr>
                <w:rFonts w:cs="Arial"/>
              </w:rPr>
              <w:t xml:space="preserve"> the highest on record for the ACT </w:t>
            </w:r>
            <w:r>
              <w:rPr>
                <w:rFonts w:cs="Arial"/>
              </w:rPr>
              <w:t>—</w:t>
            </w:r>
            <w:r w:rsidRPr="006E35F4">
              <w:rPr>
                <w:rFonts w:cs="Arial"/>
              </w:rPr>
              <w:t xml:space="preserve"> and continues to reduce the quantum of patients waiting longer than clinically recommended times. The high quality of service that patients receive in ACT public hospitals was reflected in the quality of theatre and </w:t>
            </w:r>
            <w:proofErr w:type="spellStart"/>
            <w:r w:rsidRPr="006E35F4">
              <w:rPr>
                <w:rFonts w:cs="Arial"/>
              </w:rPr>
              <w:t>post</w:t>
            </w:r>
            <w:r>
              <w:rPr>
                <w:rFonts w:cs="Arial"/>
              </w:rPr>
              <w:t> </w:t>
            </w:r>
            <w:r w:rsidRPr="006E35F4">
              <w:rPr>
                <w:rFonts w:cs="Arial"/>
              </w:rPr>
              <w:t>operative</w:t>
            </w:r>
            <w:proofErr w:type="spellEnd"/>
            <w:r w:rsidRPr="006E35F4">
              <w:rPr>
                <w:rFonts w:cs="Arial"/>
              </w:rPr>
              <w:t xml:space="preserve"> care, the effective treatment of people who receive</w:t>
            </w:r>
            <w:r>
              <w:rPr>
                <w:rFonts w:cs="Arial"/>
              </w:rPr>
              <w:t>d</w:t>
            </w:r>
            <w:r w:rsidRPr="006E35F4">
              <w:rPr>
                <w:rFonts w:cs="Arial"/>
              </w:rPr>
              <w:t xml:space="preserve"> hospital healthcare through our hospital and community based services, and the low number of people who acquired a </w:t>
            </w:r>
            <w:proofErr w:type="spellStart"/>
            <w:r w:rsidRPr="006E35F4">
              <w:rPr>
                <w:rFonts w:cs="Arial"/>
              </w:rPr>
              <w:t>bacteraemial</w:t>
            </w:r>
            <w:proofErr w:type="spellEnd"/>
            <w:r w:rsidRPr="006E35F4">
              <w:rPr>
                <w:rFonts w:cs="Arial"/>
              </w:rPr>
              <w:t xml:space="preserve"> infection during their hospital stay.</w:t>
            </w:r>
          </w:p>
          <w:p w:rsidR="006E35F4" w:rsidRPr="006E35F4" w:rsidRDefault="006E35F4" w:rsidP="006E35F4">
            <w:pPr>
              <w:pStyle w:val="Jurisdictioncommentsbodytext"/>
              <w:rPr>
                <w:rFonts w:cs="Arial"/>
              </w:rPr>
            </w:pPr>
            <w:r w:rsidRPr="006E35F4">
              <w:rPr>
                <w:rFonts w:cs="Arial"/>
              </w:rPr>
              <w:t xml:space="preserve">The ACT, through the Australian Council on Healthcare Standards, met </w:t>
            </w:r>
            <w:r>
              <w:rPr>
                <w:rFonts w:cs="Arial"/>
              </w:rPr>
              <w:br/>
            </w:r>
            <w:r w:rsidRPr="006E35F4">
              <w:rPr>
                <w:rFonts w:cs="Arial"/>
              </w:rPr>
              <w:t xml:space="preserve">all accreditation criteria </w:t>
            </w:r>
            <w:r>
              <w:rPr>
                <w:rFonts w:cs="Arial"/>
              </w:rPr>
              <w:t>—</w:t>
            </w:r>
            <w:r w:rsidRPr="006E35F4">
              <w:rPr>
                <w:rFonts w:cs="Arial"/>
              </w:rPr>
              <w:t xml:space="preserve"> with 28 marked achievements, 18 extensive achievements, and one outstanding achievement </w:t>
            </w:r>
            <w:r>
              <w:rPr>
                <w:rFonts w:cs="Arial"/>
              </w:rPr>
              <w:t>—</w:t>
            </w:r>
            <w:r w:rsidRPr="006E35F4">
              <w:rPr>
                <w:rFonts w:cs="Arial"/>
              </w:rPr>
              <w:t xml:space="preserve"> to retain its full accreditation status for another four years.</w:t>
            </w:r>
          </w:p>
          <w:p w:rsidR="006E35F4" w:rsidRPr="006E35F4" w:rsidRDefault="006E35F4" w:rsidP="006E35F4">
            <w:pPr>
              <w:pStyle w:val="Jurisdictioncommentsbodytext"/>
              <w:rPr>
                <w:rFonts w:cs="Arial"/>
              </w:rPr>
            </w:pPr>
            <w:r w:rsidRPr="006E35F4">
              <w:rPr>
                <w:rFonts w:cs="Arial"/>
              </w:rPr>
              <w:t>The needs of the Canberra community are changing and the ACT Government is embarking on a program of investment in health infrastructure to meet the challenges of a growing and ageing population in the ACT and surrounding region.</w:t>
            </w:r>
          </w:p>
          <w:p w:rsidR="006E35F4" w:rsidRPr="006E35F4" w:rsidRDefault="006E35F4" w:rsidP="006E35F4">
            <w:pPr>
              <w:pStyle w:val="Jurisdictioncommentsbodytext"/>
              <w:rPr>
                <w:rFonts w:cs="Arial"/>
              </w:rPr>
            </w:pPr>
            <w:r w:rsidRPr="006E35F4">
              <w:rPr>
                <w:rFonts w:cs="Arial"/>
              </w:rPr>
              <w:t>The Health Infrastructure Program began with a careful examination of the current health system and a comprehensive review of the future needs of the community. Since the program was first announced in 2008, it has delivered a range of community based projects and many enhancements to services and facilities at our hospitals.</w:t>
            </w:r>
          </w:p>
          <w:p w:rsidR="006E35F4" w:rsidRPr="006E35F4" w:rsidRDefault="006E35F4" w:rsidP="006E35F4">
            <w:pPr>
              <w:pStyle w:val="Jurisdictioncommentsbodytext"/>
              <w:rPr>
                <w:rFonts w:cs="Arial"/>
              </w:rPr>
            </w:pPr>
            <w:r w:rsidRPr="006E35F4">
              <w:rPr>
                <w:rFonts w:cs="Arial"/>
              </w:rPr>
              <w:t xml:space="preserve">New building projects completed in 2013 include the Belconnen Community Health Centre; the Centenary Hospital for Women and Children; and an extension to the </w:t>
            </w:r>
            <w:r>
              <w:rPr>
                <w:rFonts w:cs="Arial"/>
              </w:rPr>
              <w:t xml:space="preserve">emergency department/intensive care unit </w:t>
            </w:r>
            <w:r w:rsidRPr="006E35F4">
              <w:rPr>
                <w:rFonts w:cs="Arial"/>
              </w:rPr>
              <w:t>at Canberra Hospital, while an expansion and refurbishment of the Tuggeranong Community Health Centre and the Canberra Region Cancer Centre will be completed in 2014. Planning continues on further hospital and community health infrastructures and associated workforce and e-Health services.</w:t>
            </w:r>
          </w:p>
          <w:p w:rsidR="006E35F4" w:rsidRPr="006E35F4" w:rsidRDefault="006E35F4" w:rsidP="006E35F4">
            <w:pPr>
              <w:pStyle w:val="Jurisdictioncommentsbodytext"/>
              <w:rPr>
                <w:rFonts w:cs="Arial"/>
              </w:rPr>
            </w:pPr>
            <w:r w:rsidRPr="006E35F4">
              <w:rPr>
                <w:rFonts w:cs="Arial"/>
              </w:rPr>
              <w:t xml:space="preserve">The ACT continues to work with the Commonwealth and the health reform bodies on matters relating to the </w:t>
            </w:r>
            <w:r w:rsidRPr="006E35F4">
              <w:rPr>
                <w:rFonts w:cs="Arial"/>
                <w:i/>
              </w:rPr>
              <w:t>National Health Reform Agreement</w:t>
            </w:r>
            <w:r w:rsidRPr="006E35F4">
              <w:rPr>
                <w:rFonts w:cs="Arial"/>
              </w:rPr>
              <w:t>.</w:t>
            </w:r>
          </w:p>
        </w:tc>
        <w:tc>
          <w:tcPr>
            <w:tcW w:w="850" w:type="dxa"/>
            <w:tcBorders>
              <w:left w:val="nil"/>
            </w:tcBorders>
          </w:tcPr>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Default="00AD5A37"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0E43B9" w:rsidRDefault="000E43B9"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69031E" w:rsidRDefault="0069031E"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r w:rsidRPr="00A05A09">
              <w:rPr>
                <w:b/>
                <w:sz w:val="132"/>
              </w:rPr>
              <w:t>”</w:t>
            </w:r>
          </w:p>
        </w:tc>
      </w:tr>
      <w:tr w:rsidR="00AD5A37" w:rsidRPr="00A05A09" w:rsidTr="008B11E3">
        <w:trPr>
          <w:cantSplit/>
        </w:trPr>
        <w:tc>
          <w:tcPr>
            <w:tcW w:w="993" w:type="dxa"/>
          </w:tcPr>
          <w:p w:rsidR="00AD5A37" w:rsidRPr="00A05A09" w:rsidRDefault="00AD5A37" w:rsidP="00DC6C35">
            <w:pPr>
              <w:pStyle w:val="BodyText"/>
              <w:rPr>
                <w:rFonts w:ascii="Arial" w:hAnsi="Arial"/>
                <w:b/>
              </w:rPr>
            </w:pPr>
            <w:r w:rsidRPr="00A05A09">
              <w:rPr>
                <w:b/>
                <w:sz w:val="132"/>
              </w:rPr>
              <w:lastRenderedPageBreak/>
              <w:t>“</w:t>
            </w:r>
          </w:p>
        </w:tc>
        <w:tc>
          <w:tcPr>
            <w:tcW w:w="8789" w:type="dxa"/>
          </w:tcPr>
          <w:p w:rsidR="00AD5A37" w:rsidRDefault="001040A3" w:rsidP="001040A3">
            <w:pPr>
              <w:pStyle w:val="Jurisdictioncommentslistbullet"/>
              <w:tabs>
                <w:tab w:val="left" w:pos="720"/>
              </w:tabs>
              <w:spacing w:line="320" w:lineRule="atLeast"/>
              <w:ind w:left="34"/>
              <w:rPr>
                <w:b/>
              </w:rPr>
            </w:pPr>
            <w:r w:rsidRPr="001040A3">
              <w:rPr>
                <w:b/>
              </w:rPr>
              <w:t>Northern Territory Government comments</w:t>
            </w:r>
          </w:p>
          <w:p w:rsidR="001040A3" w:rsidRDefault="001040A3" w:rsidP="001040A3">
            <w:pPr>
              <w:pStyle w:val="Jurisdictioncommentslistbullet"/>
              <w:tabs>
                <w:tab w:val="left" w:pos="720"/>
              </w:tabs>
              <w:ind w:left="34"/>
            </w:pPr>
            <w:r>
              <w:t xml:space="preserve">During 2012-13, Northern Territory Department of Health services provided care in a range of settings, including remote health centres and our five hospitals. </w:t>
            </w:r>
          </w:p>
          <w:p w:rsidR="001040A3" w:rsidRDefault="001040A3" w:rsidP="001040A3">
            <w:pPr>
              <w:pStyle w:val="Jurisdictioncommentslistbullet"/>
              <w:tabs>
                <w:tab w:val="left" w:pos="720"/>
              </w:tabs>
              <w:ind w:left="34"/>
            </w:pPr>
            <w:r>
              <w:t>Northern Territory statistics reflect the challenges of geography and a population widely distributed across remote and very remote areas. This contributes to significant socioeconomic disadvantage for some sectors of the population which often results in limited life and health choices and poorer wellbeing. We continue to address these challenges through service delivery approaches that respond to local needs and conditions.</w:t>
            </w:r>
          </w:p>
          <w:p w:rsidR="001040A3" w:rsidRDefault="001040A3" w:rsidP="001040A3">
            <w:pPr>
              <w:pStyle w:val="Jurisdictioncommentslistbullet"/>
              <w:tabs>
                <w:tab w:val="left" w:pos="720"/>
              </w:tabs>
              <w:ind w:left="34"/>
            </w:pPr>
            <w:r>
              <w:t xml:space="preserve">The Northern Territory Government’s New Service Framework for Health and Hospital Services (the NSF) was announced in November 2012. The NSF’s key objective is to redesign our organisation and health services in order to: </w:t>
            </w:r>
          </w:p>
          <w:p w:rsidR="001040A3" w:rsidRDefault="001040A3" w:rsidP="001040A3">
            <w:pPr>
              <w:pStyle w:val="Jurisdictioncommentslistbullet"/>
            </w:pPr>
            <w:r>
              <w:t>deliver improved patient and client access to better integrated services</w:t>
            </w:r>
          </w:p>
          <w:p w:rsidR="001040A3" w:rsidRDefault="001040A3" w:rsidP="001040A3">
            <w:pPr>
              <w:pStyle w:val="Jurisdictioncommentslistbullet"/>
            </w:pPr>
            <w:r>
              <w:t>increase local decision making across our services</w:t>
            </w:r>
          </w:p>
          <w:p w:rsidR="001040A3" w:rsidRDefault="001040A3" w:rsidP="001040A3">
            <w:pPr>
              <w:pStyle w:val="Jurisdictioncommentslistbullet"/>
            </w:pPr>
            <w:r>
              <w:t xml:space="preserve">ensure a regional focus and regional input into service provision in communities </w:t>
            </w:r>
          </w:p>
          <w:p w:rsidR="001040A3" w:rsidRDefault="001040A3" w:rsidP="001040A3">
            <w:pPr>
              <w:pStyle w:val="Jurisdictioncommentslistbullet"/>
            </w:pPr>
            <w:r>
              <w:t>provide a Territory-wide performance and accountability framework</w:t>
            </w:r>
          </w:p>
          <w:p w:rsidR="001040A3" w:rsidRDefault="001040A3" w:rsidP="001040A3">
            <w:pPr>
              <w:pStyle w:val="Jurisdictioncommentslistbullet"/>
            </w:pPr>
            <w:r>
              <w:t>provide a Territory-wide safety and quality system.</w:t>
            </w:r>
          </w:p>
          <w:p w:rsidR="001040A3" w:rsidRDefault="001040A3" w:rsidP="001040A3">
            <w:pPr>
              <w:pStyle w:val="Jurisdictioncommentslistbullet"/>
              <w:tabs>
                <w:tab w:val="left" w:pos="720"/>
              </w:tabs>
              <w:ind w:left="34"/>
            </w:pPr>
            <w:r>
              <w:t xml:space="preserve">The NSF also implements national health reforms. Operational services will be delivered by two organisations: the Top End and Central Australia Health Services. A more streamlined contemporary Department of Health will be established as the overall health system manager, with responsibility for: planning and managing the Northern Territory public health system; setting Territory-wide policy and frameworks, and monitoring the performance of </w:t>
            </w:r>
            <w:r>
              <w:br/>
              <w:t>health services. The Department will also continue to deliver a number of Territory</w:t>
            </w:r>
            <w:r>
              <w:noBreakHyphen/>
              <w:t>wide services and provide corporate services for the whole public health system.</w:t>
            </w:r>
          </w:p>
          <w:p w:rsidR="001040A3" w:rsidRDefault="001040A3" w:rsidP="001040A3">
            <w:pPr>
              <w:pStyle w:val="Jurisdictioncommentslistbullet"/>
              <w:tabs>
                <w:tab w:val="left" w:pos="720"/>
              </w:tabs>
              <w:ind w:left="34"/>
            </w:pPr>
            <w:r>
              <w:t xml:space="preserve">Other major initiatives in 2012-13 included: </w:t>
            </w:r>
          </w:p>
          <w:p w:rsidR="001040A3" w:rsidRDefault="001040A3" w:rsidP="001040A3">
            <w:pPr>
              <w:pStyle w:val="Jurisdictioncommentslistbullet"/>
            </w:pPr>
            <w:r>
              <w:t>improving performance against national targets for Emergency Departments and elective surgery waiting times</w:t>
            </w:r>
          </w:p>
          <w:p w:rsidR="001040A3" w:rsidRDefault="001040A3" w:rsidP="001040A3">
            <w:pPr>
              <w:pStyle w:val="Jurisdictioncommentslistbullet"/>
            </w:pPr>
            <w:r>
              <w:t>implementing Alcohol Mandatory Treatment (on 1 July 2013)</w:t>
            </w:r>
          </w:p>
          <w:p w:rsidR="001040A3" w:rsidRDefault="001040A3" w:rsidP="001040A3">
            <w:pPr>
              <w:pStyle w:val="Jurisdictioncommentslistbullet"/>
            </w:pPr>
            <w:r>
              <w:t>enhancing police watch house and prisoner health services</w:t>
            </w:r>
          </w:p>
          <w:p w:rsidR="001040A3" w:rsidRDefault="001040A3" w:rsidP="001040A3">
            <w:pPr>
              <w:pStyle w:val="Jurisdictioncommentslistbullet"/>
            </w:pPr>
            <w:r>
              <w:t>reviewing the Patient Assistance Travel Scheme (PATS)</w:t>
            </w:r>
          </w:p>
          <w:p w:rsidR="001040A3" w:rsidRDefault="001040A3" w:rsidP="001040A3">
            <w:pPr>
              <w:pStyle w:val="Jurisdictioncommentslistbullet"/>
            </w:pPr>
            <w:r>
              <w:t>commencing a scoping study for a Palmerston hospital</w:t>
            </w:r>
          </w:p>
          <w:p w:rsidR="001040A3" w:rsidRDefault="001040A3" w:rsidP="001040A3">
            <w:pPr>
              <w:pStyle w:val="Jurisdictioncommentslistbullet"/>
            </w:pPr>
            <w:r>
              <w:t>opening the New Alice Springs Hospital Emergency Department and Medical Imaging Department</w:t>
            </w:r>
          </w:p>
          <w:p w:rsidR="001040A3" w:rsidRDefault="001040A3" w:rsidP="001040A3">
            <w:pPr>
              <w:pStyle w:val="Jurisdictioncommentslistbullet"/>
            </w:pPr>
            <w:r>
              <w:t>enhancing cardiac and cardiac outreach services</w:t>
            </w:r>
          </w:p>
          <w:p w:rsidR="001040A3" w:rsidRPr="001040A3" w:rsidRDefault="001040A3" w:rsidP="001040A3">
            <w:pPr>
              <w:pStyle w:val="Jurisdictioncommentslistbullet"/>
            </w:pPr>
            <w:r>
              <w:t>commencing secure care services in Alice Springs.</w:t>
            </w:r>
          </w:p>
        </w:tc>
        <w:tc>
          <w:tcPr>
            <w:tcW w:w="850" w:type="dxa"/>
            <w:tcBorders>
              <w:left w:val="nil"/>
            </w:tcBorders>
          </w:tcPr>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FD5507" w:rsidRPr="00A05A09" w:rsidRDefault="00FD550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Pr="00A05A09" w:rsidRDefault="00AD5A37" w:rsidP="00DC6C35">
            <w:pPr>
              <w:pStyle w:val="BodyText"/>
              <w:spacing w:before="0" w:after="140"/>
              <w:rPr>
                <w:rFonts w:ascii="Arial" w:hAnsi="Arial"/>
                <w:b/>
              </w:rPr>
            </w:pPr>
          </w:p>
          <w:p w:rsidR="00AD5A37" w:rsidRDefault="00AD5A37" w:rsidP="00DC6C35">
            <w:pPr>
              <w:pStyle w:val="BodyText"/>
              <w:widowControl w:val="0"/>
              <w:spacing w:before="0" w:line="240" w:lineRule="auto"/>
              <w:rPr>
                <w:rFonts w:ascii="Arial" w:hAnsi="Arial"/>
                <w:b/>
              </w:rPr>
            </w:pPr>
          </w:p>
          <w:p w:rsidR="00AD5A37" w:rsidRDefault="00FD5507" w:rsidP="00DC6C35">
            <w:pPr>
              <w:pStyle w:val="BodyText"/>
              <w:widowControl w:val="0"/>
              <w:spacing w:before="0" w:line="240" w:lineRule="auto"/>
              <w:rPr>
                <w:rFonts w:ascii="Arial" w:hAnsi="Arial"/>
                <w:b/>
              </w:rPr>
            </w:pPr>
            <w:r>
              <w:rPr>
                <w:rFonts w:ascii="Arial" w:hAnsi="Arial"/>
                <w:b/>
              </w:rPr>
              <w:br/>
            </w:r>
          </w:p>
          <w:p w:rsidR="0093070A" w:rsidRPr="00027780" w:rsidRDefault="0093070A" w:rsidP="00DC6C35">
            <w:pPr>
              <w:pStyle w:val="BodyText"/>
              <w:widowControl w:val="0"/>
              <w:spacing w:before="0" w:line="240" w:lineRule="auto"/>
              <w:rPr>
                <w:rFonts w:ascii="Arial" w:hAnsi="Arial"/>
                <w:b/>
              </w:rPr>
            </w:pPr>
          </w:p>
          <w:p w:rsidR="00AD5A37" w:rsidRPr="00027780" w:rsidRDefault="00AD5A37" w:rsidP="00DC6C35">
            <w:pPr>
              <w:pStyle w:val="BodyText"/>
              <w:rPr>
                <w:rFonts w:ascii="Arial" w:hAnsi="Arial"/>
                <w:b/>
                <w:sz w:val="132"/>
                <w:szCs w:val="132"/>
              </w:rPr>
            </w:pPr>
            <w:r w:rsidRPr="00027780">
              <w:rPr>
                <w:b/>
                <w:sz w:val="132"/>
              </w:rPr>
              <w:t>”</w:t>
            </w:r>
          </w:p>
        </w:tc>
      </w:tr>
      <w:tr w:rsidR="00F60880" w:rsidTr="008B11E3">
        <w:trPr>
          <w:cantSplit/>
        </w:trPr>
        <w:tc>
          <w:tcPr>
            <w:tcW w:w="993" w:type="dxa"/>
          </w:tcPr>
          <w:p w:rsidR="00F60880" w:rsidRPr="00AD5A37" w:rsidRDefault="00F60880" w:rsidP="00DC6C35">
            <w:pPr>
              <w:pStyle w:val="BodyText"/>
              <w:rPr>
                <w:b/>
                <w:sz w:val="132"/>
              </w:rPr>
            </w:pPr>
            <w:r w:rsidRPr="00AD5A37">
              <w:rPr>
                <w:b/>
                <w:sz w:val="132"/>
              </w:rPr>
              <w:lastRenderedPageBreak/>
              <w:t>“</w:t>
            </w:r>
          </w:p>
        </w:tc>
        <w:tc>
          <w:tcPr>
            <w:tcW w:w="8789" w:type="dxa"/>
          </w:tcPr>
          <w:p w:rsidR="00F60880" w:rsidRDefault="001040A3" w:rsidP="001040A3">
            <w:pPr>
              <w:pStyle w:val="Jurisdictioncommentsbodytext"/>
              <w:spacing w:line="320" w:lineRule="atLeast"/>
              <w:rPr>
                <w:b/>
              </w:rPr>
            </w:pPr>
            <w:r>
              <w:rPr>
                <w:b/>
              </w:rPr>
              <w:t>Australian Government comments</w:t>
            </w:r>
          </w:p>
          <w:p w:rsidR="001040A3" w:rsidRDefault="001040A3" w:rsidP="001040A3">
            <w:pPr>
              <w:pStyle w:val="Jurisdictioncommentsbodytext"/>
            </w:pPr>
            <w:r>
              <w:t xml:space="preserve">Australia’s health system is world class, supporting universal and affordable access to high quality medical, pharmaceutical and hospital services, while helping people to stay healthy through health promotion and disease prevention activities. </w:t>
            </w:r>
          </w:p>
          <w:p w:rsidR="001040A3" w:rsidRDefault="001040A3" w:rsidP="001040A3">
            <w:pPr>
              <w:pStyle w:val="Jurisdictioncommentsbodytext"/>
            </w:pPr>
            <w:r>
              <w:t>Compared to similar countries, Australia has an efficient health system. The most recent Global Burden of Disease Study found that Australia achieves strong health outcomes with lower than average spending on health per capita.</w:t>
            </w:r>
          </w:p>
          <w:p w:rsidR="001040A3" w:rsidRDefault="001040A3" w:rsidP="001040A3">
            <w:pPr>
              <w:pStyle w:val="Jurisdictioncommentsbodytext"/>
            </w:pPr>
            <w:r>
              <w:t xml:space="preserve">Effective and efficient health policy takes into consideration the effects of an ageing population on demand for health care, increasing risks to the overall health of Australians through poor lifestyle choices and the impact of advancing technology and new drugs. Australia’s health system faces significant challenges from illness, poor health behaviours and health outcome disparities. About one-third of Australia’s burden of disease is due to ‘lifestyle’ health risks such as smoking, obesity, dietary risks, physical inactivity, and alcohol misuse. Significant gains have been made with lower smoking rates across the population. Obesity is being tackled through work to develop dietary guidelines and a front of pack labelling system to provide consumers with the information they need to make healthy eating choices. </w:t>
            </w:r>
          </w:p>
          <w:p w:rsidR="001040A3" w:rsidRDefault="001040A3" w:rsidP="001040A3">
            <w:pPr>
              <w:pStyle w:val="Jurisdictioncommentsbodytext"/>
            </w:pPr>
            <w:r>
              <w:t xml:space="preserve">Medicare provides all Australians with free treatment as a public patient in public hospitals. Over 80 per cent of general practitioner services are bulk billed at no cost to the patient. Medicare also provides subsidised access to specialists, </w:t>
            </w:r>
            <w:proofErr w:type="spellStart"/>
            <w:r>
              <w:t>optometrical</w:t>
            </w:r>
            <w:proofErr w:type="spellEnd"/>
            <w:r>
              <w:t xml:space="preserve"> services and certain allied health services. The Pharmaceutical Benefits Scheme (</w:t>
            </w:r>
            <w:proofErr w:type="spellStart"/>
            <w:r>
              <w:t>PBS</w:t>
            </w:r>
            <w:proofErr w:type="spellEnd"/>
            <w:r>
              <w:t xml:space="preserve">) allows Australians to access medications at affordable prices. The </w:t>
            </w:r>
            <w:proofErr w:type="spellStart"/>
            <w:r>
              <w:t>PBS</w:t>
            </w:r>
            <w:proofErr w:type="spellEnd"/>
            <w:r>
              <w:t xml:space="preserve"> subsidises around 750 medicines available in more than 1970 forms. </w:t>
            </w:r>
          </w:p>
          <w:p w:rsidR="001040A3" w:rsidRPr="001040A3" w:rsidRDefault="001040A3" w:rsidP="001040A3">
            <w:pPr>
              <w:pStyle w:val="Jurisdictioncommentsbodytext"/>
            </w:pPr>
            <w:r>
              <w:t>Australia’s comprehensive immunisation program protects people against harmful diseases. Compared to most other countries, Australia provides a greater range of vaccines free to its citizens. In 2012-13, immunisation coverage for five year olds exceeded 90 per cent.</w:t>
            </w:r>
          </w:p>
        </w:tc>
        <w:tc>
          <w:tcPr>
            <w:tcW w:w="850" w:type="dxa"/>
            <w:tcBorders>
              <w:left w:val="nil"/>
            </w:tcBorders>
          </w:tcPr>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p>
          <w:p w:rsidR="00F60880" w:rsidRDefault="00F60880" w:rsidP="007A431D">
            <w:pPr>
              <w:pStyle w:val="BodyText"/>
              <w:spacing w:before="0" w:after="140"/>
              <w:rPr>
                <w:rFonts w:ascii="Arial" w:hAnsi="Arial"/>
                <w:b/>
              </w:rPr>
            </w:pPr>
          </w:p>
          <w:p w:rsidR="0093070A" w:rsidRDefault="0093070A" w:rsidP="007A431D">
            <w:pPr>
              <w:pStyle w:val="BodyText"/>
              <w:spacing w:before="0" w:after="140"/>
              <w:rPr>
                <w:rFonts w:ascii="Arial" w:hAnsi="Arial"/>
                <w:b/>
              </w:rPr>
            </w:pPr>
          </w:p>
          <w:p w:rsidR="0093070A" w:rsidRPr="00A05A09" w:rsidRDefault="0093070A" w:rsidP="007A431D">
            <w:pPr>
              <w:pStyle w:val="BodyText"/>
              <w:spacing w:before="0" w:after="140"/>
              <w:rPr>
                <w:rFonts w:ascii="Arial" w:hAnsi="Arial"/>
                <w:b/>
              </w:rPr>
            </w:pPr>
          </w:p>
          <w:p w:rsidR="00F60880" w:rsidRPr="00A05A09" w:rsidRDefault="00F60880" w:rsidP="007A431D">
            <w:pPr>
              <w:pStyle w:val="BodyText"/>
              <w:spacing w:before="0" w:after="140"/>
              <w:rPr>
                <w:rFonts w:ascii="Arial" w:hAnsi="Arial"/>
                <w:b/>
              </w:rPr>
            </w:pPr>
            <w:r w:rsidRPr="00A05A09">
              <w:rPr>
                <w:b/>
                <w:sz w:val="132"/>
              </w:rPr>
              <w:t>”</w:t>
            </w:r>
          </w:p>
        </w:tc>
      </w:tr>
    </w:tbl>
    <w:p w:rsidR="00E62C5A" w:rsidRPr="00595C97" w:rsidRDefault="00F156AA" w:rsidP="00DC0EC3">
      <w:pPr>
        <w:pStyle w:val="Heading2"/>
      </w:pPr>
      <w:bookmarkStart w:id="58" w:name="_Toc313526083"/>
      <w:bookmarkStart w:id="59" w:name="_Toc338147190"/>
      <w:proofErr w:type="spellStart"/>
      <w:r>
        <w:lastRenderedPageBreak/>
        <w:t>E.</w:t>
      </w:r>
      <w:r w:rsidR="00C01FBD">
        <w:rPr>
          <w:noProof/>
        </w:rPr>
        <w:t>6</w:t>
      </w:r>
      <w:proofErr w:type="spellEnd"/>
      <w:r w:rsidR="00EE0144">
        <w:tab/>
      </w:r>
      <w:r w:rsidR="005819E7" w:rsidRPr="00595C97">
        <w:t>List of a</w:t>
      </w:r>
      <w:r w:rsidR="00347A5C" w:rsidRPr="00595C97">
        <w:t>ttachment</w:t>
      </w:r>
      <w:r w:rsidR="00770F72" w:rsidRPr="00595C97">
        <w:t xml:space="preserve"> tables</w:t>
      </w:r>
      <w:bookmarkEnd w:id="58"/>
      <w:bookmarkEnd w:id="59"/>
    </w:p>
    <w:p w:rsidR="00503BD1" w:rsidRDefault="00503BD1" w:rsidP="00503BD1">
      <w:pPr>
        <w:pStyle w:val="BodyText"/>
      </w:pPr>
      <w:r w:rsidRPr="00595C97">
        <w:t xml:space="preserve">Attachment tables are identified in references throughout this </w:t>
      </w:r>
      <w:r w:rsidRPr="002B75F8">
        <w:t>appendix</w:t>
      </w:r>
      <w:r w:rsidRPr="00595C97">
        <w:t xml:space="preserve"> by an ‘</w:t>
      </w:r>
      <w:proofErr w:type="spellStart"/>
      <w:r>
        <w:t>E</w:t>
      </w:r>
      <w:r w:rsidRPr="002B75F8">
        <w:t>A</w:t>
      </w:r>
      <w:proofErr w:type="spellEnd"/>
      <w:r w:rsidRPr="002B75F8">
        <w:t xml:space="preserve">’ </w:t>
      </w:r>
      <w:r w:rsidR="00762F83">
        <w:t>prefix</w:t>
      </w:r>
      <w:r w:rsidRPr="00595C97">
        <w:t xml:space="preserve"> (for example, </w:t>
      </w:r>
      <w:r w:rsidRPr="002B75F8">
        <w:t xml:space="preserve">table </w:t>
      </w:r>
      <w:proofErr w:type="spellStart"/>
      <w:r w:rsidRPr="00595C97">
        <w:t>EA.</w:t>
      </w:r>
      <w:r w:rsidR="00F74232">
        <w:t>1</w:t>
      </w:r>
      <w:proofErr w:type="spellEnd"/>
      <w:r w:rsidRPr="00595C97">
        <w:t xml:space="preserve">). Attachment tables are </w:t>
      </w:r>
      <w:r w:rsidRPr="002B75F8">
        <w:t>available</w:t>
      </w:r>
      <w:r w:rsidRPr="00595C97">
        <w:t xml:space="preserve"> on the Review website (</w:t>
      </w:r>
      <w:proofErr w:type="spellStart"/>
      <w:r w:rsidR="0067752E" w:rsidRPr="0067752E">
        <w:t>www.pc.gov.au</w:t>
      </w:r>
      <w:proofErr w:type="spellEnd"/>
      <w:r w:rsidR="0067752E" w:rsidRPr="0067752E">
        <w:t>/</w:t>
      </w:r>
      <w:proofErr w:type="spellStart"/>
      <w:r w:rsidR="0067752E" w:rsidRPr="0067752E">
        <w:t>gsp</w:t>
      </w:r>
      <w:proofErr w:type="spellEnd"/>
      <w:r w:rsidR="0067752E">
        <w:t>).</w:t>
      </w:r>
    </w:p>
    <w:p w:rsidR="0067752E" w:rsidRPr="00207589" w:rsidRDefault="0067752E" w:rsidP="00503BD1">
      <w:pPr>
        <w:pStyle w:val="BodyText"/>
        <w:rPr>
          <w:rStyle w:val="DraftingNote"/>
        </w:rPr>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84"/>
        <w:gridCol w:w="7476"/>
      </w:tblGrid>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Total health expenditure, by broad source of funds (2011-12 dollars)   </w:t>
            </w:r>
          </w:p>
        </w:tc>
      </w:tr>
      <w:tr w:rsidR="00353F1F" w:rsidRPr="00595C97" w:rsidTr="0003222F">
        <w:trPr>
          <w:trHeight w:val="364"/>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Government recurrent health expenditure, by area of expenditure </w:t>
            </w:r>
            <w:r w:rsidRPr="00353F1F">
              <w:rPr>
                <w:rFonts w:ascii="Arial" w:hAnsi="Arial" w:cs="Arial"/>
                <w:bCs/>
                <w:sz w:val="20"/>
                <w:szCs w:val="20"/>
              </w:rPr>
              <w:br/>
              <w:t xml:space="preserve">(2011-12 dollars)    </w:t>
            </w:r>
          </w:p>
        </w:tc>
      </w:tr>
      <w:tr w:rsidR="00353F1F" w:rsidRPr="00595C97" w:rsidTr="0003222F">
        <w:trPr>
          <w:trHeight w:val="612"/>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Non-government recurrent health expenditure by area of expenditure (2011-12 dollars)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Recurrent health expenditure, by source of fund</w:t>
            </w:r>
            <w:r w:rsidR="005F1B06">
              <w:rPr>
                <w:rFonts w:ascii="Arial" w:hAnsi="Arial" w:cs="Arial"/>
                <w:bCs/>
                <w:sz w:val="20"/>
                <w:szCs w:val="20"/>
              </w:rPr>
              <w:t>s and area of expenditure, 2011</w:t>
            </w:r>
            <w:r w:rsidR="005F1B06">
              <w:rPr>
                <w:rFonts w:ascii="Arial" w:hAnsi="Arial" w:cs="Arial"/>
                <w:bCs/>
                <w:sz w:val="20"/>
                <w:szCs w:val="20"/>
              </w:rPr>
              <w:noBreakHyphen/>
            </w:r>
            <w:r w:rsidRPr="00353F1F">
              <w:rPr>
                <w:rFonts w:ascii="Arial" w:hAnsi="Arial" w:cs="Arial"/>
                <w:bCs/>
                <w:sz w:val="20"/>
                <w:szCs w:val="20"/>
              </w:rPr>
              <w:t xml:space="preserve">12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Total health expenditure per person (2011-12 dollars)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EA.6</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Recurrent health expenditure per person by source of funds (2011-12 dollars)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EA.7</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Total health price index</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EA.8</w:t>
            </w:r>
            <w:proofErr w:type="spellEnd"/>
          </w:p>
        </w:tc>
        <w:tc>
          <w:tcPr>
            <w:tcW w:w="7476" w:type="dxa"/>
          </w:tcPr>
          <w:p w:rsidR="00353F1F" w:rsidRPr="00353F1F" w:rsidRDefault="00353F1F">
            <w:pPr>
              <w:jc w:val="both"/>
              <w:rPr>
                <w:rFonts w:ascii="Arial" w:hAnsi="Arial" w:cs="Arial"/>
                <w:bCs/>
                <w:sz w:val="20"/>
                <w:szCs w:val="20"/>
              </w:rPr>
            </w:pPr>
            <w:proofErr w:type="spellStart"/>
            <w:r w:rsidRPr="00353F1F">
              <w:rPr>
                <w:rFonts w:ascii="Arial" w:hAnsi="Arial" w:cs="Arial"/>
                <w:bCs/>
                <w:sz w:val="20"/>
                <w:szCs w:val="20"/>
              </w:rPr>
              <w:t>Birthweights</w:t>
            </w:r>
            <w:proofErr w:type="spellEnd"/>
            <w:r w:rsidRPr="00353F1F">
              <w:rPr>
                <w:rFonts w:ascii="Arial" w:hAnsi="Arial" w:cs="Arial"/>
                <w:bCs/>
                <w:sz w:val="20"/>
                <w:szCs w:val="20"/>
              </w:rPr>
              <w:t xml:space="preserve">, live births, all mothers, 2011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EA.9</w:t>
            </w:r>
            <w:proofErr w:type="spellEnd"/>
          </w:p>
        </w:tc>
        <w:tc>
          <w:tcPr>
            <w:tcW w:w="7476" w:type="dxa"/>
          </w:tcPr>
          <w:p w:rsidR="00353F1F" w:rsidRPr="00353F1F" w:rsidRDefault="00353F1F">
            <w:pPr>
              <w:jc w:val="both"/>
              <w:rPr>
                <w:rFonts w:ascii="Arial" w:hAnsi="Arial" w:cs="Arial"/>
                <w:bCs/>
                <w:sz w:val="20"/>
                <w:szCs w:val="20"/>
              </w:rPr>
            </w:pPr>
            <w:proofErr w:type="spellStart"/>
            <w:r w:rsidRPr="00353F1F">
              <w:rPr>
                <w:rFonts w:ascii="Arial" w:hAnsi="Arial" w:cs="Arial"/>
                <w:bCs/>
                <w:sz w:val="20"/>
                <w:szCs w:val="20"/>
              </w:rPr>
              <w:t>Birthweights</w:t>
            </w:r>
            <w:proofErr w:type="spellEnd"/>
            <w:r w:rsidRPr="00353F1F">
              <w:rPr>
                <w:rFonts w:ascii="Arial" w:hAnsi="Arial" w:cs="Arial"/>
                <w:bCs/>
                <w:sz w:val="20"/>
                <w:szCs w:val="20"/>
              </w:rPr>
              <w:t xml:space="preserve">, live births, Indigenous mothers, 2011 </w:t>
            </w:r>
          </w:p>
        </w:tc>
      </w:tr>
      <w:tr w:rsidR="00353F1F" w:rsidRPr="00595C97" w:rsidTr="0003222F">
        <w:trPr>
          <w:trHeight w:val="612"/>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EA.10</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live-born singleton babies of low </w:t>
            </w:r>
            <w:proofErr w:type="spellStart"/>
            <w:r w:rsidRPr="00353F1F">
              <w:rPr>
                <w:rFonts w:ascii="Arial" w:hAnsi="Arial" w:cs="Arial"/>
                <w:bCs/>
                <w:sz w:val="20"/>
                <w:szCs w:val="20"/>
              </w:rPr>
              <w:t>birthweight</w:t>
            </w:r>
            <w:proofErr w:type="spellEnd"/>
            <w:r w:rsidRPr="00353F1F">
              <w:rPr>
                <w:rFonts w:ascii="Arial" w:hAnsi="Arial" w:cs="Arial"/>
                <w:bCs/>
                <w:sz w:val="20"/>
                <w:szCs w:val="20"/>
              </w:rPr>
              <w:t xml:space="preserve">, by maternal Indigenous status     </w:t>
            </w:r>
          </w:p>
        </w:tc>
      </w:tr>
      <w:tr w:rsidR="00353F1F" w:rsidRPr="00595C97" w:rsidTr="0003222F">
        <w:trPr>
          <w:trHeight w:hRule="exact" w:val="51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EA.11</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live-born singleton babies of low </w:t>
            </w:r>
            <w:proofErr w:type="spellStart"/>
            <w:r w:rsidRPr="00353F1F">
              <w:rPr>
                <w:rFonts w:ascii="Arial" w:hAnsi="Arial" w:cs="Arial"/>
                <w:bCs/>
                <w:sz w:val="20"/>
                <w:szCs w:val="20"/>
              </w:rPr>
              <w:t>birthweight</w:t>
            </w:r>
            <w:proofErr w:type="spellEnd"/>
            <w:r w:rsidRPr="00353F1F">
              <w:rPr>
                <w:rFonts w:ascii="Arial" w:hAnsi="Arial" w:cs="Arial"/>
                <w:bCs/>
                <w:sz w:val="20"/>
                <w:szCs w:val="20"/>
              </w:rPr>
              <w:t xml:space="preserve">, by remoteness and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quintiles, and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w:t>
            </w:r>
            <w:proofErr w:type="spellStart"/>
            <w:r w:rsidRPr="00353F1F">
              <w:rPr>
                <w:rFonts w:ascii="Arial" w:hAnsi="Arial" w:cs="Arial"/>
                <w:bCs/>
                <w:sz w:val="20"/>
                <w:szCs w:val="20"/>
              </w:rPr>
              <w:t>deciles</w:t>
            </w:r>
            <w:proofErr w:type="spellEnd"/>
            <w:r w:rsidRPr="00353F1F">
              <w:rPr>
                <w:rFonts w:ascii="Arial" w:hAnsi="Arial" w:cs="Arial"/>
                <w:bCs/>
                <w:sz w:val="20"/>
                <w:szCs w:val="20"/>
              </w:rPr>
              <w:t xml:space="preserve">, National, 2011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EA.12</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and children in BMI categories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EA.13</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 of overweight and obesity for adults and children, by remoteness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EA.14</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Rates of overweight and obesity for adults and children, by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w:t>
            </w:r>
            <w:proofErr w:type="spellStart"/>
            <w:r w:rsidRPr="00353F1F">
              <w:rPr>
                <w:rFonts w:ascii="Arial" w:hAnsi="Arial" w:cs="Arial"/>
                <w:bCs/>
                <w:sz w:val="20"/>
                <w:szCs w:val="20"/>
              </w:rPr>
              <w:t>IRSD</w:t>
            </w:r>
            <w:proofErr w:type="spellEnd"/>
            <w:r w:rsidRPr="00353F1F">
              <w:rPr>
                <w:rFonts w:ascii="Arial" w:hAnsi="Arial" w:cs="Arial"/>
                <w:bCs/>
                <w:sz w:val="20"/>
                <w:szCs w:val="20"/>
              </w:rPr>
              <w:t xml:space="preserve"> </w:t>
            </w:r>
            <w:proofErr w:type="spellStart"/>
            <w:r w:rsidRPr="00353F1F">
              <w:rPr>
                <w:rFonts w:ascii="Arial" w:hAnsi="Arial" w:cs="Arial"/>
                <w:bCs/>
                <w:sz w:val="20"/>
                <w:szCs w:val="20"/>
              </w:rPr>
              <w:t>qunitiles</w:t>
            </w:r>
            <w:proofErr w:type="spellEnd"/>
            <w:r w:rsidRPr="00353F1F">
              <w:rPr>
                <w:rFonts w:ascii="Arial" w:hAnsi="Arial" w:cs="Arial"/>
                <w:bCs/>
                <w:sz w:val="20"/>
                <w:szCs w:val="20"/>
              </w:rPr>
              <w:t xml:space="preserve">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EA.15</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Rates of overweight and obesity for adults, by sex and age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EA.16</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Rates of overweight and obesity for adults, by Indigenous status, 2011-13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EA.17</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Rates of overweight and obesity for adults, by Indigenous status, 2004-05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EA.18</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 of overweight and obesity for children by Indigenous status, 2011–13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EA.19</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who are daily smokers, by remoteness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EA.20</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who are daily smokers, by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w:t>
            </w:r>
            <w:proofErr w:type="spellStart"/>
            <w:r w:rsidRPr="00353F1F">
              <w:rPr>
                <w:rFonts w:ascii="Arial" w:hAnsi="Arial" w:cs="Arial"/>
                <w:bCs/>
                <w:sz w:val="20"/>
                <w:szCs w:val="20"/>
              </w:rPr>
              <w:t>IRSD</w:t>
            </w:r>
            <w:proofErr w:type="spellEnd"/>
            <w:r w:rsidRPr="00353F1F">
              <w:rPr>
                <w:rFonts w:ascii="Arial" w:hAnsi="Arial" w:cs="Arial"/>
                <w:bCs/>
                <w:sz w:val="20"/>
                <w:szCs w:val="20"/>
              </w:rPr>
              <w:t xml:space="preserve"> quintiles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EA.21</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who are daily smokers, by Indigenous status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EA.22</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at risk of long term harm from alcohol (2009 </w:t>
            </w:r>
            <w:proofErr w:type="spellStart"/>
            <w:r w:rsidRPr="00353F1F">
              <w:rPr>
                <w:rFonts w:ascii="Arial" w:hAnsi="Arial" w:cs="Arial"/>
                <w:bCs/>
                <w:sz w:val="20"/>
                <w:szCs w:val="20"/>
              </w:rPr>
              <w:t>NHMRC</w:t>
            </w:r>
            <w:proofErr w:type="spellEnd"/>
            <w:r w:rsidRPr="00353F1F">
              <w:rPr>
                <w:rFonts w:ascii="Arial" w:hAnsi="Arial" w:cs="Arial"/>
                <w:bCs/>
                <w:sz w:val="20"/>
                <w:szCs w:val="20"/>
              </w:rPr>
              <w:t xml:space="preserve"> guidelines), by remoteness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EA.23</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at risk of long term harm from alcohol (2009 </w:t>
            </w:r>
            <w:proofErr w:type="spellStart"/>
            <w:r w:rsidRPr="00353F1F">
              <w:rPr>
                <w:rFonts w:ascii="Arial" w:hAnsi="Arial" w:cs="Arial"/>
                <w:bCs/>
                <w:sz w:val="20"/>
                <w:szCs w:val="20"/>
              </w:rPr>
              <w:t>NHMRC</w:t>
            </w:r>
            <w:proofErr w:type="spellEnd"/>
            <w:r w:rsidRPr="00353F1F">
              <w:rPr>
                <w:rFonts w:ascii="Arial" w:hAnsi="Arial" w:cs="Arial"/>
                <w:bCs/>
                <w:sz w:val="20"/>
                <w:szCs w:val="20"/>
              </w:rPr>
              <w:t xml:space="preserve"> guidelines), by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w:t>
            </w:r>
            <w:proofErr w:type="spellStart"/>
            <w:r w:rsidRPr="00353F1F">
              <w:rPr>
                <w:rFonts w:ascii="Arial" w:hAnsi="Arial" w:cs="Arial"/>
                <w:bCs/>
                <w:sz w:val="20"/>
                <w:szCs w:val="20"/>
              </w:rPr>
              <w:t>IRSD</w:t>
            </w:r>
            <w:proofErr w:type="spellEnd"/>
            <w:r w:rsidRPr="00353F1F">
              <w:rPr>
                <w:rFonts w:ascii="Arial" w:hAnsi="Arial" w:cs="Arial"/>
                <w:bCs/>
                <w:sz w:val="20"/>
                <w:szCs w:val="20"/>
              </w:rPr>
              <w:t xml:space="preserve"> quintiles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EA.24</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adults at risk of long term harm from alcohol (2009 </w:t>
            </w:r>
            <w:proofErr w:type="spellStart"/>
            <w:r w:rsidRPr="00353F1F">
              <w:rPr>
                <w:rFonts w:ascii="Arial" w:hAnsi="Arial" w:cs="Arial"/>
                <w:bCs/>
                <w:sz w:val="20"/>
                <w:szCs w:val="20"/>
              </w:rPr>
              <w:t>NHMRC</w:t>
            </w:r>
            <w:proofErr w:type="spellEnd"/>
            <w:r w:rsidRPr="00353F1F">
              <w:rPr>
                <w:rFonts w:ascii="Arial" w:hAnsi="Arial" w:cs="Arial"/>
                <w:bCs/>
                <w:sz w:val="20"/>
                <w:szCs w:val="20"/>
              </w:rPr>
              <w:t xml:space="preserve"> guidelines), by Indigenous status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EA.25</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Incidence of selected cancers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EA.26</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Incidence of selected cancers, by remoteness area, 2010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EA.27</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Incidence of selected cancers, by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w:t>
            </w:r>
            <w:proofErr w:type="spellStart"/>
            <w:r w:rsidRPr="00353F1F">
              <w:rPr>
                <w:rFonts w:ascii="Arial" w:hAnsi="Arial" w:cs="Arial"/>
                <w:bCs/>
                <w:sz w:val="20"/>
                <w:szCs w:val="20"/>
              </w:rPr>
              <w:t>IRSD</w:t>
            </w:r>
            <w:proofErr w:type="spellEnd"/>
            <w:r w:rsidRPr="00353F1F">
              <w:rPr>
                <w:rFonts w:ascii="Arial" w:hAnsi="Arial" w:cs="Arial"/>
                <w:bCs/>
                <w:sz w:val="20"/>
                <w:szCs w:val="20"/>
              </w:rPr>
              <w:t xml:space="preserve"> quintiles, 2010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EA.28</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Incidence of selected cancers, by Indigenous status     </w:t>
            </w:r>
          </w:p>
        </w:tc>
      </w:tr>
      <w:tr w:rsidR="00353F1F" w:rsidRPr="00595C97" w:rsidTr="0003222F">
        <w:trPr>
          <w:trHeight w:val="612"/>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lastRenderedPageBreak/>
              <w:t xml:space="preserve">Table </w:t>
            </w:r>
            <w:proofErr w:type="spellStart"/>
            <w:r w:rsidRPr="00353F1F">
              <w:rPr>
                <w:rFonts w:asciiTheme="minorHAnsi" w:eastAsiaTheme="minorHAnsi" w:hAnsiTheme="minorHAnsi" w:cstheme="minorBidi"/>
                <w:b/>
                <w:sz w:val="22"/>
                <w:szCs w:val="22"/>
                <w:lang w:eastAsia="en-US"/>
              </w:rPr>
              <w:t>EA.29</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rate of heart attacks (new cases), people 25 years or over, by Indigenous status, 2007 to 2011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EA.30</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Rate of heart attacks, by age and sex, people aged 25 years and over, 2007 to 2011  </w:t>
            </w:r>
          </w:p>
        </w:tc>
      </w:tr>
      <w:tr w:rsidR="00353F1F" w:rsidRPr="00595C97" w:rsidTr="0003222F">
        <w:trPr>
          <w:trHeight w:val="326"/>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EA.31</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with type 2 diabetes (based on fasting glucose test), by State and Territory, by sex, 2011-12 (per cent)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EA.32</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Age-standardised mortality rates of potentially avoidable deaths, under 75 years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EA.33</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mortality rates of potentially avoidable deaths, under 75 years, by Indigenous status, NSW, Queensland, WA, SA, NT, 2007–2011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EA.34</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All Australians average life expectancy at birth (years)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EA.35</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Estimated life expectancies at birth, by Indigenous status and sex (years)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EA.36</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Median age at death (years)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EA.37</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Median age at death, by Indigenous status (years)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EA.38</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mortality rate (all causes), by State and Territory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EA.39</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all-cause mortality rate, rate ratios and rate differences, by Indigenous status, NSW, Qld, WA, SA, NT,  five year aggregate, 2008–2012 (per 100 000 people)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EA.40</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all-cause mortality rate, rate ratios and rate differences, by Indigenous status, NSW, Qld, WA, SA, NT, single year, 2006 to 2012 (per 100 000 people)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EA.41</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Infant mortality      </w:t>
            </w:r>
          </w:p>
        </w:tc>
      </w:tr>
      <w:tr w:rsidR="00353F1F" w:rsidRPr="00595C97" w:rsidTr="0003222F">
        <w:trPr>
          <w:trHeigh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EA.42</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Infant mortality rate by Indigenous status, three year average (per 1000 live births)      </w:t>
            </w:r>
          </w:p>
        </w:tc>
      </w:tr>
      <w:tr w:rsidR="00353F1F" w:rsidRPr="00595C97" w:rsidTr="0003222F">
        <w:trPr>
          <w:trHeigh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EA.43</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All causes infant and child mortality, by age group     </w:t>
            </w:r>
          </w:p>
        </w:tc>
      </w:tr>
      <w:tr w:rsidR="00353F1F" w:rsidRPr="00595C97" w:rsidTr="0003222F">
        <w:trPr>
          <w:trHeight w:val="256"/>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EA.44</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All causes infant and child mortality, by Indigenous status, NSW, Queensland, WA, SA, NT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EA.45</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mortality rates by cause of death (with variability bands), by State and Territory     </w:t>
            </w:r>
          </w:p>
        </w:tc>
      </w:tr>
      <w:tr w:rsidR="00353F1F" w:rsidRPr="00595C97" w:rsidTr="0003222F">
        <w:trPr>
          <w:trHeight w:val="357"/>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EA.46</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Age standardised mortality rates by major cause of death, by Indigenous status, 2007–2011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EA.47</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Employed medical practitioners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EA.48</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Employed nurses     </w:t>
            </w:r>
          </w:p>
        </w:tc>
      </w:tr>
      <w:tr w:rsidR="00353F1F" w:rsidRPr="00595C97" w:rsidTr="0003222F">
        <w:trPr>
          <w:trHeight w:hRule="exac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EA.49</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Net growth in health workforce, selected professions  </w:t>
            </w:r>
          </w:p>
        </w:tc>
      </w:tr>
      <w:tr w:rsidR="00353F1F" w:rsidRPr="00595C97" w:rsidTr="0003222F">
        <w:trPr>
          <w:trHeight w:val="274"/>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EA.50</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Employed health workforce, by Indigenous status and state and territory of principal practice  </w:t>
            </w:r>
          </w:p>
        </w:tc>
      </w:tr>
      <w:tr w:rsidR="00353F1F" w:rsidRPr="00595C97" w:rsidTr="0003222F">
        <w:trPr>
          <w:trHeigh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EA.51</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Indigenous health workforce, by State/Territory, 2011    </w:t>
            </w:r>
          </w:p>
        </w:tc>
      </w:tr>
      <w:tr w:rsidR="00353F1F" w:rsidRPr="00595C97" w:rsidTr="0003222F">
        <w:trPr>
          <w:trHeight w:val="340"/>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EA.52</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Indigenous health workforce, by sex, 2011    </w:t>
            </w:r>
          </w:p>
        </w:tc>
      </w:tr>
      <w:tr w:rsidR="00353F1F" w:rsidRPr="00595C97" w:rsidTr="001910A9">
        <w:trPr>
          <w:trHeight w:val="346"/>
        </w:trPr>
        <w:tc>
          <w:tcPr>
            <w:tcW w:w="1384" w:type="dxa"/>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EA.53</w:t>
            </w:r>
            <w:proofErr w:type="spellEnd"/>
          </w:p>
        </w:tc>
        <w:tc>
          <w:tcPr>
            <w:tcW w:w="7476" w:type="dxa"/>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Indigenous persons employed in selected health-related occupations, 2011    </w:t>
            </w:r>
          </w:p>
        </w:tc>
      </w:tr>
      <w:tr w:rsidR="00353F1F" w:rsidRPr="00595C97" w:rsidTr="0003222F">
        <w:trPr>
          <w:trHeight w:val="340"/>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EA.54</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2011-13   </w:t>
            </w:r>
          </w:p>
        </w:tc>
      </w:tr>
      <w:tr w:rsidR="00353F1F" w:rsidRPr="00595C97" w:rsidTr="00952257">
        <w:trPr>
          <w:trHeight w:val="190"/>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EA.55</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2004-05   </w:t>
            </w:r>
          </w:p>
        </w:tc>
      </w:tr>
      <w:tr w:rsidR="00353F1F" w:rsidRPr="00595C97" w:rsidTr="0003222F">
        <w:trPr>
          <w:trHeight w:val="612"/>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EA.56</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Indigenous Australians who accessed health services by health status, 2011-13   </w:t>
            </w:r>
          </w:p>
        </w:tc>
      </w:tr>
      <w:tr w:rsidR="00353F1F" w:rsidRPr="00595C97" w:rsidTr="0003222F">
        <w:trPr>
          <w:trHeight w:val="612"/>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lastRenderedPageBreak/>
              <w:t xml:space="preserve">Table </w:t>
            </w:r>
            <w:proofErr w:type="spellStart"/>
            <w:r w:rsidRPr="00353F1F">
              <w:rPr>
                <w:rFonts w:asciiTheme="minorHAnsi" w:eastAsiaTheme="minorHAnsi" w:hAnsiTheme="minorHAnsi" w:cstheme="minorBidi"/>
                <w:b/>
                <w:sz w:val="22"/>
                <w:szCs w:val="22"/>
                <w:lang w:eastAsia="en-US"/>
              </w:rPr>
              <w:t>EA.57</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by Indigenous status, 2004-05   </w:t>
            </w:r>
          </w:p>
        </w:tc>
      </w:tr>
      <w:tr w:rsidR="00353F1F" w:rsidRPr="00595C97" w:rsidTr="0003222F">
        <w:trPr>
          <w:trHeight w:val="612"/>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EA.58</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by remoteness of residence, 2011-13   </w:t>
            </w:r>
          </w:p>
        </w:tc>
      </w:tr>
      <w:tr w:rsidR="00353F1F" w:rsidRPr="00595C97" w:rsidTr="0003222F">
        <w:trPr>
          <w:trHeight w:val="612"/>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EA.59</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by remoteness of residence, 2004-05   </w:t>
            </w:r>
          </w:p>
        </w:tc>
      </w:tr>
      <w:tr w:rsidR="00353F1F" w:rsidRPr="00595C97" w:rsidTr="0003222F">
        <w:trPr>
          <w:trHeight w:val="612"/>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EA.60</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by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2011-13   </w:t>
            </w:r>
          </w:p>
        </w:tc>
      </w:tr>
      <w:tr w:rsidR="00353F1F" w:rsidRPr="00595C97" w:rsidTr="0003222F">
        <w:trPr>
          <w:trHeight w:val="612"/>
        </w:trPr>
        <w:tc>
          <w:tcPr>
            <w:tcW w:w="1384" w:type="dxa"/>
            <w:shd w:val="clear" w:color="auto" w:fill="auto"/>
            <w:noWrap/>
          </w:tcPr>
          <w:p w:rsidR="00353F1F" w:rsidRPr="00353F1F" w:rsidRDefault="00353F1F" w:rsidP="0003222F">
            <w:pPr>
              <w:spacing w:after="200" w:line="276" w:lineRule="auto"/>
              <w:rPr>
                <w:rFonts w:asciiTheme="minorHAnsi" w:eastAsiaTheme="minorHAnsi" w:hAnsiTheme="minorHAnsi" w:cstheme="minorBidi"/>
                <w:b/>
                <w:sz w:val="22"/>
                <w:szCs w:val="22"/>
                <w:lang w:eastAsia="en-US"/>
              </w:rPr>
            </w:pPr>
            <w:r w:rsidRPr="00353F1F">
              <w:rPr>
                <w:rFonts w:asciiTheme="minorHAnsi" w:eastAsiaTheme="minorHAnsi" w:hAnsiTheme="minorHAnsi" w:cstheme="minorBidi"/>
                <w:b/>
                <w:sz w:val="22"/>
                <w:szCs w:val="22"/>
                <w:lang w:eastAsia="en-US"/>
              </w:rPr>
              <w:t xml:space="preserve">Table </w:t>
            </w:r>
            <w:proofErr w:type="spellStart"/>
            <w:r w:rsidRPr="00353F1F">
              <w:rPr>
                <w:rFonts w:asciiTheme="minorHAnsi" w:eastAsiaTheme="minorHAnsi" w:hAnsiTheme="minorHAnsi" w:cstheme="minorBidi"/>
                <w:b/>
                <w:sz w:val="22"/>
                <w:szCs w:val="22"/>
                <w:lang w:eastAsia="en-US"/>
              </w:rPr>
              <w:t>EA.61</w:t>
            </w:r>
            <w:proofErr w:type="spellEnd"/>
          </w:p>
        </w:tc>
        <w:tc>
          <w:tcPr>
            <w:tcW w:w="7476" w:type="dxa"/>
            <w:shd w:val="clear" w:color="auto" w:fill="auto"/>
          </w:tcPr>
          <w:p w:rsidR="00353F1F" w:rsidRPr="00353F1F" w:rsidRDefault="00353F1F">
            <w:pPr>
              <w:jc w:val="both"/>
              <w:rPr>
                <w:rFonts w:ascii="Arial" w:hAnsi="Arial" w:cs="Arial"/>
                <w:bCs/>
                <w:sz w:val="20"/>
                <w:szCs w:val="20"/>
              </w:rPr>
            </w:pPr>
            <w:r w:rsidRPr="00353F1F">
              <w:rPr>
                <w:rFonts w:ascii="Arial" w:hAnsi="Arial" w:cs="Arial"/>
                <w:bCs/>
                <w:sz w:val="20"/>
                <w:szCs w:val="20"/>
              </w:rPr>
              <w:t xml:space="preserve">Proportion of people who accessed health services by health status, by </w:t>
            </w:r>
            <w:proofErr w:type="spellStart"/>
            <w:r w:rsidRPr="00353F1F">
              <w:rPr>
                <w:rFonts w:ascii="Arial" w:hAnsi="Arial" w:cs="Arial"/>
                <w:bCs/>
                <w:sz w:val="20"/>
                <w:szCs w:val="20"/>
              </w:rPr>
              <w:t>SEIFA</w:t>
            </w:r>
            <w:proofErr w:type="spellEnd"/>
            <w:r w:rsidRPr="00353F1F">
              <w:rPr>
                <w:rFonts w:ascii="Arial" w:hAnsi="Arial" w:cs="Arial"/>
                <w:bCs/>
                <w:sz w:val="20"/>
                <w:szCs w:val="20"/>
              </w:rPr>
              <w:t xml:space="preserve">, 2004-05   </w:t>
            </w:r>
          </w:p>
        </w:tc>
      </w:tr>
    </w:tbl>
    <w:p w:rsidR="00622285" w:rsidRPr="00595C97" w:rsidRDefault="00F156AA" w:rsidP="00E43CB5">
      <w:pPr>
        <w:pStyle w:val="Heading2"/>
      </w:pPr>
      <w:bookmarkStart w:id="60" w:name="_Toc313526084"/>
      <w:bookmarkStart w:id="61" w:name="_Toc338147191"/>
      <w:proofErr w:type="spellStart"/>
      <w:r>
        <w:t>E.</w:t>
      </w:r>
      <w:r w:rsidR="00C01FBD">
        <w:rPr>
          <w:noProof/>
        </w:rPr>
        <w:t>7</w:t>
      </w:r>
      <w:proofErr w:type="spellEnd"/>
      <w:r w:rsidR="00EE0144" w:rsidRPr="00A44C00">
        <w:rPr>
          <w:color w:val="FF0000"/>
        </w:rPr>
        <w:tab/>
      </w:r>
      <w:r w:rsidR="00622285" w:rsidRPr="00E43CB5">
        <w:t>References</w:t>
      </w:r>
      <w:bookmarkEnd w:id="60"/>
      <w:bookmarkEnd w:id="61"/>
    </w:p>
    <w:p w:rsidR="008B788C" w:rsidRPr="006F007C" w:rsidRDefault="00622285" w:rsidP="00416F1F">
      <w:pPr>
        <w:pStyle w:val="Reference"/>
      </w:pPr>
      <w:r w:rsidRPr="006F007C">
        <w:t>ABS (Australian Bureau</w:t>
      </w:r>
      <w:r w:rsidR="00A262D3" w:rsidRPr="006F007C">
        <w:t xml:space="preserve"> of Statistics)</w:t>
      </w:r>
      <w:r w:rsidR="00E32E22" w:rsidRPr="006F007C">
        <w:t> </w:t>
      </w:r>
      <w:proofErr w:type="spellStart"/>
      <w:r w:rsidR="00EA0CD4" w:rsidRPr="006F007C">
        <w:t>20</w:t>
      </w:r>
      <w:r w:rsidR="00E07E42" w:rsidRPr="006F007C">
        <w:t>13a</w:t>
      </w:r>
      <w:proofErr w:type="spellEnd"/>
      <w:r w:rsidR="008B788C" w:rsidRPr="006F007C">
        <w:t xml:space="preserve">, </w:t>
      </w:r>
      <w:r w:rsidR="00E07E42" w:rsidRPr="006F007C">
        <w:rPr>
          <w:i/>
        </w:rPr>
        <w:t>Australian Aboriginal and Torres Strait Islander Health Survey: First Results, Australia, 2012-13</w:t>
      </w:r>
      <w:r w:rsidR="003E5C0A" w:rsidRPr="006F007C">
        <w:t>, Cat. no. 47</w:t>
      </w:r>
      <w:r w:rsidR="00E07E42" w:rsidRPr="006F007C">
        <w:t>27</w:t>
      </w:r>
      <w:r w:rsidR="003E5C0A" w:rsidRPr="006F007C">
        <w:t>.0</w:t>
      </w:r>
      <w:r w:rsidR="00E07E42" w:rsidRPr="006F007C">
        <w:t>.55.001</w:t>
      </w:r>
      <w:r w:rsidR="008B788C" w:rsidRPr="006F007C">
        <w:t>, Canberra.</w:t>
      </w:r>
    </w:p>
    <w:p w:rsidR="001113A0" w:rsidRPr="006F007C" w:rsidRDefault="001113A0" w:rsidP="001113A0">
      <w:pPr>
        <w:pStyle w:val="Reference"/>
        <w:rPr>
          <w:rStyle w:val="DraftingNote"/>
          <w:color w:val="auto"/>
        </w:rPr>
      </w:pPr>
      <w:r w:rsidRPr="006F007C">
        <w:t>—— </w:t>
      </w:r>
      <w:proofErr w:type="spellStart"/>
      <w:r w:rsidRPr="006F007C">
        <w:t>2013b</w:t>
      </w:r>
      <w:proofErr w:type="spellEnd"/>
      <w:r w:rsidRPr="006F007C">
        <w:t xml:space="preserve">, </w:t>
      </w:r>
      <w:r w:rsidRPr="006F007C">
        <w:rPr>
          <w:i/>
        </w:rPr>
        <w:t>Causes of Death Australia, 2011</w:t>
      </w:r>
      <w:r w:rsidRPr="006F007C">
        <w:t>, Cat. no. 3303.0, Canberra.</w:t>
      </w:r>
      <w:r w:rsidRPr="006F007C">
        <w:rPr>
          <w:rStyle w:val="DraftingNote"/>
          <w:color w:val="auto"/>
        </w:rPr>
        <w:t xml:space="preserve"> </w:t>
      </w:r>
    </w:p>
    <w:p w:rsidR="00937324" w:rsidRPr="006F007C" w:rsidRDefault="00937324" w:rsidP="00937324">
      <w:pPr>
        <w:pStyle w:val="Reference"/>
        <w:rPr>
          <w:b/>
          <w:sz w:val="24"/>
          <w:u w:val="dotted"/>
        </w:rPr>
      </w:pPr>
      <w:r w:rsidRPr="006F007C">
        <w:t>—— </w:t>
      </w:r>
      <w:proofErr w:type="spellStart"/>
      <w:r w:rsidRPr="006F007C">
        <w:t>2013c</w:t>
      </w:r>
      <w:proofErr w:type="spellEnd"/>
      <w:r w:rsidRPr="006F007C">
        <w:t xml:space="preserve">, </w:t>
      </w:r>
      <w:r w:rsidRPr="006F007C">
        <w:rPr>
          <w:i/>
        </w:rPr>
        <w:t>Deaths Australia 2012</w:t>
      </w:r>
      <w:r w:rsidRPr="006F007C">
        <w:t>, Cat. no. 3302.0, Canberra.</w:t>
      </w:r>
    </w:p>
    <w:p w:rsidR="00C87590" w:rsidRPr="006F007C" w:rsidRDefault="00C87590" w:rsidP="00C87590">
      <w:pPr>
        <w:pStyle w:val="Reference"/>
      </w:pPr>
      <w:r w:rsidRPr="006F007C">
        <w:t xml:space="preserve">—— 2009, </w:t>
      </w:r>
      <w:r w:rsidRPr="006F007C">
        <w:rPr>
          <w:i/>
        </w:rPr>
        <w:t>National Aboriginal and Torres Strait Islander Social Survey, 2008</w:t>
      </w:r>
      <w:r w:rsidRPr="006F007C">
        <w:t>, Australia, Cat. no. 4714.0, Canberra.</w:t>
      </w:r>
    </w:p>
    <w:p w:rsidR="00A856F3" w:rsidRPr="006F007C" w:rsidRDefault="00A856F3" w:rsidP="00A856F3">
      <w:pPr>
        <w:pStyle w:val="Reference"/>
      </w:pPr>
      <w:r w:rsidRPr="006F007C">
        <w:t xml:space="preserve">—— 2007, </w:t>
      </w:r>
      <w:r w:rsidRPr="006F007C">
        <w:rPr>
          <w:i/>
        </w:rPr>
        <w:t>Housing and Infrastructure in Aboriginal and Torres Islander Communities 2006, Australia, (Reissue)</w:t>
      </w:r>
      <w:r w:rsidRPr="006F007C">
        <w:t>, Cat. no. 4710.0, Canberra.</w:t>
      </w:r>
    </w:p>
    <w:p w:rsidR="009C26EF" w:rsidRPr="006F007C" w:rsidRDefault="009C26EF" w:rsidP="00DC4C94">
      <w:pPr>
        <w:pStyle w:val="Reference"/>
      </w:pPr>
      <w:r w:rsidRPr="006F007C">
        <w:t xml:space="preserve">—— and </w:t>
      </w:r>
      <w:proofErr w:type="spellStart"/>
      <w:r w:rsidRPr="006F007C">
        <w:t>AIHW</w:t>
      </w:r>
      <w:proofErr w:type="spellEnd"/>
      <w:r w:rsidRPr="006F007C">
        <w:t xml:space="preserve"> (Australian Institute of Health and Welfare) 2008, </w:t>
      </w:r>
      <w:r w:rsidRPr="006F007C">
        <w:rPr>
          <w:i/>
        </w:rPr>
        <w:t>The Health and Welfare of Australia’s Aboriginal and Torres Strait Islander Peoples, 2008</w:t>
      </w:r>
      <w:r w:rsidRPr="006F007C">
        <w:t>, ABS</w:t>
      </w:r>
      <w:r w:rsidR="003E5C0A" w:rsidRPr="006F007C">
        <w:t xml:space="preserve"> Cat. no. 4704.0</w:t>
      </w:r>
      <w:r w:rsidRPr="006F007C">
        <w:t>, Canberra.</w:t>
      </w:r>
    </w:p>
    <w:p w:rsidR="00A45E60" w:rsidRPr="006F007C" w:rsidRDefault="00A45E60" w:rsidP="008B11E3">
      <w:pPr>
        <w:pStyle w:val="Reference"/>
        <w:shd w:val="clear" w:color="auto" w:fill="FFFFFF" w:themeFill="background1"/>
      </w:pPr>
      <w:proofErr w:type="spellStart"/>
      <w:r w:rsidRPr="006F007C">
        <w:t>AHMAC</w:t>
      </w:r>
      <w:proofErr w:type="spellEnd"/>
      <w:r w:rsidRPr="006F007C">
        <w:t xml:space="preserve"> (Australian Health Ministers’ Advisory Council) 20</w:t>
      </w:r>
      <w:r w:rsidR="008C2FFF" w:rsidRPr="006F007C">
        <w:t>12</w:t>
      </w:r>
      <w:r w:rsidRPr="006F007C">
        <w:t>,</w:t>
      </w:r>
      <w:r w:rsidRPr="006F007C">
        <w:rPr>
          <w:i/>
        </w:rPr>
        <w:t xml:space="preserve"> Aboriginal and Torres Strait Islander Health Performance Framework 2012</w:t>
      </w:r>
      <w:r w:rsidR="008C2FFF" w:rsidRPr="006F007C">
        <w:rPr>
          <w:i/>
        </w:rPr>
        <w:t xml:space="preserve"> Report</w:t>
      </w:r>
      <w:r w:rsidRPr="006F007C">
        <w:t>,</w:t>
      </w:r>
      <w:r w:rsidRPr="006F007C">
        <w:rPr>
          <w:i/>
        </w:rPr>
        <w:t xml:space="preserve"> </w:t>
      </w:r>
      <w:r w:rsidRPr="006F007C">
        <w:t>Canberra.</w:t>
      </w:r>
    </w:p>
    <w:p w:rsidR="00E265D5" w:rsidRPr="006F007C" w:rsidRDefault="00B02C18" w:rsidP="00831D40">
      <w:pPr>
        <w:pStyle w:val="Reference"/>
      </w:pPr>
      <w:proofErr w:type="spellStart"/>
      <w:r w:rsidRPr="006F007C">
        <w:t>AIHW</w:t>
      </w:r>
      <w:proofErr w:type="spellEnd"/>
      <w:r w:rsidR="00E265D5" w:rsidRPr="006F007C">
        <w:t xml:space="preserve"> (Australian Institute of Health and Welfare) </w:t>
      </w:r>
      <w:r w:rsidR="00E265D5" w:rsidRPr="00831D40">
        <w:t xml:space="preserve">2014, </w:t>
      </w:r>
      <w:r w:rsidR="00E265D5" w:rsidRPr="00831D40">
        <w:rPr>
          <w:i/>
        </w:rPr>
        <w:t>Medical Workforce 2012</w:t>
      </w:r>
      <w:r w:rsidR="00E265D5" w:rsidRPr="00831D40">
        <w:t xml:space="preserve">, </w:t>
      </w:r>
      <w:r w:rsidR="00E265D5" w:rsidRPr="00831D40">
        <w:rPr>
          <w:lang w:val="en"/>
        </w:rPr>
        <w:t xml:space="preserve">National health workforce series no. 8, Cat. no. </w:t>
      </w:r>
      <w:proofErr w:type="spellStart"/>
      <w:r w:rsidR="00E265D5" w:rsidRPr="00831D40">
        <w:rPr>
          <w:lang w:val="en"/>
        </w:rPr>
        <w:t>HWL</w:t>
      </w:r>
      <w:proofErr w:type="spellEnd"/>
      <w:r w:rsidR="00E265D5" w:rsidRPr="00831D40">
        <w:rPr>
          <w:lang w:val="en"/>
        </w:rPr>
        <w:t xml:space="preserve"> 54</w:t>
      </w:r>
      <w:r w:rsidR="00E265D5" w:rsidRPr="00831D40">
        <w:t>, Canberra.</w:t>
      </w:r>
    </w:p>
    <w:p w:rsidR="00181B2B" w:rsidRPr="006F007C" w:rsidRDefault="00E265D5" w:rsidP="00181B2B">
      <w:pPr>
        <w:pStyle w:val="Reference"/>
      </w:pPr>
      <w:r w:rsidRPr="006F007C">
        <w:t>——</w:t>
      </w:r>
      <w:r w:rsidR="00181B2B" w:rsidRPr="006F007C">
        <w:t> </w:t>
      </w:r>
      <w:proofErr w:type="spellStart"/>
      <w:r w:rsidR="00B6432F" w:rsidRPr="006F007C">
        <w:rPr>
          <w:lang w:val="en"/>
        </w:rPr>
        <w:t>2013</w:t>
      </w:r>
      <w:r w:rsidR="00B6432F">
        <w:rPr>
          <w:lang w:val="en"/>
        </w:rPr>
        <w:t>a</w:t>
      </w:r>
      <w:proofErr w:type="spellEnd"/>
      <w:r w:rsidR="00B6432F" w:rsidRPr="006F007C">
        <w:rPr>
          <w:lang w:val="en"/>
        </w:rPr>
        <w:t xml:space="preserve">, </w:t>
      </w:r>
      <w:r w:rsidR="00181B2B" w:rsidRPr="006F007C">
        <w:rPr>
          <w:i/>
        </w:rPr>
        <w:t>Health Expenditure Australia 2011-12</w:t>
      </w:r>
      <w:r w:rsidR="00181B2B" w:rsidRPr="006F007C">
        <w:t xml:space="preserve">, Health and Welfare Expenditure Series no. 50. Cat. no. </w:t>
      </w:r>
      <w:proofErr w:type="spellStart"/>
      <w:r w:rsidR="00181B2B" w:rsidRPr="006F007C">
        <w:t>HWE</w:t>
      </w:r>
      <w:proofErr w:type="spellEnd"/>
      <w:r w:rsidR="00181B2B" w:rsidRPr="006F007C">
        <w:t xml:space="preserve"> 59, Canberra.</w:t>
      </w:r>
    </w:p>
    <w:p w:rsidR="00181B2B" w:rsidRPr="006F007C" w:rsidRDefault="00181B2B" w:rsidP="00181B2B">
      <w:pPr>
        <w:pStyle w:val="Reference"/>
      </w:pPr>
      <w:r w:rsidRPr="006F007C">
        <w:rPr>
          <w:lang w:val="en"/>
        </w:rPr>
        <w:t>—— </w:t>
      </w:r>
      <w:proofErr w:type="spellStart"/>
      <w:r w:rsidRPr="006F007C">
        <w:rPr>
          <w:lang w:val="en"/>
        </w:rPr>
        <w:t>2013b</w:t>
      </w:r>
      <w:proofErr w:type="spellEnd"/>
      <w:r w:rsidRPr="006F007C">
        <w:rPr>
          <w:lang w:val="en"/>
        </w:rPr>
        <w:t xml:space="preserve">, </w:t>
      </w:r>
      <w:r w:rsidRPr="006F007C">
        <w:rPr>
          <w:i/>
          <w:lang w:val="en"/>
        </w:rPr>
        <w:t>Expenditure on health for Aboriginal and Torres Strait Islander people 2010-11</w:t>
      </w:r>
      <w:r w:rsidRPr="006F007C">
        <w:rPr>
          <w:lang w:val="en"/>
        </w:rPr>
        <w:t xml:space="preserve">, Health and welfare expenditure series no. 48, Cat. no. </w:t>
      </w:r>
      <w:proofErr w:type="spellStart"/>
      <w:r w:rsidRPr="006F007C">
        <w:rPr>
          <w:lang w:val="en"/>
        </w:rPr>
        <w:t>HWE</w:t>
      </w:r>
      <w:proofErr w:type="spellEnd"/>
      <w:r w:rsidRPr="006F007C">
        <w:rPr>
          <w:lang w:val="en"/>
        </w:rPr>
        <w:t xml:space="preserve"> 57, Canberra.</w:t>
      </w:r>
    </w:p>
    <w:p w:rsidR="00937324" w:rsidRPr="006F007C" w:rsidRDefault="00937324" w:rsidP="00937324">
      <w:pPr>
        <w:pStyle w:val="Reference"/>
      </w:pPr>
      <w:r w:rsidRPr="006F007C">
        <w:t>—— </w:t>
      </w:r>
      <w:proofErr w:type="spellStart"/>
      <w:r w:rsidRPr="006F007C">
        <w:t>2013c</w:t>
      </w:r>
      <w:proofErr w:type="spellEnd"/>
      <w:r w:rsidRPr="006F007C">
        <w:t xml:space="preserve">, </w:t>
      </w:r>
      <w:r w:rsidRPr="006F007C">
        <w:rPr>
          <w:i/>
        </w:rPr>
        <w:t>Health priority areas</w:t>
      </w:r>
      <w:r w:rsidRPr="006F007C">
        <w:t xml:space="preserve">, </w:t>
      </w:r>
      <w:proofErr w:type="spellStart"/>
      <w:r w:rsidRPr="006F007C">
        <w:t>www.aihw.gov.au</w:t>
      </w:r>
      <w:proofErr w:type="spellEnd"/>
      <w:r w:rsidRPr="006F007C">
        <w:t>/health-priority-areas/ (accessed 29 August 2013).</w:t>
      </w:r>
    </w:p>
    <w:p w:rsidR="00937324" w:rsidRPr="006F007C" w:rsidRDefault="00937324" w:rsidP="00937324">
      <w:pPr>
        <w:pStyle w:val="Reference"/>
      </w:pPr>
      <w:r w:rsidRPr="006F007C">
        <w:lastRenderedPageBreak/>
        <w:t>—— </w:t>
      </w:r>
      <w:proofErr w:type="spellStart"/>
      <w:r w:rsidRPr="006F007C">
        <w:t>2013d</w:t>
      </w:r>
      <w:proofErr w:type="spellEnd"/>
      <w:r w:rsidRPr="006F007C">
        <w:t xml:space="preserve">, </w:t>
      </w:r>
      <w:r w:rsidRPr="006F007C">
        <w:rPr>
          <w:i/>
        </w:rPr>
        <w:t>Why are mortality data important?</w:t>
      </w:r>
      <w:r w:rsidRPr="006F007C">
        <w:t xml:space="preserve">, </w:t>
      </w:r>
      <w:proofErr w:type="spellStart"/>
      <w:r w:rsidRPr="006F007C">
        <w:t>www.aihw.gov.au</w:t>
      </w:r>
      <w:proofErr w:type="spellEnd"/>
      <w:r w:rsidRPr="006F007C">
        <w:t>/why-are-mortality-data-important/ (accessed 29 August 2013).</w:t>
      </w:r>
    </w:p>
    <w:p w:rsidR="00C87590" w:rsidRPr="006F007C" w:rsidRDefault="00C87590" w:rsidP="00831D40">
      <w:pPr>
        <w:pStyle w:val="Reference"/>
      </w:pPr>
      <w:r w:rsidRPr="006F007C">
        <w:t>—— </w:t>
      </w:r>
      <w:proofErr w:type="spellStart"/>
      <w:r w:rsidRPr="006F007C">
        <w:t>2013e</w:t>
      </w:r>
      <w:proofErr w:type="spellEnd"/>
      <w:r w:rsidRPr="006F007C">
        <w:t xml:space="preserve">, </w:t>
      </w:r>
      <w:r w:rsidRPr="006F007C">
        <w:rPr>
          <w:i/>
        </w:rPr>
        <w:t>Nursing and Midwifery Workforce 2012</w:t>
      </w:r>
      <w:r w:rsidRPr="006F007C">
        <w:t xml:space="preserve">, National health workforce series no. 6, Cat no. </w:t>
      </w:r>
      <w:proofErr w:type="spellStart"/>
      <w:r w:rsidRPr="006F007C">
        <w:t>HWL</w:t>
      </w:r>
      <w:proofErr w:type="spellEnd"/>
      <w:r w:rsidRPr="006F007C">
        <w:t xml:space="preserve"> 52, Canberra.</w:t>
      </w:r>
    </w:p>
    <w:p w:rsidR="00F043EA" w:rsidRPr="006F007C" w:rsidRDefault="00181B2B" w:rsidP="00416F1F">
      <w:pPr>
        <w:pStyle w:val="Reference"/>
      </w:pPr>
      <w:r w:rsidRPr="006F007C">
        <w:t>——</w:t>
      </w:r>
      <w:r w:rsidR="00E32E22" w:rsidRPr="006F007C">
        <w:t> </w:t>
      </w:r>
      <w:r w:rsidR="00F043EA" w:rsidRPr="006F007C">
        <w:t>201</w:t>
      </w:r>
      <w:r w:rsidR="00AF69FC" w:rsidRPr="006F007C">
        <w:t>2</w:t>
      </w:r>
      <w:r w:rsidR="00F043EA" w:rsidRPr="006F007C">
        <w:t xml:space="preserve">, </w:t>
      </w:r>
      <w:r w:rsidR="00AF69FC" w:rsidRPr="006F007C">
        <w:rPr>
          <w:i/>
        </w:rPr>
        <w:t>Australia’s Health 2012</w:t>
      </w:r>
      <w:r w:rsidR="00F043EA" w:rsidRPr="006F007C">
        <w:t xml:space="preserve">, </w:t>
      </w:r>
      <w:r w:rsidR="00AF69FC" w:rsidRPr="006F007C">
        <w:t xml:space="preserve">Australia’s health series </w:t>
      </w:r>
      <w:proofErr w:type="spellStart"/>
      <w:r w:rsidR="00AF69FC" w:rsidRPr="006F007C">
        <w:t>no.13</w:t>
      </w:r>
      <w:proofErr w:type="spellEnd"/>
      <w:r w:rsidR="00AF69FC" w:rsidRPr="006F007C">
        <w:t xml:space="preserve">, </w:t>
      </w:r>
      <w:r w:rsidR="00AF69FC" w:rsidRPr="006F007C">
        <w:br/>
        <w:t xml:space="preserve">Cat. no. </w:t>
      </w:r>
      <w:proofErr w:type="spellStart"/>
      <w:r w:rsidR="00AF69FC" w:rsidRPr="006F007C">
        <w:t>AUS</w:t>
      </w:r>
      <w:proofErr w:type="spellEnd"/>
      <w:r w:rsidR="00AF69FC" w:rsidRPr="006F007C">
        <w:t xml:space="preserve"> </w:t>
      </w:r>
      <w:r w:rsidR="00F043EA" w:rsidRPr="006F007C">
        <w:t>1</w:t>
      </w:r>
      <w:r w:rsidR="00AF69FC" w:rsidRPr="006F007C">
        <w:t>56</w:t>
      </w:r>
      <w:r w:rsidR="00F043EA" w:rsidRPr="006F007C">
        <w:t>, Canberra.</w:t>
      </w:r>
    </w:p>
    <w:p w:rsidR="00486BE1" w:rsidRPr="006F007C" w:rsidRDefault="00486BE1" w:rsidP="00486BE1">
      <w:pPr>
        <w:pStyle w:val="Reference"/>
      </w:pPr>
      <w:r w:rsidRPr="006F007C">
        <w:t xml:space="preserve">—— 2011, </w:t>
      </w:r>
      <w:r w:rsidRPr="006F007C">
        <w:rPr>
          <w:i/>
        </w:rPr>
        <w:t xml:space="preserve">National outcome measures for early childhood development — development of an indicator based reporting framework, </w:t>
      </w:r>
      <w:r w:rsidRPr="006F007C">
        <w:t xml:space="preserve">Cat. no. </w:t>
      </w:r>
      <w:proofErr w:type="spellStart"/>
      <w:r w:rsidRPr="006F007C">
        <w:t>PHE</w:t>
      </w:r>
      <w:proofErr w:type="spellEnd"/>
      <w:r w:rsidRPr="006F007C">
        <w:t xml:space="preserve"> 134, Canberra.</w:t>
      </w:r>
    </w:p>
    <w:p w:rsidR="00012F41" w:rsidRPr="006F007C" w:rsidRDefault="00012F41" w:rsidP="00831D40">
      <w:pPr>
        <w:pStyle w:val="Reference"/>
      </w:pPr>
      <w:r w:rsidRPr="006F007C">
        <w:t>—— and Li Z</w:t>
      </w:r>
      <w:r w:rsidR="003257AE">
        <w:t>.</w:t>
      </w:r>
      <w:r w:rsidRPr="006F007C">
        <w:t xml:space="preserve">, </w:t>
      </w:r>
      <w:proofErr w:type="spellStart"/>
      <w:r w:rsidRPr="006F007C">
        <w:t>Zeki</w:t>
      </w:r>
      <w:proofErr w:type="spellEnd"/>
      <w:r w:rsidRPr="006F007C">
        <w:t xml:space="preserve"> R</w:t>
      </w:r>
      <w:r w:rsidR="003257AE">
        <w:t>.</w:t>
      </w:r>
      <w:r w:rsidRPr="006F007C">
        <w:t xml:space="preserve">, </w:t>
      </w:r>
      <w:proofErr w:type="spellStart"/>
      <w:r w:rsidRPr="006F007C">
        <w:t>Hilder</w:t>
      </w:r>
      <w:proofErr w:type="spellEnd"/>
      <w:r w:rsidRPr="006F007C">
        <w:t xml:space="preserve"> L</w:t>
      </w:r>
      <w:r w:rsidR="003257AE">
        <w:t xml:space="preserve">. and </w:t>
      </w:r>
      <w:r w:rsidRPr="006F007C">
        <w:t xml:space="preserve">Sullivan </w:t>
      </w:r>
      <w:proofErr w:type="spellStart"/>
      <w:r w:rsidRPr="006F007C">
        <w:t>E</w:t>
      </w:r>
      <w:r w:rsidR="003257AE">
        <w:t>.</w:t>
      </w:r>
      <w:r w:rsidRPr="006F007C">
        <w:t>A</w:t>
      </w:r>
      <w:proofErr w:type="spellEnd"/>
      <w:r w:rsidR="003257AE">
        <w:t>.</w:t>
      </w:r>
      <w:r w:rsidRPr="006F007C">
        <w:t xml:space="preserve"> 2013, </w:t>
      </w:r>
      <w:r w:rsidRPr="006F007C">
        <w:rPr>
          <w:i/>
        </w:rPr>
        <w:t>Australia’s mothers and babies 2011</w:t>
      </w:r>
      <w:r w:rsidRPr="006F007C">
        <w:t xml:space="preserve">, Perinatal statistics series no. 28, Cat. no. PER 58, Sydney, </w:t>
      </w:r>
      <w:proofErr w:type="spellStart"/>
      <w:r w:rsidRPr="006F007C">
        <w:t>AIHW</w:t>
      </w:r>
      <w:proofErr w:type="spellEnd"/>
      <w:r w:rsidRPr="006F007C">
        <w:t xml:space="preserve"> National Perinatal Epidemiology and Statistics Unit.</w:t>
      </w:r>
    </w:p>
    <w:p w:rsidR="000A48CA" w:rsidRPr="006F007C" w:rsidRDefault="000A48CA" w:rsidP="00B34384">
      <w:pPr>
        <w:pStyle w:val="Reference"/>
        <w:jc w:val="left"/>
      </w:pPr>
      <w:proofErr w:type="spellStart"/>
      <w:r w:rsidRPr="006F007C">
        <w:t>AMA</w:t>
      </w:r>
      <w:proofErr w:type="spellEnd"/>
      <w:r w:rsidRPr="006F007C">
        <w:t xml:space="preserve"> (Australian Medical Association) 2001, </w:t>
      </w:r>
      <w:r w:rsidRPr="006F007C">
        <w:rPr>
          <w:i/>
        </w:rPr>
        <w:t>The Links Between Health and Education For Indigenous Australian Children</w:t>
      </w:r>
      <w:r w:rsidRPr="006F007C">
        <w:t>,</w:t>
      </w:r>
      <w:r w:rsidR="0080080E" w:rsidRPr="006F007C">
        <w:t xml:space="preserve"> </w:t>
      </w:r>
      <w:proofErr w:type="spellStart"/>
      <w:r w:rsidR="00BB179B" w:rsidRPr="006F007C">
        <w:t>ama.com.au</w:t>
      </w:r>
      <w:proofErr w:type="spellEnd"/>
      <w:r w:rsidR="00BB179B" w:rsidRPr="006F007C">
        <w:t>/node/508 (accessed 12 October 2011).</w:t>
      </w:r>
    </w:p>
    <w:p w:rsidR="001702E4" w:rsidRPr="006F007C" w:rsidRDefault="001702E4" w:rsidP="00C12EFF">
      <w:pPr>
        <w:pStyle w:val="Reference"/>
      </w:pPr>
      <w:proofErr w:type="spellStart"/>
      <w:r w:rsidRPr="006F007C">
        <w:t>Begg</w:t>
      </w:r>
      <w:proofErr w:type="spellEnd"/>
      <w:r w:rsidRPr="006F007C">
        <w:t xml:space="preserve"> S, </w:t>
      </w:r>
      <w:proofErr w:type="spellStart"/>
      <w:r w:rsidRPr="006F007C">
        <w:t>Vos</w:t>
      </w:r>
      <w:proofErr w:type="spellEnd"/>
      <w:r w:rsidRPr="006F007C">
        <w:t xml:space="preserve"> T, Barker B, Stevenson C, Stanley L, Lopez AD 2007, </w:t>
      </w:r>
      <w:r w:rsidRPr="006F007C">
        <w:rPr>
          <w:i/>
        </w:rPr>
        <w:t>The burden of disease and injury in Australia 2003</w:t>
      </w:r>
      <w:r w:rsidRPr="006F007C">
        <w:t xml:space="preserve">. Cat. no. </w:t>
      </w:r>
      <w:proofErr w:type="spellStart"/>
      <w:r w:rsidRPr="006F007C">
        <w:t>PHE</w:t>
      </w:r>
      <w:proofErr w:type="spellEnd"/>
      <w:r w:rsidRPr="006F007C">
        <w:t xml:space="preserve"> 82. Canberra: </w:t>
      </w:r>
      <w:proofErr w:type="spellStart"/>
      <w:r w:rsidRPr="006F007C">
        <w:t>AIHW</w:t>
      </w:r>
      <w:proofErr w:type="spellEnd"/>
      <w:r w:rsidRPr="006F007C">
        <w:t xml:space="preserve">. </w:t>
      </w:r>
    </w:p>
    <w:p w:rsidR="00A62CD6" w:rsidRPr="006F007C" w:rsidRDefault="004A4B61" w:rsidP="00C12EFF">
      <w:pPr>
        <w:pStyle w:val="Reference"/>
      </w:pPr>
      <w:r w:rsidRPr="006F007C">
        <w:t>Better Health Channel 201</w:t>
      </w:r>
      <w:r w:rsidR="00937324" w:rsidRPr="006F007C">
        <w:t>3</w:t>
      </w:r>
      <w:r w:rsidRPr="006F007C">
        <w:t xml:space="preserve">, </w:t>
      </w:r>
      <w:r w:rsidRPr="006F007C">
        <w:rPr>
          <w:i/>
        </w:rPr>
        <w:t>Fact sheet: Diabetes type 2</w:t>
      </w:r>
      <w:r w:rsidR="00A62CD6" w:rsidRPr="006F007C">
        <w:t xml:space="preserve">, </w:t>
      </w:r>
      <w:proofErr w:type="spellStart"/>
      <w:r w:rsidR="00011A8F" w:rsidRPr="006F007C">
        <w:t>www.betterhealth.vic.gov</w:t>
      </w:r>
      <w:proofErr w:type="spellEnd"/>
      <w:r w:rsidR="00011A8F" w:rsidRPr="006F007C">
        <w:t>.</w:t>
      </w:r>
      <w:r w:rsidR="00011A8F" w:rsidRPr="006F007C">
        <w:br/>
        <w:t>au/</w:t>
      </w:r>
      <w:proofErr w:type="spellStart"/>
      <w:r w:rsidR="00011A8F" w:rsidRPr="006F007C">
        <w:t>bhcv2</w:t>
      </w:r>
      <w:proofErr w:type="spellEnd"/>
      <w:r w:rsidR="00011A8F" w:rsidRPr="006F007C">
        <w:t>/</w:t>
      </w:r>
      <w:proofErr w:type="spellStart"/>
      <w:r w:rsidR="00011A8F" w:rsidRPr="006F007C">
        <w:t>bhcarticles.nsf</w:t>
      </w:r>
      <w:proofErr w:type="spellEnd"/>
      <w:r w:rsidR="00011A8F" w:rsidRPr="006F007C">
        <w:t>/pages/</w:t>
      </w:r>
      <w:proofErr w:type="spellStart"/>
      <w:r w:rsidR="00011A8F" w:rsidRPr="006F007C">
        <w:t>Diabetes_Type_2?open</w:t>
      </w:r>
      <w:proofErr w:type="spellEnd"/>
      <w:r w:rsidR="00DD1FD0" w:rsidRPr="006F007C">
        <w:t xml:space="preserve"> </w:t>
      </w:r>
      <w:r w:rsidR="000D62EC" w:rsidRPr="006F007C">
        <w:t>(accessed 29 August</w:t>
      </w:r>
      <w:r w:rsidR="00011A8F" w:rsidRPr="006F007C">
        <w:t xml:space="preserve"> </w:t>
      </w:r>
      <w:r w:rsidR="000D62EC" w:rsidRPr="006F007C">
        <w:t>201</w:t>
      </w:r>
      <w:r w:rsidR="00937324" w:rsidRPr="006F007C">
        <w:t>3</w:t>
      </w:r>
      <w:r w:rsidR="000D62EC" w:rsidRPr="006F007C">
        <w:t>),Victorian G</w:t>
      </w:r>
      <w:r w:rsidR="00011A8F" w:rsidRPr="006F007C">
        <w:t>overnment, Melbourne.</w:t>
      </w:r>
    </w:p>
    <w:p w:rsidR="00DA270D" w:rsidRPr="006F007C" w:rsidRDefault="00527130" w:rsidP="001702E4">
      <w:pPr>
        <w:pStyle w:val="Reference"/>
      </w:pPr>
      <w:proofErr w:type="spellStart"/>
      <w:r w:rsidRPr="006F007C">
        <w:t>COAG</w:t>
      </w:r>
      <w:proofErr w:type="spellEnd"/>
      <w:r w:rsidRPr="006F007C">
        <w:t> 2011</w:t>
      </w:r>
      <w:r w:rsidR="00B34384" w:rsidRPr="006F007C">
        <w:t xml:space="preserve">, </w:t>
      </w:r>
      <w:r w:rsidRPr="006F007C">
        <w:rPr>
          <w:i/>
        </w:rPr>
        <w:t>National Health Reform Agreement</w:t>
      </w:r>
      <w:r w:rsidR="00B34384" w:rsidRPr="006F007C">
        <w:t xml:space="preserve">, </w:t>
      </w:r>
      <w:r w:rsidRPr="006F007C">
        <w:t>August</w:t>
      </w:r>
      <w:r w:rsidR="00B34384" w:rsidRPr="006F007C">
        <w:t xml:space="preserve"> 20</w:t>
      </w:r>
      <w:r w:rsidRPr="006F007C">
        <w:t>11</w:t>
      </w:r>
      <w:r w:rsidR="00B34384" w:rsidRPr="006F007C">
        <w:t xml:space="preserve">, Canberra, </w:t>
      </w:r>
      <w:proofErr w:type="spellStart"/>
      <w:r w:rsidRPr="006F007C">
        <w:t>www.coag.gov.au</w:t>
      </w:r>
      <w:proofErr w:type="spellEnd"/>
      <w:r w:rsidRPr="006F007C">
        <w:t>/docs/</w:t>
      </w:r>
      <w:proofErr w:type="spellStart"/>
      <w:r w:rsidRPr="006F007C">
        <w:t>national_health_reform_agreement.pdf</w:t>
      </w:r>
      <w:proofErr w:type="spellEnd"/>
      <w:r w:rsidR="00B34384" w:rsidRPr="006F007C">
        <w:t xml:space="preserve"> (accessed </w:t>
      </w:r>
      <w:r w:rsidR="00BB179B" w:rsidRPr="006F007C">
        <w:t>5</w:t>
      </w:r>
      <w:r w:rsidRPr="006F007C">
        <w:t> October </w:t>
      </w:r>
      <w:r w:rsidR="00B34384" w:rsidRPr="006F007C">
        <w:t>2011).</w:t>
      </w:r>
    </w:p>
    <w:p w:rsidR="00DA270D" w:rsidRPr="006F007C" w:rsidRDefault="00DA270D" w:rsidP="003C18EC">
      <w:pPr>
        <w:pStyle w:val="Reference"/>
      </w:pPr>
      <w:proofErr w:type="spellStart"/>
      <w:r w:rsidRPr="006F007C">
        <w:t>Coory</w:t>
      </w:r>
      <w:proofErr w:type="spellEnd"/>
      <w:r w:rsidRPr="006F007C">
        <w:t xml:space="preserve"> and Baade 2003, </w:t>
      </w:r>
      <w:r w:rsidRPr="006F007C">
        <w:rPr>
          <w:i/>
        </w:rPr>
        <w:t>Is median age at death a useful way to monitor improvements in mortality among Indigenous Australians</w:t>
      </w:r>
      <w:r w:rsidRPr="006F007C">
        <w:t>, Australia New Zealand Journal of Public Health, 27: 627-31.</w:t>
      </w:r>
    </w:p>
    <w:p w:rsidR="001702E4" w:rsidRPr="006F007C" w:rsidRDefault="001702E4" w:rsidP="003C18EC">
      <w:pPr>
        <w:pStyle w:val="Reference"/>
      </w:pPr>
      <w:r w:rsidRPr="006F007C">
        <w:t xml:space="preserve">Garner, G. 2006, </w:t>
      </w:r>
      <w:r w:rsidRPr="006F007C">
        <w:rPr>
          <w:i/>
        </w:rPr>
        <w:t>The ecology and inter-relationship between housing and health outcomes</w:t>
      </w:r>
      <w:r w:rsidRPr="006F007C">
        <w:t xml:space="preserve">, paper delivered to the International Conference on Infrastructure Development and the Environment, </w:t>
      </w:r>
      <w:proofErr w:type="spellStart"/>
      <w:r w:rsidRPr="006F007C">
        <w:t>eprints.qut.edu.au</w:t>
      </w:r>
      <w:proofErr w:type="spellEnd"/>
      <w:r w:rsidRPr="006F007C">
        <w:t xml:space="preserve">/7216/ (accessed 1 October 2011). </w:t>
      </w:r>
    </w:p>
    <w:p w:rsidR="00E20D45" w:rsidRPr="006F007C" w:rsidRDefault="00E20D45" w:rsidP="003C18EC">
      <w:pPr>
        <w:pStyle w:val="Reference"/>
      </w:pPr>
      <w:r w:rsidRPr="006F007C">
        <w:t xml:space="preserve">Goldenberg </w:t>
      </w:r>
      <w:proofErr w:type="spellStart"/>
      <w:r w:rsidRPr="006F007C">
        <w:t>RL</w:t>
      </w:r>
      <w:proofErr w:type="spellEnd"/>
      <w:r w:rsidRPr="006F007C">
        <w:t xml:space="preserve"> &amp; </w:t>
      </w:r>
      <w:proofErr w:type="spellStart"/>
      <w:r w:rsidRPr="006F007C">
        <w:t>Culhane</w:t>
      </w:r>
      <w:proofErr w:type="spellEnd"/>
      <w:r w:rsidRPr="006F007C">
        <w:t xml:space="preserve"> </w:t>
      </w:r>
      <w:proofErr w:type="spellStart"/>
      <w:r w:rsidRPr="006F007C">
        <w:t>JF</w:t>
      </w:r>
      <w:proofErr w:type="spellEnd"/>
      <w:r w:rsidRPr="006F007C">
        <w:t xml:space="preserve"> 2007. Low birth weight in the United States. American Journal of Clinical Nutrition </w:t>
      </w:r>
      <w:proofErr w:type="spellStart"/>
      <w:r w:rsidRPr="006F007C">
        <w:t>85:584S</w:t>
      </w:r>
      <w:proofErr w:type="spellEnd"/>
      <w:r w:rsidRPr="006F007C">
        <w:t>–</w:t>
      </w:r>
      <w:proofErr w:type="spellStart"/>
      <w:r w:rsidRPr="006F007C">
        <w:t>90S</w:t>
      </w:r>
      <w:proofErr w:type="spellEnd"/>
      <w:r w:rsidRPr="006F007C">
        <w:t>.</w:t>
      </w:r>
    </w:p>
    <w:p w:rsidR="00012F41" w:rsidRPr="006F007C" w:rsidRDefault="00012F41" w:rsidP="00012F41">
      <w:pPr>
        <w:pStyle w:val="Reference"/>
      </w:pPr>
      <w:proofErr w:type="spellStart"/>
      <w:r w:rsidRPr="006F007C">
        <w:t>HealthInsite</w:t>
      </w:r>
      <w:proofErr w:type="spellEnd"/>
      <w:r w:rsidRPr="006F007C">
        <w:t xml:space="preserve"> 2011, </w:t>
      </w:r>
      <w:r w:rsidRPr="006F007C">
        <w:rPr>
          <w:i/>
        </w:rPr>
        <w:t>Health effects of smoking</w:t>
      </w:r>
      <w:r w:rsidRPr="006F007C">
        <w:t>,</w:t>
      </w:r>
      <w:r w:rsidRPr="006F007C">
        <w:rPr>
          <w:i/>
        </w:rPr>
        <w:t xml:space="preserve"> </w:t>
      </w:r>
      <w:proofErr w:type="spellStart"/>
      <w:r w:rsidRPr="006F007C">
        <w:t>www.healthinsite.gov.au</w:t>
      </w:r>
      <w:proofErr w:type="spellEnd"/>
      <w:r w:rsidRPr="006F007C">
        <w:t>/</w:t>
      </w:r>
      <w:r w:rsidR="00F85EC4">
        <w:br/>
      </w:r>
      <w:r w:rsidRPr="006F007C">
        <w:t>topics/</w:t>
      </w:r>
      <w:proofErr w:type="spellStart"/>
      <w:r w:rsidRPr="006F007C">
        <w:t>Health_Effects_of_Smoking</w:t>
      </w:r>
      <w:proofErr w:type="spellEnd"/>
      <w:r w:rsidRPr="006F007C">
        <w:t>, (accessed 30 September 2011).</w:t>
      </w:r>
    </w:p>
    <w:p w:rsidR="00E6726B" w:rsidRPr="006F007C" w:rsidRDefault="00E6726B" w:rsidP="003C18EC">
      <w:pPr>
        <w:pStyle w:val="Reference"/>
      </w:pPr>
      <w:proofErr w:type="spellStart"/>
      <w:r w:rsidRPr="006F007C">
        <w:lastRenderedPageBreak/>
        <w:t>MCFFR</w:t>
      </w:r>
      <w:proofErr w:type="spellEnd"/>
      <w:r w:rsidRPr="006F007C">
        <w:t> (Ministerial Council for Federal Financial Relations) 201</w:t>
      </w:r>
      <w:r w:rsidR="00D24388" w:rsidRPr="006F007C">
        <w:t>2</w:t>
      </w:r>
      <w:r w:rsidRPr="006F007C">
        <w:t xml:space="preserve">, </w:t>
      </w:r>
      <w:r w:rsidRPr="006F007C">
        <w:rPr>
          <w:i/>
        </w:rPr>
        <w:t>National Healthcare Agreement</w:t>
      </w:r>
      <w:r w:rsidRPr="006F007C">
        <w:t xml:space="preserve">, Canberra, </w:t>
      </w:r>
      <w:proofErr w:type="spellStart"/>
      <w:r w:rsidRPr="006F007C">
        <w:t>www.federalfinancialrelations.gov.au</w:t>
      </w:r>
      <w:proofErr w:type="spellEnd"/>
      <w:r w:rsidRPr="006F007C">
        <w:t>/</w:t>
      </w:r>
      <w:r w:rsidR="00977609" w:rsidRPr="006F007C">
        <w:br/>
      </w:r>
      <w:r w:rsidRPr="006F007C">
        <w:t>content/</w:t>
      </w:r>
      <w:proofErr w:type="spellStart"/>
      <w:r w:rsidRPr="006F007C">
        <w:t>national_agreements.aspx</w:t>
      </w:r>
      <w:proofErr w:type="spellEnd"/>
      <w:r w:rsidRPr="006F007C">
        <w:t xml:space="preserve"> (accessed </w:t>
      </w:r>
      <w:r w:rsidR="00E57CD7">
        <w:t>8 January</w:t>
      </w:r>
      <w:r w:rsidRPr="006F007C">
        <w:t xml:space="preserve"> 201</w:t>
      </w:r>
      <w:r w:rsidR="00E57CD7">
        <w:t>4</w:t>
      </w:r>
      <w:r w:rsidRPr="006F007C">
        <w:t>).</w:t>
      </w:r>
    </w:p>
    <w:p w:rsidR="00D53E06" w:rsidRPr="006F007C" w:rsidRDefault="00D53E06" w:rsidP="00D53E06">
      <w:pPr>
        <w:pStyle w:val="Reference"/>
      </w:pPr>
      <w:proofErr w:type="spellStart"/>
      <w:r w:rsidRPr="00784085">
        <w:t>NHISSC</w:t>
      </w:r>
      <w:proofErr w:type="spellEnd"/>
      <w:r w:rsidRPr="006F007C">
        <w:t xml:space="preserve"> </w:t>
      </w:r>
      <w:r w:rsidRPr="00784085">
        <w:t>(National Health Information Standards and Statistics Committee) 2009</w:t>
      </w:r>
      <w:r>
        <w:t xml:space="preserve">, </w:t>
      </w:r>
      <w:r w:rsidRPr="006F007C">
        <w:rPr>
          <w:i/>
        </w:rPr>
        <w:t>National Health Performance Framework,</w:t>
      </w:r>
      <w:r w:rsidRPr="006F007C">
        <w:t xml:space="preserve"> </w:t>
      </w:r>
      <w:r w:rsidRPr="00784085">
        <w:t xml:space="preserve">2nd </w:t>
      </w:r>
      <w:r>
        <w:t>ed</w:t>
      </w:r>
      <w:r w:rsidRPr="00784085">
        <w:t>n</w:t>
      </w:r>
      <w:r>
        <w:t>.</w:t>
      </w:r>
    </w:p>
    <w:p w:rsidR="00E265D5" w:rsidRPr="006F007C" w:rsidRDefault="008E3567" w:rsidP="008E3567">
      <w:pPr>
        <w:pStyle w:val="Reference"/>
      </w:pPr>
      <w:proofErr w:type="spellStart"/>
      <w:r w:rsidRPr="006F007C">
        <w:t>NHMRC</w:t>
      </w:r>
      <w:proofErr w:type="spellEnd"/>
      <w:r w:rsidRPr="006F007C">
        <w:t> (National Health and Medical Research Council) </w:t>
      </w:r>
      <w:r w:rsidR="00E265D5" w:rsidRPr="006F007C">
        <w:t xml:space="preserve">2009, </w:t>
      </w:r>
      <w:r w:rsidR="00E265D5" w:rsidRPr="006F007C">
        <w:rPr>
          <w:i/>
        </w:rPr>
        <w:t>Australian Guidelines to Reduce Health Risks from Drinking Alcohol</w:t>
      </w:r>
      <w:r w:rsidR="00E265D5" w:rsidRPr="006F007C">
        <w:t>, Commonwealth of Australia, Canberra.</w:t>
      </w:r>
    </w:p>
    <w:p w:rsidR="008852C0" w:rsidRPr="006F007C" w:rsidRDefault="008852C0" w:rsidP="008852C0">
      <w:pPr>
        <w:pStyle w:val="Reference"/>
      </w:pPr>
      <w:r w:rsidRPr="006F007C">
        <w:t>—— </w:t>
      </w:r>
      <w:r w:rsidR="00E265D5" w:rsidRPr="006F007C">
        <w:t>20</w:t>
      </w:r>
      <w:r w:rsidR="006E6966">
        <w:t>1</w:t>
      </w:r>
      <w:r w:rsidR="00E265D5" w:rsidRPr="006F007C">
        <w:t xml:space="preserve">3, </w:t>
      </w:r>
      <w:r w:rsidR="006E6966" w:rsidRPr="006E6966">
        <w:rPr>
          <w:i/>
        </w:rPr>
        <w:t>Clinical Practice Guidelines for the Management of Overweight and Obesity in Adults, Adolescents and Children in Australia (2013)</w:t>
      </w:r>
      <w:r w:rsidR="00E265D5" w:rsidRPr="006F007C">
        <w:t>, Canberra.</w:t>
      </w:r>
    </w:p>
    <w:p w:rsidR="005D1519" w:rsidRPr="006F007C" w:rsidRDefault="00A63C85" w:rsidP="00416F1F">
      <w:pPr>
        <w:pStyle w:val="Reference"/>
      </w:pPr>
      <w:proofErr w:type="spellStart"/>
      <w:r w:rsidRPr="006F007C">
        <w:rPr>
          <w:iCs/>
        </w:rPr>
        <w:t>NPHT</w:t>
      </w:r>
      <w:proofErr w:type="spellEnd"/>
      <w:r w:rsidRPr="006F007C">
        <w:rPr>
          <w:iCs/>
        </w:rPr>
        <w:t xml:space="preserve"> (</w:t>
      </w:r>
      <w:r w:rsidR="005D1519" w:rsidRPr="006F007C">
        <w:rPr>
          <w:iCs/>
        </w:rPr>
        <w:t>National Preventative Health Taskforce</w:t>
      </w:r>
      <w:r w:rsidRPr="006F007C">
        <w:rPr>
          <w:iCs/>
        </w:rPr>
        <w:t xml:space="preserve">) 2009, </w:t>
      </w:r>
      <w:r w:rsidRPr="006F007C">
        <w:rPr>
          <w:i/>
          <w:iCs/>
        </w:rPr>
        <w:t>Australia: The Healthiest Country by 2020 – National Preventative Health Strategy – Overview</w:t>
      </w:r>
      <w:r w:rsidRPr="006F007C">
        <w:rPr>
          <w:iCs/>
        </w:rPr>
        <w:t>,</w:t>
      </w:r>
      <w:r w:rsidR="00475C8F" w:rsidRPr="006F007C">
        <w:t xml:space="preserve"> Commonwealth of Australia, Canberra.</w:t>
      </w:r>
    </w:p>
    <w:p w:rsidR="001D1FFB" w:rsidRPr="006F007C" w:rsidRDefault="001D1FFB" w:rsidP="001D1FFB">
      <w:pPr>
        <w:pStyle w:val="Reference"/>
      </w:pPr>
      <w:proofErr w:type="spellStart"/>
      <w:r w:rsidRPr="006F007C">
        <w:t>SCRGSP</w:t>
      </w:r>
      <w:proofErr w:type="spellEnd"/>
      <w:r w:rsidRPr="006F007C">
        <w:t xml:space="preserve"> (Steering Committee for the Review of Government Service Provision) 20</w:t>
      </w:r>
      <w:r w:rsidR="00181B2B" w:rsidRPr="006F007C">
        <w:t>12</w:t>
      </w:r>
      <w:r w:rsidRPr="006F007C">
        <w:t xml:space="preserve">, </w:t>
      </w:r>
      <w:r w:rsidRPr="00D53E06">
        <w:rPr>
          <w:i/>
        </w:rPr>
        <w:t>National Agreement performance information 20</w:t>
      </w:r>
      <w:r w:rsidR="00181B2B" w:rsidRPr="00D53E06">
        <w:rPr>
          <w:i/>
        </w:rPr>
        <w:t>11</w:t>
      </w:r>
      <w:r w:rsidRPr="00D53E06">
        <w:rPr>
          <w:i/>
        </w:rPr>
        <w:t>-</w:t>
      </w:r>
      <w:r w:rsidR="00181B2B" w:rsidRPr="00D53E06">
        <w:rPr>
          <w:i/>
        </w:rPr>
        <w:t>12</w:t>
      </w:r>
      <w:r w:rsidRPr="00D53E06">
        <w:rPr>
          <w:i/>
        </w:rPr>
        <w:t>: National Healthcare Agreement</w:t>
      </w:r>
      <w:r w:rsidRPr="006F007C">
        <w:t>, Productivity Commission, Canberra.</w:t>
      </w:r>
    </w:p>
    <w:p w:rsidR="00592206" w:rsidRPr="006F007C" w:rsidRDefault="00592206" w:rsidP="00592206">
      <w:pPr>
        <w:pStyle w:val="Reference"/>
      </w:pPr>
      <w:r w:rsidRPr="006F007C">
        <w:t>—— 20</w:t>
      </w:r>
      <w:r w:rsidR="009C0C4F" w:rsidRPr="006F007C">
        <w:t>11</w:t>
      </w:r>
      <w:r w:rsidRPr="006F007C">
        <w:t xml:space="preserve">, </w:t>
      </w:r>
      <w:r w:rsidRPr="006F007C">
        <w:rPr>
          <w:i/>
        </w:rPr>
        <w:t>Overcoming Indigenous Disadvantage: Key Indicators 20</w:t>
      </w:r>
      <w:r w:rsidR="009C0C4F" w:rsidRPr="006F007C">
        <w:rPr>
          <w:i/>
        </w:rPr>
        <w:t>11</w:t>
      </w:r>
      <w:r w:rsidRPr="006F007C">
        <w:t>, Productivity Commission, Canberra.</w:t>
      </w:r>
    </w:p>
    <w:p w:rsidR="00102701" w:rsidRPr="006F007C" w:rsidRDefault="008006AC" w:rsidP="00EA67A7">
      <w:pPr>
        <w:pStyle w:val="Reference"/>
      </w:pPr>
      <w:r w:rsidRPr="006F007C">
        <w:t xml:space="preserve">WHO (World Health Organization) 2000, </w:t>
      </w:r>
      <w:r w:rsidRPr="006F007C">
        <w:rPr>
          <w:i/>
        </w:rPr>
        <w:t>Obesity: Preventing and Managing the Global Epidemic</w:t>
      </w:r>
      <w:r w:rsidRPr="006F007C">
        <w:t>, WHO Technical Report Series No. 894, Geneva.</w:t>
      </w:r>
    </w:p>
    <w:p w:rsidR="002C2578" w:rsidRPr="006F007C" w:rsidRDefault="002C2578" w:rsidP="002C2578">
      <w:pPr>
        <w:pStyle w:val="Reference"/>
      </w:pPr>
      <w:r w:rsidRPr="006F007C">
        <w:t>Zhao</w:t>
      </w:r>
      <w:r w:rsidR="005D57D5" w:rsidRPr="006F007C">
        <w:t xml:space="preserve">, Y. Wright, J. </w:t>
      </w:r>
      <w:proofErr w:type="spellStart"/>
      <w:r w:rsidR="005D57D5" w:rsidRPr="006F007C">
        <w:t>Begg</w:t>
      </w:r>
      <w:proofErr w:type="spellEnd"/>
      <w:r w:rsidR="005D57D5" w:rsidRPr="006F007C">
        <w:t>, S. and Guthridge, S. 2013,</w:t>
      </w:r>
      <w:r w:rsidRPr="006F007C">
        <w:t xml:space="preserve"> Decomposing Indigenous life expectancy</w:t>
      </w:r>
      <w:r w:rsidR="005D57D5" w:rsidRPr="006F007C">
        <w:t xml:space="preserve"> </w:t>
      </w:r>
      <w:r w:rsidRPr="006F007C">
        <w:t xml:space="preserve">gap by risk factors: a life table analysis. </w:t>
      </w:r>
      <w:r w:rsidRPr="006F007C">
        <w:rPr>
          <w:i/>
        </w:rPr>
        <w:t>Population Health Metrics</w:t>
      </w:r>
      <w:r w:rsidRPr="006F007C">
        <w:t xml:space="preserve"> 2013</w:t>
      </w:r>
      <w:r w:rsidR="005D57D5" w:rsidRPr="006F007C">
        <w:t xml:space="preserve">, vol. 11, no. 1 </w:t>
      </w:r>
      <w:r w:rsidR="00247065">
        <w:t>(</w:t>
      </w:r>
      <w:proofErr w:type="spellStart"/>
      <w:r w:rsidR="005D57D5" w:rsidRPr="006F007C">
        <w:t>www.pophealthmetrics.com</w:t>
      </w:r>
      <w:proofErr w:type="spellEnd"/>
      <w:r w:rsidR="005D57D5" w:rsidRPr="006F007C">
        <w:t>/content/11/1/1, accessed 22</w:t>
      </w:r>
      <w:r w:rsidR="00247065">
        <w:t> </w:t>
      </w:r>
      <w:r w:rsidR="005D57D5" w:rsidRPr="006F007C">
        <w:t>November 2013).</w:t>
      </w:r>
    </w:p>
    <w:sectPr w:rsidR="002C2578" w:rsidRPr="006F007C" w:rsidSect="005E6109">
      <w:headerReference w:type="even" r:id="rId38"/>
      <w:headerReference w:type="default" r:id="rId39"/>
      <w:footerReference w:type="even" r:id="rId40"/>
      <w:footerReference w:type="default" r:id="rId41"/>
      <w:type w:val="continuous"/>
      <w:pgSz w:w="11907" w:h="16840" w:code="9"/>
      <w:pgMar w:top="1984" w:right="1304" w:bottom="1417"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93A" w:rsidRDefault="00AB193A">
      <w:r>
        <w:separator/>
      </w:r>
    </w:p>
  </w:endnote>
  <w:endnote w:type="continuationSeparator" w:id="0">
    <w:p w:rsidR="00AB193A" w:rsidRDefault="00AB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B193A">
      <w:trPr>
        <w:trHeight w:hRule="exact" w:val="740"/>
      </w:trPr>
      <w:tc>
        <w:tcPr>
          <w:tcW w:w="510" w:type="dxa"/>
          <w:tcBorders>
            <w:top w:val="single" w:sz="6" w:space="0" w:color="auto"/>
          </w:tcBorders>
        </w:tcPr>
        <w:p w:rsidR="00AB193A" w:rsidRDefault="00AB193A">
          <w:pPr>
            <w:pStyle w:val="Footer"/>
            <w:tabs>
              <w:tab w:val="left" w:pos="0"/>
            </w:tabs>
            <w:ind w:right="0"/>
            <w:rPr>
              <w:rStyle w:val="PageNumber"/>
            </w:rPr>
          </w:pPr>
          <w:r>
            <w:rPr>
              <w:rStyle w:val="PageNumber"/>
            </w:rPr>
            <w:fldChar w:fldCharType="begin"/>
          </w:r>
          <w:r>
            <w:rPr>
              <w:rStyle w:val="PageNumber"/>
            </w:rPr>
            <w:instrText xml:space="preserve"> COMMENTS  \* MERGEFORMAT </w:instrText>
          </w:r>
          <w:r>
            <w:rPr>
              <w:rStyle w:val="PageNumber"/>
            </w:rPr>
            <w:fldChar w:fldCharType="separate"/>
          </w:r>
          <w:proofErr w:type="spellStart"/>
          <w:r>
            <w:rPr>
              <w:rStyle w:val="PageNumber"/>
            </w:rPr>
            <w:t>E.</w:t>
          </w:r>
          <w:r>
            <w:rPr>
              <w:rStyle w:val="PageNumber"/>
            </w:rPr>
            <w:fldChar w:fldCharType="end"/>
          </w:r>
          <w:proofErr w:type="spellEnd"/>
          <w:r>
            <w:rPr>
              <w:rStyle w:val="PageNumber"/>
            </w:rPr>
            <w:fldChar w:fldCharType="begin"/>
          </w:r>
          <w:r>
            <w:rPr>
              <w:rStyle w:val="PageNumber"/>
            </w:rPr>
            <w:instrText xml:space="preserve">PAGE  </w:instrText>
          </w:r>
          <w:r>
            <w:rPr>
              <w:rStyle w:val="PageNumber"/>
            </w:rPr>
            <w:fldChar w:fldCharType="separate"/>
          </w:r>
          <w:r w:rsidR="003F3F3B">
            <w:rPr>
              <w:rStyle w:val="PageNumber"/>
              <w:noProof/>
            </w:rPr>
            <w:t>74</w:t>
          </w:r>
          <w:r>
            <w:rPr>
              <w:rStyle w:val="PageNumber"/>
            </w:rPr>
            <w:fldChar w:fldCharType="end"/>
          </w:r>
        </w:p>
      </w:tc>
      <w:tc>
        <w:tcPr>
          <w:tcW w:w="1644" w:type="dxa"/>
          <w:tcBorders>
            <w:top w:val="single" w:sz="6" w:space="0" w:color="auto"/>
          </w:tcBorders>
        </w:tcPr>
        <w:p w:rsidR="00AB193A" w:rsidRDefault="003F3F3B" w:rsidP="00E43CB5">
          <w:pPr>
            <w:pStyle w:val="Footer"/>
          </w:pPr>
          <w:r>
            <w:fldChar w:fldCharType="begin"/>
          </w:r>
          <w:r>
            <w:instrText xml:space="preserve"> SUBJECT  \* MERGEFORMAT </w:instrText>
          </w:r>
          <w:r>
            <w:fldChar w:fldCharType="separate"/>
          </w:r>
          <w:r w:rsidR="00AB193A">
            <w:t>Report on Government Services 2014</w:t>
          </w:r>
          <w:r>
            <w:fldChar w:fldCharType="end"/>
          </w:r>
        </w:p>
      </w:tc>
      <w:tc>
        <w:tcPr>
          <w:tcW w:w="6634" w:type="dxa"/>
        </w:tcPr>
        <w:p w:rsidR="00AB193A" w:rsidRDefault="00AB193A">
          <w:pPr>
            <w:pStyle w:val="Footer"/>
          </w:pPr>
        </w:p>
      </w:tc>
    </w:tr>
  </w:tbl>
  <w:p w:rsidR="00AB193A" w:rsidRDefault="00AB193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B193A">
      <w:trPr>
        <w:trHeight w:hRule="exact" w:val="740"/>
      </w:trPr>
      <w:tc>
        <w:tcPr>
          <w:tcW w:w="6634" w:type="dxa"/>
        </w:tcPr>
        <w:p w:rsidR="00AB193A" w:rsidRDefault="00AB193A">
          <w:pPr>
            <w:pStyle w:val="Footer"/>
            <w:ind w:right="360" w:firstLine="360"/>
          </w:pPr>
          <w:bookmarkStart w:id="62" w:name="_AppendixByChapter"/>
          <w:bookmarkEnd w:id="62"/>
        </w:p>
      </w:tc>
      <w:tc>
        <w:tcPr>
          <w:tcW w:w="1644" w:type="dxa"/>
          <w:tcBorders>
            <w:top w:val="single" w:sz="6" w:space="0" w:color="auto"/>
          </w:tcBorders>
        </w:tcPr>
        <w:p w:rsidR="00AB193A" w:rsidRDefault="003F3F3B" w:rsidP="00F156AA">
          <w:pPr>
            <w:pStyle w:val="Footer"/>
          </w:pPr>
          <w:r>
            <w:fldChar w:fldCharType="begin"/>
          </w:r>
          <w:r>
            <w:instrText xml:space="preserve"> TITLE  \* MERGEFORMAT </w:instrText>
          </w:r>
          <w:r>
            <w:fldChar w:fldCharType="separate"/>
          </w:r>
          <w:r w:rsidR="00AB193A">
            <w:t>Health sector overview</w:t>
          </w:r>
          <w:r>
            <w:fldChar w:fldCharType="end"/>
          </w:r>
          <w:bookmarkStart w:id="63" w:name="OLE_LINK1"/>
        </w:p>
      </w:tc>
      <w:tc>
        <w:tcPr>
          <w:tcW w:w="510" w:type="dxa"/>
          <w:tcBorders>
            <w:top w:val="single" w:sz="6" w:space="0" w:color="auto"/>
          </w:tcBorders>
        </w:tcPr>
        <w:p w:rsidR="00AB193A" w:rsidRDefault="00AB193A">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proofErr w:type="spellStart"/>
          <w:r>
            <w:rPr>
              <w:rStyle w:val="PageNumber"/>
            </w:rPr>
            <w:t>E.</w:t>
          </w:r>
          <w:r>
            <w:rPr>
              <w:rStyle w:val="PageNumber"/>
            </w:rPr>
            <w:fldChar w:fldCharType="end"/>
          </w:r>
          <w:proofErr w:type="spellEnd"/>
          <w:r>
            <w:rPr>
              <w:rStyle w:val="PageNumber"/>
            </w:rPr>
            <w:fldChar w:fldCharType="begin"/>
          </w:r>
          <w:r>
            <w:rPr>
              <w:rStyle w:val="PageNumber"/>
            </w:rPr>
            <w:instrText xml:space="preserve">PAGE  </w:instrText>
          </w:r>
          <w:r>
            <w:rPr>
              <w:rStyle w:val="PageNumber"/>
            </w:rPr>
            <w:fldChar w:fldCharType="separate"/>
          </w:r>
          <w:r w:rsidR="003F3F3B">
            <w:rPr>
              <w:rStyle w:val="PageNumber"/>
              <w:noProof/>
            </w:rPr>
            <w:t>73</w:t>
          </w:r>
          <w:r>
            <w:rPr>
              <w:rStyle w:val="PageNumber"/>
            </w:rPr>
            <w:fldChar w:fldCharType="end"/>
          </w:r>
        </w:p>
      </w:tc>
    </w:tr>
  </w:tbl>
  <w:p w:rsidR="00AB193A" w:rsidRDefault="00AB193A">
    <w:pPr>
      <w:pStyle w:val="FooterEnd"/>
    </w:pPr>
    <w:bookmarkStart w:id="64" w:name="OLE_LINK6"/>
    <w:bookmarkEnd w:id="63"/>
    <w:bookmarkEnd w:id="6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93A" w:rsidRDefault="00AB193A">
      <w:r>
        <w:separator/>
      </w:r>
    </w:p>
  </w:footnote>
  <w:footnote w:type="continuationSeparator" w:id="0">
    <w:p w:rsidR="00AB193A" w:rsidRDefault="00AB193A">
      <w:r>
        <w:continuationSeparator/>
      </w:r>
    </w:p>
  </w:footnote>
  <w:footnote w:id="1">
    <w:p w:rsidR="00AB193A" w:rsidRPr="005A7F71" w:rsidRDefault="00AB193A" w:rsidP="00C326CD">
      <w:pPr>
        <w:pStyle w:val="FootnoteText"/>
        <w:rPr>
          <w:rStyle w:val="FootnoteReference"/>
        </w:rPr>
      </w:pPr>
      <w:r w:rsidRPr="000A11F0">
        <w:rPr>
          <w:rStyle w:val="FootnoteReference"/>
        </w:rPr>
        <w:footnoteRef/>
      </w:r>
      <w:r w:rsidRPr="000A11F0">
        <w:rPr>
          <w:rStyle w:val="FootnoteReference"/>
        </w:rPr>
        <w:t xml:space="preserve"> </w:t>
      </w:r>
      <w:r w:rsidRPr="000A11F0">
        <w:t>There was a break in series due to differences in definitions of public hospital and public hospita</w:t>
      </w:r>
      <w:r>
        <w:t xml:space="preserve">l </w:t>
      </w:r>
      <w:r w:rsidRPr="000A11F0">
        <w:t>services between 2002</w:t>
      </w:r>
      <w:r>
        <w:noBreakHyphen/>
      </w:r>
      <w:r w:rsidRPr="000A11F0">
        <w:t>03 and 2003</w:t>
      </w:r>
      <w:r>
        <w:noBreakHyphen/>
      </w:r>
      <w:r w:rsidRPr="000A11F0">
        <w:t>04.</w:t>
      </w:r>
    </w:p>
  </w:footnote>
  <w:footnote w:id="2">
    <w:p w:rsidR="00AB193A" w:rsidRPr="00604029" w:rsidRDefault="00AB193A" w:rsidP="00E275A8">
      <w:pPr>
        <w:pStyle w:val="FootnoteText"/>
      </w:pPr>
      <w:r>
        <w:rPr>
          <w:rStyle w:val="FootnoteReference"/>
        </w:rPr>
        <w:footnoteRef/>
      </w:r>
      <w:r>
        <w:tab/>
      </w:r>
      <w:r w:rsidRPr="00604029">
        <w:t>The former National Health Performance Committee developed the National Health Performance Framework to guide the reporting and measurement of health service performance in Australia. The National Health Performance Framework was reviewed by the National Health Performance Committee and a revised framework was agreed by the National Health Information Standards and Stat</w:t>
      </w:r>
      <w:r>
        <w:t>istics</w:t>
      </w:r>
      <w:r w:rsidRPr="00604029">
        <w:t xml:space="preserve"> Committee in 2009. A number of groups involved in health performance indicator development have adopted this framework for use within specific project areas and in publications.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27"/>
      <w:gridCol w:w="6662"/>
    </w:tblGrid>
    <w:tr w:rsidR="00AB193A">
      <w:tc>
        <w:tcPr>
          <w:tcW w:w="2127" w:type="dxa"/>
          <w:tcBorders>
            <w:top w:val="single" w:sz="24" w:space="0" w:color="auto"/>
          </w:tcBorders>
        </w:tcPr>
        <w:p w:rsidR="00AB193A" w:rsidRDefault="00AB193A" w:rsidP="00BC367C">
          <w:pPr>
            <w:pStyle w:val="HeaderEven"/>
            <w:jc w:val="right"/>
          </w:pPr>
        </w:p>
      </w:tc>
      <w:tc>
        <w:tcPr>
          <w:tcW w:w="6662" w:type="dxa"/>
          <w:tcBorders>
            <w:top w:val="single" w:sz="6" w:space="0" w:color="auto"/>
          </w:tcBorders>
        </w:tcPr>
        <w:p w:rsidR="00AB193A" w:rsidRDefault="00AB193A" w:rsidP="003F3F3B">
          <w:pPr>
            <w:pStyle w:val="HeaderEven"/>
            <w:tabs>
              <w:tab w:val="left" w:pos="390"/>
              <w:tab w:val="left" w:pos="4245"/>
            </w:tabs>
          </w:pPr>
          <w:r>
            <w:tab/>
          </w:r>
          <w:r>
            <w:tab/>
          </w:r>
        </w:p>
      </w:tc>
    </w:tr>
  </w:tbl>
  <w:p w:rsidR="00AB193A" w:rsidRDefault="00AB193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B193A">
      <w:tc>
        <w:tcPr>
          <w:tcW w:w="6634" w:type="dxa"/>
          <w:tcBorders>
            <w:top w:val="single" w:sz="6" w:space="0" w:color="auto"/>
          </w:tcBorders>
        </w:tcPr>
        <w:p w:rsidR="00AB193A" w:rsidRPr="00B10F20" w:rsidRDefault="00AB193A" w:rsidP="003F3F3B">
          <w:pPr>
            <w:pStyle w:val="HeaderOdd"/>
          </w:pPr>
        </w:p>
      </w:tc>
      <w:tc>
        <w:tcPr>
          <w:tcW w:w="2155" w:type="dxa"/>
          <w:tcBorders>
            <w:top w:val="single" w:sz="24" w:space="0" w:color="auto"/>
          </w:tcBorders>
        </w:tcPr>
        <w:p w:rsidR="00AB193A" w:rsidRDefault="00AB193A">
          <w:pPr>
            <w:pStyle w:val="HeaderOdd"/>
          </w:pPr>
        </w:p>
      </w:tc>
    </w:tr>
  </w:tbl>
  <w:p w:rsidR="00AB193A" w:rsidRDefault="00AB193A">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CCD54E4"/>
    <w:multiLevelType w:val="hybridMultilevel"/>
    <w:tmpl w:val="F2E4BC32"/>
    <w:lvl w:ilvl="0" w:tplc="C4E2BBB8">
      <w:start w:val="1"/>
      <w:numFmt w:val="bullet"/>
      <w:pStyle w:val="BoxListBullet4"/>
      <w:lvlText w:val=""/>
      <w:lvlJc w:val="left"/>
      <w:pPr>
        <w:ind w:left="1741" w:hanging="360"/>
      </w:pPr>
      <w:rPr>
        <w:rFonts w:ascii="MT Extra" w:hAnsi="MT Extra" w:hint="default"/>
        <w:b w:val="0"/>
        <w:i w:val="0"/>
        <w:sz w:val="16"/>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
    <w:abstractNumId w:val="39"/>
  </w:num>
  <w:num w:numId="3">
    <w:abstractNumId w:val="9"/>
  </w:num>
  <w:num w:numId="4">
    <w:abstractNumId w:val="10"/>
  </w:num>
  <w:num w:numId="5">
    <w:abstractNumId w:val="17"/>
  </w:num>
  <w:num w:numId="6">
    <w:abstractNumId w:val="27"/>
  </w:num>
  <w:num w:numId="7">
    <w:abstractNumId w:val="21"/>
  </w:num>
  <w:num w:numId="8">
    <w:abstractNumId w:val="44"/>
  </w:num>
  <w:num w:numId="9">
    <w:abstractNumId w:val="45"/>
  </w:num>
  <w:num w:numId="10">
    <w:abstractNumId w:val="18"/>
  </w:num>
  <w:num w:numId="11">
    <w:abstractNumId w:val="28"/>
  </w:num>
  <w:num w:numId="12">
    <w:abstractNumId w:val="30"/>
  </w:num>
  <w:num w:numId="13">
    <w:abstractNumId w:val="7"/>
  </w:num>
  <w:num w:numId="14">
    <w:abstractNumId w:val="16"/>
  </w:num>
  <w:num w:numId="15">
    <w:abstractNumId w:val="15"/>
  </w:num>
  <w:num w:numId="16">
    <w:abstractNumId w:val="23"/>
  </w:num>
  <w:num w:numId="17">
    <w:abstractNumId w:val="20"/>
  </w:num>
  <w:num w:numId="18">
    <w:abstractNumId w:val="24"/>
  </w:num>
  <w:num w:numId="19">
    <w:abstractNumId w:val="32"/>
  </w:num>
  <w:num w:numId="20">
    <w:abstractNumId w:val="14"/>
  </w:num>
  <w:num w:numId="21">
    <w:abstractNumId w:val="7"/>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6"/>
  </w:num>
  <w:num w:numId="30">
    <w:abstractNumId w:val="38"/>
  </w:num>
  <w:num w:numId="31">
    <w:abstractNumId w:val="26"/>
  </w:num>
  <w:num w:numId="32">
    <w:abstractNumId w:val="29"/>
  </w:num>
  <w:num w:numId="33">
    <w:abstractNumId w:val="31"/>
  </w:num>
  <w:num w:numId="34">
    <w:abstractNumId w:val="43"/>
  </w:num>
  <w:num w:numId="35">
    <w:abstractNumId w:val="35"/>
  </w:num>
  <w:num w:numId="36">
    <w:abstractNumId w:val="40"/>
  </w:num>
  <w:num w:numId="37">
    <w:abstractNumId w:val="41"/>
  </w:num>
  <w:num w:numId="38">
    <w:abstractNumId w:val="33"/>
  </w:num>
  <w:num w:numId="39">
    <w:abstractNumId w:val="22"/>
  </w:num>
  <w:num w:numId="40">
    <w:abstractNumId w:val="46"/>
  </w:num>
  <w:num w:numId="41">
    <w:abstractNumId w:val="8"/>
  </w:num>
  <w:num w:numId="42">
    <w:abstractNumId w:val="19"/>
  </w:num>
  <w:num w:numId="43">
    <w:abstractNumId w:val="42"/>
  </w:num>
  <w:num w:numId="44">
    <w:abstractNumId w:val="34"/>
  </w:num>
  <w:num w:numId="45">
    <w:abstractNumId w:val="13"/>
  </w:num>
  <w:num w:numId="46">
    <w:abstractNumId w:val="37"/>
  </w:num>
  <w:num w:numId="47">
    <w:abstractNumId w:val="25"/>
  </w:num>
  <w:num w:numId="48">
    <w:abstractNumId w:val="11"/>
  </w:num>
  <w:num w:numId="49">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activeWritingStyle w:appName="MSWord" w:lang="en-US"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E"/>
    <w:docVar w:name="DocType" w:val="0"/>
    <w:docVar w:name="FindingOptions" w:val="0"/>
    <w:docVar w:name="LongChapterTitle" w:val="Chapter"/>
    <w:docVar w:name="LongReportTitle" w:val="Report title"/>
    <w:docVar w:name="RecOptions" w:val="111"/>
    <w:docVar w:name="ShortChapterTitle" w:val="Health sector overview"/>
    <w:docVar w:name="ShortReportTitle" w:val="Report on Government Services 2014"/>
    <w:docVar w:name="SideNote" w:val="1"/>
    <w:docVar w:name="UseShortChapter" w:val="0"/>
    <w:docVar w:name="UseShortReport" w:val="0"/>
  </w:docVars>
  <w:rsids>
    <w:rsidRoot w:val="00622285"/>
    <w:rsid w:val="000003FA"/>
    <w:rsid w:val="0000084E"/>
    <w:rsid w:val="0000098C"/>
    <w:rsid w:val="00000FE6"/>
    <w:rsid w:val="00001403"/>
    <w:rsid w:val="000016A3"/>
    <w:rsid w:val="00001EA5"/>
    <w:rsid w:val="00001FC2"/>
    <w:rsid w:val="000020DA"/>
    <w:rsid w:val="00002B64"/>
    <w:rsid w:val="00002D8F"/>
    <w:rsid w:val="00003323"/>
    <w:rsid w:val="00003382"/>
    <w:rsid w:val="000036FE"/>
    <w:rsid w:val="000037A5"/>
    <w:rsid w:val="00003D4A"/>
    <w:rsid w:val="00003D63"/>
    <w:rsid w:val="00003F4C"/>
    <w:rsid w:val="00004447"/>
    <w:rsid w:val="00004747"/>
    <w:rsid w:val="00004B8C"/>
    <w:rsid w:val="00004C2A"/>
    <w:rsid w:val="00004D74"/>
    <w:rsid w:val="000054C0"/>
    <w:rsid w:val="00005724"/>
    <w:rsid w:val="00005798"/>
    <w:rsid w:val="0000616D"/>
    <w:rsid w:val="00006510"/>
    <w:rsid w:val="000067BE"/>
    <w:rsid w:val="000069E5"/>
    <w:rsid w:val="00006D58"/>
    <w:rsid w:val="00006D77"/>
    <w:rsid w:val="00006DD9"/>
    <w:rsid w:val="000071A8"/>
    <w:rsid w:val="00007204"/>
    <w:rsid w:val="00007490"/>
    <w:rsid w:val="000078C5"/>
    <w:rsid w:val="00007D37"/>
    <w:rsid w:val="00007EBC"/>
    <w:rsid w:val="00010726"/>
    <w:rsid w:val="00010982"/>
    <w:rsid w:val="00010D05"/>
    <w:rsid w:val="00010F28"/>
    <w:rsid w:val="000117FA"/>
    <w:rsid w:val="000118E3"/>
    <w:rsid w:val="00011953"/>
    <w:rsid w:val="00011A8F"/>
    <w:rsid w:val="0001219F"/>
    <w:rsid w:val="00012BDF"/>
    <w:rsid w:val="00012C21"/>
    <w:rsid w:val="00012CF6"/>
    <w:rsid w:val="00012F41"/>
    <w:rsid w:val="00013035"/>
    <w:rsid w:val="000132F0"/>
    <w:rsid w:val="000132F1"/>
    <w:rsid w:val="000134BD"/>
    <w:rsid w:val="00013792"/>
    <w:rsid w:val="00014044"/>
    <w:rsid w:val="000143F6"/>
    <w:rsid w:val="00014DB6"/>
    <w:rsid w:val="00015B35"/>
    <w:rsid w:val="00015B65"/>
    <w:rsid w:val="00015F0F"/>
    <w:rsid w:val="0001641F"/>
    <w:rsid w:val="00016CA9"/>
    <w:rsid w:val="00017265"/>
    <w:rsid w:val="000176BF"/>
    <w:rsid w:val="00017B61"/>
    <w:rsid w:val="00017DFE"/>
    <w:rsid w:val="000205AC"/>
    <w:rsid w:val="00020A7B"/>
    <w:rsid w:val="00020CA6"/>
    <w:rsid w:val="00020FBD"/>
    <w:rsid w:val="00020FDD"/>
    <w:rsid w:val="00021213"/>
    <w:rsid w:val="000219A3"/>
    <w:rsid w:val="0002211F"/>
    <w:rsid w:val="00022251"/>
    <w:rsid w:val="00022F06"/>
    <w:rsid w:val="00023050"/>
    <w:rsid w:val="0002335E"/>
    <w:rsid w:val="000234EC"/>
    <w:rsid w:val="00023743"/>
    <w:rsid w:val="0002460E"/>
    <w:rsid w:val="00024D78"/>
    <w:rsid w:val="00025228"/>
    <w:rsid w:val="000257B1"/>
    <w:rsid w:val="00025D5B"/>
    <w:rsid w:val="00025EBD"/>
    <w:rsid w:val="00026704"/>
    <w:rsid w:val="00026D2C"/>
    <w:rsid w:val="00026FDC"/>
    <w:rsid w:val="00027069"/>
    <w:rsid w:val="00027474"/>
    <w:rsid w:val="000276D0"/>
    <w:rsid w:val="00027B1C"/>
    <w:rsid w:val="00030279"/>
    <w:rsid w:val="00030A82"/>
    <w:rsid w:val="00030B5F"/>
    <w:rsid w:val="00030E32"/>
    <w:rsid w:val="00030FAA"/>
    <w:rsid w:val="0003146B"/>
    <w:rsid w:val="00031AC5"/>
    <w:rsid w:val="00031FE5"/>
    <w:rsid w:val="0003222F"/>
    <w:rsid w:val="000327AB"/>
    <w:rsid w:val="00032BF7"/>
    <w:rsid w:val="00032C36"/>
    <w:rsid w:val="00032CF3"/>
    <w:rsid w:val="00032DEF"/>
    <w:rsid w:val="0003310C"/>
    <w:rsid w:val="0003322D"/>
    <w:rsid w:val="0003388A"/>
    <w:rsid w:val="00033D15"/>
    <w:rsid w:val="00034577"/>
    <w:rsid w:val="00034C25"/>
    <w:rsid w:val="00034D59"/>
    <w:rsid w:val="000351D2"/>
    <w:rsid w:val="0003525B"/>
    <w:rsid w:val="000355DB"/>
    <w:rsid w:val="00035AAC"/>
    <w:rsid w:val="0003619F"/>
    <w:rsid w:val="000361D8"/>
    <w:rsid w:val="00036CAE"/>
    <w:rsid w:val="00036F95"/>
    <w:rsid w:val="00036FFF"/>
    <w:rsid w:val="000372DC"/>
    <w:rsid w:val="00037AA9"/>
    <w:rsid w:val="00037B92"/>
    <w:rsid w:val="00037C4F"/>
    <w:rsid w:val="00037FDE"/>
    <w:rsid w:val="00040829"/>
    <w:rsid w:val="00040A44"/>
    <w:rsid w:val="00040A7A"/>
    <w:rsid w:val="00040AD5"/>
    <w:rsid w:val="00040ADB"/>
    <w:rsid w:val="00041453"/>
    <w:rsid w:val="0004160F"/>
    <w:rsid w:val="0004162C"/>
    <w:rsid w:val="00041D1F"/>
    <w:rsid w:val="00041F24"/>
    <w:rsid w:val="00041F70"/>
    <w:rsid w:val="0004228D"/>
    <w:rsid w:val="0004239F"/>
    <w:rsid w:val="00043100"/>
    <w:rsid w:val="000438B6"/>
    <w:rsid w:val="00043FAA"/>
    <w:rsid w:val="00044024"/>
    <w:rsid w:val="000440F8"/>
    <w:rsid w:val="000447F0"/>
    <w:rsid w:val="00044BD9"/>
    <w:rsid w:val="00044E60"/>
    <w:rsid w:val="00044F77"/>
    <w:rsid w:val="0004527D"/>
    <w:rsid w:val="0004535A"/>
    <w:rsid w:val="0004543E"/>
    <w:rsid w:val="00045506"/>
    <w:rsid w:val="0004663B"/>
    <w:rsid w:val="000466E8"/>
    <w:rsid w:val="00046760"/>
    <w:rsid w:val="0004683F"/>
    <w:rsid w:val="00046C94"/>
    <w:rsid w:val="0004761C"/>
    <w:rsid w:val="00047646"/>
    <w:rsid w:val="000477B3"/>
    <w:rsid w:val="00047A5E"/>
    <w:rsid w:val="00047CCD"/>
    <w:rsid w:val="00050060"/>
    <w:rsid w:val="0005056B"/>
    <w:rsid w:val="00050BC5"/>
    <w:rsid w:val="00050C53"/>
    <w:rsid w:val="0005120C"/>
    <w:rsid w:val="0005127E"/>
    <w:rsid w:val="000515AA"/>
    <w:rsid w:val="00051639"/>
    <w:rsid w:val="00051698"/>
    <w:rsid w:val="00051F08"/>
    <w:rsid w:val="0005228D"/>
    <w:rsid w:val="00052620"/>
    <w:rsid w:val="0005271E"/>
    <w:rsid w:val="00052A50"/>
    <w:rsid w:val="00053069"/>
    <w:rsid w:val="000532F9"/>
    <w:rsid w:val="000534EB"/>
    <w:rsid w:val="000537D1"/>
    <w:rsid w:val="00053B26"/>
    <w:rsid w:val="00053D8D"/>
    <w:rsid w:val="0005405B"/>
    <w:rsid w:val="000556A2"/>
    <w:rsid w:val="000557E7"/>
    <w:rsid w:val="00055860"/>
    <w:rsid w:val="00055C89"/>
    <w:rsid w:val="000560C9"/>
    <w:rsid w:val="00056134"/>
    <w:rsid w:val="00056222"/>
    <w:rsid w:val="00056471"/>
    <w:rsid w:val="000567D3"/>
    <w:rsid w:val="000568BF"/>
    <w:rsid w:val="00056CF6"/>
    <w:rsid w:val="00057385"/>
    <w:rsid w:val="0005743A"/>
    <w:rsid w:val="000576B1"/>
    <w:rsid w:val="00057BB9"/>
    <w:rsid w:val="00057DE7"/>
    <w:rsid w:val="00060142"/>
    <w:rsid w:val="000601BF"/>
    <w:rsid w:val="00060224"/>
    <w:rsid w:val="00060282"/>
    <w:rsid w:val="00060419"/>
    <w:rsid w:val="0006047F"/>
    <w:rsid w:val="0006049E"/>
    <w:rsid w:val="00060747"/>
    <w:rsid w:val="00060991"/>
    <w:rsid w:val="00060CC1"/>
    <w:rsid w:val="00060CFF"/>
    <w:rsid w:val="0006102D"/>
    <w:rsid w:val="0006129D"/>
    <w:rsid w:val="00061425"/>
    <w:rsid w:val="0006144B"/>
    <w:rsid w:val="000618F9"/>
    <w:rsid w:val="0006355C"/>
    <w:rsid w:val="00064D94"/>
    <w:rsid w:val="000650A1"/>
    <w:rsid w:val="00065104"/>
    <w:rsid w:val="000652E1"/>
    <w:rsid w:val="00065B2F"/>
    <w:rsid w:val="00065D18"/>
    <w:rsid w:val="00065E89"/>
    <w:rsid w:val="00066462"/>
    <w:rsid w:val="000669BB"/>
    <w:rsid w:val="00067060"/>
    <w:rsid w:val="00067075"/>
    <w:rsid w:val="000673C7"/>
    <w:rsid w:val="00067447"/>
    <w:rsid w:val="00067483"/>
    <w:rsid w:val="000675BD"/>
    <w:rsid w:val="000678A6"/>
    <w:rsid w:val="00067FCB"/>
    <w:rsid w:val="000701F8"/>
    <w:rsid w:val="00070294"/>
    <w:rsid w:val="00070442"/>
    <w:rsid w:val="000706E7"/>
    <w:rsid w:val="00070F19"/>
    <w:rsid w:val="0007182B"/>
    <w:rsid w:val="00071A03"/>
    <w:rsid w:val="00071E75"/>
    <w:rsid w:val="00071F68"/>
    <w:rsid w:val="00072A17"/>
    <w:rsid w:val="00072C3A"/>
    <w:rsid w:val="00073036"/>
    <w:rsid w:val="00073424"/>
    <w:rsid w:val="000741A7"/>
    <w:rsid w:val="0007443D"/>
    <w:rsid w:val="00074A1A"/>
    <w:rsid w:val="00074E60"/>
    <w:rsid w:val="000757F5"/>
    <w:rsid w:val="0007599C"/>
    <w:rsid w:val="00075EE2"/>
    <w:rsid w:val="00075F15"/>
    <w:rsid w:val="00075F25"/>
    <w:rsid w:val="0007684C"/>
    <w:rsid w:val="00076B51"/>
    <w:rsid w:val="000771C7"/>
    <w:rsid w:val="00077533"/>
    <w:rsid w:val="0007782D"/>
    <w:rsid w:val="00077D5E"/>
    <w:rsid w:val="000806FB"/>
    <w:rsid w:val="0008075F"/>
    <w:rsid w:val="000807B4"/>
    <w:rsid w:val="000808DB"/>
    <w:rsid w:val="000810A1"/>
    <w:rsid w:val="000818BD"/>
    <w:rsid w:val="00081ADC"/>
    <w:rsid w:val="00081DB2"/>
    <w:rsid w:val="00081F50"/>
    <w:rsid w:val="000824D6"/>
    <w:rsid w:val="00082710"/>
    <w:rsid w:val="0008282F"/>
    <w:rsid w:val="0008298B"/>
    <w:rsid w:val="00082D42"/>
    <w:rsid w:val="00083159"/>
    <w:rsid w:val="000833F5"/>
    <w:rsid w:val="000834D1"/>
    <w:rsid w:val="000835C0"/>
    <w:rsid w:val="0008374A"/>
    <w:rsid w:val="000837D4"/>
    <w:rsid w:val="00083D3E"/>
    <w:rsid w:val="00083E29"/>
    <w:rsid w:val="00084006"/>
    <w:rsid w:val="000843D3"/>
    <w:rsid w:val="000849D0"/>
    <w:rsid w:val="00084DE4"/>
    <w:rsid w:val="0008508D"/>
    <w:rsid w:val="00085094"/>
    <w:rsid w:val="000853E3"/>
    <w:rsid w:val="0008545D"/>
    <w:rsid w:val="00085733"/>
    <w:rsid w:val="000867C5"/>
    <w:rsid w:val="00086AD6"/>
    <w:rsid w:val="000875EA"/>
    <w:rsid w:val="000878F2"/>
    <w:rsid w:val="00087C0A"/>
    <w:rsid w:val="00087EFD"/>
    <w:rsid w:val="00090581"/>
    <w:rsid w:val="00090886"/>
    <w:rsid w:val="00090903"/>
    <w:rsid w:val="00090C37"/>
    <w:rsid w:val="00090E19"/>
    <w:rsid w:val="00090F84"/>
    <w:rsid w:val="00091413"/>
    <w:rsid w:val="000918E7"/>
    <w:rsid w:val="00091E81"/>
    <w:rsid w:val="000921A3"/>
    <w:rsid w:val="0009260D"/>
    <w:rsid w:val="0009299F"/>
    <w:rsid w:val="000929D5"/>
    <w:rsid w:val="00092F52"/>
    <w:rsid w:val="00092FE5"/>
    <w:rsid w:val="00093045"/>
    <w:rsid w:val="00093137"/>
    <w:rsid w:val="00093487"/>
    <w:rsid w:val="000937A8"/>
    <w:rsid w:val="000937C8"/>
    <w:rsid w:val="00093947"/>
    <w:rsid w:val="00093978"/>
    <w:rsid w:val="00093FDB"/>
    <w:rsid w:val="000941EE"/>
    <w:rsid w:val="00094352"/>
    <w:rsid w:val="000956E4"/>
    <w:rsid w:val="00095832"/>
    <w:rsid w:val="00095C7B"/>
    <w:rsid w:val="00095F4D"/>
    <w:rsid w:val="000960CA"/>
    <w:rsid w:val="00097161"/>
    <w:rsid w:val="00097381"/>
    <w:rsid w:val="000976DD"/>
    <w:rsid w:val="00097787"/>
    <w:rsid w:val="00097C27"/>
    <w:rsid w:val="00097D51"/>
    <w:rsid w:val="000A041F"/>
    <w:rsid w:val="000A05B2"/>
    <w:rsid w:val="000A0648"/>
    <w:rsid w:val="000A06D9"/>
    <w:rsid w:val="000A1168"/>
    <w:rsid w:val="000A11F0"/>
    <w:rsid w:val="000A126C"/>
    <w:rsid w:val="000A144B"/>
    <w:rsid w:val="000A179A"/>
    <w:rsid w:val="000A203D"/>
    <w:rsid w:val="000A24F1"/>
    <w:rsid w:val="000A285C"/>
    <w:rsid w:val="000A3963"/>
    <w:rsid w:val="000A3B58"/>
    <w:rsid w:val="000A3CF5"/>
    <w:rsid w:val="000A4018"/>
    <w:rsid w:val="000A4761"/>
    <w:rsid w:val="000A47EB"/>
    <w:rsid w:val="000A4876"/>
    <w:rsid w:val="000A48CA"/>
    <w:rsid w:val="000A4D89"/>
    <w:rsid w:val="000A4E5E"/>
    <w:rsid w:val="000A5852"/>
    <w:rsid w:val="000A597B"/>
    <w:rsid w:val="000A5C01"/>
    <w:rsid w:val="000A5CCB"/>
    <w:rsid w:val="000A63A6"/>
    <w:rsid w:val="000A640D"/>
    <w:rsid w:val="000A65E5"/>
    <w:rsid w:val="000A697F"/>
    <w:rsid w:val="000A6CD9"/>
    <w:rsid w:val="000A7111"/>
    <w:rsid w:val="000A717C"/>
    <w:rsid w:val="000A7445"/>
    <w:rsid w:val="000B126F"/>
    <w:rsid w:val="000B1489"/>
    <w:rsid w:val="000B169D"/>
    <w:rsid w:val="000B1E73"/>
    <w:rsid w:val="000B22C5"/>
    <w:rsid w:val="000B2A1B"/>
    <w:rsid w:val="000B2AE0"/>
    <w:rsid w:val="000B2B7E"/>
    <w:rsid w:val="000B2D39"/>
    <w:rsid w:val="000B2FE0"/>
    <w:rsid w:val="000B350A"/>
    <w:rsid w:val="000B3C03"/>
    <w:rsid w:val="000B4194"/>
    <w:rsid w:val="000B5297"/>
    <w:rsid w:val="000B606E"/>
    <w:rsid w:val="000B61E3"/>
    <w:rsid w:val="000B61FD"/>
    <w:rsid w:val="000B6298"/>
    <w:rsid w:val="000B643F"/>
    <w:rsid w:val="000B6696"/>
    <w:rsid w:val="000B6B5C"/>
    <w:rsid w:val="000B6C56"/>
    <w:rsid w:val="000B6D29"/>
    <w:rsid w:val="000B7049"/>
    <w:rsid w:val="000B7055"/>
    <w:rsid w:val="000B769C"/>
    <w:rsid w:val="000B7EC5"/>
    <w:rsid w:val="000B7FAD"/>
    <w:rsid w:val="000C0000"/>
    <w:rsid w:val="000C00EE"/>
    <w:rsid w:val="000C016F"/>
    <w:rsid w:val="000C09E5"/>
    <w:rsid w:val="000C0CB6"/>
    <w:rsid w:val="000C0E03"/>
    <w:rsid w:val="000C1B51"/>
    <w:rsid w:val="000C22A5"/>
    <w:rsid w:val="000C24A3"/>
    <w:rsid w:val="000C268B"/>
    <w:rsid w:val="000C27BE"/>
    <w:rsid w:val="000C3294"/>
    <w:rsid w:val="000C3622"/>
    <w:rsid w:val="000C384A"/>
    <w:rsid w:val="000C398D"/>
    <w:rsid w:val="000C3A83"/>
    <w:rsid w:val="000C3D3F"/>
    <w:rsid w:val="000C3EB1"/>
    <w:rsid w:val="000C3FB9"/>
    <w:rsid w:val="000C4512"/>
    <w:rsid w:val="000C47FA"/>
    <w:rsid w:val="000C48DE"/>
    <w:rsid w:val="000C4EE2"/>
    <w:rsid w:val="000C5411"/>
    <w:rsid w:val="000C554A"/>
    <w:rsid w:val="000C5854"/>
    <w:rsid w:val="000C5898"/>
    <w:rsid w:val="000C5BE2"/>
    <w:rsid w:val="000C5CF8"/>
    <w:rsid w:val="000C5E48"/>
    <w:rsid w:val="000C5F89"/>
    <w:rsid w:val="000C657F"/>
    <w:rsid w:val="000C67C8"/>
    <w:rsid w:val="000C6B49"/>
    <w:rsid w:val="000C6BDE"/>
    <w:rsid w:val="000C6CD4"/>
    <w:rsid w:val="000C6D43"/>
    <w:rsid w:val="000C6E3E"/>
    <w:rsid w:val="000C72EA"/>
    <w:rsid w:val="000C75A0"/>
    <w:rsid w:val="000C7819"/>
    <w:rsid w:val="000C7C06"/>
    <w:rsid w:val="000D009F"/>
    <w:rsid w:val="000D02ED"/>
    <w:rsid w:val="000D02F1"/>
    <w:rsid w:val="000D05DC"/>
    <w:rsid w:val="000D06B9"/>
    <w:rsid w:val="000D18C2"/>
    <w:rsid w:val="000D1CDD"/>
    <w:rsid w:val="000D2D16"/>
    <w:rsid w:val="000D2F2C"/>
    <w:rsid w:val="000D3071"/>
    <w:rsid w:val="000D3564"/>
    <w:rsid w:val="000D3C54"/>
    <w:rsid w:val="000D3C75"/>
    <w:rsid w:val="000D3D33"/>
    <w:rsid w:val="000D43F0"/>
    <w:rsid w:val="000D43F2"/>
    <w:rsid w:val="000D4693"/>
    <w:rsid w:val="000D46F9"/>
    <w:rsid w:val="000D479F"/>
    <w:rsid w:val="000D482F"/>
    <w:rsid w:val="000D4924"/>
    <w:rsid w:val="000D4AF8"/>
    <w:rsid w:val="000D4BEA"/>
    <w:rsid w:val="000D4CA5"/>
    <w:rsid w:val="000D4DD0"/>
    <w:rsid w:val="000D54D4"/>
    <w:rsid w:val="000D5A79"/>
    <w:rsid w:val="000D5BA7"/>
    <w:rsid w:val="000D5D07"/>
    <w:rsid w:val="000D62EC"/>
    <w:rsid w:val="000D6565"/>
    <w:rsid w:val="000D6BA9"/>
    <w:rsid w:val="000D7396"/>
    <w:rsid w:val="000D772A"/>
    <w:rsid w:val="000D77D6"/>
    <w:rsid w:val="000D7AD5"/>
    <w:rsid w:val="000E0B40"/>
    <w:rsid w:val="000E10A5"/>
    <w:rsid w:val="000E14BA"/>
    <w:rsid w:val="000E15BF"/>
    <w:rsid w:val="000E1A57"/>
    <w:rsid w:val="000E1AEE"/>
    <w:rsid w:val="000E2010"/>
    <w:rsid w:val="000E2873"/>
    <w:rsid w:val="000E2C0E"/>
    <w:rsid w:val="000E33FA"/>
    <w:rsid w:val="000E3FF6"/>
    <w:rsid w:val="000E4266"/>
    <w:rsid w:val="000E43B9"/>
    <w:rsid w:val="000E45A0"/>
    <w:rsid w:val="000E495F"/>
    <w:rsid w:val="000E5486"/>
    <w:rsid w:val="000E579F"/>
    <w:rsid w:val="000E5870"/>
    <w:rsid w:val="000E58EC"/>
    <w:rsid w:val="000E5BFE"/>
    <w:rsid w:val="000E5D40"/>
    <w:rsid w:val="000E5F1C"/>
    <w:rsid w:val="000E6270"/>
    <w:rsid w:val="000E632F"/>
    <w:rsid w:val="000E6489"/>
    <w:rsid w:val="000E64DC"/>
    <w:rsid w:val="000E6511"/>
    <w:rsid w:val="000E686B"/>
    <w:rsid w:val="000E6915"/>
    <w:rsid w:val="000E6F49"/>
    <w:rsid w:val="000E72E8"/>
    <w:rsid w:val="000E7596"/>
    <w:rsid w:val="000E76D6"/>
    <w:rsid w:val="000F01CA"/>
    <w:rsid w:val="000F062A"/>
    <w:rsid w:val="000F0A61"/>
    <w:rsid w:val="000F0BB3"/>
    <w:rsid w:val="000F0BC4"/>
    <w:rsid w:val="000F0C1B"/>
    <w:rsid w:val="000F145A"/>
    <w:rsid w:val="000F19AE"/>
    <w:rsid w:val="000F222D"/>
    <w:rsid w:val="000F22EC"/>
    <w:rsid w:val="000F2BB5"/>
    <w:rsid w:val="000F2BDA"/>
    <w:rsid w:val="000F2DBA"/>
    <w:rsid w:val="000F2F25"/>
    <w:rsid w:val="000F3235"/>
    <w:rsid w:val="000F4395"/>
    <w:rsid w:val="000F4750"/>
    <w:rsid w:val="000F4FC7"/>
    <w:rsid w:val="000F52DF"/>
    <w:rsid w:val="000F5531"/>
    <w:rsid w:val="000F5C8F"/>
    <w:rsid w:val="000F6949"/>
    <w:rsid w:val="000F6950"/>
    <w:rsid w:val="000F6D9D"/>
    <w:rsid w:val="000F703D"/>
    <w:rsid w:val="000F7496"/>
    <w:rsid w:val="000F758F"/>
    <w:rsid w:val="000F775A"/>
    <w:rsid w:val="000F7A36"/>
    <w:rsid w:val="000F7BBC"/>
    <w:rsid w:val="00100611"/>
    <w:rsid w:val="00100C04"/>
    <w:rsid w:val="0010155F"/>
    <w:rsid w:val="00101E7F"/>
    <w:rsid w:val="001023D2"/>
    <w:rsid w:val="00102701"/>
    <w:rsid w:val="001027D9"/>
    <w:rsid w:val="00102982"/>
    <w:rsid w:val="00102E7D"/>
    <w:rsid w:val="00102EDE"/>
    <w:rsid w:val="00103296"/>
    <w:rsid w:val="00103CBB"/>
    <w:rsid w:val="001040A3"/>
    <w:rsid w:val="00104102"/>
    <w:rsid w:val="00104566"/>
    <w:rsid w:val="00104A29"/>
    <w:rsid w:val="00105315"/>
    <w:rsid w:val="00105B26"/>
    <w:rsid w:val="00105CA1"/>
    <w:rsid w:val="00105E90"/>
    <w:rsid w:val="00106459"/>
    <w:rsid w:val="00106651"/>
    <w:rsid w:val="00106874"/>
    <w:rsid w:val="00106904"/>
    <w:rsid w:val="0010707A"/>
    <w:rsid w:val="0010755C"/>
    <w:rsid w:val="00107C5C"/>
    <w:rsid w:val="00107CA0"/>
    <w:rsid w:val="001101C9"/>
    <w:rsid w:val="00110211"/>
    <w:rsid w:val="0011032A"/>
    <w:rsid w:val="001106D1"/>
    <w:rsid w:val="0011074D"/>
    <w:rsid w:val="001107BA"/>
    <w:rsid w:val="001109DC"/>
    <w:rsid w:val="00110DDB"/>
    <w:rsid w:val="001113A0"/>
    <w:rsid w:val="00111563"/>
    <w:rsid w:val="0011169F"/>
    <w:rsid w:val="0011201D"/>
    <w:rsid w:val="00112A6F"/>
    <w:rsid w:val="00112EF9"/>
    <w:rsid w:val="0011310E"/>
    <w:rsid w:val="00113230"/>
    <w:rsid w:val="0011374F"/>
    <w:rsid w:val="00114096"/>
    <w:rsid w:val="0011433C"/>
    <w:rsid w:val="00114367"/>
    <w:rsid w:val="00114376"/>
    <w:rsid w:val="00114997"/>
    <w:rsid w:val="001156EA"/>
    <w:rsid w:val="00115904"/>
    <w:rsid w:val="00115A38"/>
    <w:rsid w:val="00115C3C"/>
    <w:rsid w:val="00115D3A"/>
    <w:rsid w:val="00115E34"/>
    <w:rsid w:val="00115FD7"/>
    <w:rsid w:val="001162B8"/>
    <w:rsid w:val="00116912"/>
    <w:rsid w:val="00116915"/>
    <w:rsid w:val="001169CA"/>
    <w:rsid w:val="00116B13"/>
    <w:rsid w:val="00116E8F"/>
    <w:rsid w:val="0011766A"/>
    <w:rsid w:val="0011780C"/>
    <w:rsid w:val="00117C83"/>
    <w:rsid w:val="00117DF5"/>
    <w:rsid w:val="00120FC5"/>
    <w:rsid w:val="0012141C"/>
    <w:rsid w:val="001215D6"/>
    <w:rsid w:val="001219BE"/>
    <w:rsid w:val="00121DA4"/>
    <w:rsid w:val="00121DC0"/>
    <w:rsid w:val="00121ECD"/>
    <w:rsid w:val="00122042"/>
    <w:rsid w:val="0012233D"/>
    <w:rsid w:val="001226FE"/>
    <w:rsid w:val="00122753"/>
    <w:rsid w:val="00122BB2"/>
    <w:rsid w:val="00122DFA"/>
    <w:rsid w:val="00123090"/>
    <w:rsid w:val="001232C3"/>
    <w:rsid w:val="00123DFA"/>
    <w:rsid w:val="001242B6"/>
    <w:rsid w:val="0012435A"/>
    <w:rsid w:val="00124D55"/>
    <w:rsid w:val="00124ED1"/>
    <w:rsid w:val="0012570E"/>
    <w:rsid w:val="00125983"/>
    <w:rsid w:val="00125D37"/>
    <w:rsid w:val="00126DDB"/>
    <w:rsid w:val="0012710F"/>
    <w:rsid w:val="00127318"/>
    <w:rsid w:val="00127712"/>
    <w:rsid w:val="001279FA"/>
    <w:rsid w:val="00127BB7"/>
    <w:rsid w:val="00127C76"/>
    <w:rsid w:val="00127E18"/>
    <w:rsid w:val="001301F1"/>
    <w:rsid w:val="0013074F"/>
    <w:rsid w:val="00130A6B"/>
    <w:rsid w:val="00131523"/>
    <w:rsid w:val="00131A27"/>
    <w:rsid w:val="00131BC3"/>
    <w:rsid w:val="001324A6"/>
    <w:rsid w:val="001328C1"/>
    <w:rsid w:val="00132A7E"/>
    <w:rsid w:val="00132D6A"/>
    <w:rsid w:val="001330A8"/>
    <w:rsid w:val="0013331D"/>
    <w:rsid w:val="001337F1"/>
    <w:rsid w:val="00134013"/>
    <w:rsid w:val="001342EF"/>
    <w:rsid w:val="0013433B"/>
    <w:rsid w:val="00134340"/>
    <w:rsid w:val="00134B7B"/>
    <w:rsid w:val="00134CDA"/>
    <w:rsid w:val="00134D30"/>
    <w:rsid w:val="00135114"/>
    <w:rsid w:val="0013519E"/>
    <w:rsid w:val="00135269"/>
    <w:rsid w:val="00135279"/>
    <w:rsid w:val="001352B4"/>
    <w:rsid w:val="001352BF"/>
    <w:rsid w:val="00135652"/>
    <w:rsid w:val="00135AF2"/>
    <w:rsid w:val="00135D4D"/>
    <w:rsid w:val="001361E2"/>
    <w:rsid w:val="001364BD"/>
    <w:rsid w:val="001366C6"/>
    <w:rsid w:val="00136B3C"/>
    <w:rsid w:val="00136DD1"/>
    <w:rsid w:val="00137232"/>
    <w:rsid w:val="00137866"/>
    <w:rsid w:val="00137C8D"/>
    <w:rsid w:val="00140149"/>
    <w:rsid w:val="001401B9"/>
    <w:rsid w:val="0014029F"/>
    <w:rsid w:val="001407E3"/>
    <w:rsid w:val="001409D9"/>
    <w:rsid w:val="00140B40"/>
    <w:rsid w:val="00140F47"/>
    <w:rsid w:val="001410A3"/>
    <w:rsid w:val="001418F2"/>
    <w:rsid w:val="00141D60"/>
    <w:rsid w:val="00141FBA"/>
    <w:rsid w:val="00142566"/>
    <w:rsid w:val="0014260C"/>
    <w:rsid w:val="001426F8"/>
    <w:rsid w:val="00142959"/>
    <w:rsid w:val="00142DA7"/>
    <w:rsid w:val="001435F5"/>
    <w:rsid w:val="00144429"/>
    <w:rsid w:val="001447CF"/>
    <w:rsid w:val="00145002"/>
    <w:rsid w:val="00145AE6"/>
    <w:rsid w:val="00146032"/>
    <w:rsid w:val="001461D5"/>
    <w:rsid w:val="0014789C"/>
    <w:rsid w:val="00147AE4"/>
    <w:rsid w:val="00147BEA"/>
    <w:rsid w:val="00147D18"/>
    <w:rsid w:val="00147D80"/>
    <w:rsid w:val="00150497"/>
    <w:rsid w:val="00150556"/>
    <w:rsid w:val="00150719"/>
    <w:rsid w:val="0015095F"/>
    <w:rsid w:val="00150AD7"/>
    <w:rsid w:val="00150B23"/>
    <w:rsid w:val="001510F9"/>
    <w:rsid w:val="001519D0"/>
    <w:rsid w:val="00151D88"/>
    <w:rsid w:val="001524E4"/>
    <w:rsid w:val="00152877"/>
    <w:rsid w:val="00152B0C"/>
    <w:rsid w:val="00152D2E"/>
    <w:rsid w:val="00152F1B"/>
    <w:rsid w:val="001532C5"/>
    <w:rsid w:val="001538EC"/>
    <w:rsid w:val="00153D23"/>
    <w:rsid w:val="00153E97"/>
    <w:rsid w:val="00153EEC"/>
    <w:rsid w:val="00154645"/>
    <w:rsid w:val="00155025"/>
    <w:rsid w:val="001550D5"/>
    <w:rsid w:val="0015543E"/>
    <w:rsid w:val="00155606"/>
    <w:rsid w:val="001559D5"/>
    <w:rsid w:val="00155D34"/>
    <w:rsid w:val="00155D4A"/>
    <w:rsid w:val="00157913"/>
    <w:rsid w:val="00157D9F"/>
    <w:rsid w:val="00160184"/>
    <w:rsid w:val="00160EEA"/>
    <w:rsid w:val="00160F1C"/>
    <w:rsid w:val="0016117B"/>
    <w:rsid w:val="00161C7E"/>
    <w:rsid w:val="00161FCB"/>
    <w:rsid w:val="00162207"/>
    <w:rsid w:val="00162253"/>
    <w:rsid w:val="001625A7"/>
    <w:rsid w:val="001628CB"/>
    <w:rsid w:val="00162E10"/>
    <w:rsid w:val="0016325E"/>
    <w:rsid w:val="00163B16"/>
    <w:rsid w:val="00163D7E"/>
    <w:rsid w:val="00164490"/>
    <w:rsid w:val="001644D9"/>
    <w:rsid w:val="001645A9"/>
    <w:rsid w:val="0016466C"/>
    <w:rsid w:val="001646FC"/>
    <w:rsid w:val="00164AD4"/>
    <w:rsid w:val="00164AEB"/>
    <w:rsid w:val="00164C6F"/>
    <w:rsid w:val="00164C79"/>
    <w:rsid w:val="00164C86"/>
    <w:rsid w:val="00164DA2"/>
    <w:rsid w:val="00164EEC"/>
    <w:rsid w:val="001651C5"/>
    <w:rsid w:val="00165D43"/>
    <w:rsid w:val="00165F90"/>
    <w:rsid w:val="0016600B"/>
    <w:rsid w:val="00166239"/>
    <w:rsid w:val="001665DA"/>
    <w:rsid w:val="00166842"/>
    <w:rsid w:val="00166A12"/>
    <w:rsid w:val="00166F74"/>
    <w:rsid w:val="0016736A"/>
    <w:rsid w:val="001675C7"/>
    <w:rsid w:val="00167767"/>
    <w:rsid w:val="001677C6"/>
    <w:rsid w:val="00167FAF"/>
    <w:rsid w:val="00167FC4"/>
    <w:rsid w:val="00170056"/>
    <w:rsid w:val="001702E4"/>
    <w:rsid w:val="0017044E"/>
    <w:rsid w:val="001706EE"/>
    <w:rsid w:val="00170922"/>
    <w:rsid w:val="0017097F"/>
    <w:rsid w:val="00170E5D"/>
    <w:rsid w:val="0017122E"/>
    <w:rsid w:val="00171AA1"/>
    <w:rsid w:val="00171AB3"/>
    <w:rsid w:val="0017216D"/>
    <w:rsid w:val="00172A14"/>
    <w:rsid w:val="0017379D"/>
    <w:rsid w:val="001737FF"/>
    <w:rsid w:val="00173933"/>
    <w:rsid w:val="0017429E"/>
    <w:rsid w:val="0017445F"/>
    <w:rsid w:val="001744EC"/>
    <w:rsid w:val="001747A6"/>
    <w:rsid w:val="001749B7"/>
    <w:rsid w:val="00174B68"/>
    <w:rsid w:val="00174D64"/>
    <w:rsid w:val="0017537D"/>
    <w:rsid w:val="00175542"/>
    <w:rsid w:val="001756F7"/>
    <w:rsid w:val="00175DA5"/>
    <w:rsid w:val="00176107"/>
    <w:rsid w:val="001764C0"/>
    <w:rsid w:val="00176918"/>
    <w:rsid w:val="00176B72"/>
    <w:rsid w:val="00176BF3"/>
    <w:rsid w:val="0017703F"/>
    <w:rsid w:val="00177448"/>
    <w:rsid w:val="0017774E"/>
    <w:rsid w:val="00177B9F"/>
    <w:rsid w:val="001800DF"/>
    <w:rsid w:val="001802D3"/>
    <w:rsid w:val="00180579"/>
    <w:rsid w:val="001805D5"/>
    <w:rsid w:val="00180604"/>
    <w:rsid w:val="00180609"/>
    <w:rsid w:val="0018148C"/>
    <w:rsid w:val="001816E5"/>
    <w:rsid w:val="001816F1"/>
    <w:rsid w:val="00181B2B"/>
    <w:rsid w:val="00181D57"/>
    <w:rsid w:val="00181F4F"/>
    <w:rsid w:val="0018200D"/>
    <w:rsid w:val="001822CF"/>
    <w:rsid w:val="001824CE"/>
    <w:rsid w:val="00182BEE"/>
    <w:rsid w:val="00182E79"/>
    <w:rsid w:val="00182EFF"/>
    <w:rsid w:val="001833C4"/>
    <w:rsid w:val="001833C7"/>
    <w:rsid w:val="001838AD"/>
    <w:rsid w:val="001840FE"/>
    <w:rsid w:val="00184139"/>
    <w:rsid w:val="00184E8B"/>
    <w:rsid w:val="00185C7D"/>
    <w:rsid w:val="00185CA5"/>
    <w:rsid w:val="00185FAF"/>
    <w:rsid w:val="0018623A"/>
    <w:rsid w:val="0018636A"/>
    <w:rsid w:val="00186A5B"/>
    <w:rsid w:val="00186E33"/>
    <w:rsid w:val="00187384"/>
    <w:rsid w:val="0018749D"/>
    <w:rsid w:val="00187ACA"/>
    <w:rsid w:val="00187B21"/>
    <w:rsid w:val="00187D62"/>
    <w:rsid w:val="00190220"/>
    <w:rsid w:val="001902FF"/>
    <w:rsid w:val="00190320"/>
    <w:rsid w:val="00190397"/>
    <w:rsid w:val="00190500"/>
    <w:rsid w:val="001906F5"/>
    <w:rsid w:val="00190E99"/>
    <w:rsid w:val="0019108D"/>
    <w:rsid w:val="001910A9"/>
    <w:rsid w:val="00191427"/>
    <w:rsid w:val="001914D9"/>
    <w:rsid w:val="0019178F"/>
    <w:rsid w:val="00191C99"/>
    <w:rsid w:val="0019226F"/>
    <w:rsid w:val="0019264F"/>
    <w:rsid w:val="0019275B"/>
    <w:rsid w:val="00192ADA"/>
    <w:rsid w:val="00192F80"/>
    <w:rsid w:val="00193063"/>
    <w:rsid w:val="0019349D"/>
    <w:rsid w:val="0019368F"/>
    <w:rsid w:val="001936C9"/>
    <w:rsid w:val="001938EA"/>
    <w:rsid w:val="001945D8"/>
    <w:rsid w:val="00194C29"/>
    <w:rsid w:val="00194D5F"/>
    <w:rsid w:val="0019536F"/>
    <w:rsid w:val="001955C3"/>
    <w:rsid w:val="00195BAD"/>
    <w:rsid w:val="00195DD5"/>
    <w:rsid w:val="001960F2"/>
    <w:rsid w:val="00196466"/>
    <w:rsid w:val="0019782A"/>
    <w:rsid w:val="001A0286"/>
    <w:rsid w:val="001A0695"/>
    <w:rsid w:val="001A0A1E"/>
    <w:rsid w:val="001A0DF7"/>
    <w:rsid w:val="001A1042"/>
    <w:rsid w:val="001A14C2"/>
    <w:rsid w:val="001A1955"/>
    <w:rsid w:val="001A2578"/>
    <w:rsid w:val="001A285B"/>
    <w:rsid w:val="001A3556"/>
    <w:rsid w:val="001A374C"/>
    <w:rsid w:val="001A4466"/>
    <w:rsid w:val="001A4799"/>
    <w:rsid w:val="001A5A4D"/>
    <w:rsid w:val="001A5F44"/>
    <w:rsid w:val="001A6D04"/>
    <w:rsid w:val="001A6DD5"/>
    <w:rsid w:val="001A73F4"/>
    <w:rsid w:val="001A7AD6"/>
    <w:rsid w:val="001A7C6C"/>
    <w:rsid w:val="001A7E08"/>
    <w:rsid w:val="001A7EED"/>
    <w:rsid w:val="001B089C"/>
    <w:rsid w:val="001B0CE9"/>
    <w:rsid w:val="001B0D50"/>
    <w:rsid w:val="001B0D93"/>
    <w:rsid w:val="001B0EFC"/>
    <w:rsid w:val="001B0F78"/>
    <w:rsid w:val="001B132B"/>
    <w:rsid w:val="001B14D5"/>
    <w:rsid w:val="001B2286"/>
    <w:rsid w:val="001B24BE"/>
    <w:rsid w:val="001B29BF"/>
    <w:rsid w:val="001B29E3"/>
    <w:rsid w:val="001B2EB8"/>
    <w:rsid w:val="001B3453"/>
    <w:rsid w:val="001B34AD"/>
    <w:rsid w:val="001B38C1"/>
    <w:rsid w:val="001B3991"/>
    <w:rsid w:val="001B40EB"/>
    <w:rsid w:val="001B476B"/>
    <w:rsid w:val="001B4F0E"/>
    <w:rsid w:val="001B520B"/>
    <w:rsid w:val="001B5220"/>
    <w:rsid w:val="001B5457"/>
    <w:rsid w:val="001B588A"/>
    <w:rsid w:val="001B5DA2"/>
    <w:rsid w:val="001B5DB6"/>
    <w:rsid w:val="001B5E81"/>
    <w:rsid w:val="001B627C"/>
    <w:rsid w:val="001B6433"/>
    <w:rsid w:val="001B68EF"/>
    <w:rsid w:val="001B69A4"/>
    <w:rsid w:val="001B6C1B"/>
    <w:rsid w:val="001B6E05"/>
    <w:rsid w:val="001B6E8B"/>
    <w:rsid w:val="001B72B0"/>
    <w:rsid w:val="001B72F9"/>
    <w:rsid w:val="001B7DFB"/>
    <w:rsid w:val="001C0332"/>
    <w:rsid w:val="001C0488"/>
    <w:rsid w:val="001C055D"/>
    <w:rsid w:val="001C08EF"/>
    <w:rsid w:val="001C0A58"/>
    <w:rsid w:val="001C0B88"/>
    <w:rsid w:val="001C0DA6"/>
    <w:rsid w:val="001C0E59"/>
    <w:rsid w:val="001C10E7"/>
    <w:rsid w:val="001C1CCD"/>
    <w:rsid w:val="001C1F14"/>
    <w:rsid w:val="001C1F37"/>
    <w:rsid w:val="001C2254"/>
    <w:rsid w:val="001C23A5"/>
    <w:rsid w:val="001C2457"/>
    <w:rsid w:val="001C26F4"/>
    <w:rsid w:val="001C2CC5"/>
    <w:rsid w:val="001C2E33"/>
    <w:rsid w:val="001C3248"/>
    <w:rsid w:val="001C32B6"/>
    <w:rsid w:val="001C3873"/>
    <w:rsid w:val="001C38ED"/>
    <w:rsid w:val="001C41C1"/>
    <w:rsid w:val="001C441D"/>
    <w:rsid w:val="001C4489"/>
    <w:rsid w:val="001C4707"/>
    <w:rsid w:val="001C6180"/>
    <w:rsid w:val="001C69C7"/>
    <w:rsid w:val="001C7397"/>
    <w:rsid w:val="001C76C6"/>
    <w:rsid w:val="001C7C74"/>
    <w:rsid w:val="001D0377"/>
    <w:rsid w:val="001D03D5"/>
    <w:rsid w:val="001D1194"/>
    <w:rsid w:val="001D1972"/>
    <w:rsid w:val="001D1AF3"/>
    <w:rsid w:val="001D1FFB"/>
    <w:rsid w:val="001D2ACE"/>
    <w:rsid w:val="001D2D09"/>
    <w:rsid w:val="001D2DB1"/>
    <w:rsid w:val="001D2E62"/>
    <w:rsid w:val="001D3425"/>
    <w:rsid w:val="001D34D0"/>
    <w:rsid w:val="001D3522"/>
    <w:rsid w:val="001D3B81"/>
    <w:rsid w:val="001D3DD4"/>
    <w:rsid w:val="001D4582"/>
    <w:rsid w:val="001D46D6"/>
    <w:rsid w:val="001D47D7"/>
    <w:rsid w:val="001D4A13"/>
    <w:rsid w:val="001D4B5A"/>
    <w:rsid w:val="001D514D"/>
    <w:rsid w:val="001D5362"/>
    <w:rsid w:val="001D53E8"/>
    <w:rsid w:val="001D5437"/>
    <w:rsid w:val="001D5870"/>
    <w:rsid w:val="001D5DA9"/>
    <w:rsid w:val="001D631F"/>
    <w:rsid w:val="001D648E"/>
    <w:rsid w:val="001D67C2"/>
    <w:rsid w:val="001D68D7"/>
    <w:rsid w:val="001D6FBA"/>
    <w:rsid w:val="001D77B8"/>
    <w:rsid w:val="001D77C7"/>
    <w:rsid w:val="001D7890"/>
    <w:rsid w:val="001D78CC"/>
    <w:rsid w:val="001D7D9F"/>
    <w:rsid w:val="001E02D8"/>
    <w:rsid w:val="001E0896"/>
    <w:rsid w:val="001E0D4D"/>
    <w:rsid w:val="001E11B5"/>
    <w:rsid w:val="001E1258"/>
    <w:rsid w:val="001E14A3"/>
    <w:rsid w:val="001E187A"/>
    <w:rsid w:val="001E1929"/>
    <w:rsid w:val="001E1E8C"/>
    <w:rsid w:val="001E216F"/>
    <w:rsid w:val="001E2814"/>
    <w:rsid w:val="001E2CB2"/>
    <w:rsid w:val="001E2F18"/>
    <w:rsid w:val="001E336A"/>
    <w:rsid w:val="001E3457"/>
    <w:rsid w:val="001E3A52"/>
    <w:rsid w:val="001E3D1B"/>
    <w:rsid w:val="001E4760"/>
    <w:rsid w:val="001E4968"/>
    <w:rsid w:val="001E4B59"/>
    <w:rsid w:val="001E4BEE"/>
    <w:rsid w:val="001E52FF"/>
    <w:rsid w:val="001E53BB"/>
    <w:rsid w:val="001E54C1"/>
    <w:rsid w:val="001E55CA"/>
    <w:rsid w:val="001E562E"/>
    <w:rsid w:val="001E5E86"/>
    <w:rsid w:val="001E5FCA"/>
    <w:rsid w:val="001E64D3"/>
    <w:rsid w:val="001E6800"/>
    <w:rsid w:val="001E691E"/>
    <w:rsid w:val="001E691F"/>
    <w:rsid w:val="001E6ADA"/>
    <w:rsid w:val="001E6BEA"/>
    <w:rsid w:val="001E7339"/>
    <w:rsid w:val="001E7419"/>
    <w:rsid w:val="001E7AB9"/>
    <w:rsid w:val="001E7C0F"/>
    <w:rsid w:val="001F0034"/>
    <w:rsid w:val="001F09AD"/>
    <w:rsid w:val="001F123E"/>
    <w:rsid w:val="001F165D"/>
    <w:rsid w:val="001F172E"/>
    <w:rsid w:val="001F1B70"/>
    <w:rsid w:val="001F1DD4"/>
    <w:rsid w:val="001F2254"/>
    <w:rsid w:val="001F226A"/>
    <w:rsid w:val="001F2402"/>
    <w:rsid w:val="001F297A"/>
    <w:rsid w:val="001F3091"/>
    <w:rsid w:val="001F3112"/>
    <w:rsid w:val="001F3412"/>
    <w:rsid w:val="001F3642"/>
    <w:rsid w:val="001F3D69"/>
    <w:rsid w:val="001F41C3"/>
    <w:rsid w:val="001F440E"/>
    <w:rsid w:val="001F44A9"/>
    <w:rsid w:val="001F4616"/>
    <w:rsid w:val="001F461B"/>
    <w:rsid w:val="001F4B71"/>
    <w:rsid w:val="001F4E96"/>
    <w:rsid w:val="001F4EC9"/>
    <w:rsid w:val="001F4F2D"/>
    <w:rsid w:val="001F4FBB"/>
    <w:rsid w:val="001F50BA"/>
    <w:rsid w:val="001F56D9"/>
    <w:rsid w:val="001F5C40"/>
    <w:rsid w:val="001F5D6F"/>
    <w:rsid w:val="001F5DE4"/>
    <w:rsid w:val="001F62B4"/>
    <w:rsid w:val="001F679C"/>
    <w:rsid w:val="001F6B01"/>
    <w:rsid w:val="001F6B02"/>
    <w:rsid w:val="001F6C38"/>
    <w:rsid w:val="001F7476"/>
    <w:rsid w:val="001F7A13"/>
    <w:rsid w:val="001F7AD7"/>
    <w:rsid w:val="001F7C78"/>
    <w:rsid w:val="00200E29"/>
    <w:rsid w:val="0020145C"/>
    <w:rsid w:val="002017DB"/>
    <w:rsid w:val="00201C31"/>
    <w:rsid w:val="00201C44"/>
    <w:rsid w:val="00202230"/>
    <w:rsid w:val="00202255"/>
    <w:rsid w:val="002023C8"/>
    <w:rsid w:val="00202980"/>
    <w:rsid w:val="00202A2B"/>
    <w:rsid w:val="00202F91"/>
    <w:rsid w:val="0020384B"/>
    <w:rsid w:val="002038E1"/>
    <w:rsid w:val="00203CD8"/>
    <w:rsid w:val="00204099"/>
    <w:rsid w:val="0020420C"/>
    <w:rsid w:val="002046CE"/>
    <w:rsid w:val="00204A82"/>
    <w:rsid w:val="00204AC6"/>
    <w:rsid w:val="00204C23"/>
    <w:rsid w:val="00204C7A"/>
    <w:rsid w:val="00204D7B"/>
    <w:rsid w:val="00204DE6"/>
    <w:rsid w:val="002050D1"/>
    <w:rsid w:val="002054C8"/>
    <w:rsid w:val="002055B1"/>
    <w:rsid w:val="002058FD"/>
    <w:rsid w:val="00205FE3"/>
    <w:rsid w:val="002062F0"/>
    <w:rsid w:val="00206F48"/>
    <w:rsid w:val="00206F58"/>
    <w:rsid w:val="002071EF"/>
    <w:rsid w:val="0020731B"/>
    <w:rsid w:val="00207589"/>
    <w:rsid w:val="002077CA"/>
    <w:rsid w:val="00207B7E"/>
    <w:rsid w:val="0021018D"/>
    <w:rsid w:val="002102C3"/>
    <w:rsid w:val="00210507"/>
    <w:rsid w:val="00210D6E"/>
    <w:rsid w:val="00210DAA"/>
    <w:rsid w:val="002112AE"/>
    <w:rsid w:val="002112B6"/>
    <w:rsid w:val="00211989"/>
    <w:rsid w:val="00211B0B"/>
    <w:rsid w:val="00211BE5"/>
    <w:rsid w:val="00211C08"/>
    <w:rsid w:val="00211CD4"/>
    <w:rsid w:val="00211E20"/>
    <w:rsid w:val="00211E95"/>
    <w:rsid w:val="00212066"/>
    <w:rsid w:val="00212669"/>
    <w:rsid w:val="00212763"/>
    <w:rsid w:val="00212844"/>
    <w:rsid w:val="002128E0"/>
    <w:rsid w:val="00212D37"/>
    <w:rsid w:val="00213790"/>
    <w:rsid w:val="0021396D"/>
    <w:rsid w:val="00213B1C"/>
    <w:rsid w:val="00213E7A"/>
    <w:rsid w:val="00213F9E"/>
    <w:rsid w:val="00213FCD"/>
    <w:rsid w:val="0021429D"/>
    <w:rsid w:val="00214903"/>
    <w:rsid w:val="00214CCC"/>
    <w:rsid w:val="002152A0"/>
    <w:rsid w:val="00215302"/>
    <w:rsid w:val="002155FA"/>
    <w:rsid w:val="0021585F"/>
    <w:rsid w:val="00215D6E"/>
    <w:rsid w:val="002160D0"/>
    <w:rsid w:val="00216232"/>
    <w:rsid w:val="00216359"/>
    <w:rsid w:val="002163C5"/>
    <w:rsid w:val="00216EC7"/>
    <w:rsid w:val="0021788C"/>
    <w:rsid w:val="00217E73"/>
    <w:rsid w:val="0022000C"/>
    <w:rsid w:val="00220423"/>
    <w:rsid w:val="002204FF"/>
    <w:rsid w:val="00220D00"/>
    <w:rsid w:val="002211F1"/>
    <w:rsid w:val="002213A7"/>
    <w:rsid w:val="00221731"/>
    <w:rsid w:val="002219AD"/>
    <w:rsid w:val="00221A36"/>
    <w:rsid w:val="002220C6"/>
    <w:rsid w:val="002224EA"/>
    <w:rsid w:val="00222524"/>
    <w:rsid w:val="00222610"/>
    <w:rsid w:val="0022265D"/>
    <w:rsid w:val="0022273A"/>
    <w:rsid w:val="0022282B"/>
    <w:rsid w:val="00222899"/>
    <w:rsid w:val="002228D3"/>
    <w:rsid w:val="002229A1"/>
    <w:rsid w:val="00222ACF"/>
    <w:rsid w:val="00222B06"/>
    <w:rsid w:val="00222DCC"/>
    <w:rsid w:val="00222E4A"/>
    <w:rsid w:val="00224AFD"/>
    <w:rsid w:val="00224E2B"/>
    <w:rsid w:val="00225546"/>
    <w:rsid w:val="002259C3"/>
    <w:rsid w:val="00226A12"/>
    <w:rsid w:val="00227E9E"/>
    <w:rsid w:val="00227F15"/>
    <w:rsid w:val="002303A4"/>
    <w:rsid w:val="002304BE"/>
    <w:rsid w:val="00230A98"/>
    <w:rsid w:val="00230BD9"/>
    <w:rsid w:val="00230CD7"/>
    <w:rsid w:val="00230F1D"/>
    <w:rsid w:val="00230FD3"/>
    <w:rsid w:val="00231298"/>
    <w:rsid w:val="0023164E"/>
    <w:rsid w:val="00231960"/>
    <w:rsid w:val="00231B19"/>
    <w:rsid w:val="00231C9E"/>
    <w:rsid w:val="00231FAB"/>
    <w:rsid w:val="00231FFE"/>
    <w:rsid w:val="00232060"/>
    <w:rsid w:val="0023281F"/>
    <w:rsid w:val="00232B36"/>
    <w:rsid w:val="00232B5C"/>
    <w:rsid w:val="00233340"/>
    <w:rsid w:val="0023357B"/>
    <w:rsid w:val="00233666"/>
    <w:rsid w:val="00233899"/>
    <w:rsid w:val="0023409A"/>
    <w:rsid w:val="00234166"/>
    <w:rsid w:val="002344FF"/>
    <w:rsid w:val="0023547B"/>
    <w:rsid w:val="00235515"/>
    <w:rsid w:val="0023563C"/>
    <w:rsid w:val="00235884"/>
    <w:rsid w:val="002358C7"/>
    <w:rsid w:val="002358FE"/>
    <w:rsid w:val="00235C51"/>
    <w:rsid w:val="0023614D"/>
    <w:rsid w:val="0023631E"/>
    <w:rsid w:val="00236984"/>
    <w:rsid w:val="002369AA"/>
    <w:rsid w:val="00236F62"/>
    <w:rsid w:val="002373BD"/>
    <w:rsid w:val="002375CF"/>
    <w:rsid w:val="00237858"/>
    <w:rsid w:val="00237F07"/>
    <w:rsid w:val="002401D9"/>
    <w:rsid w:val="002402F6"/>
    <w:rsid w:val="00240441"/>
    <w:rsid w:val="00241044"/>
    <w:rsid w:val="00241332"/>
    <w:rsid w:val="002414FC"/>
    <w:rsid w:val="0024186E"/>
    <w:rsid w:val="0024187B"/>
    <w:rsid w:val="002418FF"/>
    <w:rsid w:val="00241BC1"/>
    <w:rsid w:val="00241D07"/>
    <w:rsid w:val="00241F0D"/>
    <w:rsid w:val="00241FCA"/>
    <w:rsid w:val="002421FD"/>
    <w:rsid w:val="00242207"/>
    <w:rsid w:val="0024296F"/>
    <w:rsid w:val="00242C51"/>
    <w:rsid w:val="00242D9D"/>
    <w:rsid w:val="00243376"/>
    <w:rsid w:val="00243524"/>
    <w:rsid w:val="002437C1"/>
    <w:rsid w:val="00243CF9"/>
    <w:rsid w:val="00243D02"/>
    <w:rsid w:val="00243FC0"/>
    <w:rsid w:val="0024426A"/>
    <w:rsid w:val="002442CD"/>
    <w:rsid w:val="00244797"/>
    <w:rsid w:val="002449A7"/>
    <w:rsid w:val="00244EA2"/>
    <w:rsid w:val="002451AE"/>
    <w:rsid w:val="002452BD"/>
    <w:rsid w:val="00245AFD"/>
    <w:rsid w:val="00245C01"/>
    <w:rsid w:val="00245FF8"/>
    <w:rsid w:val="00246034"/>
    <w:rsid w:val="0024619B"/>
    <w:rsid w:val="002468C9"/>
    <w:rsid w:val="00247065"/>
    <w:rsid w:val="002471BA"/>
    <w:rsid w:val="0024735A"/>
    <w:rsid w:val="0024787C"/>
    <w:rsid w:val="0025004A"/>
    <w:rsid w:val="00250070"/>
    <w:rsid w:val="0025040A"/>
    <w:rsid w:val="00250D1C"/>
    <w:rsid w:val="0025290A"/>
    <w:rsid w:val="00252922"/>
    <w:rsid w:val="00253665"/>
    <w:rsid w:val="002536EF"/>
    <w:rsid w:val="00253833"/>
    <w:rsid w:val="00253ADC"/>
    <w:rsid w:val="00253FD8"/>
    <w:rsid w:val="00253FEB"/>
    <w:rsid w:val="0025428E"/>
    <w:rsid w:val="00254F47"/>
    <w:rsid w:val="002554DB"/>
    <w:rsid w:val="002556C9"/>
    <w:rsid w:val="0025580C"/>
    <w:rsid w:val="0025598D"/>
    <w:rsid w:val="00255BB6"/>
    <w:rsid w:val="0025672C"/>
    <w:rsid w:val="00256845"/>
    <w:rsid w:val="00257117"/>
    <w:rsid w:val="0025739F"/>
    <w:rsid w:val="00257749"/>
    <w:rsid w:val="002578A8"/>
    <w:rsid w:val="00257B5E"/>
    <w:rsid w:val="00257D5E"/>
    <w:rsid w:val="0026012D"/>
    <w:rsid w:val="0026079E"/>
    <w:rsid w:val="00261360"/>
    <w:rsid w:val="002615A4"/>
    <w:rsid w:val="00261720"/>
    <w:rsid w:val="00261876"/>
    <w:rsid w:val="0026213B"/>
    <w:rsid w:val="002621CB"/>
    <w:rsid w:val="002624EF"/>
    <w:rsid w:val="00262D38"/>
    <w:rsid w:val="00262D90"/>
    <w:rsid w:val="002639A0"/>
    <w:rsid w:val="00263FA4"/>
    <w:rsid w:val="002640A2"/>
    <w:rsid w:val="00264E0D"/>
    <w:rsid w:val="00264E34"/>
    <w:rsid w:val="00265E9B"/>
    <w:rsid w:val="00266255"/>
    <w:rsid w:val="00266839"/>
    <w:rsid w:val="00266DEB"/>
    <w:rsid w:val="00266E0A"/>
    <w:rsid w:val="00267A38"/>
    <w:rsid w:val="00267A92"/>
    <w:rsid w:val="00267B7D"/>
    <w:rsid w:val="00267C26"/>
    <w:rsid w:val="00267E14"/>
    <w:rsid w:val="00270376"/>
    <w:rsid w:val="0027049F"/>
    <w:rsid w:val="00270787"/>
    <w:rsid w:val="002709C7"/>
    <w:rsid w:val="00270A17"/>
    <w:rsid w:val="00270BCA"/>
    <w:rsid w:val="00270D37"/>
    <w:rsid w:val="0027113E"/>
    <w:rsid w:val="00271802"/>
    <w:rsid w:val="00271A0C"/>
    <w:rsid w:val="00271F74"/>
    <w:rsid w:val="002720F1"/>
    <w:rsid w:val="002723B2"/>
    <w:rsid w:val="00272506"/>
    <w:rsid w:val="0027255F"/>
    <w:rsid w:val="002728A5"/>
    <w:rsid w:val="002729A1"/>
    <w:rsid w:val="00272B24"/>
    <w:rsid w:val="00272B35"/>
    <w:rsid w:val="00272B98"/>
    <w:rsid w:val="00272BB3"/>
    <w:rsid w:val="00272F73"/>
    <w:rsid w:val="0027352D"/>
    <w:rsid w:val="002736C0"/>
    <w:rsid w:val="002739A2"/>
    <w:rsid w:val="00273C3F"/>
    <w:rsid w:val="00274138"/>
    <w:rsid w:val="002743C2"/>
    <w:rsid w:val="0027444D"/>
    <w:rsid w:val="002746F3"/>
    <w:rsid w:val="00274A08"/>
    <w:rsid w:val="00274BF5"/>
    <w:rsid w:val="00274BF7"/>
    <w:rsid w:val="00274F23"/>
    <w:rsid w:val="00275065"/>
    <w:rsid w:val="002752DE"/>
    <w:rsid w:val="0027546A"/>
    <w:rsid w:val="002755A1"/>
    <w:rsid w:val="00275CC1"/>
    <w:rsid w:val="00275F70"/>
    <w:rsid w:val="0027682D"/>
    <w:rsid w:val="00276B55"/>
    <w:rsid w:val="00276E4F"/>
    <w:rsid w:val="0027750B"/>
    <w:rsid w:val="00277580"/>
    <w:rsid w:val="00277614"/>
    <w:rsid w:val="00280171"/>
    <w:rsid w:val="00280182"/>
    <w:rsid w:val="002803EA"/>
    <w:rsid w:val="0028088A"/>
    <w:rsid w:val="00280CA1"/>
    <w:rsid w:val="00280E6B"/>
    <w:rsid w:val="002811D8"/>
    <w:rsid w:val="0028136D"/>
    <w:rsid w:val="00281877"/>
    <w:rsid w:val="002818F7"/>
    <w:rsid w:val="00281D31"/>
    <w:rsid w:val="00282436"/>
    <w:rsid w:val="002826F4"/>
    <w:rsid w:val="00282923"/>
    <w:rsid w:val="00282CD1"/>
    <w:rsid w:val="00282E20"/>
    <w:rsid w:val="002832D4"/>
    <w:rsid w:val="00283356"/>
    <w:rsid w:val="002833EB"/>
    <w:rsid w:val="002836CE"/>
    <w:rsid w:val="00283AC8"/>
    <w:rsid w:val="00283B06"/>
    <w:rsid w:val="00284707"/>
    <w:rsid w:val="00285635"/>
    <w:rsid w:val="002856EC"/>
    <w:rsid w:val="00285887"/>
    <w:rsid w:val="00285A8A"/>
    <w:rsid w:val="00285B35"/>
    <w:rsid w:val="00285BCB"/>
    <w:rsid w:val="00285D67"/>
    <w:rsid w:val="00285F47"/>
    <w:rsid w:val="002866A2"/>
    <w:rsid w:val="00286880"/>
    <w:rsid w:val="00286B30"/>
    <w:rsid w:val="00286CF2"/>
    <w:rsid w:val="00286EE8"/>
    <w:rsid w:val="00286FA3"/>
    <w:rsid w:val="002870C6"/>
    <w:rsid w:val="002872E9"/>
    <w:rsid w:val="00287623"/>
    <w:rsid w:val="00287CEC"/>
    <w:rsid w:val="00290346"/>
    <w:rsid w:val="002910D3"/>
    <w:rsid w:val="0029133E"/>
    <w:rsid w:val="0029145E"/>
    <w:rsid w:val="0029180E"/>
    <w:rsid w:val="00291E6D"/>
    <w:rsid w:val="00291F76"/>
    <w:rsid w:val="002921FA"/>
    <w:rsid w:val="0029227E"/>
    <w:rsid w:val="002927B7"/>
    <w:rsid w:val="00293015"/>
    <w:rsid w:val="0029309B"/>
    <w:rsid w:val="00293576"/>
    <w:rsid w:val="0029375E"/>
    <w:rsid w:val="00293930"/>
    <w:rsid w:val="00293E69"/>
    <w:rsid w:val="00294108"/>
    <w:rsid w:val="0029472D"/>
    <w:rsid w:val="0029505F"/>
    <w:rsid w:val="002951B9"/>
    <w:rsid w:val="0029599B"/>
    <w:rsid w:val="00295A16"/>
    <w:rsid w:val="00295EEB"/>
    <w:rsid w:val="00295FBA"/>
    <w:rsid w:val="00296155"/>
    <w:rsid w:val="00296941"/>
    <w:rsid w:val="00296D55"/>
    <w:rsid w:val="00297007"/>
    <w:rsid w:val="00297177"/>
    <w:rsid w:val="002972B7"/>
    <w:rsid w:val="00297367"/>
    <w:rsid w:val="0029753F"/>
    <w:rsid w:val="00297567"/>
    <w:rsid w:val="00297616"/>
    <w:rsid w:val="00297692"/>
    <w:rsid w:val="002977DA"/>
    <w:rsid w:val="00297A71"/>
    <w:rsid w:val="00297BAC"/>
    <w:rsid w:val="00297D59"/>
    <w:rsid w:val="00297F5E"/>
    <w:rsid w:val="002A00B1"/>
    <w:rsid w:val="002A0E55"/>
    <w:rsid w:val="002A1124"/>
    <w:rsid w:val="002A11D7"/>
    <w:rsid w:val="002A1329"/>
    <w:rsid w:val="002A18DC"/>
    <w:rsid w:val="002A19D0"/>
    <w:rsid w:val="002A2120"/>
    <w:rsid w:val="002A217D"/>
    <w:rsid w:val="002A226B"/>
    <w:rsid w:val="002A25C5"/>
    <w:rsid w:val="002A2688"/>
    <w:rsid w:val="002A278A"/>
    <w:rsid w:val="002A2ADB"/>
    <w:rsid w:val="002A3056"/>
    <w:rsid w:val="002A323B"/>
    <w:rsid w:val="002A339F"/>
    <w:rsid w:val="002A359A"/>
    <w:rsid w:val="002A4283"/>
    <w:rsid w:val="002A42EE"/>
    <w:rsid w:val="002A44E5"/>
    <w:rsid w:val="002A45FF"/>
    <w:rsid w:val="002A496D"/>
    <w:rsid w:val="002A5158"/>
    <w:rsid w:val="002A519F"/>
    <w:rsid w:val="002A5313"/>
    <w:rsid w:val="002A5ABA"/>
    <w:rsid w:val="002A5CFF"/>
    <w:rsid w:val="002A5DF1"/>
    <w:rsid w:val="002A5E59"/>
    <w:rsid w:val="002A6046"/>
    <w:rsid w:val="002A63DF"/>
    <w:rsid w:val="002A66BC"/>
    <w:rsid w:val="002A67D5"/>
    <w:rsid w:val="002A69A5"/>
    <w:rsid w:val="002A6CD4"/>
    <w:rsid w:val="002A6DF2"/>
    <w:rsid w:val="002A7417"/>
    <w:rsid w:val="002A7549"/>
    <w:rsid w:val="002A7688"/>
    <w:rsid w:val="002A7972"/>
    <w:rsid w:val="002A7D7C"/>
    <w:rsid w:val="002A7DA1"/>
    <w:rsid w:val="002B0B6F"/>
    <w:rsid w:val="002B12EE"/>
    <w:rsid w:val="002B1695"/>
    <w:rsid w:val="002B1858"/>
    <w:rsid w:val="002B18F3"/>
    <w:rsid w:val="002B21ED"/>
    <w:rsid w:val="002B24DF"/>
    <w:rsid w:val="002B2A6A"/>
    <w:rsid w:val="002B2F4B"/>
    <w:rsid w:val="002B30A2"/>
    <w:rsid w:val="002B38C0"/>
    <w:rsid w:val="002B39B3"/>
    <w:rsid w:val="002B3A09"/>
    <w:rsid w:val="002B3EE8"/>
    <w:rsid w:val="002B45DA"/>
    <w:rsid w:val="002B45E3"/>
    <w:rsid w:val="002B46B5"/>
    <w:rsid w:val="002B4AA0"/>
    <w:rsid w:val="002B4CDD"/>
    <w:rsid w:val="002B4DF8"/>
    <w:rsid w:val="002B5075"/>
    <w:rsid w:val="002B564B"/>
    <w:rsid w:val="002B5ECF"/>
    <w:rsid w:val="002B6000"/>
    <w:rsid w:val="002B6BD3"/>
    <w:rsid w:val="002B6DA7"/>
    <w:rsid w:val="002B70DD"/>
    <w:rsid w:val="002B70F1"/>
    <w:rsid w:val="002B7609"/>
    <w:rsid w:val="002B7689"/>
    <w:rsid w:val="002B76A2"/>
    <w:rsid w:val="002B7F82"/>
    <w:rsid w:val="002C044A"/>
    <w:rsid w:val="002C048A"/>
    <w:rsid w:val="002C0603"/>
    <w:rsid w:val="002C06F0"/>
    <w:rsid w:val="002C0C11"/>
    <w:rsid w:val="002C0C7C"/>
    <w:rsid w:val="002C0ED8"/>
    <w:rsid w:val="002C105B"/>
    <w:rsid w:val="002C11E6"/>
    <w:rsid w:val="002C196C"/>
    <w:rsid w:val="002C1EFF"/>
    <w:rsid w:val="002C2448"/>
    <w:rsid w:val="002C2578"/>
    <w:rsid w:val="002C2664"/>
    <w:rsid w:val="002C30AF"/>
    <w:rsid w:val="002C31C9"/>
    <w:rsid w:val="002C373C"/>
    <w:rsid w:val="002C3866"/>
    <w:rsid w:val="002C3911"/>
    <w:rsid w:val="002C439C"/>
    <w:rsid w:val="002C4711"/>
    <w:rsid w:val="002C4C95"/>
    <w:rsid w:val="002C4CA2"/>
    <w:rsid w:val="002C4E04"/>
    <w:rsid w:val="002C4FCF"/>
    <w:rsid w:val="002C5555"/>
    <w:rsid w:val="002C56A6"/>
    <w:rsid w:val="002C5B22"/>
    <w:rsid w:val="002C5C06"/>
    <w:rsid w:val="002C5D63"/>
    <w:rsid w:val="002C600A"/>
    <w:rsid w:val="002C68B3"/>
    <w:rsid w:val="002C69A8"/>
    <w:rsid w:val="002C69F4"/>
    <w:rsid w:val="002C6CE5"/>
    <w:rsid w:val="002C6CF1"/>
    <w:rsid w:val="002C7025"/>
    <w:rsid w:val="002C7827"/>
    <w:rsid w:val="002C7AEF"/>
    <w:rsid w:val="002C7D62"/>
    <w:rsid w:val="002C7D91"/>
    <w:rsid w:val="002D040F"/>
    <w:rsid w:val="002D071E"/>
    <w:rsid w:val="002D0800"/>
    <w:rsid w:val="002D081A"/>
    <w:rsid w:val="002D0E2F"/>
    <w:rsid w:val="002D1080"/>
    <w:rsid w:val="002D131B"/>
    <w:rsid w:val="002D134B"/>
    <w:rsid w:val="002D2066"/>
    <w:rsid w:val="002D2183"/>
    <w:rsid w:val="002D224E"/>
    <w:rsid w:val="002D2252"/>
    <w:rsid w:val="002D2484"/>
    <w:rsid w:val="002D27C2"/>
    <w:rsid w:val="002D2B89"/>
    <w:rsid w:val="002D2F1B"/>
    <w:rsid w:val="002D37D0"/>
    <w:rsid w:val="002D399B"/>
    <w:rsid w:val="002D431D"/>
    <w:rsid w:val="002D43CE"/>
    <w:rsid w:val="002D4456"/>
    <w:rsid w:val="002D446E"/>
    <w:rsid w:val="002D4D65"/>
    <w:rsid w:val="002D4DC6"/>
    <w:rsid w:val="002D5881"/>
    <w:rsid w:val="002D5A5B"/>
    <w:rsid w:val="002D5AAD"/>
    <w:rsid w:val="002D5C22"/>
    <w:rsid w:val="002D5CEF"/>
    <w:rsid w:val="002D663C"/>
    <w:rsid w:val="002D683F"/>
    <w:rsid w:val="002D68EC"/>
    <w:rsid w:val="002D68FA"/>
    <w:rsid w:val="002D69D4"/>
    <w:rsid w:val="002D6A10"/>
    <w:rsid w:val="002D6BA8"/>
    <w:rsid w:val="002D6F9F"/>
    <w:rsid w:val="002D71C7"/>
    <w:rsid w:val="002D7781"/>
    <w:rsid w:val="002D77C3"/>
    <w:rsid w:val="002D79F0"/>
    <w:rsid w:val="002D7E2E"/>
    <w:rsid w:val="002E0694"/>
    <w:rsid w:val="002E0703"/>
    <w:rsid w:val="002E0A2A"/>
    <w:rsid w:val="002E0D14"/>
    <w:rsid w:val="002E1237"/>
    <w:rsid w:val="002E135A"/>
    <w:rsid w:val="002E13A7"/>
    <w:rsid w:val="002E13D8"/>
    <w:rsid w:val="002E1887"/>
    <w:rsid w:val="002E1A70"/>
    <w:rsid w:val="002E1BFB"/>
    <w:rsid w:val="002E1C26"/>
    <w:rsid w:val="002E1D7D"/>
    <w:rsid w:val="002E22D3"/>
    <w:rsid w:val="002E2383"/>
    <w:rsid w:val="002E25ED"/>
    <w:rsid w:val="002E26BD"/>
    <w:rsid w:val="002E30A8"/>
    <w:rsid w:val="002E314B"/>
    <w:rsid w:val="002E3976"/>
    <w:rsid w:val="002E3EAF"/>
    <w:rsid w:val="002E4A7A"/>
    <w:rsid w:val="002E4CA8"/>
    <w:rsid w:val="002E4FFB"/>
    <w:rsid w:val="002E5568"/>
    <w:rsid w:val="002E5DA6"/>
    <w:rsid w:val="002E5DEA"/>
    <w:rsid w:val="002E673D"/>
    <w:rsid w:val="002E68B2"/>
    <w:rsid w:val="002E72D4"/>
    <w:rsid w:val="002E7663"/>
    <w:rsid w:val="002F0332"/>
    <w:rsid w:val="002F0963"/>
    <w:rsid w:val="002F0FDE"/>
    <w:rsid w:val="002F19DA"/>
    <w:rsid w:val="002F1A04"/>
    <w:rsid w:val="002F1AA2"/>
    <w:rsid w:val="002F1AFA"/>
    <w:rsid w:val="002F1BA6"/>
    <w:rsid w:val="002F2144"/>
    <w:rsid w:val="002F2352"/>
    <w:rsid w:val="002F2423"/>
    <w:rsid w:val="002F28AD"/>
    <w:rsid w:val="002F2A39"/>
    <w:rsid w:val="002F2B96"/>
    <w:rsid w:val="002F3572"/>
    <w:rsid w:val="002F37C9"/>
    <w:rsid w:val="002F3B81"/>
    <w:rsid w:val="002F4083"/>
    <w:rsid w:val="002F41FC"/>
    <w:rsid w:val="002F4248"/>
    <w:rsid w:val="002F49FF"/>
    <w:rsid w:val="002F4BED"/>
    <w:rsid w:val="002F51DA"/>
    <w:rsid w:val="002F528D"/>
    <w:rsid w:val="002F533D"/>
    <w:rsid w:val="002F5635"/>
    <w:rsid w:val="002F5B11"/>
    <w:rsid w:val="002F5B39"/>
    <w:rsid w:val="002F5C83"/>
    <w:rsid w:val="002F5C99"/>
    <w:rsid w:val="002F5E26"/>
    <w:rsid w:val="002F5FEF"/>
    <w:rsid w:val="002F6172"/>
    <w:rsid w:val="002F6859"/>
    <w:rsid w:val="002F6C5B"/>
    <w:rsid w:val="002F6EE7"/>
    <w:rsid w:val="002F6F98"/>
    <w:rsid w:val="002F717E"/>
    <w:rsid w:val="003001A5"/>
    <w:rsid w:val="0030081B"/>
    <w:rsid w:val="00300A83"/>
    <w:rsid w:val="00300C7C"/>
    <w:rsid w:val="00300D04"/>
    <w:rsid w:val="00301779"/>
    <w:rsid w:val="003017D7"/>
    <w:rsid w:val="00301CF5"/>
    <w:rsid w:val="00302753"/>
    <w:rsid w:val="00302A68"/>
    <w:rsid w:val="00302CEE"/>
    <w:rsid w:val="00303219"/>
    <w:rsid w:val="00303470"/>
    <w:rsid w:val="003047AE"/>
    <w:rsid w:val="00304E53"/>
    <w:rsid w:val="003053C5"/>
    <w:rsid w:val="003057D7"/>
    <w:rsid w:val="003062B6"/>
    <w:rsid w:val="00306982"/>
    <w:rsid w:val="00306D63"/>
    <w:rsid w:val="00306F74"/>
    <w:rsid w:val="00307091"/>
    <w:rsid w:val="0030738A"/>
    <w:rsid w:val="003079F4"/>
    <w:rsid w:val="00307B0E"/>
    <w:rsid w:val="00307D37"/>
    <w:rsid w:val="00310E8B"/>
    <w:rsid w:val="00311043"/>
    <w:rsid w:val="0031106F"/>
    <w:rsid w:val="0031135E"/>
    <w:rsid w:val="00311591"/>
    <w:rsid w:val="003117A2"/>
    <w:rsid w:val="00311877"/>
    <w:rsid w:val="00311B44"/>
    <w:rsid w:val="00311DD6"/>
    <w:rsid w:val="00312091"/>
    <w:rsid w:val="00312101"/>
    <w:rsid w:val="00312102"/>
    <w:rsid w:val="003122E4"/>
    <w:rsid w:val="00312D87"/>
    <w:rsid w:val="00313875"/>
    <w:rsid w:val="0031388D"/>
    <w:rsid w:val="00313D2B"/>
    <w:rsid w:val="00313EB2"/>
    <w:rsid w:val="003143C8"/>
    <w:rsid w:val="0031444F"/>
    <w:rsid w:val="00314F37"/>
    <w:rsid w:val="00315499"/>
    <w:rsid w:val="0031554A"/>
    <w:rsid w:val="0031571A"/>
    <w:rsid w:val="00315C78"/>
    <w:rsid w:val="0031603B"/>
    <w:rsid w:val="0031614D"/>
    <w:rsid w:val="0031630C"/>
    <w:rsid w:val="003171A4"/>
    <w:rsid w:val="00317203"/>
    <w:rsid w:val="0031792B"/>
    <w:rsid w:val="00317DA6"/>
    <w:rsid w:val="00317EA6"/>
    <w:rsid w:val="00317EA9"/>
    <w:rsid w:val="00320283"/>
    <w:rsid w:val="003203EE"/>
    <w:rsid w:val="0032063A"/>
    <w:rsid w:val="0032087E"/>
    <w:rsid w:val="003208DF"/>
    <w:rsid w:val="00320E23"/>
    <w:rsid w:val="0032109C"/>
    <w:rsid w:val="003210A2"/>
    <w:rsid w:val="0032115E"/>
    <w:rsid w:val="003215FC"/>
    <w:rsid w:val="00321CD1"/>
    <w:rsid w:val="00321F03"/>
    <w:rsid w:val="00322114"/>
    <w:rsid w:val="00322268"/>
    <w:rsid w:val="0032282E"/>
    <w:rsid w:val="003228DD"/>
    <w:rsid w:val="00322C52"/>
    <w:rsid w:val="0032344D"/>
    <w:rsid w:val="00323850"/>
    <w:rsid w:val="003238B1"/>
    <w:rsid w:val="00323F90"/>
    <w:rsid w:val="003241F6"/>
    <w:rsid w:val="003247DA"/>
    <w:rsid w:val="003248AF"/>
    <w:rsid w:val="003251DC"/>
    <w:rsid w:val="003253BD"/>
    <w:rsid w:val="003257AE"/>
    <w:rsid w:val="00325F92"/>
    <w:rsid w:val="003267BB"/>
    <w:rsid w:val="0032698F"/>
    <w:rsid w:val="00326EB7"/>
    <w:rsid w:val="00326F8E"/>
    <w:rsid w:val="00327657"/>
    <w:rsid w:val="0032768D"/>
    <w:rsid w:val="00327AD4"/>
    <w:rsid w:val="00327DD6"/>
    <w:rsid w:val="00327E99"/>
    <w:rsid w:val="00327F5F"/>
    <w:rsid w:val="00330303"/>
    <w:rsid w:val="00330536"/>
    <w:rsid w:val="003306B2"/>
    <w:rsid w:val="00330913"/>
    <w:rsid w:val="00330BD8"/>
    <w:rsid w:val="003311C6"/>
    <w:rsid w:val="0033122F"/>
    <w:rsid w:val="00331432"/>
    <w:rsid w:val="0033156D"/>
    <w:rsid w:val="003316AE"/>
    <w:rsid w:val="0033176A"/>
    <w:rsid w:val="00331A3D"/>
    <w:rsid w:val="00331C85"/>
    <w:rsid w:val="00332084"/>
    <w:rsid w:val="00332093"/>
    <w:rsid w:val="00332506"/>
    <w:rsid w:val="0033377A"/>
    <w:rsid w:val="0033386E"/>
    <w:rsid w:val="003338F7"/>
    <w:rsid w:val="0033395E"/>
    <w:rsid w:val="0033399F"/>
    <w:rsid w:val="00333B67"/>
    <w:rsid w:val="0033421D"/>
    <w:rsid w:val="0033448F"/>
    <w:rsid w:val="00334D51"/>
    <w:rsid w:val="00334DC2"/>
    <w:rsid w:val="00334E35"/>
    <w:rsid w:val="00334ED5"/>
    <w:rsid w:val="003354E8"/>
    <w:rsid w:val="00335527"/>
    <w:rsid w:val="003358DE"/>
    <w:rsid w:val="0033602D"/>
    <w:rsid w:val="00336913"/>
    <w:rsid w:val="00336EF4"/>
    <w:rsid w:val="003370F1"/>
    <w:rsid w:val="00337AC0"/>
    <w:rsid w:val="00337ED0"/>
    <w:rsid w:val="00340328"/>
    <w:rsid w:val="00340800"/>
    <w:rsid w:val="003408DF"/>
    <w:rsid w:val="00340B52"/>
    <w:rsid w:val="00340CC0"/>
    <w:rsid w:val="00341325"/>
    <w:rsid w:val="00341575"/>
    <w:rsid w:val="0034157D"/>
    <w:rsid w:val="00341D80"/>
    <w:rsid w:val="00342567"/>
    <w:rsid w:val="00342EC9"/>
    <w:rsid w:val="003430E5"/>
    <w:rsid w:val="00343987"/>
    <w:rsid w:val="00343C89"/>
    <w:rsid w:val="0034487A"/>
    <w:rsid w:val="00344999"/>
    <w:rsid w:val="00344A18"/>
    <w:rsid w:val="0034508D"/>
    <w:rsid w:val="00345CA0"/>
    <w:rsid w:val="00345E8C"/>
    <w:rsid w:val="00346DBC"/>
    <w:rsid w:val="003471E6"/>
    <w:rsid w:val="00347280"/>
    <w:rsid w:val="003472DA"/>
    <w:rsid w:val="00347380"/>
    <w:rsid w:val="003474A9"/>
    <w:rsid w:val="00347A5C"/>
    <w:rsid w:val="00347CCB"/>
    <w:rsid w:val="00347D88"/>
    <w:rsid w:val="00347E23"/>
    <w:rsid w:val="00347EB8"/>
    <w:rsid w:val="00347EBA"/>
    <w:rsid w:val="00350659"/>
    <w:rsid w:val="00350A0B"/>
    <w:rsid w:val="00350E6D"/>
    <w:rsid w:val="003517DB"/>
    <w:rsid w:val="0035187A"/>
    <w:rsid w:val="003521B2"/>
    <w:rsid w:val="003525FD"/>
    <w:rsid w:val="00352C6C"/>
    <w:rsid w:val="00352D24"/>
    <w:rsid w:val="00352DEF"/>
    <w:rsid w:val="00352F7F"/>
    <w:rsid w:val="00353186"/>
    <w:rsid w:val="0035365C"/>
    <w:rsid w:val="003536E8"/>
    <w:rsid w:val="0035384D"/>
    <w:rsid w:val="003538F7"/>
    <w:rsid w:val="00353AD3"/>
    <w:rsid w:val="00353C49"/>
    <w:rsid w:val="00353D43"/>
    <w:rsid w:val="00353F1F"/>
    <w:rsid w:val="003544BE"/>
    <w:rsid w:val="00354594"/>
    <w:rsid w:val="003546ED"/>
    <w:rsid w:val="00354821"/>
    <w:rsid w:val="003548F3"/>
    <w:rsid w:val="00354F7F"/>
    <w:rsid w:val="0035515A"/>
    <w:rsid w:val="0035525E"/>
    <w:rsid w:val="00355581"/>
    <w:rsid w:val="003557EF"/>
    <w:rsid w:val="00355B8F"/>
    <w:rsid w:val="00355DAE"/>
    <w:rsid w:val="003564A7"/>
    <w:rsid w:val="00356625"/>
    <w:rsid w:val="00356A58"/>
    <w:rsid w:val="00357687"/>
    <w:rsid w:val="00357A52"/>
    <w:rsid w:val="003600A0"/>
    <w:rsid w:val="0036039F"/>
    <w:rsid w:val="00360538"/>
    <w:rsid w:val="00361C87"/>
    <w:rsid w:val="0036287A"/>
    <w:rsid w:val="00362FFB"/>
    <w:rsid w:val="0036303A"/>
    <w:rsid w:val="003632F5"/>
    <w:rsid w:val="0036375F"/>
    <w:rsid w:val="00363956"/>
    <w:rsid w:val="00363A20"/>
    <w:rsid w:val="00363EE9"/>
    <w:rsid w:val="003642CA"/>
    <w:rsid w:val="00364779"/>
    <w:rsid w:val="003647C0"/>
    <w:rsid w:val="003647CE"/>
    <w:rsid w:val="003648CA"/>
    <w:rsid w:val="0036531C"/>
    <w:rsid w:val="003655BB"/>
    <w:rsid w:val="003656BD"/>
    <w:rsid w:val="003660BD"/>
    <w:rsid w:val="0036627C"/>
    <w:rsid w:val="00366411"/>
    <w:rsid w:val="00366624"/>
    <w:rsid w:val="003669F3"/>
    <w:rsid w:val="00366D22"/>
    <w:rsid w:val="00366DE0"/>
    <w:rsid w:val="0036717D"/>
    <w:rsid w:val="003672DD"/>
    <w:rsid w:val="00367480"/>
    <w:rsid w:val="0036765E"/>
    <w:rsid w:val="0036784B"/>
    <w:rsid w:val="0036788A"/>
    <w:rsid w:val="00367BE6"/>
    <w:rsid w:val="003705EA"/>
    <w:rsid w:val="00370A62"/>
    <w:rsid w:val="00370AEE"/>
    <w:rsid w:val="00370D1B"/>
    <w:rsid w:val="00371019"/>
    <w:rsid w:val="00371587"/>
    <w:rsid w:val="0037166C"/>
    <w:rsid w:val="00371DAF"/>
    <w:rsid w:val="00371EE7"/>
    <w:rsid w:val="003725E5"/>
    <w:rsid w:val="00372622"/>
    <w:rsid w:val="00372729"/>
    <w:rsid w:val="00372BD5"/>
    <w:rsid w:val="0037308F"/>
    <w:rsid w:val="0037371F"/>
    <w:rsid w:val="00373ACE"/>
    <w:rsid w:val="003742D5"/>
    <w:rsid w:val="00374550"/>
    <w:rsid w:val="0037486D"/>
    <w:rsid w:val="00374AAD"/>
    <w:rsid w:val="00374DA0"/>
    <w:rsid w:val="00374E89"/>
    <w:rsid w:val="0037537B"/>
    <w:rsid w:val="0037560A"/>
    <w:rsid w:val="00375656"/>
    <w:rsid w:val="00375A44"/>
    <w:rsid w:val="00375E9F"/>
    <w:rsid w:val="00376004"/>
    <w:rsid w:val="0037635C"/>
    <w:rsid w:val="003768FE"/>
    <w:rsid w:val="00376F13"/>
    <w:rsid w:val="0037747B"/>
    <w:rsid w:val="0037761C"/>
    <w:rsid w:val="00377897"/>
    <w:rsid w:val="0037793D"/>
    <w:rsid w:val="003779EC"/>
    <w:rsid w:val="00377A5B"/>
    <w:rsid w:val="00380008"/>
    <w:rsid w:val="0038062D"/>
    <w:rsid w:val="0038088D"/>
    <w:rsid w:val="00380A5E"/>
    <w:rsid w:val="00380B9F"/>
    <w:rsid w:val="00380E9B"/>
    <w:rsid w:val="0038168A"/>
    <w:rsid w:val="00381A2C"/>
    <w:rsid w:val="00381A6D"/>
    <w:rsid w:val="00381B85"/>
    <w:rsid w:val="003821CD"/>
    <w:rsid w:val="00382374"/>
    <w:rsid w:val="003826DC"/>
    <w:rsid w:val="003827A2"/>
    <w:rsid w:val="00382903"/>
    <w:rsid w:val="003829F0"/>
    <w:rsid w:val="00382DAB"/>
    <w:rsid w:val="00383B39"/>
    <w:rsid w:val="00383D8F"/>
    <w:rsid w:val="00383ED6"/>
    <w:rsid w:val="00384067"/>
    <w:rsid w:val="003840EA"/>
    <w:rsid w:val="003841AF"/>
    <w:rsid w:val="003842BD"/>
    <w:rsid w:val="00384429"/>
    <w:rsid w:val="00384A2F"/>
    <w:rsid w:val="00384BE6"/>
    <w:rsid w:val="00384D02"/>
    <w:rsid w:val="00386202"/>
    <w:rsid w:val="003866EF"/>
    <w:rsid w:val="00386AD3"/>
    <w:rsid w:val="003873D2"/>
    <w:rsid w:val="00387650"/>
    <w:rsid w:val="00387E42"/>
    <w:rsid w:val="00390157"/>
    <w:rsid w:val="003906D2"/>
    <w:rsid w:val="003909CE"/>
    <w:rsid w:val="00390BF1"/>
    <w:rsid w:val="00390C96"/>
    <w:rsid w:val="0039131B"/>
    <w:rsid w:val="0039147D"/>
    <w:rsid w:val="00391506"/>
    <w:rsid w:val="00391823"/>
    <w:rsid w:val="00391E16"/>
    <w:rsid w:val="003929A9"/>
    <w:rsid w:val="00392B7A"/>
    <w:rsid w:val="00393425"/>
    <w:rsid w:val="0039352A"/>
    <w:rsid w:val="00393B6A"/>
    <w:rsid w:val="00393D98"/>
    <w:rsid w:val="00393FDA"/>
    <w:rsid w:val="003944F6"/>
    <w:rsid w:val="00394803"/>
    <w:rsid w:val="00394CD8"/>
    <w:rsid w:val="0039501D"/>
    <w:rsid w:val="0039510D"/>
    <w:rsid w:val="00395526"/>
    <w:rsid w:val="0039568E"/>
    <w:rsid w:val="00395E11"/>
    <w:rsid w:val="00395E36"/>
    <w:rsid w:val="00395F4C"/>
    <w:rsid w:val="00395FD1"/>
    <w:rsid w:val="00396256"/>
    <w:rsid w:val="00396A43"/>
    <w:rsid w:val="00396BCA"/>
    <w:rsid w:val="003975C9"/>
    <w:rsid w:val="00397B1A"/>
    <w:rsid w:val="00397F63"/>
    <w:rsid w:val="003A00F8"/>
    <w:rsid w:val="003A0448"/>
    <w:rsid w:val="003A0A41"/>
    <w:rsid w:val="003A0BD4"/>
    <w:rsid w:val="003A10B4"/>
    <w:rsid w:val="003A14BE"/>
    <w:rsid w:val="003A2248"/>
    <w:rsid w:val="003A2E71"/>
    <w:rsid w:val="003A2FA0"/>
    <w:rsid w:val="003A2FEF"/>
    <w:rsid w:val="003A35E2"/>
    <w:rsid w:val="003A3D5F"/>
    <w:rsid w:val="003A4201"/>
    <w:rsid w:val="003A42BD"/>
    <w:rsid w:val="003A493F"/>
    <w:rsid w:val="003A49F0"/>
    <w:rsid w:val="003A4D0D"/>
    <w:rsid w:val="003A4DDD"/>
    <w:rsid w:val="003A5153"/>
    <w:rsid w:val="003A5472"/>
    <w:rsid w:val="003A55FC"/>
    <w:rsid w:val="003A5B63"/>
    <w:rsid w:val="003A5BAA"/>
    <w:rsid w:val="003A5BCB"/>
    <w:rsid w:val="003A5D1F"/>
    <w:rsid w:val="003A60F0"/>
    <w:rsid w:val="003A6146"/>
    <w:rsid w:val="003A6975"/>
    <w:rsid w:val="003A6C24"/>
    <w:rsid w:val="003A6F47"/>
    <w:rsid w:val="003A6F89"/>
    <w:rsid w:val="003A7126"/>
    <w:rsid w:val="003A7282"/>
    <w:rsid w:val="003A766C"/>
    <w:rsid w:val="003A79CD"/>
    <w:rsid w:val="003A7B22"/>
    <w:rsid w:val="003B02E2"/>
    <w:rsid w:val="003B04A8"/>
    <w:rsid w:val="003B076A"/>
    <w:rsid w:val="003B0966"/>
    <w:rsid w:val="003B09D0"/>
    <w:rsid w:val="003B0A85"/>
    <w:rsid w:val="003B0E15"/>
    <w:rsid w:val="003B0E3C"/>
    <w:rsid w:val="003B0E46"/>
    <w:rsid w:val="003B0E8A"/>
    <w:rsid w:val="003B1569"/>
    <w:rsid w:val="003B16D6"/>
    <w:rsid w:val="003B203F"/>
    <w:rsid w:val="003B23A7"/>
    <w:rsid w:val="003B2672"/>
    <w:rsid w:val="003B2B40"/>
    <w:rsid w:val="003B2B84"/>
    <w:rsid w:val="003B2E53"/>
    <w:rsid w:val="003B2F09"/>
    <w:rsid w:val="003B313B"/>
    <w:rsid w:val="003B3363"/>
    <w:rsid w:val="003B339E"/>
    <w:rsid w:val="003B3789"/>
    <w:rsid w:val="003B37B6"/>
    <w:rsid w:val="003B3E10"/>
    <w:rsid w:val="003B3E3B"/>
    <w:rsid w:val="003B3F7D"/>
    <w:rsid w:val="003B3FB3"/>
    <w:rsid w:val="003B4031"/>
    <w:rsid w:val="003B41D6"/>
    <w:rsid w:val="003B4779"/>
    <w:rsid w:val="003B4806"/>
    <w:rsid w:val="003B4D25"/>
    <w:rsid w:val="003B53E7"/>
    <w:rsid w:val="003B5769"/>
    <w:rsid w:val="003B5A95"/>
    <w:rsid w:val="003B5DB4"/>
    <w:rsid w:val="003B61DA"/>
    <w:rsid w:val="003B6208"/>
    <w:rsid w:val="003B6751"/>
    <w:rsid w:val="003B71F0"/>
    <w:rsid w:val="003B73AA"/>
    <w:rsid w:val="003B77A2"/>
    <w:rsid w:val="003B78BC"/>
    <w:rsid w:val="003B7C89"/>
    <w:rsid w:val="003B7CB0"/>
    <w:rsid w:val="003B7F32"/>
    <w:rsid w:val="003C02AB"/>
    <w:rsid w:val="003C0421"/>
    <w:rsid w:val="003C08C0"/>
    <w:rsid w:val="003C0A74"/>
    <w:rsid w:val="003C0DB6"/>
    <w:rsid w:val="003C178A"/>
    <w:rsid w:val="003C18A6"/>
    <w:rsid w:val="003C18EC"/>
    <w:rsid w:val="003C1CD3"/>
    <w:rsid w:val="003C1DBA"/>
    <w:rsid w:val="003C218F"/>
    <w:rsid w:val="003C21C5"/>
    <w:rsid w:val="003C2610"/>
    <w:rsid w:val="003C2A2F"/>
    <w:rsid w:val="003C2DF7"/>
    <w:rsid w:val="003C3249"/>
    <w:rsid w:val="003C3882"/>
    <w:rsid w:val="003C3A0E"/>
    <w:rsid w:val="003C3AC6"/>
    <w:rsid w:val="003C3BD0"/>
    <w:rsid w:val="003C3C37"/>
    <w:rsid w:val="003C4048"/>
    <w:rsid w:val="003C42EF"/>
    <w:rsid w:val="003C471A"/>
    <w:rsid w:val="003C48C6"/>
    <w:rsid w:val="003C4A81"/>
    <w:rsid w:val="003C4C7E"/>
    <w:rsid w:val="003C4E73"/>
    <w:rsid w:val="003C690D"/>
    <w:rsid w:val="003C70AA"/>
    <w:rsid w:val="003C732D"/>
    <w:rsid w:val="003C7E98"/>
    <w:rsid w:val="003C7F5D"/>
    <w:rsid w:val="003D010D"/>
    <w:rsid w:val="003D0381"/>
    <w:rsid w:val="003D09E8"/>
    <w:rsid w:val="003D0A01"/>
    <w:rsid w:val="003D0A51"/>
    <w:rsid w:val="003D0F78"/>
    <w:rsid w:val="003D1536"/>
    <w:rsid w:val="003D18CE"/>
    <w:rsid w:val="003D1999"/>
    <w:rsid w:val="003D1B15"/>
    <w:rsid w:val="003D1CB5"/>
    <w:rsid w:val="003D2109"/>
    <w:rsid w:val="003D253E"/>
    <w:rsid w:val="003D25D1"/>
    <w:rsid w:val="003D29A0"/>
    <w:rsid w:val="003D2D7A"/>
    <w:rsid w:val="003D2E82"/>
    <w:rsid w:val="003D301F"/>
    <w:rsid w:val="003D3061"/>
    <w:rsid w:val="003D326F"/>
    <w:rsid w:val="003D37F8"/>
    <w:rsid w:val="003D3B62"/>
    <w:rsid w:val="003D3FC4"/>
    <w:rsid w:val="003D45B3"/>
    <w:rsid w:val="003D4826"/>
    <w:rsid w:val="003D4E14"/>
    <w:rsid w:val="003D5157"/>
    <w:rsid w:val="003D51A0"/>
    <w:rsid w:val="003D5498"/>
    <w:rsid w:val="003D5778"/>
    <w:rsid w:val="003D61E0"/>
    <w:rsid w:val="003D62DD"/>
    <w:rsid w:val="003D630B"/>
    <w:rsid w:val="003D66D3"/>
    <w:rsid w:val="003D6BAE"/>
    <w:rsid w:val="003D7117"/>
    <w:rsid w:val="003D789A"/>
    <w:rsid w:val="003D7912"/>
    <w:rsid w:val="003E0287"/>
    <w:rsid w:val="003E0290"/>
    <w:rsid w:val="003E0592"/>
    <w:rsid w:val="003E0842"/>
    <w:rsid w:val="003E0E9D"/>
    <w:rsid w:val="003E0FC3"/>
    <w:rsid w:val="003E1F58"/>
    <w:rsid w:val="003E20EB"/>
    <w:rsid w:val="003E2BB2"/>
    <w:rsid w:val="003E2C39"/>
    <w:rsid w:val="003E2EA4"/>
    <w:rsid w:val="003E36A4"/>
    <w:rsid w:val="003E39A9"/>
    <w:rsid w:val="003E49E8"/>
    <w:rsid w:val="003E4ABA"/>
    <w:rsid w:val="003E4CC9"/>
    <w:rsid w:val="003E50C9"/>
    <w:rsid w:val="003E5788"/>
    <w:rsid w:val="003E582F"/>
    <w:rsid w:val="003E5867"/>
    <w:rsid w:val="003E5C0A"/>
    <w:rsid w:val="003E6DA7"/>
    <w:rsid w:val="003E7422"/>
    <w:rsid w:val="003E770D"/>
    <w:rsid w:val="003E7898"/>
    <w:rsid w:val="003E79B0"/>
    <w:rsid w:val="003E7C4C"/>
    <w:rsid w:val="003E7EA4"/>
    <w:rsid w:val="003F09E1"/>
    <w:rsid w:val="003F0B28"/>
    <w:rsid w:val="003F0DF4"/>
    <w:rsid w:val="003F176F"/>
    <w:rsid w:val="003F1FC5"/>
    <w:rsid w:val="003F2288"/>
    <w:rsid w:val="003F2567"/>
    <w:rsid w:val="003F27B9"/>
    <w:rsid w:val="003F2BEB"/>
    <w:rsid w:val="003F3029"/>
    <w:rsid w:val="003F3F3B"/>
    <w:rsid w:val="003F4416"/>
    <w:rsid w:val="003F50A7"/>
    <w:rsid w:val="003F5180"/>
    <w:rsid w:val="003F5563"/>
    <w:rsid w:val="003F5945"/>
    <w:rsid w:val="003F5B53"/>
    <w:rsid w:val="003F5C64"/>
    <w:rsid w:val="003F5DDD"/>
    <w:rsid w:val="003F5F53"/>
    <w:rsid w:val="003F6455"/>
    <w:rsid w:val="003F6720"/>
    <w:rsid w:val="003F6FD1"/>
    <w:rsid w:val="003F6FFE"/>
    <w:rsid w:val="003F7423"/>
    <w:rsid w:val="003F746F"/>
    <w:rsid w:val="003F78E5"/>
    <w:rsid w:val="003F7C07"/>
    <w:rsid w:val="003F7F2D"/>
    <w:rsid w:val="00400036"/>
    <w:rsid w:val="0040064A"/>
    <w:rsid w:val="004006DB"/>
    <w:rsid w:val="00400705"/>
    <w:rsid w:val="004022A2"/>
    <w:rsid w:val="004031B6"/>
    <w:rsid w:val="004035A1"/>
    <w:rsid w:val="004036B3"/>
    <w:rsid w:val="004038B1"/>
    <w:rsid w:val="00403C0E"/>
    <w:rsid w:val="004042BF"/>
    <w:rsid w:val="00404696"/>
    <w:rsid w:val="00404C68"/>
    <w:rsid w:val="00404CA1"/>
    <w:rsid w:val="00406061"/>
    <w:rsid w:val="00406539"/>
    <w:rsid w:val="004065A5"/>
    <w:rsid w:val="0040667C"/>
    <w:rsid w:val="0040698C"/>
    <w:rsid w:val="00406A9C"/>
    <w:rsid w:val="00407069"/>
    <w:rsid w:val="004070D9"/>
    <w:rsid w:val="004071F9"/>
    <w:rsid w:val="004072BA"/>
    <w:rsid w:val="00407B10"/>
    <w:rsid w:val="00407D98"/>
    <w:rsid w:val="00410251"/>
    <w:rsid w:val="0041050F"/>
    <w:rsid w:val="004113A4"/>
    <w:rsid w:val="00411408"/>
    <w:rsid w:val="00411687"/>
    <w:rsid w:val="0041175F"/>
    <w:rsid w:val="004119DF"/>
    <w:rsid w:val="00411AF3"/>
    <w:rsid w:val="00411B99"/>
    <w:rsid w:val="00411EFC"/>
    <w:rsid w:val="00412F7F"/>
    <w:rsid w:val="004135B3"/>
    <w:rsid w:val="004135E1"/>
    <w:rsid w:val="0041377F"/>
    <w:rsid w:val="00413E83"/>
    <w:rsid w:val="00413EB3"/>
    <w:rsid w:val="00413EEF"/>
    <w:rsid w:val="00414169"/>
    <w:rsid w:val="00414EBE"/>
    <w:rsid w:val="0041503C"/>
    <w:rsid w:val="00415355"/>
    <w:rsid w:val="004158D4"/>
    <w:rsid w:val="00415D6D"/>
    <w:rsid w:val="00416193"/>
    <w:rsid w:val="004164B1"/>
    <w:rsid w:val="00416CCD"/>
    <w:rsid w:val="00416F1F"/>
    <w:rsid w:val="004170CA"/>
    <w:rsid w:val="004170F0"/>
    <w:rsid w:val="00417353"/>
    <w:rsid w:val="004175A3"/>
    <w:rsid w:val="00417A0E"/>
    <w:rsid w:val="00417F21"/>
    <w:rsid w:val="00417FF4"/>
    <w:rsid w:val="00420130"/>
    <w:rsid w:val="00420296"/>
    <w:rsid w:val="004205FD"/>
    <w:rsid w:val="0042079F"/>
    <w:rsid w:val="00420E3B"/>
    <w:rsid w:val="00421547"/>
    <w:rsid w:val="0042170F"/>
    <w:rsid w:val="0042193F"/>
    <w:rsid w:val="0042262C"/>
    <w:rsid w:val="00422A47"/>
    <w:rsid w:val="004231BF"/>
    <w:rsid w:val="004231F5"/>
    <w:rsid w:val="00423314"/>
    <w:rsid w:val="00423440"/>
    <w:rsid w:val="004234DA"/>
    <w:rsid w:val="00423749"/>
    <w:rsid w:val="004239B9"/>
    <w:rsid w:val="00423A2F"/>
    <w:rsid w:val="00423AC2"/>
    <w:rsid w:val="0042406E"/>
    <w:rsid w:val="004246A0"/>
    <w:rsid w:val="00424B4E"/>
    <w:rsid w:val="00424C25"/>
    <w:rsid w:val="0042521F"/>
    <w:rsid w:val="0042525C"/>
    <w:rsid w:val="00425F13"/>
    <w:rsid w:val="00426341"/>
    <w:rsid w:val="004264BF"/>
    <w:rsid w:val="00427608"/>
    <w:rsid w:val="00427730"/>
    <w:rsid w:val="00427936"/>
    <w:rsid w:val="00427AD3"/>
    <w:rsid w:val="00427C1B"/>
    <w:rsid w:val="004304A6"/>
    <w:rsid w:val="004309FC"/>
    <w:rsid w:val="00430A97"/>
    <w:rsid w:val="00430D00"/>
    <w:rsid w:val="00430EC2"/>
    <w:rsid w:val="00431571"/>
    <w:rsid w:val="004317E5"/>
    <w:rsid w:val="00431C5F"/>
    <w:rsid w:val="004320A4"/>
    <w:rsid w:val="004324AC"/>
    <w:rsid w:val="004333FA"/>
    <w:rsid w:val="00433B56"/>
    <w:rsid w:val="00433BDD"/>
    <w:rsid w:val="004341FD"/>
    <w:rsid w:val="00434701"/>
    <w:rsid w:val="00434B9B"/>
    <w:rsid w:val="00434CBE"/>
    <w:rsid w:val="00435074"/>
    <w:rsid w:val="00435083"/>
    <w:rsid w:val="004357F7"/>
    <w:rsid w:val="00435910"/>
    <w:rsid w:val="00435A4B"/>
    <w:rsid w:val="00435EF6"/>
    <w:rsid w:val="0043636A"/>
    <w:rsid w:val="004367AC"/>
    <w:rsid w:val="00436C42"/>
    <w:rsid w:val="00436CF5"/>
    <w:rsid w:val="00437A67"/>
    <w:rsid w:val="00437C1C"/>
    <w:rsid w:val="00437C5F"/>
    <w:rsid w:val="00437F97"/>
    <w:rsid w:val="00440023"/>
    <w:rsid w:val="00440183"/>
    <w:rsid w:val="00440392"/>
    <w:rsid w:val="0044047D"/>
    <w:rsid w:val="0044145A"/>
    <w:rsid w:val="004417DF"/>
    <w:rsid w:val="00441E94"/>
    <w:rsid w:val="00442327"/>
    <w:rsid w:val="004429DD"/>
    <w:rsid w:val="004431EB"/>
    <w:rsid w:val="004434A1"/>
    <w:rsid w:val="004434C6"/>
    <w:rsid w:val="00443F1B"/>
    <w:rsid w:val="0044420C"/>
    <w:rsid w:val="004447EE"/>
    <w:rsid w:val="0044495C"/>
    <w:rsid w:val="004449A4"/>
    <w:rsid w:val="00444E84"/>
    <w:rsid w:val="00444F40"/>
    <w:rsid w:val="00445365"/>
    <w:rsid w:val="004454CA"/>
    <w:rsid w:val="00445640"/>
    <w:rsid w:val="0044579B"/>
    <w:rsid w:val="00445829"/>
    <w:rsid w:val="00446372"/>
    <w:rsid w:val="00446422"/>
    <w:rsid w:val="00446609"/>
    <w:rsid w:val="00446635"/>
    <w:rsid w:val="0044694A"/>
    <w:rsid w:val="00446B1A"/>
    <w:rsid w:val="00446CE8"/>
    <w:rsid w:val="004474FA"/>
    <w:rsid w:val="0044751A"/>
    <w:rsid w:val="00447F7D"/>
    <w:rsid w:val="004500ED"/>
    <w:rsid w:val="00450305"/>
    <w:rsid w:val="004504E3"/>
    <w:rsid w:val="00450562"/>
    <w:rsid w:val="00450653"/>
    <w:rsid w:val="00451077"/>
    <w:rsid w:val="00451946"/>
    <w:rsid w:val="0045196B"/>
    <w:rsid w:val="00451A9D"/>
    <w:rsid w:val="00451CA6"/>
    <w:rsid w:val="004522E2"/>
    <w:rsid w:val="0045273C"/>
    <w:rsid w:val="00452A8D"/>
    <w:rsid w:val="00452B2E"/>
    <w:rsid w:val="00452F86"/>
    <w:rsid w:val="0045325D"/>
    <w:rsid w:val="00453522"/>
    <w:rsid w:val="00453DF2"/>
    <w:rsid w:val="004541FF"/>
    <w:rsid w:val="004546F2"/>
    <w:rsid w:val="0045477F"/>
    <w:rsid w:val="004547BA"/>
    <w:rsid w:val="00454BE1"/>
    <w:rsid w:val="004550EE"/>
    <w:rsid w:val="00455283"/>
    <w:rsid w:val="004553D3"/>
    <w:rsid w:val="0045573A"/>
    <w:rsid w:val="00455ADC"/>
    <w:rsid w:val="00455F3C"/>
    <w:rsid w:val="00456E94"/>
    <w:rsid w:val="00456EED"/>
    <w:rsid w:val="00456F7B"/>
    <w:rsid w:val="00456FAE"/>
    <w:rsid w:val="00457058"/>
    <w:rsid w:val="004577D5"/>
    <w:rsid w:val="00457911"/>
    <w:rsid w:val="00457C4A"/>
    <w:rsid w:val="00457D90"/>
    <w:rsid w:val="00457E8A"/>
    <w:rsid w:val="00460482"/>
    <w:rsid w:val="0046091C"/>
    <w:rsid w:val="00460A7A"/>
    <w:rsid w:val="00460C3E"/>
    <w:rsid w:val="004610B5"/>
    <w:rsid w:val="004613C8"/>
    <w:rsid w:val="0046169E"/>
    <w:rsid w:val="00461803"/>
    <w:rsid w:val="00461898"/>
    <w:rsid w:val="00461A11"/>
    <w:rsid w:val="00461AA8"/>
    <w:rsid w:val="0046224D"/>
    <w:rsid w:val="00462C42"/>
    <w:rsid w:val="00462D49"/>
    <w:rsid w:val="004632C7"/>
    <w:rsid w:val="004634EA"/>
    <w:rsid w:val="00463A40"/>
    <w:rsid w:val="00463CE4"/>
    <w:rsid w:val="00463D3D"/>
    <w:rsid w:val="00463E41"/>
    <w:rsid w:val="004644F4"/>
    <w:rsid w:val="00464545"/>
    <w:rsid w:val="0046457F"/>
    <w:rsid w:val="00464601"/>
    <w:rsid w:val="00464AD0"/>
    <w:rsid w:val="00464B75"/>
    <w:rsid w:val="00464BAE"/>
    <w:rsid w:val="00464CC4"/>
    <w:rsid w:val="004652F0"/>
    <w:rsid w:val="0046562D"/>
    <w:rsid w:val="00465843"/>
    <w:rsid w:val="00465D16"/>
    <w:rsid w:val="0046644A"/>
    <w:rsid w:val="0046661A"/>
    <w:rsid w:val="00466863"/>
    <w:rsid w:val="00466937"/>
    <w:rsid w:val="00466E30"/>
    <w:rsid w:val="0046725B"/>
    <w:rsid w:val="004678D0"/>
    <w:rsid w:val="00467C24"/>
    <w:rsid w:val="00467C68"/>
    <w:rsid w:val="00467EA3"/>
    <w:rsid w:val="00467F32"/>
    <w:rsid w:val="004702B5"/>
    <w:rsid w:val="00470501"/>
    <w:rsid w:val="004705FE"/>
    <w:rsid w:val="00470E04"/>
    <w:rsid w:val="00471679"/>
    <w:rsid w:val="00471796"/>
    <w:rsid w:val="00471890"/>
    <w:rsid w:val="00471937"/>
    <w:rsid w:val="00471D09"/>
    <w:rsid w:val="00471DCD"/>
    <w:rsid w:val="004722B8"/>
    <w:rsid w:val="00472672"/>
    <w:rsid w:val="00472774"/>
    <w:rsid w:val="00472872"/>
    <w:rsid w:val="004728BF"/>
    <w:rsid w:val="0047292A"/>
    <w:rsid w:val="0047324F"/>
    <w:rsid w:val="00473392"/>
    <w:rsid w:val="0047360D"/>
    <w:rsid w:val="00473F16"/>
    <w:rsid w:val="004740AA"/>
    <w:rsid w:val="004743D3"/>
    <w:rsid w:val="0047454E"/>
    <w:rsid w:val="004745FC"/>
    <w:rsid w:val="00474831"/>
    <w:rsid w:val="00474AE7"/>
    <w:rsid w:val="00475003"/>
    <w:rsid w:val="00475C8F"/>
    <w:rsid w:val="00475D34"/>
    <w:rsid w:val="00476E01"/>
    <w:rsid w:val="0047729F"/>
    <w:rsid w:val="00477453"/>
    <w:rsid w:val="00477499"/>
    <w:rsid w:val="004774F0"/>
    <w:rsid w:val="004776EC"/>
    <w:rsid w:val="00477710"/>
    <w:rsid w:val="00477CF5"/>
    <w:rsid w:val="00477FA3"/>
    <w:rsid w:val="00480176"/>
    <w:rsid w:val="00480564"/>
    <w:rsid w:val="0048091E"/>
    <w:rsid w:val="0048119C"/>
    <w:rsid w:val="004819CB"/>
    <w:rsid w:val="00481A6E"/>
    <w:rsid w:val="00481BDD"/>
    <w:rsid w:val="00481D40"/>
    <w:rsid w:val="00481F0E"/>
    <w:rsid w:val="00481FDD"/>
    <w:rsid w:val="00482337"/>
    <w:rsid w:val="00482425"/>
    <w:rsid w:val="00482C03"/>
    <w:rsid w:val="00483041"/>
    <w:rsid w:val="00483B2D"/>
    <w:rsid w:val="00483C19"/>
    <w:rsid w:val="004845D6"/>
    <w:rsid w:val="0048475D"/>
    <w:rsid w:val="0048477D"/>
    <w:rsid w:val="00484793"/>
    <w:rsid w:val="00484932"/>
    <w:rsid w:val="00484A91"/>
    <w:rsid w:val="004856A1"/>
    <w:rsid w:val="0048571C"/>
    <w:rsid w:val="00485E88"/>
    <w:rsid w:val="0048698D"/>
    <w:rsid w:val="00486BE1"/>
    <w:rsid w:val="00486D3E"/>
    <w:rsid w:val="00486ED9"/>
    <w:rsid w:val="0048795B"/>
    <w:rsid w:val="00487978"/>
    <w:rsid w:val="00490217"/>
    <w:rsid w:val="004902B9"/>
    <w:rsid w:val="0049055D"/>
    <w:rsid w:val="00490999"/>
    <w:rsid w:val="00490E3A"/>
    <w:rsid w:val="00490ED4"/>
    <w:rsid w:val="004913B2"/>
    <w:rsid w:val="00491A76"/>
    <w:rsid w:val="00491A98"/>
    <w:rsid w:val="00491B62"/>
    <w:rsid w:val="004922ED"/>
    <w:rsid w:val="00492344"/>
    <w:rsid w:val="00492E91"/>
    <w:rsid w:val="00492F3D"/>
    <w:rsid w:val="004930D1"/>
    <w:rsid w:val="004931F7"/>
    <w:rsid w:val="004942E8"/>
    <w:rsid w:val="00495541"/>
    <w:rsid w:val="00495697"/>
    <w:rsid w:val="004959A0"/>
    <w:rsid w:val="00495A9E"/>
    <w:rsid w:val="00495D31"/>
    <w:rsid w:val="00495DF3"/>
    <w:rsid w:val="004960DE"/>
    <w:rsid w:val="004962CD"/>
    <w:rsid w:val="00496668"/>
    <w:rsid w:val="004966DA"/>
    <w:rsid w:val="00496AB2"/>
    <w:rsid w:val="00496D79"/>
    <w:rsid w:val="0049710E"/>
    <w:rsid w:val="004971D8"/>
    <w:rsid w:val="004975CA"/>
    <w:rsid w:val="00497651"/>
    <w:rsid w:val="004A00E4"/>
    <w:rsid w:val="004A0891"/>
    <w:rsid w:val="004A0AFF"/>
    <w:rsid w:val="004A1180"/>
    <w:rsid w:val="004A13D7"/>
    <w:rsid w:val="004A14CF"/>
    <w:rsid w:val="004A14DB"/>
    <w:rsid w:val="004A1985"/>
    <w:rsid w:val="004A1A28"/>
    <w:rsid w:val="004A2093"/>
    <w:rsid w:val="004A213F"/>
    <w:rsid w:val="004A25B1"/>
    <w:rsid w:val="004A2CCE"/>
    <w:rsid w:val="004A2D07"/>
    <w:rsid w:val="004A316B"/>
    <w:rsid w:val="004A3B7B"/>
    <w:rsid w:val="004A4159"/>
    <w:rsid w:val="004A4198"/>
    <w:rsid w:val="004A4B61"/>
    <w:rsid w:val="004A5BF7"/>
    <w:rsid w:val="004A6548"/>
    <w:rsid w:val="004A6FD9"/>
    <w:rsid w:val="004A6FDC"/>
    <w:rsid w:val="004A7498"/>
    <w:rsid w:val="004A76EC"/>
    <w:rsid w:val="004B01D7"/>
    <w:rsid w:val="004B0241"/>
    <w:rsid w:val="004B057A"/>
    <w:rsid w:val="004B0642"/>
    <w:rsid w:val="004B0653"/>
    <w:rsid w:val="004B0909"/>
    <w:rsid w:val="004B090C"/>
    <w:rsid w:val="004B0D8B"/>
    <w:rsid w:val="004B152F"/>
    <w:rsid w:val="004B15DF"/>
    <w:rsid w:val="004B179F"/>
    <w:rsid w:val="004B190E"/>
    <w:rsid w:val="004B1A6D"/>
    <w:rsid w:val="004B1D4D"/>
    <w:rsid w:val="004B2349"/>
    <w:rsid w:val="004B2728"/>
    <w:rsid w:val="004B2AD8"/>
    <w:rsid w:val="004B2E82"/>
    <w:rsid w:val="004B344C"/>
    <w:rsid w:val="004B3689"/>
    <w:rsid w:val="004B378C"/>
    <w:rsid w:val="004B38FF"/>
    <w:rsid w:val="004B3B09"/>
    <w:rsid w:val="004B3D7C"/>
    <w:rsid w:val="004B41FD"/>
    <w:rsid w:val="004B46CB"/>
    <w:rsid w:val="004B4823"/>
    <w:rsid w:val="004B4CE0"/>
    <w:rsid w:val="004B4D48"/>
    <w:rsid w:val="004B4E95"/>
    <w:rsid w:val="004B5090"/>
    <w:rsid w:val="004B5195"/>
    <w:rsid w:val="004B5382"/>
    <w:rsid w:val="004B55F7"/>
    <w:rsid w:val="004B5A53"/>
    <w:rsid w:val="004B60DE"/>
    <w:rsid w:val="004B653E"/>
    <w:rsid w:val="004B6659"/>
    <w:rsid w:val="004B6BB4"/>
    <w:rsid w:val="004B6D56"/>
    <w:rsid w:val="004B6D8D"/>
    <w:rsid w:val="004B6E37"/>
    <w:rsid w:val="004B7032"/>
    <w:rsid w:val="004B71E0"/>
    <w:rsid w:val="004B726E"/>
    <w:rsid w:val="004B732A"/>
    <w:rsid w:val="004B76F2"/>
    <w:rsid w:val="004B7B89"/>
    <w:rsid w:val="004B7C96"/>
    <w:rsid w:val="004B7EED"/>
    <w:rsid w:val="004C0089"/>
    <w:rsid w:val="004C030A"/>
    <w:rsid w:val="004C05A5"/>
    <w:rsid w:val="004C06B8"/>
    <w:rsid w:val="004C0855"/>
    <w:rsid w:val="004C0C48"/>
    <w:rsid w:val="004C0FE1"/>
    <w:rsid w:val="004C152D"/>
    <w:rsid w:val="004C168F"/>
    <w:rsid w:val="004C1A81"/>
    <w:rsid w:val="004C2559"/>
    <w:rsid w:val="004C2690"/>
    <w:rsid w:val="004C26BC"/>
    <w:rsid w:val="004C27CB"/>
    <w:rsid w:val="004C2CCA"/>
    <w:rsid w:val="004C333E"/>
    <w:rsid w:val="004C34E6"/>
    <w:rsid w:val="004C35FD"/>
    <w:rsid w:val="004C36F2"/>
    <w:rsid w:val="004C3D40"/>
    <w:rsid w:val="004C3DEA"/>
    <w:rsid w:val="004C4229"/>
    <w:rsid w:val="004C4E8A"/>
    <w:rsid w:val="004C50C4"/>
    <w:rsid w:val="004C5C4C"/>
    <w:rsid w:val="004C616D"/>
    <w:rsid w:val="004C618A"/>
    <w:rsid w:val="004C63E0"/>
    <w:rsid w:val="004C75D2"/>
    <w:rsid w:val="004C765A"/>
    <w:rsid w:val="004C76C3"/>
    <w:rsid w:val="004C783E"/>
    <w:rsid w:val="004C797D"/>
    <w:rsid w:val="004D024F"/>
    <w:rsid w:val="004D08C9"/>
    <w:rsid w:val="004D0BF2"/>
    <w:rsid w:val="004D1902"/>
    <w:rsid w:val="004D1A62"/>
    <w:rsid w:val="004D1B70"/>
    <w:rsid w:val="004D1EAA"/>
    <w:rsid w:val="004D203E"/>
    <w:rsid w:val="004D2DCF"/>
    <w:rsid w:val="004D347A"/>
    <w:rsid w:val="004D34CC"/>
    <w:rsid w:val="004D376C"/>
    <w:rsid w:val="004D380C"/>
    <w:rsid w:val="004D3E37"/>
    <w:rsid w:val="004D44A9"/>
    <w:rsid w:val="004D522A"/>
    <w:rsid w:val="004D5374"/>
    <w:rsid w:val="004D5534"/>
    <w:rsid w:val="004D5570"/>
    <w:rsid w:val="004D567A"/>
    <w:rsid w:val="004D57D1"/>
    <w:rsid w:val="004D5A16"/>
    <w:rsid w:val="004D5A93"/>
    <w:rsid w:val="004D5D02"/>
    <w:rsid w:val="004D5DC0"/>
    <w:rsid w:val="004D62F3"/>
    <w:rsid w:val="004D674D"/>
    <w:rsid w:val="004D6DB1"/>
    <w:rsid w:val="004D6E00"/>
    <w:rsid w:val="004D74CC"/>
    <w:rsid w:val="004D7888"/>
    <w:rsid w:val="004D794C"/>
    <w:rsid w:val="004E0167"/>
    <w:rsid w:val="004E03D4"/>
    <w:rsid w:val="004E066A"/>
    <w:rsid w:val="004E0928"/>
    <w:rsid w:val="004E0C57"/>
    <w:rsid w:val="004E0DBA"/>
    <w:rsid w:val="004E0F7F"/>
    <w:rsid w:val="004E1842"/>
    <w:rsid w:val="004E1A83"/>
    <w:rsid w:val="004E1C67"/>
    <w:rsid w:val="004E1F81"/>
    <w:rsid w:val="004E207C"/>
    <w:rsid w:val="004E22B1"/>
    <w:rsid w:val="004E2C79"/>
    <w:rsid w:val="004E2CDF"/>
    <w:rsid w:val="004E2F60"/>
    <w:rsid w:val="004E32C0"/>
    <w:rsid w:val="004E3752"/>
    <w:rsid w:val="004E3FD3"/>
    <w:rsid w:val="004E44DB"/>
    <w:rsid w:val="004E4B37"/>
    <w:rsid w:val="004E4BD6"/>
    <w:rsid w:val="004E4C3C"/>
    <w:rsid w:val="004E4DC2"/>
    <w:rsid w:val="004E4E37"/>
    <w:rsid w:val="004E533B"/>
    <w:rsid w:val="004E5BD8"/>
    <w:rsid w:val="004E603E"/>
    <w:rsid w:val="004E69E4"/>
    <w:rsid w:val="004E6E22"/>
    <w:rsid w:val="004E712E"/>
    <w:rsid w:val="004E7A9C"/>
    <w:rsid w:val="004E7D89"/>
    <w:rsid w:val="004E7F3A"/>
    <w:rsid w:val="004E7FF0"/>
    <w:rsid w:val="004F004E"/>
    <w:rsid w:val="004F013C"/>
    <w:rsid w:val="004F0421"/>
    <w:rsid w:val="004F08A6"/>
    <w:rsid w:val="004F097B"/>
    <w:rsid w:val="004F0A00"/>
    <w:rsid w:val="004F0ACE"/>
    <w:rsid w:val="004F1101"/>
    <w:rsid w:val="004F18F7"/>
    <w:rsid w:val="004F1CCE"/>
    <w:rsid w:val="004F2260"/>
    <w:rsid w:val="004F2748"/>
    <w:rsid w:val="004F2755"/>
    <w:rsid w:val="004F2A0A"/>
    <w:rsid w:val="004F3178"/>
    <w:rsid w:val="004F33FF"/>
    <w:rsid w:val="004F3460"/>
    <w:rsid w:val="004F35E0"/>
    <w:rsid w:val="004F3A55"/>
    <w:rsid w:val="004F3C8A"/>
    <w:rsid w:val="004F3EFB"/>
    <w:rsid w:val="004F478A"/>
    <w:rsid w:val="004F47ED"/>
    <w:rsid w:val="004F4EE3"/>
    <w:rsid w:val="004F4F3D"/>
    <w:rsid w:val="004F4F51"/>
    <w:rsid w:val="004F4FAD"/>
    <w:rsid w:val="004F5313"/>
    <w:rsid w:val="004F5E08"/>
    <w:rsid w:val="004F618D"/>
    <w:rsid w:val="004F6292"/>
    <w:rsid w:val="004F7111"/>
    <w:rsid w:val="004F7A5C"/>
    <w:rsid w:val="00500360"/>
    <w:rsid w:val="00500489"/>
    <w:rsid w:val="005007A7"/>
    <w:rsid w:val="00501274"/>
    <w:rsid w:val="00501335"/>
    <w:rsid w:val="0050187F"/>
    <w:rsid w:val="005019CC"/>
    <w:rsid w:val="005026ED"/>
    <w:rsid w:val="00502946"/>
    <w:rsid w:val="00502A9E"/>
    <w:rsid w:val="00502F38"/>
    <w:rsid w:val="005030A0"/>
    <w:rsid w:val="00503500"/>
    <w:rsid w:val="005035EF"/>
    <w:rsid w:val="00503BD1"/>
    <w:rsid w:val="0050401B"/>
    <w:rsid w:val="005043BB"/>
    <w:rsid w:val="00504808"/>
    <w:rsid w:val="00505139"/>
    <w:rsid w:val="005055E3"/>
    <w:rsid w:val="005055E7"/>
    <w:rsid w:val="00505DCB"/>
    <w:rsid w:val="00505E07"/>
    <w:rsid w:val="00506FC6"/>
    <w:rsid w:val="005075DC"/>
    <w:rsid w:val="005077E5"/>
    <w:rsid w:val="00507948"/>
    <w:rsid w:val="00507C91"/>
    <w:rsid w:val="00510570"/>
    <w:rsid w:val="00510680"/>
    <w:rsid w:val="00510A45"/>
    <w:rsid w:val="00510C2B"/>
    <w:rsid w:val="005110D8"/>
    <w:rsid w:val="005112AF"/>
    <w:rsid w:val="005116C0"/>
    <w:rsid w:val="00511A53"/>
    <w:rsid w:val="005130F2"/>
    <w:rsid w:val="005135B9"/>
    <w:rsid w:val="005149A2"/>
    <w:rsid w:val="00514A07"/>
    <w:rsid w:val="00514DAC"/>
    <w:rsid w:val="00514FB1"/>
    <w:rsid w:val="00515158"/>
    <w:rsid w:val="00515669"/>
    <w:rsid w:val="005156D4"/>
    <w:rsid w:val="00515D9D"/>
    <w:rsid w:val="00515F17"/>
    <w:rsid w:val="00517076"/>
    <w:rsid w:val="00517A92"/>
    <w:rsid w:val="00517C1B"/>
    <w:rsid w:val="00517D0F"/>
    <w:rsid w:val="00517DFA"/>
    <w:rsid w:val="00517E53"/>
    <w:rsid w:val="00520143"/>
    <w:rsid w:val="00520317"/>
    <w:rsid w:val="005205B9"/>
    <w:rsid w:val="00520728"/>
    <w:rsid w:val="00520949"/>
    <w:rsid w:val="00520A6A"/>
    <w:rsid w:val="00520C2F"/>
    <w:rsid w:val="00520CB2"/>
    <w:rsid w:val="00520F56"/>
    <w:rsid w:val="005211ED"/>
    <w:rsid w:val="0052153E"/>
    <w:rsid w:val="005219D7"/>
    <w:rsid w:val="00521A91"/>
    <w:rsid w:val="00521DC1"/>
    <w:rsid w:val="0052230E"/>
    <w:rsid w:val="005225B5"/>
    <w:rsid w:val="00522639"/>
    <w:rsid w:val="00522678"/>
    <w:rsid w:val="00522A82"/>
    <w:rsid w:val="00522C27"/>
    <w:rsid w:val="00522FD1"/>
    <w:rsid w:val="00523071"/>
    <w:rsid w:val="005232BB"/>
    <w:rsid w:val="005239B9"/>
    <w:rsid w:val="00523F6D"/>
    <w:rsid w:val="00523F73"/>
    <w:rsid w:val="0052517D"/>
    <w:rsid w:val="0052554F"/>
    <w:rsid w:val="005259AC"/>
    <w:rsid w:val="00525DDC"/>
    <w:rsid w:val="00526731"/>
    <w:rsid w:val="00526785"/>
    <w:rsid w:val="00526A9E"/>
    <w:rsid w:val="00526AFC"/>
    <w:rsid w:val="00526D51"/>
    <w:rsid w:val="00527130"/>
    <w:rsid w:val="005271F2"/>
    <w:rsid w:val="00527262"/>
    <w:rsid w:val="00527496"/>
    <w:rsid w:val="005274C0"/>
    <w:rsid w:val="00527A3B"/>
    <w:rsid w:val="00527AD6"/>
    <w:rsid w:val="00527D90"/>
    <w:rsid w:val="005303D4"/>
    <w:rsid w:val="00530518"/>
    <w:rsid w:val="00530DAF"/>
    <w:rsid w:val="00530DE7"/>
    <w:rsid w:val="00530E75"/>
    <w:rsid w:val="005310E3"/>
    <w:rsid w:val="00531261"/>
    <w:rsid w:val="0053149D"/>
    <w:rsid w:val="005316C6"/>
    <w:rsid w:val="00531752"/>
    <w:rsid w:val="00531B11"/>
    <w:rsid w:val="0053229B"/>
    <w:rsid w:val="0053267E"/>
    <w:rsid w:val="00532773"/>
    <w:rsid w:val="00532A34"/>
    <w:rsid w:val="00532AF1"/>
    <w:rsid w:val="005332DB"/>
    <w:rsid w:val="00533A51"/>
    <w:rsid w:val="00533E56"/>
    <w:rsid w:val="00534593"/>
    <w:rsid w:val="00534B1D"/>
    <w:rsid w:val="00534C7F"/>
    <w:rsid w:val="00535285"/>
    <w:rsid w:val="00535758"/>
    <w:rsid w:val="005359F7"/>
    <w:rsid w:val="00535B52"/>
    <w:rsid w:val="00535BBC"/>
    <w:rsid w:val="00536083"/>
    <w:rsid w:val="005361DB"/>
    <w:rsid w:val="00536258"/>
    <w:rsid w:val="00536380"/>
    <w:rsid w:val="0053642F"/>
    <w:rsid w:val="0053651E"/>
    <w:rsid w:val="00536741"/>
    <w:rsid w:val="005368A8"/>
    <w:rsid w:val="00536E02"/>
    <w:rsid w:val="00536E94"/>
    <w:rsid w:val="00536FF8"/>
    <w:rsid w:val="005376AB"/>
    <w:rsid w:val="005378CD"/>
    <w:rsid w:val="005379DF"/>
    <w:rsid w:val="00537C1F"/>
    <w:rsid w:val="00537EB9"/>
    <w:rsid w:val="0054098A"/>
    <w:rsid w:val="0054118F"/>
    <w:rsid w:val="005413BD"/>
    <w:rsid w:val="00541653"/>
    <w:rsid w:val="00541A8E"/>
    <w:rsid w:val="00541AE9"/>
    <w:rsid w:val="00541F2A"/>
    <w:rsid w:val="00541FE6"/>
    <w:rsid w:val="0054250C"/>
    <w:rsid w:val="005425A0"/>
    <w:rsid w:val="00542B87"/>
    <w:rsid w:val="005431FE"/>
    <w:rsid w:val="005435A1"/>
    <w:rsid w:val="00543C4E"/>
    <w:rsid w:val="00543D3E"/>
    <w:rsid w:val="00543D9B"/>
    <w:rsid w:val="00544136"/>
    <w:rsid w:val="0054427A"/>
    <w:rsid w:val="00544FF5"/>
    <w:rsid w:val="00545270"/>
    <w:rsid w:val="00545676"/>
    <w:rsid w:val="00545D38"/>
    <w:rsid w:val="00545E47"/>
    <w:rsid w:val="00546018"/>
    <w:rsid w:val="00546157"/>
    <w:rsid w:val="00546940"/>
    <w:rsid w:val="00546D5F"/>
    <w:rsid w:val="005473B2"/>
    <w:rsid w:val="00547849"/>
    <w:rsid w:val="00550685"/>
    <w:rsid w:val="0055070A"/>
    <w:rsid w:val="005509D0"/>
    <w:rsid w:val="00550FB3"/>
    <w:rsid w:val="00551BF5"/>
    <w:rsid w:val="00551DEE"/>
    <w:rsid w:val="00551E79"/>
    <w:rsid w:val="00552366"/>
    <w:rsid w:val="00552C1A"/>
    <w:rsid w:val="00552D73"/>
    <w:rsid w:val="00553E7A"/>
    <w:rsid w:val="005543D0"/>
    <w:rsid w:val="00554949"/>
    <w:rsid w:val="00554C16"/>
    <w:rsid w:val="00554C31"/>
    <w:rsid w:val="00554FAC"/>
    <w:rsid w:val="005550A0"/>
    <w:rsid w:val="0055559E"/>
    <w:rsid w:val="0055566E"/>
    <w:rsid w:val="005556C8"/>
    <w:rsid w:val="00555A60"/>
    <w:rsid w:val="00555AC3"/>
    <w:rsid w:val="00555DDB"/>
    <w:rsid w:val="0055641E"/>
    <w:rsid w:val="005564B4"/>
    <w:rsid w:val="005566D9"/>
    <w:rsid w:val="0055695E"/>
    <w:rsid w:val="00556AA5"/>
    <w:rsid w:val="0055733C"/>
    <w:rsid w:val="005577A0"/>
    <w:rsid w:val="00557A43"/>
    <w:rsid w:val="00557AA6"/>
    <w:rsid w:val="00557AAD"/>
    <w:rsid w:val="00557B8A"/>
    <w:rsid w:val="0056019B"/>
    <w:rsid w:val="005603D6"/>
    <w:rsid w:val="00560451"/>
    <w:rsid w:val="005604E8"/>
    <w:rsid w:val="00560628"/>
    <w:rsid w:val="0056063F"/>
    <w:rsid w:val="0056086E"/>
    <w:rsid w:val="0056123E"/>
    <w:rsid w:val="0056132A"/>
    <w:rsid w:val="005613B1"/>
    <w:rsid w:val="00561700"/>
    <w:rsid w:val="00562103"/>
    <w:rsid w:val="005622E8"/>
    <w:rsid w:val="0056233C"/>
    <w:rsid w:val="005624A7"/>
    <w:rsid w:val="005624B6"/>
    <w:rsid w:val="005624BB"/>
    <w:rsid w:val="00562866"/>
    <w:rsid w:val="00562943"/>
    <w:rsid w:val="005629DF"/>
    <w:rsid w:val="00562A4D"/>
    <w:rsid w:val="00562C43"/>
    <w:rsid w:val="00562C91"/>
    <w:rsid w:val="00562D79"/>
    <w:rsid w:val="00562DA3"/>
    <w:rsid w:val="00563E78"/>
    <w:rsid w:val="0056422C"/>
    <w:rsid w:val="0056442E"/>
    <w:rsid w:val="00564482"/>
    <w:rsid w:val="005644E7"/>
    <w:rsid w:val="00564926"/>
    <w:rsid w:val="00564A31"/>
    <w:rsid w:val="005654C9"/>
    <w:rsid w:val="00565717"/>
    <w:rsid w:val="00565982"/>
    <w:rsid w:val="00566556"/>
    <w:rsid w:val="00566D3F"/>
    <w:rsid w:val="0056732D"/>
    <w:rsid w:val="00567763"/>
    <w:rsid w:val="00567C3C"/>
    <w:rsid w:val="0057023E"/>
    <w:rsid w:val="005702E8"/>
    <w:rsid w:val="0057072F"/>
    <w:rsid w:val="0057087A"/>
    <w:rsid w:val="00570965"/>
    <w:rsid w:val="00570A93"/>
    <w:rsid w:val="00570C50"/>
    <w:rsid w:val="00571542"/>
    <w:rsid w:val="005717B9"/>
    <w:rsid w:val="00571A8A"/>
    <w:rsid w:val="005721D7"/>
    <w:rsid w:val="00572579"/>
    <w:rsid w:val="0057353E"/>
    <w:rsid w:val="00573B69"/>
    <w:rsid w:val="00573B78"/>
    <w:rsid w:val="00573C38"/>
    <w:rsid w:val="00573D80"/>
    <w:rsid w:val="00573FA2"/>
    <w:rsid w:val="005742AB"/>
    <w:rsid w:val="00574809"/>
    <w:rsid w:val="005749D4"/>
    <w:rsid w:val="00574B53"/>
    <w:rsid w:val="00575267"/>
    <w:rsid w:val="00575516"/>
    <w:rsid w:val="00575AA4"/>
    <w:rsid w:val="00575F74"/>
    <w:rsid w:val="00576052"/>
    <w:rsid w:val="0057621E"/>
    <w:rsid w:val="0057643C"/>
    <w:rsid w:val="005765E3"/>
    <w:rsid w:val="00577328"/>
    <w:rsid w:val="005774D4"/>
    <w:rsid w:val="005775EC"/>
    <w:rsid w:val="0057785F"/>
    <w:rsid w:val="00577BF4"/>
    <w:rsid w:val="00577F99"/>
    <w:rsid w:val="00580033"/>
    <w:rsid w:val="00580673"/>
    <w:rsid w:val="00580723"/>
    <w:rsid w:val="00580A5C"/>
    <w:rsid w:val="00580B60"/>
    <w:rsid w:val="00581214"/>
    <w:rsid w:val="00581741"/>
    <w:rsid w:val="005818D3"/>
    <w:rsid w:val="005819E7"/>
    <w:rsid w:val="00581D56"/>
    <w:rsid w:val="00582317"/>
    <w:rsid w:val="005824C0"/>
    <w:rsid w:val="0058256E"/>
    <w:rsid w:val="005825CD"/>
    <w:rsid w:val="00582AF4"/>
    <w:rsid w:val="00582C01"/>
    <w:rsid w:val="00582E0F"/>
    <w:rsid w:val="005831AF"/>
    <w:rsid w:val="005834DA"/>
    <w:rsid w:val="00583585"/>
    <w:rsid w:val="0058365C"/>
    <w:rsid w:val="005845E0"/>
    <w:rsid w:val="00584CA0"/>
    <w:rsid w:val="00584CD7"/>
    <w:rsid w:val="005851DD"/>
    <w:rsid w:val="00585269"/>
    <w:rsid w:val="005854B5"/>
    <w:rsid w:val="00585A66"/>
    <w:rsid w:val="00585E0F"/>
    <w:rsid w:val="00585F90"/>
    <w:rsid w:val="0058621A"/>
    <w:rsid w:val="00586224"/>
    <w:rsid w:val="00586B9E"/>
    <w:rsid w:val="00586BE8"/>
    <w:rsid w:val="00586CE1"/>
    <w:rsid w:val="00587029"/>
    <w:rsid w:val="00587221"/>
    <w:rsid w:val="0058729A"/>
    <w:rsid w:val="00587F40"/>
    <w:rsid w:val="005901AC"/>
    <w:rsid w:val="00590226"/>
    <w:rsid w:val="00590DB8"/>
    <w:rsid w:val="005916BE"/>
    <w:rsid w:val="0059170B"/>
    <w:rsid w:val="005919F4"/>
    <w:rsid w:val="005921C2"/>
    <w:rsid w:val="00592206"/>
    <w:rsid w:val="0059263F"/>
    <w:rsid w:val="00592740"/>
    <w:rsid w:val="00592B44"/>
    <w:rsid w:val="00592EFB"/>
    <w:rsid w:val="00592FA6"/>
    <w:rsid w:val="0059337B"/>
    <w:rsid w:val="00593C2B"/>
    <w:rsid w:val="00593D47"/>
    <w:rsid w:val="00593FB7"/>
    <w:rsid w:val="0059446D"/>
    <w:rsid w:val="00594592"/>
    <w:rsid w:val="00594D9F"/>
    <w:rsid w:val="00595267"/>
    <w:rsid w:val="00595435"/>
    <w:rsid w:val="00595C97"/>
    <w:rsid w:val="00595E62"/>
    <w:rsid w:val="005967E3"/>
    <w:rsid w:val="00596872"/>
    <w:rsid w:val="005968B8"/>
    <w:rsid w:val="00596B4E"/>
    <w:rsid w:val="00596E16"/>
    <w:rsid w:val="0059712B"/>
    <w:rsid w:val="005972BA"/>
    <w:rsid w:val="005979B7"/>
    <w:rsid w:val="00597BBB"/>
    <w:rsid w:val="00597E19"/>
    <w:rsid w:val="00597F2C"/>
    <w:rsid w:val="005A0149"/>
    <w:rsid w:val="005A0184"/>
    <w:rsid w:val="005A0398"/>
    <w:rsid w:val="005A08EB"/>
    <w:rsid w:val="005A0E96"/>
    <w:rsid w:val="005A0FB7"/>
    <w:rsid w:val="005A1144"/>
    <w:rsid w:val="005A13F3"/>
    <w:rsid w:val="005A14DE"/>
    <w:rsid w:val="005A181C"/>
    <w:rsid w:val="005A1BDF"/>
    <w:rsid w:val="005A211A"/>
    <w:rsid w:val="005A252A"/>
    <w:rsid w:val="005A2646"/>
    <w:rsid w:val="005A35B3"/>
    <w:rsid w:val="005A3E19"/>
    <w:rsid w:val="005A46C0"/>
    <w:rsid w:val="005A4720"/>
    <w:rsid w:val="005A4788"/>
    <w:rsid w:val="005A494A"/>
    <w:rsid w:val="005A4AC0"/>
    <w:rsid w:val="005A4FD5"/>
    <w:rsid w:val="005A5161"/>
    <w:rsid w:val="005A56A7"/>
    <w:rsid w:val="005A6BAF"/>
    <w:rsid w:val="005A71F0"/>
    <w:rsid w:val="005A7577"/>
    <w:rsid w:val="005A766B"/>
    <w:rsid w:val="005A77E6"/>
    <w:rsid w:val="005A7F71"/>
    <w:rsid w:val="005B03F2"/>
    <w:rsid w:val="005B0536"/>
    <w:rsid w:val="005B0791"/>
    <w:rsid w:val="005B0C89"/>
    <w:rsid w:val="005B0D79"/>
    <w:rsid w:val="005B13F7"/>
    <w:rsid w:val="005B15AA"/>
    <w:rsid w:val="005B15D5"/>
    <w:rsid w:val="005B1818"/>
    <w:rsid w:val="005B2362"/>
    <w:rsid w:val="005B2839"/>
    <w:rsid w:val="005B29DC"/>
    <w:rsid w:val="005B2A1D"/>
    <w:rsid w:val="005B2A5D"/>
    <w:rsid w:val="005B2A66"/>
    <w:rsid w:val="005B32D0"/>
    <w:rsid w:val="005B3A1D"/>
    <w:rsid w:val="005B3ACB"/>
    <w:rsid w:val="005B3BAF"/>
    <w:rsid w:val="005B3C5C"/>
    <w:rsid w:val="005B3F30"/>
    <w:rsid w:val="005B4677"/>
    <w:rsid w:val="005B4A6C"/>
    <w:rsid w:val="005B5034"/>
    <w:rsid w:val="005B5091"/>
    <w:rsid w:val="005B582A"/>
    <w:rsid w:val="005B592C"/>
    <w:rsid w:val="005B5CBB"/>
    <w:rsid w:val="005B649C"/>
    <w:rsid w:val="005B6C08"/>
    <w:rsid w:val="005B7108"/>
    <w:rsid w:val="005B7546"/>
    <w:rsid w:val="005B76C0"/>
    <w:rsid w:val="005B7DEB"/>
    <w:rsid w:val="005B7DFD"/>
    <w:rsid w:val="005B7E11"/>
    <w:rsid w:val="005C0909"/>
    <w:rsid w:val="005C0EBB"/>
    <w:rsid w:val="005C10EA"/>
    <w:rsid w:val="005C16FF"/>
    <w:rsid w:val="005C1790"/>
    <w:rsid w:val="005C183B"/>
    <w:rsid w:val="005C1A1B"/>
    <w:rsid w:val="005C1A44"/>
    <w:rsid w:val="005C1C7F"/>
    <w:rsid w:val="005C1D71"/>
    <w:rsid w:val="005C1E1F"/>
    <w:rsid w:val="005C2298"/>
    <w:rsid w:val="005C22E1"/>
    <w:rsid w:val="005C272E"/>
    <w:rsid w:val="005C28B4"/>
    <w:rsid w:val="005C2B6E"/>
    <w:rsid w:val="005C2D50"/>
    <w:rsid w:val="005C30D6"/>
    <w:rsid w:val="005C3715"/>
    <w:rsid w:val="005C39CE"/>
    <w:rsid w:val="005C3BE0"/>
    <w:rsid w:val="005C3C0B"/>
    <w:rsid w:val="005C3C3C"/>
    <w:rsid w:val="005C3E2A"/>
    <w:rsid w:val="005C46D0"/>
    <w:rsid w:val="005C562F"/>
    <w:rsid w:val="005C5AA3"/>
    <w:rsid w:val="005C5D15"/>
    <w:rsid w:val="005C5D5A"/>
    <w:rsid w:val="005C606C"/>
    <w:rsid w:val="005C6448"/>
    <w:rsid w:val="005C64EB"/>
    <w:rsid w:val="005C6734"/>
    <w:rsid w:val="005C70D3"/>
    <w:rsid w:val="005C72B9"/>
    <w:rsid w:val="005C72D0"/>
    <w:rsid w:val="005C7EF8"/>
    <w:rsid w:val="005D00C3"/>
    <w:rsid w:val="005D0616"/>
    <w:rsid w:val="005D1183"/>
    <w:rsid w:val="005D13E1"/>
    <w:rsid w:val="005D1519"/>
    <w:rsid w:val="005D1E2C"/>
    <w:rsid w:val="005D1F3A"/>
    <w:rsid w:val="005D2343"/>
    <w:rsid w:val="005D28A3"/>
    <w:rsid w:val="005D2CE7"/>
    <w:rsid w:val="005D2E28"/>
    <w:rsid w:val="005D3233"/>
    <w:rsid w:val="005D3CF2"/>
    <w:rsid w:val="005D4466"/>
    <w:rsid w:val="005D4647"/>
    <w:rsid w:val="005D4917"/>
    <w:rsid w:val="005D4B66"/>
    <w:rsid w:val="005D4E78"/>
    <w:rsid w:val="005D53D3"/>
    <w:rsid w:val="005D559A"/>
    <w:rsid w:val="005D55C2"/>
    <w:rsid w:val="005D57D5"/>
    <w:rsid w:val="005D5AF6"/>
    <w:rsid w:val="005D5D13"/>
    <w:rsid w:val="005D5DBC"/>
    <w:rsid w:val="005D6175"/>
    <w:rsid w:val="005D6461"/>
    <w:rsid w:val="005D6915"/>
    <w:rsid w:val="005D6DCC"/>
    <w:rsid w:val="005D74FF"/>
    <w:rsid w:val="005D7669"/>
    <w:rsid w:val="005D7B47"/>
    <w:rsid w:val="005D7DBD"/>
    <w:rsid w:val="005E063B"/>
    <w:rsid w:val="005E0C96"/>
    <w:rsid w:val="005E0F4A"/>
    <w:rsid w:val="005E138A"/>
    <w:rsid w:val="005E16BA"/>
    <w:rsid w:val="005E1D0D"/>
    <w:rsid w:val="005E22EE"/>
    <w:rsid w:val="005E257E"/>
    <w:rsid w:val="005E271F"/>
    <w:rsid w:val="005E2813"/>
    <w:rsid w:val="005E2824"/>
    <w:rsid w:val="005E2A2D"/>
    <w:rsid w:val="005E2FDF"/>
    <w:rsid w:val="005E3FB2"/>
    <w:rsid w:val="005E42E2"/>
    <w:rsid w:val="005E45E2"/>
    <w:rsid w:val="005E4848"/>
    <w:rsid w:val="005E4FC6"/>
    <w:rsid w:val="005E5337"/>
    <w:rsid w:val="005E58D1"/>
    <w:rsid w:val="005E5A40"/>
    <w:rsid w:val="005E5D0A"/>
    <w:rsid w:val="005E6109"/>
    <w:rsid w:val="005E6155"/>
    <w:rsid w:val="005E6529"/>
    <w:rsid w:val="005E6746"/>
    <w:rsid w:val="005E6946"/>
    <w:rsid w:val="005E6B5B"/>
    <w:rsid w:val="005E6F20"/>
    <w:rsid w:val="005E6FA9"/>
    <w:rsid w:val="005E7077"/>
    <w:rsid w:val="005E7200"/>
    <w:rsid w:val="005E7318"/>
    <w:rsid w:val="005E78E6"/>
    <w:rsid w:val="005F0032"/>
    <w:rsid w:val="005F030E"/>
    <w:rsid w:val="005F0328"/>
    <w:rsid w:val="005F04A0"/>
    <w:rsid w:val="005F117E"/>
    <w:rsid w:val="005F1474"/>
    <w:rsid w:val="005F1541"/>
    <w:rsid w:val="005F15A6"/>
    <w:rsid w:val="005F1B06"/>
    <w:rsid w:val="005F1D65"/>
    <w:rsid w:val="005F1F38"/>
    <w:rsid w:val="005F1F63"/>
    <w:rsid w:val="005F1FD7"/>
    <w:rsid w:val="005F2337"/>
    <w:rsid w:val="005F245D"/>
    <w:rsid w:val="005F26AD"/>
    <w:rsid w:val="005F2F8D"/>
    <w:rsid w:val="005F3425"/>
    <w:rsid w:val="005F36EF"/>
    <w:rsid w:val="005F39D9"/>
    <w:rsid w:val="005F3C58"/>
    <w:rsid w:val="005F3F1B"/>
    <w:rsid w:val="005F4275"/>
    <w:rsid w:val="005F4335"/>
    <w:rsid w:val="005F47EB"/>
    <w:rsid w:val="005F48F3"/>
    <w:rsid w:val="005F4B11"/>
    <w:rsid w:val="005F4BC9"/>
    <w:rsid w:val="005F4E12"/>
    <w:rsid w:val="005F4FBE"/>
    <w:rsid w:val="005F581A"/>
    <w:rsid w:val="005F582E"/>
    <w:rsid w:val="005F5F92"/>
    <w:rsid w:val="005F6581"/>
    <w:rsid w:val="005F6A9D"/>
    <w:rsid w:val="005F6FA1"/>
    <w:rsid w:val="005F7178"/>
    <w:rsid w:val="005F7A03"/>
    <w:rsid w:val="005F7BB4"/>
    <w:rsid w:val="005F7CC8"/>
    <w:rsid w:val="005F7E68"/>
    <w:rsid w:val="0060056E"/>
    <w:rsid w:val="00600846"/>
    <w:rsid w:val="00600CAA"/>
    <w:rsid w:val="00600CF1"/>
    <w:rsid w:val="00600FFB"/>
    <w:rsid w:val="00601172"/>
    <w:rsid w:val="0060170E"/>
    <w:rsid w:val="00601E6D"/>
    <w:rsid w:val="00601F66"/>
    <w:rsid w:val="00602387"/>
    <w:rsid w:val="006025FA"/>
    <w:rsid w:val="00602947"/>
    <w:rsid w:val="00602B87"/>
    <w:rsid w:val="00603E52"/>
    <w:rsid w:val="00603FFA"/>
    <w:rsid w:val="00604029"/>
    <w:rsid w:val="006040E3"/>
    <w:rsid w:val="0060461E"/>
    <w:rsid w:val="00604E5A"/>
    <w:rsid w:val="006052EB"/>
    <w:rsid w:val="006053E0"/>
    <w:rsid w:val="00605406"/>
    <w:rsid w:val="00605D70"/>
    <w:rsid w:val="00606474"/>
    <w:rsid w:val="006064AE"/>
    <w:rsid w:val="006066E0"/>
    <w:rsid w:val="00606A47"/>
    <w:rsid w:val="00606B32"/>
    <w:rsid w:val="00606CDE"/>
    <w:rsid w:val="00606F45"/>
    <w:rsid w:val="006071EB"/>
    <w:rsid w:val="00607227"/>
    <w:rsid w:val="006077DF"/>
    <w:rsid w:val="006079F5"/>
    <w:rsid w:val="00607C88"/>
    <w:rsid w:val="00607F69"/>
    <w:rsid w:val="006103EC"/>
    <w:rsid w:val="00610681"/>
    <w:rsid w:val="00610708"/>
    <w:rsid w:val="00611670"/>
    <w:rsid w:val="0061171C"/>
    <w:rsid w:val="00611B30"/>
    <w:rsid w:val="006120DA"/>
    <w:rsid w:val="006124C0"/>
    <w:rsid w:val="0061271E"/>
    <w:rsid w:val="00612880"/>
    <w:rsid w:val="00613043"/>
    <w:rsid w:val="006130D1"/>
    <w:rsid w:val="00613278"/>
    <w:rsid w:val="006133BC"/>
    <w:rsid w:val="0061342F"/>
    <w:rsid w:val="00613A1B"/>
    <w:rsid w:val="00613DEA"/>
    <w:rsid w:val="0061416F"/>
    <w:rsid w:val="00614469"/>
    <w:rsid w:val="0061455B"/>
    <w:rsid w:val="006146FD"/>
    <w:rsid w:val="006147C8"/>
    <w:rsid w:val="00614866"/>
    <w:rsid w:val="00614A8C"/>
    <w:rsid w:val="00614C2F"/>
    <w:rsid w:val="00614C67"/>
    <w:rsid w:val="00614F74"/>
    <w:rsid w:val="00615559"/>
    <w:rsid w:val="00615866"/>
    <w:rsid w:val="00615DAD"/>
    <w:rsid w:val="0061620A"/>
    <w:rsid w:val="0061640E"/>
    <w:rsid w:val="0061642E"/>
    <w:rsid w:val="0061684E"/>
    <w:rsid w:val="00616B53"/>
    <w:rsid w:val="00616EF4"/>
    <w:rsid w:val="006177DF"/>
    <w:rsid w:val="00617E39"/>
    <w:rsid w:val="0062042E"/>
    <w:rsid w:val="00620F5E"/>
    <w:rsid w:val="006211C9"/>
    <w:rsid w:val="00621C28"/>
    <w:rsid w:val="00621E33"/>
    <w:rsid w:val="00621E9E"/>
    <w:rsid w:val="00621EEC"/>
    <w:rsid w:val="00621F73"/>
    <w:rsid w:val="00621F85"/>
    <w:rsid w:val="00622285"/>
    <w:rsid w:val="00622635"/>
    <w:rsid w:val="0062286C"/>
    <w:rsid w:val="0062299A"/>
    <w:rsid w:val="006229DC"/>
    <w:rsid w:val="00622B59"/>
    <w:rsid w:val="00622BC9"/>
    <w:rsid w:val="00622D99"/>
    <w:rsid w:val="006230B9"/>
    <w:rsid w:val="006231F8"/>
    <w:rsid w:val="006232A1"/>
    <w:rsid w:val="00623360"/>
    <w:rsid w:val="0062369C"/>
    <w:rsid w:val="00623866"/>
    <w:rsid w:val="00623954"/>
    <w:rsid w:val="00623E5B"/>
    <w:rsid w:val="00623F6D"/>
    <w:rsid w:val="00624186"/>
    <w:rsid w:val="00624518"/>
    <w:rsid w:val="00625223"/>
    <w:rsid w:val="00625307"/>
    <w:rsid w:val="00625F75"/>
    <w:rsid w:val="00626394"/>
    <w:rsid w:val="006264CF"/>
    <w:rsid w:val="006265A8"/>
    <w:rsid w:val="006269FA"/>
    <w:rsid w:val="00626A95"/>
    <w:rsid w:val="00626E02"/>
    <w:rsid w:val="0062719C"/>
    <w:rsid w:val="00627360"/>
    <w:rsid w:val="00627BC5"/>
    <w:rsid w:val="00627BFD"/>
    <w:rsid w:val="00627CAC"/>
    <w:rsid w:val="006301CA"/>
    <w:rsid w:val="00630244"/>
    <w:rsid w:val="006302AB"/>
    <w:rsid w:val="006302B4"/>
    <w:rsid w:val="006308D0"/>
    <w:rsid w:val="006309DE"/>
    <w:rsid w:val="00630AE4"/>
    <w:rsid w:val="00630E5A"/>
    <w:rsid w:val="00631065"/>
    <w:rsid w:val="00631403"/>
    <w:rsid w:val="006314EB"/>
    <w:rsid w:val="00631E80"/>
    <w:rsid w:val="0063278D"/>
    <w:rsid w:val="00632831"/>
    <w:rsid w:val="00632C8A"/>
    <w:rsid w:val="00633729"/>
    <w:rsid w:val="00633736"/>
    <w:rsid w:val="00633A80"/>
    <w:rsid w:val="00634429"/>
    <w:rsid w:val="0063461B"/>
    <w:rsid w:val="00634BE2"/>
    <w:rsid w:val="006351DE"/>
    <w:rsid w:val="006353F0"/>
    <w:rsid w:val="00635633"/>
    <w:rsid w:val="00635C95"/>
    <w:rsid w:val="00636FCB"/>
    <w:rsid w:val="00637124"/>
    <w:rsid w:val="00637198"/>
    <w:rsid w:val="006374DA"/>
    <w:rsid w:val="006377F5"/>
    <w:rsid w:val="00637996"/>
    <w:rsid w:val="00637B02"/>
    <w:rsid w:val="00637BC7"/>
    <w:rsid w:val="00637C19"/>
    <w:rsid w:val="00637F8A"/>
    <w:rsid w:val="0064010C"/>
    <w:rsid w:val="0064060F"/>
    <w:rsid w:val="00640C4B"/>
    <w:rsid w:val="00640D73"/>
    <w:rsid w:val="00640EE5"/>
    <w:rsid w:val="00641379"/>
    <w:rsid w:val="0064164B"/>
    <w:rsid w:val="00641939"/>
    <w:rsid w:val="006419CB"/>
    <w:rsid w:val="00641F80"/>
    <w:rsid w:val="00641FF9"/>
    <w:rsid w:val="00642110"/>
    <w:rsid w:val="00642250"/>
    <w:rsid w:val="006423EB"/>
    <w:rsid w:val="006428D7"/>
    <w:rsid w:val="00642E7F"/>
    <w:rsid w:val="006437E0"/>
    <w:rsid w:val="00643912"/>
    <w:rsid w:val="0064391D"/>
    <w:rsid w:val="00643AED"/>
    <w:rsid w:val="00643D96"/>
    <w:rsid w:val="006442A3"/>
    <w:rsid w:val="0064434F"/>
    <w:rsid w:val="006447AB"/>
    <w:rsid w:val="00644A91"/>
    <w:rsid w:val="00644A94"/>
    <w:rsid w:val="00645F59"/>
    <w:rsid w:val="00646016"/>
    <w:rsid w:val="00646D00"/>
    <w:rsid w:val="00647049"/>
    <w:rsid w:val="006472E0"/>
    <w:rsid w:val="00647935"/>
    <w:rsid w:val="00647A63"/>
    <w:rsid w:val="00647DCE"/>
    <w:rsid w:val="0065017D"/>
    <w:rsid w:val="0065032E"/>
    <w:rsid w:val="0065064A"/>
    <w:rsid w:val="006506BB"/>
    <w:rsid w:val="00650A4E"/>
    <w:rsid w:val="00650E4B"/>
    <w:rsid w:val="00650FDF"/>
    <w:rsid w:val="0065105B"/>
    <w:rsid w:val="0065187E"/>
    <w:rsid w:val="00651CE7"/>
    <w:rsid w:val="0065271E"/>
    <w:rsid w:val="006527EF"/>
    <w:rsid w:val="00652970"/>
    <w:rsid w:val="00652BDF"/>
    <w:rsid w:val="0065304F"/>
    <w:rsid w:val="006536FC"/>
    <w:rsid w:val="006537E0"/>
    <w:rsid w:val="00653B3C"/>
    <w:rsid w:val="00653BD2"/>
    <w:rsid w:val="0065403D"/>
    <w:rsid w:val="00654EBA"/>
    <w:rsid w:val="00654F7C"/>
    <w:rsid w:val="0065530C"/>
    <w:rsid w:val="006557EE"/>
    <w:rsid w:val="00655A2D"/>
    <w:rsid w:val="00655CAF"/>
    <w:rsid w:val="00655EF5"/>
    <w:rsid w:val="00655F3F"/>
    <w:rsid w:val="006564F0"/>
    <w:rsid w:val="00657074"/>
    <w:rsid w:val="00657383"/>
    <w:rsid w:val="00657979"/>
    <w:rsid w:val="00657B5F"/>
    <w:rsid w:val="00657D05"/>
    <w:rsid w:val="00657F1D"/>
    <w:rsid w:val="0066004B"/>
    <w:rsid w:val="006604D6"/>
    <w:rsid w:val="00660A27"/>
    <w:rsid w:val="006613D1"/>
    <w:rsid w:val="006616CF"/>
    <w:rsid w:val="00661952"/>
    <w:rsid w:val="00661C93"/>
    <w:rsid w:val="00662359"/>
    <w:rsid w:val="0066273F"/>
    <w:rsid w:val="00662786"/>
    <w:rsid w:val="00662A55"/>
    <w:rsid w:val="0066304E"/>
    <w:rsid w:val="00663D9E"/>
    <w:rsid w:val="00663DDE"/>
    <w:rsid w:val="006646D6"/>
    <w:rsid w:val="00664AD1"/>
    <w:rsid w:val="00664B88"/>
    <w:rsid w:val="00664D8C"/>
    <w:rsid w:val="00665252"/>
    <w:rsid w:val="00665921"/>
    <w:rsid w:val="00665A14"/>
    <w:rsid w:val="00665A50"/>
    <w:rsid w:val="00665CB4"/>
    <w:rsid w:val="00665E89"/>
    <w:rsid w:val="00665E99"/>
    <w:rsid w:val="00665F9F"/>
    <w:rsid w:val="00666095"/>
    <w:rsid w:val="006664FC"/>
    <w:rsid w:val="006665C6"/>
    <w:rsid w:val="0066668C"/>
    <w:rsid w:val="00666963"/>
    <w:rsid w:val="00666A08"/>
    <w:rsid w:val="00666BB1"/>
    <w:rsid w:val="00666D3B"/>
    <w:rsid w:val="0066785C"/>
    <w:rsid w:val="00667896"/>
    <w:rsid w:val="006678C2"/>
    <w:rsid w:val="006705A9"/>
    <w:rsid w:val="00670657"/>
    <w:rsid w:val="0067074F"/>
    <w:rsid w:val="006716F4"/>
    <w:rsid w:val="00671C26"/>
    <w:rsid w:val="00671F65"/>
    <w:rsid w:val="00672372"/>
    <w:rsid w:val="00672BDA"/>
    <w:rsid w:val="00672C55"/>
    <w:rsid w:val="006738EE"/>
    <w:rsid w:val="00673A68"/>
    <w:rsid w:val="0067455E"/>
    <w:rsid w:val="006749D1"/>
    <w:rsid w:val="00674A09"/>
    <w:rsid w:val="00674F10"/>
    <w:rsid w:val="00675076"/>
    <w:rsid w:val="00675095"/>
    <w:rsid w:val="00675341"/>
    <w:rsid w:val="0067594B"/>
    <w:rsid w:val="00675999"/>
    <w:rsid w:val="00675A7E"/>
    <w:rsid w:val="006761C9"/>
    <w:rsid w:val="00676584"/>
    <w:rsid w:val="006765C0"/>
    <w:rsid w:val="00676B42"/>
    <w:rsid w:val="00676B54"/>
    <w:rsid w:val="00676C47"/>
    <w:rsid w:val="00676E72"/>
    <w:rsid w:val="00676F75"/>
    <w:rsid w:val="0067725B"/>
    <w:rsid w:val="00677478"/>
    <w:rsid w:val="0067752E"/>
    <w:rsid w:val="00677DBA"/>
    <w:rsid w:val="00677E76"/>
    <w:rsid w:val="00677FBC"/>
    <w:rsid w:val="006801F6"/>
    <w:rsid w:val="0068023E"/>
    <w:rsid w:val="006802FA"/>
    <w:rsid w:val="00680449"/>
    <w:rsid w:val="006805ED"/>
    <w:rsid w:val="00680DA8"/>
    <w:rsid w:val="0068148D"/>
    <w:rsid w:val="00681509"/>
    <w:rsid w:val="00681589"/>
    <w:rsid w:val="006817BF"/>
    <w:rsid w:val="00681DD8"/>
    <w:rsid w:val="0068221D"/>
    <w:rsid w:val="0068243B"/>
    <w:rsid w:val="00682618"/>
    <w:rsid w:val="00682A05"/>
    <w:rsid w:val="00682AA1"/>
    <w:rsid w:val="00682AF3"/>
    <w:rsid w:val="006833CF"/>
    <w:rsid w:val="00683C7D"/>
    <w:rsid w:val="00683C92"/>
    <w:rsid w:val="00683F1F"/>
    <w:rsid w:val="00684304"/>
    <w:rsid w:val="00684319"/>
    <w:rsid w:val="00684B59"/>
    <w:rsid w:val="00684BBC"/>
    <w:rsid w:val="0068510A"/>
    <w:rsid w:val="0068577F"/>
    <w:rsid w:val="00685788"/>
    <w:rsid w:val="006857AC"/>
    <w:rsid w:val="006864DC"/>
    <w:rsid w:val="00686BAE"/>
    <w:rsid w:val="00686C6E"/>
    <w:rsid w:val="00686D87"/>
    <w:rsid w:val="00686EA3"/>
    <w:rsid w:val="00687275"/>
    <w:rsid w:val="006872B0"/>
    <w:rsid w:val="0068748A"/>
    <w:rsid w:val="00687D28"/>
    <w:rsid w:val="00687F93"/>
    <w:rsid w:val="00690011"/>
    <w:rsid w:val="0069031E"/>
    <w:rsid w:val="00690BDC"/>
    <w:rsid w:val="00691078"/>
    <w:rsid w:val="006914E5"/>
    <w:rsid w:val="0069174C"/>
    <w:rsid w:val="00691B11"/>
    <w:rsid w:val="0069270B"/>
    <w:rsid w:val="00692840"/>
    <w:rsid w:val="00692968"/>
    <w:rsid w:val="00692BFC"/>
    <w:rsid w:val="0069315D"/>
    <w:rsid w:val="00693192"/>
    <w:rsid w:val="006935B0"/>
    <w:rsid w:val="006936E5"/>
    <w:rsid w:val="006937B4"/>
    <w:rsid w:val="0069384D"/>
    <w:rsid w:val="006938F3"/>
    <w:rsid w:val="00693E0D"/>
    <w:rsid w:val="006942BA"/>
    <w:rsid w:val="00694370"/>
    <w:rsid w:val="00694459"/>
    <w:rsid w:val="0069489E"/>
    <w:rsid w:val="00694951"/>
    <w:rsid w:val="00695072"/>
    <w:rsid w:val="00695226"/>
    <w:rsid w:val="00695726"/>
    <w:rsid w:val="00695D90"/>
    <w:rsid w:val="0069623B"/>
    <w:rsid w:val="0069623F"/>
    <w:rsid w:val="00696396"/>
    <w:rsid w:val="00696492"/>
    <w:rsid w:val="00696516"/>
    <w:rsid w:val="00696536"/>
    <w:rsid w:val="00696EEF"/>
    <w:rsid w:val="006974C9"/>
    <w:rsid w:val="006976D4"/>
    <w:rsid w:val="00697FA0"/>
    <w:rsid w:val="006A0034"/>
    <w:rsid w:val="006A00B2"/>
    <w:rsid w:val="006A0A79"/>
    <w:rsid w:val="006A1046"/>
    <w:rsid w:val="006A1377"/>
    <w:rsid w:val="006A167B"/>
    <w:rsid w:val="006A1BC9"/>
    <w:rsid w:val="006A2497"/>
    <w:rsid w:val="006A2602"/>
    <w:rsid w:val="006A2C34"/>
    <w:rsid w:val="006A373E"/>
    <w:rsid w:val="006A3B97"/>
    <w:rsid w:val="006A4041"/>
    <w:rsid w:val="006A4AFF"/>
    <w:rsid w:val="006A5550"/>
    <w:rsid w:val="006A559F"/>
    <w:rsid w:val="006A56CA"/>
    <w:rsid w:val="006A578C"/>
    <w:rsid w:val="006A5E40"/>
    <w:rsid w:val="006A6140"/>
    <w:rsid w:val="006A61D6"/>
    <w:rsid w:val="006A626D"/>
    <w:rsid w:val="006A640A"/>
    <w:rsid w:val="006A643C"/>
    <w:rsid w:val="006A68C7"/>
    <w:rsid w:val="006A69B9"/>
    <w:rsid w:val="006A6E48"/>
    <w:rsid w:val="006A7486"/>
    <w:rsid w:val="006A7855"/>
    <w:rsid w:val="006A792A"/>
    <w:rsid w:val="006A7E9C"/>
    <w:rsid w:val="006B0322"/>
    <w:rsid w:val="006B0508"/>
    <w:rsid w:val="006B0EBD"/>
    <w:rsid w:val="006B1332"/>
    <w:rsid w:val="006B14A9"/>
    <w:rsid w:val="006B18DD"/>
    <w:rsid w:val="006B191B"/>
    <w:rsid w:val="006B1E9E"/>
    <w:rsid w:val="006B2519"/>
    <w:rsid w:val="006B253B"/>
    <w:rsid w:val="006B2D84"/>
    <w:rsid w:val="006B2EED"/>
    <w:rsid w:val="006B2F12"/>
    <w:rsid w:val="006B308B"/>
    <w:rsid w:val="006B341C"/>
    <w:rsid w:val="006B345C"/>
    <w:rsid w:val="006B363F"/>
    <w:rsid w:val="006B372A"/>
    <w:rsid w:val="006B3C16"/>
    <w:rsid w:val="006B3F83"/>
    <w:rsid w:val="006B42B6"/>
    <w:rsid w:val="006B449E"/>
    <w:rsid w:val="006B4504"/>
    <w:rsid w:val="006B4887"/>
    <w:rsid w:val="006B49ED"/>
    <w:rsid w:val="006B50D4"/>
    <w:rsid w:val="006B552E"/>
    <w:rsid w:val="006B5662"/>
    <w:rsid w:val="006B56AB"/>
    <w:rsid w:val="006B582D"/>
    <w:rsid w:val="006B5863"/>
    <w:rsid w:val="006B5887"/>
    <w:rsid w:val="006B5BFC"/>
    <w:rsid w:val="006B5CD5"/>
    <w:rsid w:val="006B5E58"/>
    <w:rsid w:val="006B641D"/>
    <w:rsid w:val="006B679B"/>
    <w:rsid w:val="006B716F"/>
    <w:rsid w:val="006B730F"/>
    <w:rsid w:val="006B7547"/>
    <w:rsid w:val="006B796A"/>
    <w:rsid w:val="006C01F4"/>
    <w:rsid w:val="006C027D"/>
    <w:rsid w:val="006C0400"/>
    <w:rsid w:val="006C0726"/>
    <w:rsid w:val="006C08B9"/>
    <w:rsid w:val="006C114B"/>
    <w:rsid w:val="006C182B"/>
    <w:rsid w:val="006C1BD8"/>
    <w:rsid w:val="006C1E2F"/>
    <w:rsid w:val="006C2050"/>
    <w:rsid w:val="006C26AD"/>
    <w:rsid w:val="006C29BE"/>
    <w:rsid w:val="006C2CE4"/>
    <w:rsid w:val="006C2E3B"/>
    <w:rsid w:val="006C3546"/>
    <w:rsid w:val="006C369D"/>
    <w:rsid w:val="006C37B6"/>
    <w:rsid w:val="006C4124"/>
    <w:rsid w:val="006C4202"/>
    <w:rsid w:val="006C447B"/>
    <w:rsid w:val="006C4972"/>
    <w:rsid w:val="006C4AF5"/>
    <w:rsid w:val="006C4CBD"/>
    <w:rsid w:val="006C551A"/>
    <w:rsid w:val="006C5723"/>
    <w:rsid w:val="006C59B6"/>
    <w:rsid w:val="006C6029"/>
    <w:rsid w:val="006C6230"/>
    <w:rsid w:val="006C6BD4"/>
    <w:rsid w:val="006C7321"/>
    <w:rsid w:val="006C79F0"/>
    <w:rsid w:val="006C7A61"/>
    <w:rsid w:val="006C7CF2"/>
    <w:rsid w:val="006C7E8E"/>
    <w:rsid w:val="006C7F5B"/>
    <w:rsid w:val="006D06E4"/>
    <w:rsid w:val="006D09C4"/>
    <w:rsid w:val="006D0A34"/>
    <w:rsid w:val="006D0D42"/>
    <w:rsid w:val="006D11AA"/>
    <w:rsid w:val="006D13BB"/>
    <w:rsid w:val="006D14BD"/>
    <w:rsid w:val="006D1713"/>
    <w:rsid w:val="006D2002"/>
    <w:rsid w:val="006D2412"/>
    <w:rsid w:val="006D28A5"/>
    <w:rsid w:val="006D2A63"/>
    <w:rsid w:val="006D2B26"/>
    <w:rsid w:val="006D2E91"/>
    <w:rsid w:val="006D30BB"/>
    <w:rsid w:val="006D3128"/>
    <w:rsid w:val="006D317F"/>
    <w:rsid w:val="006D34F8"/>
    <w:rsid w:val="006D3787"/>
    <w:rsid w:val="006D386E"/>
    <w:rsid w:val="006D38DF"/>
    <w:rsid w:val="006D3DDD"/>
    <w:rsid w:val="006D3EC9"/>
    <w:rsid w:val="006D46BF"/>
    <w:rsid w:val="006D47BC"/>
    <w:rsid w:val="006D5500"/>
    <w:rsid w:val="006D574E"/>
    <w:rsid w:val="006D62A0"/>
    <w:rsid w:val="006D63C3"/>
    <w:rsid w:val="006D64E5"/>
    <w:rsid w:val="006D6AB2"/>
    <w:rsid w:val="006D6C02"/>
    <w:rsid w:val="006D723E"/>
    <w:rsid w:val="006D729F"/>
    <w:rsid w:val="006D73E7"/>
    <w:rsid w:val="006D76BF"/>
    <w:rsid w:val="006D789D"/>
    <w:rsid w:val="006D7EC8"/>
    <w:rsid w:val="006E00CE"/>
    <w:rsid w:val="006E0819"/>
    <w:rsid w:val="006E0CAE"/>
    <w:rsid w:val="006E13E2"/>
    <w:rsid w:val="006E1B58"/>
    <w:rsid w:val="006E2A57"/>
    <w:rsid w:val="006E2A69"/>
    <w:rsid w:val="006E2B9F"/>
    <w:rsid w:val="006E3027"/>
    <w:rsid w:val="006E3544"/>
    <w:rsid w:val="006E35F4"/>
    <w:rsid w:val="006E3684"/>
    <w:rsid w:val="006E38B5"/>
    <w:rsid w:val="006E38BC"/>
    <w:rsid w:val="006E3AD8"/>
    <w:rsid w:val="006E3C5B"/>
    <w:rsid w:val="006E3DF5"/>
    <w:rsid w:val="006E4058"/>
    <w:rsid w:val="006E4246"/>
    <w:rsid w:val="006E42FB"/>
    <w:rsid w:val="006E64A4"/>
    <w:rsid w:val="006E6966"/>
    <w:rsid w:val="006E6BE6"/>
    <w:rsid w:val="006E6CD2"/>
    <w:rsid w:val="006E6FE2"/>
    <w:rsid w:val="006E7005"/>
    <w:rsid w:val="006E726E"/>
    <w:rsid w:val="006E76D5"/>
    <w:rsid w:val="006E7958"/>
    <w:rsid w:val="006E7C76"/>
    <w:rsid w:val="006E7CE8"/>
    <w:rsid w:val="006E7EC7"/>
    <w:rsid w:val="006F007C"/>
    <w:rsid w:val="006F01E2"/>
    <w:rsid w:val="006F05E9"/>
    <w:rsid w:val="006F13B5"/>
    <w:rsid w:val="006F1C41"/>
    <w:rsid w:val="006F216B"/>
    <w:rsid w:val="006F2685"/>
    <w:rsid w:val="006F2985"/>
    <w:rsid w:val="006F2B4D"/>
    <w:rsid w:val="006F2CB1"/>
    <w:rsid w:val="006F2DE5"/>
    <w:rsid w:val="006F2E3C"/>
    <w:rsid w:val="006F2ECD"/>
    <w:rsid w:val="006F2F3D"/>
    <w:rsid w:val="006F34E0"/>
    <w:rsid w:val="006F35A5"/>
    <w:rsid w:val="006F3817"/>
    <w:rsid w:val="006F38FD"/>
    <w:rsid w:val="006F3B64"/>
    <w:rsid w:val="006F3C33"/>
    <w:rsid w:val="006F3C6F"/>
    <w:rsid w:val="006F3CA4"/>
    <w:rsid w:val="006F3CCB"/>
    <w:rsid w:val="006F412A"/>
    <w:rsid w:val="006F41D3"/>
    <w:rsid w:val="006F45B3"/>
    <w:rsid w:val="006F4D5C"/>
    <w:rsid w:val="006F4E24"/>
    <w:rsid w:val="006F4E8B"/>
    <w:rsid w:val="006F54F8"/>
    <w:rsid w:val="006F5674"/>
    <w:rsid w:val="006F598F"/>
    <w:rsid w:val="006F59C3"/>
    <w:rsid w:val="006F5BE0"/>
    <w:rsid w:val="006F654E"/>
    <w:rsid w:val="006F6B95"/>
    <w:rsid w:val="006F6F25"/>
    <w:rsid w:val="006F6FFC"/>
    <w:rsid w:val="006F73EC"/>
    <w:rsid w:val="006F761F"/>
    <w:rsid w:val="006F79F3"/>
    <w:rsid w:val="006F7B37"/>
    <w:rsid w:val="0070077A"/>
    <w:rsid w:val="00700B93"/>
    <w:rsid w:val="00701350"/>
    <w:rsid w:val="00701A99"/>
    <w:rsid w:val="00701C03"/>
    <w:rsid w:val="00701C8D"/>
    <w:rsid w:val="007023E1"/>
    <w:rsid w:val="00702440"/>
    <w:rsid w:val="00702598"/>
    <w:rsid w:val="0070259D"/>
    <w:rsid w:val="0070289C"/>
    <w:rsid w:val="007029D3"/>
    <w:rsid w:val="00702A4E"/>
    <w:rsid w:val="00702D30"/>
    <w:rsid w:val="00702E69"/>
    <w:rsid w:val="0070318F"/>
    <w:rsid w:val="00703837"/>
    <w:rsid w:val="00703932"/>
    <w:rsid w:val="00703C83"/>
    <w:rsid w:val="00703D1F"/>
    <w:rsid w:val="0070408C"/>
    <w:rsid w:val="0070453C"/>
    <w:rsid w:val="00704941"/>
    <w:rsid w:val="00705E45"/>
    <w:rsid w:val="00706167"/>
    <w:rsid w:val="00706A46"/>
    <w:rsid w:val="00707131"/>
    <w:rsid w:val="0070737D"/>
    <w:rsid w:val="007076AB"/>
    <w:rsid w:val="0070772B"/>
    <w:rsid w:val="00707A54"/>
    <w:rsid w:val="00707BE9"/>
    <w:rsid w:val="00707D46"/>
    <w:rsid w:val="00710189"/>
    <w:rsid w:val="00710338"/>
    <w:rsid w:val="007104A0"/>
    <w:rsid w:val="00710838"/>
    <w:rsid w:val="00710C80"/>
    <w:rsid w:val="00710DA4"/>
    <w:rsid w:val="00710F9E"/>
    <w:rsid w:val="007110DF"/>
    <w:rsid w:val="00711193"/>
    <w:rsid w:val="00711337"/>
    <w:rsid w:val="00711788"/>
    <w:rsid w:val="00711863"/>
    <w:rsid w:val="00711BF0"/>
    <w:rsid w:val="00711DBA"/>
    <w:rsid w:val="0071246A"/>
    <w:rsid w:val="00712691"/>
    <w:rsid w:val="00712F63"/>
    <w:rsid w:val="00713C50"/>
    <w:rsid w:val="00713F8C"/>
    <w:rsid w:val="00714044"/>
    <w:rsid w:val="007142F8"/>
    <w:rsid w:val="00714379"/>
    <w:rsid w:val="00714594"/>
    <w:rsid w:val="0071479E"/>
    <w:rsid w:val="00714B09"/>
    <w:rsid w:val="007151C8"/>
    <w:rsid w:val="00715302"/>
    <w:rsid w:val="00715541"/>
    <w:rsid w:val="00715626"/>
    <w:rsid w:val="00715ACA"/>
    <w:rsid w:val="00716BD6"/>
    <w:rsid w:val="00716E01"/>
    <w:rsid w:val="00717334"/>
    <w:rsid w:val="00717362"/>
    <w:rsid w:val="007177CF"/>
    <w:rsid w:val="00717BBF"/>
    <w:rsid w:val="00717BDE"/>
    <w:rsid w:val="007201C9"/>
    <w:rsid w:val="00720399"/>
    <w:rsid w:val="00720403"/>
    <w:rsid w:val="007204E0"/>
    <w:rsid w:val="00720555"/>
    <w:rsid w:val="00720644"/>
    <w:rsid w:val="0072067A"/>
    <w:rsid w:val="00720687"/>
    <w:rsid w:val="00721770"/>
    <w:rsid w:val="00721AB0"/>
    <w:rsid w:val="007236D3"/>
    <w:rsid w:val="007239FE"/>
    <w:rsid w:val="00723EFE"/>
    <w:rsid w:val="007240BA"/>
    <w:rsid w:val="00724434"/>
    <w:rsid w:val="00724725"/>
    <w:rsid w:val="007247B0"/>
    <w:rsid w:val="00724C91"/>
    <w:rsid w:val="00724D39"/>
    <w:rsid w:val="00724F36"/>
    <w:rsid w:val="007263AC"/>
    <w:rsid w:val="00726E6F"/>
    <w:rsid w:val="007275CB"/>
    <w:rsid w:val="00727804"/>
    <w:rsid w:val="00727E77"/>
    <w:rsid w:val="00727F73"/>
    <w:rsid w:val="00727FAE"/>
    <w:rsid w:val="00730025"/>
    <w:rsid w:val="007305C8"/>
    <w:rsid w:val="007306B9"/>
    <w:rsid w:val="00730A7E"/>
    <w:rsid w:val="00730ECD"/>
    <w:rsid w:val="00730F70"/>
    <w:rsid w:val="00731136"/>
    <w:rsid w:val="007311A1"/>
    <w:rsid w:val="00731327"/>
    <w:rsid w:val="007315D5"/>
    <w:rsid w:val="00731817"/>
    <w:rsid w:val="00731E47"/>
    <w:rsid w:val="00732754"/>
    <w:rsid w:val="00732B17"/>
    <w:rsid w:val="00732FA8"/>
    <w:rsid w:val="007330A6"/>
    <w:rsid w:val="007335EC"/>
    <w:rsid w:val="00733C73"/>
    <w:rsid w:val="0073405F"/>
    <w:rsid w:val="0073415A"/>
    <w:rsid w:val="007341ED"/>
    <w:rsid w:val="007348AF"/>
    <w:rsid w:val="00734A5A"/>
    <w:rsid w:val="00734C3C"/>
    <w:rsid w:val="00734D41"/>
    <w:rsid w:val="00734E9A"/>
    <w:rsid w:val="0073557E"/>
    <w:rsid w:val="00735BE4"/>
    <w:rsid w:val="007360CA"/>
    <w:rsid w:val="00736844"/>
    <w:rsid w:val="007371B9"/>
    <w:rsid w:val="0073742B"/>
    <w:rsid w:val="0073755D"/>
    <w:rsid w:val="007379D8"/>
    <w:rsid w:val="007379EF"/>
    <w:rsid w:val="0074038B"/>
    <w:rsid w:val="007404C9"/>
    <w:rsid w:val="00740656"/>
    <w:rsid w:val="0074122B"/>
    <w:rsid w:val="007414D4"/>
    <w:rsid w:val="007416A2"/>
    <w:rsid w:val="007419FA"/>
    <w:rsid w:val="00741D17"/>
    <w:rsid w:val="00741D7D"/>
    <w:rsid w:val="00742053"/>
    <w:rsid w:val="00742360"/>
    <w:rsid w:val="0074239A"/>
    <w:rsid w:val="0074246F"/>
    <w:rsid w:val="007425C6"/>
    <w:rsid w:val="00742C38"/>
    <w:rsid w:val="00742C78"/>
    <w:rsid w:val="00742D25"/>
    <w:rsid w:val="00742EE5"/>
    <w:rsid w:val="00743079"/>
    <w:rsid w:val="00743705"/>
    <w:rsid w:val="00743AE2"/>
    <w:rsid w:val="00743BED"/>
    <w:rsid w:val="00743CAC"/>
    <w:rsid w:val="00744823"/>
    <w:rsid w:val="00744A3D"/>
    <w:rsid w:val="00744B98"/>
    <w:rsid w:val="00745203"/>
    <w:rsid w:val="00745498"/>
    <w:rsid w:val="0074574B"/>
    <w:rsid w:val="00745FA8"/>
    <w:rsid w:val="00746701"/>
    <w:rsid w:val="00746742"/>
    <w:rsid w:val="00746E94"/>
    <w:rsid w:val="0074713A"/>
    <w:rsid w:val="0074757A"/>
    <w:rsid w:val="0074772E"/>
    <w:rsid w:val="00747A81"/>
    <w:rsid w:val="0075002E"/>
    <w:rsid w:val="0075051B"/>
    <w:rsid w:val="00750BC1"/>
    <w:rsid w:val="007510F3"/>
    <w:rsid w:val="00751245"/>
    <w:rsid w:val="00751276"/>
    <w:rsid w:val="00751392"/>
    <w:rsid w:val="00751815"/>
    <w:rsid w:val="0075260D"/>
    <w:rsid w:val="00752736"/>
    <w:rsid w:val="00752848"/>
    <w:rsid w:val="007529B5"/>
    <w:rsid w:val="0075306D"/>
    <w:rsid w:val="007539FF"/>
    <w:rsid w:val="00753E3C"/>
    <w:rsid w:val="0075400E"/>
    <w:rsid w:val="00754312"/>
    <w:rsid w:val="00754655"/>
    <w:rsid w:val="0075471B"/>
    <w:rsid w:val="007548F8"/>
    <w:rsid w:val="00754A33"/>
    <w:rsid w:val="00754BB2"/>
    <w:rsid w:val="00754CB8"/>
    <w:rsid w:val="007557E2"/>
    <w:rsid w:val="0075587C"/>
    <w:rsid w:val="00755C7C"/>
    <w:rsid w:val="00755FE4"/>
    <w:rsid w:val="00756123"/>
    <w:rsid w:val="007561FE"/>
    <w:rsid w:val="00756D3E"/>
    <w:rsid w:val="00757824"/>
    <w:rsid w:val="00757E50"/>
    <w:rsid w:val="00760394"/>
    <w:rsid w:val="00760B1E"/>
    <w:rsid w:val="00760BAF"/>
    <w:rsid w:val="00760E9D"/>
    <w:rsid w:val="007610D6"/>
    <w:rsid w:val="007614D9"/>
    <w:rsid w:val="00761697"/>
    <w:rsid w:val="00761C54"/>
    <w:rsid w:val="007622DD"/>
    <w:rsid w:val="0076264A"/>
    <w:rsid w:val="00762E7D"/>
    <w:rsid w:val="00762EDF"/>
    <w:rsid w:val="00762F83"/>
    <w:rsid w:val="00763436"/>
    <w:rsid w:val="00763467"/>
    <w:rsid w:val="007637DE"/>
    <w:rsid w:val="007638C2"/>
    <w:rsid w:val="007639FD"/>
    <w:rsid w:val="00763AE2"/>
    <w:rsid w:val="00763DEA"/>
    <w:rsid w:val="007640FF"/>
    <w:rsid w:val="00764153"/>
    <w:rsid w:val="00764240"/>
    <w:rsid w:val="007642BB"/>
    <w:rsid w:val="00764400"/>
    <w:rsid w:val="007646F6"/>
    <w:rsid w:val="00764ADD"/>
    <w:rsid w:val="00764DFB"/>
    <w:rsid w:val="007651DB"/>
    <w:rsid w:val="0076567A"/>
    <w:rsid w:val="0076592A"/>
    <w:rsid w:val="00765BBA"/>
    <w:rsid w:val="00765C63"/>
    <w:rsid w:val="00766328"/>
    <w:rsid w:val="00766677"/>
    <w:rsid w:val="0076672E"/>
    <w:rsid w:val="00766B7C"/>
    <w:rsid w:val="007670AD"/>
    <w:rsid w:val="007670C8"/>
    <w:rsid w:val="007670D2"/>
    <w:rsid w:val="007675D7"/>
    <w:rsid w:val="0076783C"/>
    <w:rsid w:val="00767C2A"/>
    <w:rsid w:val="00770164"/>
    <w:rsid w:val="00770213"/>
    <w:rsid w:val="007702E7"/>
    <w:rsid w:val="00770409"/>
    <w:rsid w:val="007708EE"/>
    <w:rsid w:val="00770F72"/>
    <w:rsid w:val="00771337"/>
    <w:rsid w:val="00771786"/>
    <w:rsid w:val="007719C1"/>
    <w:rsid w:val="00771F1F"/>
    <w:rsid w:val="00771F7C"/>
    <w:rsid w:val="007731CB"/>
    <w:rsid w:val="00773380"/>
    <w:rsid w:val="0077356B"/>
    <w:rsid w:val="00773968"/>
    <w:rsid w:val="00773C4C"/>
    <w:rsid w:val="00773D60"/>
    <w:rsid w:val="00773DA2"/>
    <w:rsid w:val="0077420C"/>
    <w:rsid w:val="0077430D"/>
    <w:rsid w:val="00774380"/>
    <w:rsid w:val="00774891"/>
    <w:rsid w:val="00774D23"/>
    <w:rsid w:val="0077507A"/>
    <w:rsid w:val="007750BB"/>
    <w:rsid w:val="007751CF"/>
    <w:rsid w:val="00775880"/>
    <w:rsid w:val="00775D3F"/>
    <w:rsid w:val="007761C8"/>
    <w:rsid w:val="00776238"/>
    <w:rsid w:val="00776495"/>
    <w:rsid w:val="00776750"/>
    <w:rsid w:val="007768EB"/>
    <w:rsid w:val="00777071"/>
    <w:rsid w:val="007771D9"/>
    <w:rsid w:val="00777634"/>
    <w:rsid w:val="007779C2"/>
    <w:rsid w:val="00777C2A"/>
    <w:rsid w:val="00777EB8"/>
    <w:rsid w:val="00780352"/>
    <w:rsid w:val="00780938"/>
    <w:rsid w:val="00780988"/>
    <w:rsid w:val="00780D90"/>
    <w:rsid w:val="00780FF2"/>
    <w:rsid w:val="007812BD"/>
    <w:rsid w:val="007822D6"/>
    <w:rsid w:val="007827AF"/>
    <w:rsid w:val="0078326B"/>
    <w:rsid w:val="007834F6"/>
    <w:rsid w:val="00783810"/>
    <w:rsid w:val="00783862"/>
    <w:rsid w:val="007839FC"/>
    <w:rsid w:val="00783A8C"/>
    <w:rsid w:val="00784085"/>
    <w:rsid w:val="00784618"/>
    <w:rsid w:val="00784C4B"/>
    <w:rsid w:val="00784CF7"/>
    <w:rsid w:val="00785A8D"/>
    <w:rsid w:val="00785DD1"/>
    <w:rsid w:val="00786002"/>
    <w:rsid w:val="00786AC4"/>
    <w:rsid w:val="00786F68"/>
    <w:rsid w:val="00787F55"/>
    <w:rsid w:val="007900EC"/>
    <w:rsid w:val="007901BC"/>
    <w:rsid w:val="00790334"/>
    <w:rsid w:val="007904AE"/>
    <w:rsid w:val="00790F74"/>
    <w:rsid w:val="007910AF"/>
    <w:rsid w:val="0079197E"/>
    <w:rsid w:val="00791A0C"/>
    <w:rsid w:val="00791F9B"/>
    <w:rsid w:val="00792243"/>
    <w:rsid w:val="0079225F"/>
    <w:rsid w:val="0079267F"/>
    <w:rsid w:val="00792895"/>
    <w:rsid w:val="00792B31"/>
    <w:rsid w:val="007931A7"/>
    <w:rsid w:val="007931E3"/>
    <w:rsid w:val="00793430"/>
    <w:rsid w:val="0079343F"/>
    <w:rsid w:val="00793578"/>
    <w:rsid w:val="007937B7"/>
    <w:rsid w:val="00793F5F"/>
    <w:rsid w:val="007940D9"/>
    <w:rsid w:val="007941C3"/>
    <w:rsid w:val="0079459E"/>
    <w:rsid w:val="00794C1D"/>
    <w:rsid w:val="00794F74"/>
    <w:rsid w:val="0079525C"/>
    <w:rsid w:val="00795541"/>
    <w:rsid w:val="0079564D"/>
    <w:rsid w:val="0079595C"/>
    <w:rsid w:val="007959E5"/>
    <w:rsid w:val="00796132"/>
    <w:rsid w:val="0079639D"/>
    <w:rsid w:val="00796C3E"/>
    <w:rsid w:val="007977CC"/>
    <w:rsid w:val="007A0069"/>
    <w:rsid w:val="007A03B0"/>
    <w:rsid w:val="007A0680"/>
    <w:rsid w:val="007A068B"/>
    <w:rsid w:val="007A0A8F"/>
    <w:rsid w:val="007A0DF3"/>
    <w:rsid w:val="007A0F5B"/>
    <w:rsid w:val="007A1030"/>
    <w:rsid w:val="007A124C"/>
    <w:rsid w:val="007A1AB3"/>
    <w:rsid w:val="007A21CF"/>
    <w:rsid w:val="007A21E8"/>
    <w:rsid w:val="007A2230"/>
    <w:rsid w:val="007A2385"/>
    <w:rsid w:val="007A26E2"/>
    <w:rsid w:val="007A2D41"/>
    <w:rsid w:val="007A3081"/>
    <w:rsid w:val="007A38EB"/>
    <w:rsid w:val="007A3D4C"/>
    <w:rsid w:val="007A3E21"/>
    <w:rsid w:val="007A3F24"/>
    <w:rsid w:val="007A40DE"/>
    <w:rsid w:val="007A431D"/>
    <w:rsid w:val="007A487A"/>
    <w:rsid w:val="007A490D"/>
    <w:rsid w:val="007A49EC"/>
    <w:rsid w:val="007A4E62"/>
    <w:rsid w:val="007A51C6"/>
    <w:rsid w:val="007A5455"/>
    <w:rsid w:val="007A58E4"/>
    <w:rsid w:val="007A5A54"/>
    <w:rsid w:val="007A5D42"/>
    <w:rsid w:val="007A5FF2"/>
    <w:rsid w:val="007A60CF"/>
    <w:rsid w:val="007A72EA"/>
    <w:rsid w:val="007A7686"/>
    <w:rsid w:val="007A7B09"/>
    <w:rsid w:val="007A7EF8"/>
    <w:rsid w:val="007B012B"/>
    <w:rsid w:val="007B02ED"/>
    <w:rsid w:val="007B062E"/>
    <w:rsid w:val="007B067A"/>
    <w:rsid w:val="007B094E"/>
    <w:rsid w:val="007B0BEA"/>
    <w:rsid w:val="007B0C39"/>
    <w:rsid w:val="007B0D9A"/>
    <w:rsid w:val="007B0DC8"/>
    <w:rsid w:val="007B0ED4"/>
    <w:rsid w:val="007B1B7A"/>
    <w:rsid w:val="007B1F21"/>
    <w:rsid w:val="007B1F5D"/>
    <w:rsid w:val="007B2367"/>
    <w:rsid w:val="007B2569"/>
    <w:rsid w:val="007B290F"/>
    <w:rsid w:val="007B2F4D"/>
    <w:rsid w:val="007B346F"/>
    <w:rsid w:val="007B34A5"/>
    <w:rsid w:val="007B3DB2"/>
    <w:rsid w:val="007B3EC7"/>
    <w:rsid w:val="007B3F46"/>
    <w:rsid w:val="007B3F69"/>
    <w:rsid w:val="007B40F6"/>
    <w:rsid w:val="007B416B"/>
    <w:rsid w:val="007B455D"/>
    <w:rsid w:val="007B45BA"/>
    <w:rsid w:val="007B47E3"/>
    <w:rsid w:val="007B4800"/>
    <w:rsid w:val="007B49AD"/>
    <w:rsid w:val="007B4B49"/>
    <w:rsid w:val="007B4F23"/>
    <w:rsid w:val="007B5043"/>
    <w:rsid w:val="007B5168"/>
    <w:rsid w:val="007B552F"/>
    <w:rsid w:val="007B58D8"/>
    <w:rsid w:val="007B5935"/>
    <w:rsid w:val="007B5E32"/>
    <w:rsid w:val="007B5E74"/>
    <w:rsid w:val="007B6133"/>
    <w:rsid w:val="007B64B2"/>
    <w:rsid w:val="007B6576"/>
    <w:rsid w:val="007B7426"/>
    <w:rsid w:val="007B7552"/>
    <w:rsid w:val="007B7C7A"/>
    <w:rsid w:val="007B7D95"/>
    <w:rsid w:val="007B7E5F"/>
    <w:rsid w:val="007C0129"/>
    <w:rsid w:val="007C0C57"/>
    <w:rsid w:val="007C0D02"/>
    <w:rsid w:val="007C1024"/>
    <w:rsid w:val="007C10C2"/>
    <w:rsid w:val="007C1120"/>
    <w:rsid w:val="007C14DA"/>
    <w:rsid w:val="007C1AFD"/>
    <w:rsid w:val="007C1E78"/>
    <w:rsid w:val="007C23C1"/>
    <w:rsid w:val="007C29CD"/>
    <w:rsid w:val="007C2B84"/>
    <w:rsid w:val="007C322C"/>
    <w:rsid w:val="007C3882"/>
    <w:rsid w:val="007C39CF"/>
    <w:rsid w:val="007C3B29"/>
    <w:rsid w:val="007C3B3B"/>
    <w:rsid w:val="007C48D6"/>
    <w:rsid w:val="007C53E6"/>
    <w:rsid w:val="007C55FD"/>
    <w:rsid w:val="007C5801"/>
    <w:rsid w:val="007C58EC"/>
    <w:rsid w:val="007C5940"/>
    <w:rsid w:val="007C5BF2"/>
    <w:rsid w:val="007C5C66"/>
    <w:rsid w:val="007C6211"/>
    <w:rsid w:val="007C62BB"/>
    <w:rsid w:val="007C6560"/>
    <w:rsid w:val="007C6AA7"/>
    <w:rsid w:val="007C6CD3"/>
    <w:rsid w:val="007C733B"/>
    <w:rsid w:val="007C7396"/>
    <w:rsid w:val="007C7513"/>
    <w:rsid w:val="007C757C"/>
    <w:rsid w:val="007C76B5"/>
    <w:rsid w:val="007C76C1"/>
    <w:rsid w:val="007C78FA"/>
    <w:rsid w:val="007C7FE0"/>
    <w:rsid w:val="007D0342"/>
    <w:rsid w:val="007D0526"/>
    <w:rsid w:val="007D0AA9"/>
    <w:rsid w:val="007D0BF5"/>
    <w:rsid w:val="007D0DD3"/>
    <w:rsid w:val="007D0F2F"/>
    <w:rsid w:val="007D1054"/>
    <w:rsid w:val="007D11D2"/>
    <w:rsid w:val="007D147D"/>
    <w:rsid w:val="007D155E"/>
    <w:rsid w:val="007D19D5"/>
    <w:rsid w:val="007D1B9A"/>
    <w:rsid w:val="007D2055"/>
    <w:rsid w:val="007D2D5B"/>
    <w:rsid w:val="007D2E72"/>
    <w:rsid w:val="007D302A"/>
    <w:rsid w:val="007D36AD"/>
    <w:rsid w:val="007D3728"/>
    <w:rsid w:val="007D37F5"/>
    <w:rsid w:val="007D3CD8"/>
    <w:rsid w:val="007D3E51"/>
    <w:rsid w:val="007D40D1"/>
    <w:rsid w:val="007D503F"/>
    <w:rsid w:val="007D50A4"/>
    <w:rsid w:val="007D5E3B"/>
    <w:rsid w:val="007D5E53"/>
    <w:rsid w:val="007D6275"/>
    <w:rsid w:val="007D63AD"/>
    <w:rsid w:val="007D6505"/>
    <w:rsid w:val="007D680C"/>
    <w:rsid w:val="007D7268"/>
    <w:rsid w:val="007D73AF"/>
    <w:rsid w:val="007D75BC"/>
    <w:rsid w:val="007D77AE"/>
    <w:rsid w:val="007D77C0"/>
    <w:rsid w:val="007D7AFC"/>
    <w:rsid w:val="007D7B84"/>
    <w:rsid w:val="007E0229"/>
    <w:rsid w:val="007E06C7"/>
    <w:rsid w:val="007E076F"/>
    <w:rsid w:val="007E0785"/>
    <w:rsid w:val="007E07E5"/>
    <w:rsid w:val="007E1223"/>
    <w:rsid w:val="007E14AA"/>
    <w:rsid w:val="007E18B4"/>
    <w:rsid w:val="007E1B2F"/>
    <w:rsid w:val="007E1F09"/>
    <w:rsid w:val="007E2384"/>
    <w:rsid w:val="007E26A7"/>
    <w:rsid w:val="007E28D4"/>
    <w:rsid w:val="007E2F5F"/>
    <w:rsid w:val="007E337D"/>
    <w:rsid w:val="007E42F0"/>
    <w:rsid w:val="007E4374"/>
    <w:rsid w:val="007E4518"/>
    <w:rsid w:val="007E4A04"/>
    <w:rsid w:val="007E4F4D"/>
    <w:rsid w:val="007E53C8"/>
    <w:rsid w:val="007E5577"/>
    <w:rsid w:val="007E5AD0"/>
    <w:rsid w:val="007E5B3A"/>
    <w:rsid w:val="007E5E27"/>
    <w:rsid w:val="007E5EC5"/>
    <w:rsid w:val="007E65AD"/>
    <w:rsid w:val="007E69F3"/>
    <w:rsid w:val="007E6C0E"/>
    <w:rsid w:val="007E7062"/>
    <w:rsid w:val="007E71DC"/>
    <w:rsid w:val="007E726E"/>
    <w:rsid w:val="007E75C1"/>
    <w:rsid w:val="007E7C88"/>
    <w:rsid w:val="007F025B"/>
    <w:rsid w:val="007F044B"/>
    <w:rsid w:val="007F0843"/>
    <w:rsid w:val="007F0CE7"/>
    <w:rsid w:val="007F0ECE"/>
    <w:rsid w:val="007F14A1"/>
    <w:rsid w:val="007F1908"/>
    <w:rsid w:val="007F1C3B"/>
    <w:rsid w:val="007F1CEF"/>
    <w:rsid w:val="007F1D10"/>
    <w:rsid w:val="007F1EDE"/>
    <w:rsid w:val="007F2389"/>
    <w:rsid w:val="007F25A4"/>
    <w:rsid w:val="007F29D3"/>
    <w:rsid w:val="007F2A0A"/>
    <w:rsid w:val="007F2ACC"/>
    <w:rsid w:val="007F2BC1"/>
    <w:rsid w:val="007F2D6A"/>
    <w:rsid w:val="007F2D8B"/>
    <w:rsid w:val="007F319F"/>
    <w:rsid w:val="007F3C44"/>
    <w:rsid w:val="007F3F42"/>
    <w:rsid w:val="007F40AE"/>
    <w:rsid w:val="007F41C4"/>
    <w:rsid w:val="007F4834"/>
    <w:rsid w:val="007F4C74"/>
    <w:rsid w:val="007F4D05"/>
    <w:rsid w:val="007F4D19"/>
    <w:rsid w:val="007F50F7"/>
    <w:rsid w:val="007F51AF"/>
    <w:rsid w:val="007F5973"/>
    <w:rsid w:val="007F5CCA"/>
    <w:rsid w:val="007F6342"/>
    <w:rsid w:val="007F6415"/>
    <w:rsid w:val="007F6531"/>
    <w:rsid w:val="007F661F"/>
    <w:rsid w:val="007F681A"/>
    <w:rsid w:val="007F694A"/>
    <w:rsid w:val="007F6C8A"/>
    <w:rsid w:val="007F6EE9"/>
    <w:rsid w:val="007F6F6C"/>
    <w:rsid w:val="007F74EB"/>
    <w:rsid w:val="007F7824"/>
    <w:rsid w:val="007F7896"/>
    <w:rsid w:val="007F7921"/>
    <w:rsid w:val="007F7B89"/>
    <w:rsid w:val="007F7EC9"/>
    <w:rsid w:val="0080024D"/>
    <w:rsid w:val="00800269"/>
    <w:rsid w:val="008006AC"/>
    <w:rsid w:val="0080080E"/>
    <w:rsid w:val="008008A0"/>
    <w:rsid w:val="00800E01"/>
    <w:rsid w:val="00800E3F"/>
    <w:rsid w:val="008015EB"/>
    <w:rsid w:val="008022B8"/>
    <w:rsid w:val="0080285D"/>
    <w:rsid w:val="00802CB9"/>
    <w:rsid w:val="00802F43"/>
    <w:rsid w:val="008034D1"/>
    <w:rsid w:val="0080391B"/>
    <w:rsid w:val="00803B5A"/>
    <w:rsid w:val="00804399"/>
    <w:rsid w:val="008044F1"/>
    <w:rsid w:val="00804B19"/>
    <w:rsid w:val="00804CCB"/>
    <w:rsid w:val="00804D34"/>
    <w:rsid w:val="00804F98"/>
    <w:rsid w:val="00804FA4"/>
    <w:rsid w:val="0080524A"/>
    <w:rsid w:val="00805702"/>
    <w:rsid w:val="00805780"/>
    <w:rsid w:val="00805AC2"/>
    <w:rsid w:val="00805BF6"/>
    <w:rsid w:val="0080624E"/>
    <w:rsid w:val="0080640B"/>
    <w:rsid w:val="008066D1"/>
    <w:rsid w:val="00806823"/>
    <w:rsid w:val="0080682F"/>
    <w:rsid w:val="0080690C"/>
    <w:rsid w:val="00806DF3"/>
    <w:rsid w:val="008071C9"/>
    <w:rsid w:val="0080729D"/>
    <w:rsid w:val="00807417"/>
    <w:rsid w:val="00807596"/>
    <w:rsid w:val="0080773E"/>
    <w:rsid w:val="008078C3"/>
    <w:rsid w:val="00807A47"/>
    <w:rsid w:val="00810199"/>
    <w:rsid w:val="00810656"/>
    <w:rsid w:val="00810700"/>
    <w:rsid w:val="008107E2"/>
    <w:rsid w:val="0081090A"/>
    <w:rsid w:val="00810A67"/>
    <w:rsid w:val="00810CDF"/>
    <w:rsid w:val="00810EB3"/>
    <w:rsid w:val="0081149C"/>
    <w:rsid w:val="008115CF"/>
    <w:rsid w:val="00811942"/>
    <w:rsid w:val="00811ABD"/>
    <w:rsid w:val="00811DB5"/>
    <w:rsid w:val="008123E8"/>
    <w:rsid w:val="00812476"/>
    <w:rsid w:val="00812C4D"/>
    <w:rsid w:val="008133BC"/>
    <w:rsid w:val="008133C2"/>
    <w:rsid w:val="008135D3"/>
    <w:rsid w:val="008136BA"/>
    <w:rsid w:val="00813BF5"/>
    <w:rsid w:val="00813F8B"/>
    <w:rsid w:val="00814128"/>
    <w:rsid w:val="0081475A"/>
    <w:rsid w:val="0081499B"/>
    <w:rsid w:val="00814C15"/>
    <w:rsid w:val="00815092"/>
    <w:rsid w:val="00815316"/>
    <w:rsid w:val="00815888"/>
    <w:rsid w:val="00815C12"/>
    <w:rsid w:val="00816014"/>
    <w:rsid w:val="0081604E"/>
    <w:rsid w:val="0081634F"/>
    <w:rsid w:val="00816648"/>
    <w:rsid w:val="00816FA5"/>
    <w:rsid w:val="0081711A"/>
    <w:rsid w:val="00817302"/>
    <w:rsid w:val="00817892"/>
    <w:rsid w:val="00817A39"/>
    <w:rsid w:val="00817D90"/>
    <w:rsid w:val="00817E4C"/>
    <w:rsid w:val="00817EBD"/>
    <w:rsid w:val="0082040E"/>
    <w:rsid w:val="00820A2E"/>
    <w:rsid w:val="00820E10"/>
    <w:rsid w:val="008210C8"/>
    <w:rsid w:val="0082138B"/>
    <w:rsid w:val="00821CB9"/>
    <w:rsid w:val="00822348"/>
    <w:rsid w:val="00822686"/>
    <w:rsid w:val="00822B62"/>
    <w:rsid w:val="00823203"/>
    <w:rsid w:val="008239D4"/>
    <w:rsid w:val="00823EA6"/>
    <w:rsid w:val="008244EA"/>
    <w:rsid w:val="008250CE"/>
    <w:rsid w:val="008253A1"/>
    <w:rsid w:val="00825669"/>
    <w:rsid w:val="008256A9"/>
    <w:rsid w:val="00825A78"/>
    <w:rsid w:val="00825C53"/>
    <w:rsid w:val="00826085"/>
    <w:rsid w:val="0082610A"/>
    <w:rsid w:val="0082639B"/>
    <w:rsid w:val="0082661F"/>
    <w:rsid w:val="00826DD6"/>
    <w:rsid w:val="008270FF"/>
    <w:rsid w:val="00827144"/>
    <w:rsid w:val="0082715D"/>
    <w:rsid w:val="0082757F"/>
    <w:rsid w:val="00827895"/>
    <w:rsid w:val="0082796C"/>
    <w:rsid w:val="008301D2"/>
    <w:rsid w:val="00830544"/>
    <w:rsid w:val="00830841"/>
    <w:rsid w:val="00830A90"/>
    <w:rsid w:val="00830B15"/>
    <w:rsid w:val="00830CD3"/>
    <w:rsid w:val="00830DA7"/>
    <w:rsid w:val="008312E6"/>
    <w:rsid w:val="008319A2"/>
    <w:rsid w:val="00831AD9"/>
    <w:rsid w:val="00831D40"/>
    <w:rsid w:val="00833208"/>
    <w:rsid w:val="008334C5"/>
    <w:rsid w:val="00833B84"/>
    <w:rsid w:val="00833D06"/>
    <w:rsid w:val="00833D4A"/>
    <w:rsid w:val="00833DF7"/>
    <w:rsid w:val="00834401"/>
    <w:rsid w:val="00834630"/>
    <w:rsid w:val="0083479C"/>
    <w:rsid w:val="008347AC"/>
    <w:rsid w:val="00834A6C"/>
    <w:rsid w:val="00835310"/>
    <w:rsid w:val="008354BE"/>
    <w:rsid w:val="008359F9"/>
    <w:rsid w:val="00835B87"/>
    <w:rsid w:val="0083606F"/>
    <w:rsid w:val="0083645D"/>
    <w:rsid w:val="008368CE"/>
    <w:rsid w:val="008369AF"/>
    <w:rsid w:val="00836CA9"/>
    <w:rsid w:val="008378B7"/>
    <w:rsid w:val="00837AC9"/>
    <w:rsid w:val="0084000E"/>
    <w:rsid w:val="00840057"/>
    <w:rsid w:val="008405BB"/>
    <w:rsid w:val="00840973"/>
    <w:rsid w:val="008409C0"/>
    <w:rsid w:val="00840AF0"/>
    <w:rsid w:val="00840BC1"/>
    <w:rsid w:val="00841765"/>
    <w:rsid w:val="00841B79"/>
    <w:rsid w:val="00842868"/>
    <w:rsid w:val="00842C63"/>
    <w:rsid w:val="00842E18"/>
    <w:rsid w:val="0084313A"/>
    <w:rsid w:val="0084360E"/>
    <w:rsid w:val="00843696"/>
    <w:rsid w:val="00844948"/>
    <w:rsid w:val="008449AF"/>
    <w:rsid w:val="00844F34"/>
    <w:rsid w:val="00844FB0"/>
    <w:rsid w:val="00845017"/>
    <w:rsid w:val="008457ED"/>
    <w:rsid w:val="00845966"/>
    <w:rsid w:val="00846174"/>
    <w:rsid w:val="00846320"/>
    <w:rsid w:val="00846EA1"/>
    <w:rsid w:val="00846F95"/>
    <w:rsid w:val="008471C6"/>
    <w:rsid w:val="00847408"/>
    <w:rsid w:val="00847438"/>
    <w:rsid w:val="008478A4"/>
    <w:rsid w:val="00850001"/>
    <w:rsid w:val="008504AF"/>
    <w:rsid w:val="00850558"/>
    <w:rsid w:val="0085090B"/>
    <w:rsid w:val="00850DED"/>
    <w:rsid w:val="00850E0F"/>
    <w:rsid w:val="0085125B"/>
    <w:rsid w:val="008512CF"/>
    <w:rsid w:val="00851416"/>
    <w:rsid w:val="0085174C"/>
    <w:rsid w:val="00851E81"/>
    <w:rsid w:val="00851F75"/>
    <w:rsid w:val="00851FC8"/>
    <w:rsid w:val="0085202A"/>
    <w:rsid w:val="008521C9"/>
    <w:rsid w:val="008524C8"/>
    <w:rsid w:val="0085288C"/>
    <w:rsid w:val="00852979"/>
    <w:rsid w:val="008529C8"/>
    <w:rsid w:val="00852E66"/>
    <w:rsid w:val="00853018"/>
    <w:rsid w:val="00853530"/>
    <w:rsid w:val="0085354B"/>
    <w:rsid w:val="00853A62"/>
    <w:rsid w:val="00853E85"/>
    <w:rsid w:val="008545B7"/>
    <w:rsid w:val="00854D04"/>
    <w:rsid w:val="00854ED5"/>
    <w:rsid w:val="0085532A"/>
    <w:rsid w:val="00855AEF"/>
    <w:rsid w:val="00855F3D"/>
    <w:rsid w:val="00855FBE"/>
    <w:rsid w:val="0085689C"/>
    <w:rsid w:val="008569DC"/>
    <w:rsid w:val="00856C0D"/>
    <w:rsid w:val="00856E6D"/>
    <w:rsid w:val="00856E74"/>
    <w:rsid w:val="0085754F"/>
    <w:rsid w:val="00857618"/>
    <w:rsid w:val="0085793D"/>
    <w:rsid w:val="00857A8B"/>
    <w:rsid w:val="00857BE0"/>
    <w:rsid w:val="00857E08"/>
    <w:rsid w:val="0086035A"/>
    <w:rsid w:val="008610EE"/>
    <w:rsid w:val="008612E1"/>
    <w:rsid w:val="0086154B"/>
    <w:rsid w:val="00861E37"/>
    <w:rsid w:val="0086224E"/>
    <w:rsid w:val="008627DC"/>
    <w:rsid w:val="0086297E"/>
    <w:rsid w:val="008631CD"/>
    <w:rsid w:val="00863567"/>
    <w:rsid w:val="0086369A"/>
    <w:rsid w:val="0086370E"/>
    <w:rsid w:val="0086374D"/>
    <w:rsid w:val="0086396E"/>
    <w:rsid w:val="00863997"/>
    <w:rsid w:val="00863C70"/>
    <w:rsid w:val="00863DDD"/>
    <w:rsid w:val="0086440F"/>
    <w:rsid w:val="00864D56"/>
    <w:rsid w:val="008651C5"/>
    <w:rsid w:val="008651FF"/>
    <w:rsid w:val="00865274"/>
    <w:rsid w:val="0086548B"/>
    <w:rsid w:val="00865789"/>
    <w:rsid w:val="00865C3C"/>
    <w:rsid w:val="00866654"/>
    <w:rsid w:val="008669DF"/>
    <w:rsid w:val="00866C40"/>
    <w:rsid w:val="00866E40"/>
    <w:rsid w:val="0086725F"/>
    <w:rsid w:val="00867961"/>
    <w:rsid w:val="008702A2"/>
    <w:rsid w:val="008704D5"/>
    <w:rsid w:val="00870611"/>
    <w:rsid w:val="008707CD"/>
    <w:rsid w:val="00870AFC"/>
    <w:rsid w:val="00871EDE"/>
    <w:rsid w:val="00872598"/>
    <w:rsid w:val="00872961"/>
    <w:rsid w:val="0087325A"/>
    <w:rsid w:val="008735B9"/>
    <w:rsid w:val="00874008"/>
    <w:rsid w:val="008741A7"/>
    <w:rsid w:val="008743FB"/>
    <w:rsid w:val="00874561"/>
    <w:rsid w:val="00874B1A"/>
    <w:rsid w:val="00874C07"/>
    <w:rsid w:val="00874D7E"/>
    <w:rsid w:val="00874D8B"/>
    <w:rsid w:val="00874F2C"/>
    <w:rsid w:val="008750B9"/>
    <w:rsid w:val="008750E2"/>
    <w:rsid w:val="008752AB"/>
    <w:rsid w:val="0087588F"/>
    <w:rsid w:val="008763AF"/>
    <w:rsid w:val="008767CA"/>
    <w:rsid w:val="00876886"/>
    <w:rsid w:val="00877339"/>
    <w:rsid w:val="00877466"/>
    <w:rsid w:val="00877533"/>
    <w:rsid w:val="0087760A"/>
    <w:rsid w:val="0087783A"/>
    <w:rsid w:val="0087792E"/>
    <w:rsid w:val="008779CF"/>
    <w:rsid w:val="00877AE0"/>
    <w:rsid w:val="00877CBE"/>
    <w:rsid w:val="00880335"/>
    <w:rsid w:val="00880972"/>
    <w:rsid w:val="00880DE2"/>
    <w:rsid w:val="00880F9A"/>
    <w:rsid w:val="0088149B"/>
    <w:rsid w:val="008817DC"/>
    <w:rsid w:val="00881D36"/>
    <w:rsid w:val="008825D0"/>
    <w:rsid w:val="0088289C"/>
    <w:rsid w:val="00882932"/>
    <w:rsid w:val="00882999"/>
    <w:rsid w:val="00882B4B"/>
    <w:rsid w:val="008830F0"/>
    <w:rsid w:val="00883BF5"/>
    <w:rsid w:val="008842C1"/>
    <w:rsid w:val="00884BFB"/>
    <w:rsid w:val="00884DDC"/>
    <w:rsid w:val="008851B8"/>
    <w:rsid w:val="008852C0"/>
    <w:rsid w:val="00885AB4"/>
    <w:rsid w:val="00885D7D"/>
    <w:rsid w:val="00885FEB"/>
    <w:rsid w:val="008864F4"/>
    <w:rsid w:val="00886589"/>
    <w:rsid w:val="008865E0"/>
    <w:rsid w:val="008867E3"/>
    <w:rsid w:val="0088694F"/>
    <w:rsid w:val="00887474"/>
    <w:rsid w:val="00887A4C"/>
    <w:rsid w:val="00887E04"/>
    <w:rsid w:val="00887E21"/>
    <w:rsid w:val="00890248"/>
    <w:rsid w:val="0089026F"/>
    <w:rsid w:val="00890487"/>
    <w:rsid w:val="0089048B"/>
    <w:rsid w:val="00890839"/>
    <w:rsid w:val="00891002"/>
    <w:rsid w:val="008917E6"/>
    <w:rsid w:val="00891B03"/>
    <w:rsid w:val="00891B27"/>
    <w:rsid w:val="0089230C"/>
    <w:rsid w:val="00892903"/>
    <w:rsid w:val="008929CB"/>
    <w:rsid w:val="00893056"/>
    <w:rsid w:val="0089318D"/>
    <w:rsid w:val="0089320A"/>
    <w:rsid w:val="00893240"/>
    <w:rsid w:val="008932DC"/>
    <w:rsid w:val="0089363E"/>
    <w:rsid w:val="0089377B"/>
    <w:rsid w:val="00893797"/>
    <w:rsid w:val="00893826"/>
    <w:rsid w:val="00893DAF"/>
    <w:rsid w:val="00893E81"/>
    <w:rsid w:val="0089402E"/>
    <w:rsid w:val="0089524B"/>
    <w:rsid w:val="00895475"/>
    <w:rsid w:val="008959D3"/>
    <w:rsid w:val="00896076"/>
    <w:rsid w:val="00896526"/>
    <w:rsid w:val="00896837"/>
    <w:rsid w:val="008974B4"/>
    <w:rsid w:val="00897D15"/>
    <w:rsid w:val="00897F1F"/>
    <w:rsid w:val="008A00AD"/>
    <w:rsid w:val="008A0234"/>
    <w:rsid w:val="008A08E5"/>
    <w:rsid w:val="008A0C26"/>
    <w:rsid w:val="008A0F62"/>
    <w:rsid w:val="008A1102"/>
    <w:rsid w:val="008A12CE"/>
    <w:rsid w:val="008A17F6"/>
    <w:rsid w:val="008A18CD"/>
    <w:rsid w:val="008A1B5D"/>
    <w:rsid w:val="008A1BF7"/>
    <w:rsid w:val="008A1C83"/>
    <w:rsid w:val="008A1CF2"/>
    <w:rsid w:val="008A1DFF"/>
    <w:rsid w:val="008A242E"/>
    <w:rsid w:val="008A24CC"/>
    <w:rsid w:val="008A3086"/>
    <w:rsid w:val="008A30AE"/>
    <w:rsid w:val="008A3928"/>
    <w:rsid w:val="008A3A47"/>
    <w:rsid w:val="008A3EA6"/>
    <w:rsid w:val="008A412D"/>
    <w:rsid w:val="008A44A3"/>
    <w:rsid w:val="008A4654"/>
    <w:rsid w:val="008A48BC"/>
    <w:rsid w:val="008A49A3"/>
    <w:rsid w:val="008A4CDA"/>
    <w:rsid w:val="008A4D9A"/>
    <w:rsid w:val="008A5085"/>
    <w:rsid w:val="008A50C9"/>
    <w:rsid w:val="008A54DC"/>
    <w:rsid w:val="008A551E"/>
    <w:rsid w:val="008A560E"/>
    <w:rsid w:val="008A5AFF"/>
    <w:rsid w:val="008A5D16"/>
    <w:rsid w:val="008A5DF9"/>
    <w:rsid w:val="008A602B"/>
    <w:rsid w:val="008A62B8"/>
    <w:rsid w:val="008A63E4"/>
    <w:rsid w:val="008A6BB2"/>
    <w:rsid w:val="008A6D70"/>
    <w:rsid w:val="008A6F85"/>
    <w:rsid w:val="008A7017"/>
    <w:rsid w:val="008A734F"/>
    <w:rsid w:val="008A73D6"/>
    <w:rsid w:val="008A76D2"/>
    <w:rsid w:val="008A7735"/>
    <w:rsid w:val="008A79BF"/>
    <w:rsid w:val="008A7F0B"/>
    <w:rsid w:val="008B01DF"/>
    <w:rsid w:val="008B08CC"/>
    <w:rsid w:val="008B0F9B"/>
    <w:rsid w:val="008B11E3"/>
    <w:rsid w:val="008B13D6"/>
    <w:rsid w:val="008B1675"/>
    <w:rsid w:val="008B19A0"/>
    <w:rsid w:val="008B1D40"/>
    <w:rsid w:val="008B22C3"/>
    <w:rsid w:val="008B26C8"/>
    <w:rsid w:val="008B2832"/>
    <w:rsid w:val="008B2E75"/>
    <w:rsid w:val="008B3692"/>
    <w:rsid w:val="008B379C"/>
    <w:rsid w:val="008B37BD"/>
    <w:rsid w:val="008B3928"/>
    <w:rsid w:val="008B39AF"/>
    <w:rsid w:val="008B40FA"/>
    <w:rsid w:val="008B45DC"/>
    <w:rsid w:val="008B4DED"/>
    <w:rsid w:val="008B566D"/>
    <w:rsid w:val="008B5715"/>
    <w:rsid w:val="008B5968"/>
    <w:rsid w:val="008B5996"/>
    <w:rsid w:val="008B5BF3"/>
    <w:rsid w:val="008B5E19"/>
    <w:rsid w:val="008B62C3"/>
    <w:rsid w:val="008B65DC"/>
    <w:rsid w:val="008B6C25"/>
    <w:rsid w:val="008B6E94"/>
    <w:rsid w:val="008B7468"/>
    <w:rsid w:val="008B788C"/>
    <w:rsid w:val="008B7CB0"/>
    <w:rsid w:val="008B7CC0"/>
    <w:rsid w:val="008B7D32"/>
    <w:rsid w:val="008C003C"/>
    <w:rsid w:val="008C02C2"/>
    <w:rsid w:val="008C0684"/>
    <w:rsid w:val="008C0A8D"/>
    <w:rsid w:val="008C0C19"/>
    <w:rsid w:val="008C0FF6"/>
    <w:rsid w:val="008C14D2"/>
    <w:rsid w:val="008C164B"/>
    <w:rsid w:val="008C1AD6"/>
    <w:rsid w:val="008C1B2B"/>
    <w:rsid w:val="008C1B35"/>
    <w:rsid w:val="008C1C33"/>
    <w:rsid w:val="008C20AF"/>
    <w:rsid w:val="008C21E0"/>
    <w:rsid w:val="008C276F"/>
    <w:rsid w:val="008C2ACC"/>
    <w:rsid w:val="008C2FFF"/>
    <w:rsid w:val="008C330E"/>
    <w:rsid w:val="008C3E42"/>
    <w:rsid w:val="008C3FF7"/>
    <w:rsid w:val="008C409F"/>
    <w:rsid w:val="008C40E9"/>
    <w:rsid w:val="008C422D"/>
    <w:rsid w:val="008C4BC3"/>
    <w:rsid w:val="008C4DE6"/>
    <w:rsid w:val="008C51C6"/>
    <w:rsid w:val="008C55AF"/>
    <w:rsid w:val="008C55BC"/>
    <w:rsid w:val="008C560B"/>
    <w:rsid w:val="008C60CE"/>
    <w:rsid w:val="008C64F2"/>
    <w:rsid w:val="008C6F1A"/>
    <w:rsid w:val="008C70C7"/>
    <w:rsid w:val="008C71C8"/>
    <w:rsid w:val="008C725D"/>
    <w:rsid w:val="008C7604"/>
    <w:rsid w:val="008C767C"/>
    <w:rsid w:val="008C79EE"/>
    <w:rsid w:val="008C7ACE"/>
    <w:rsid w:val="008C7AE2"/>
    <w:rsid w:val="008C7D10"/>
    <w:rsid w:val="008C7D1C"/>
    <w:rsid w:val="008D03D8"/>
    <w:rsid w:val="008D0537"/>
    <w:rsid w:val="008D057F"/>
    <w:rsid w:val="008D0648"/>
    <w:rsid w:val="008D0707"/>
    <w:rsid w:val="008D077A"/>
    <w:rsid w:val="008D0791"/>
    <w:rsid w:val="008D0A26"/>
    <w:rsid w:val="008D1804"/>
    <w:rsid w:val="008D1830"/>
    <w:rsid w:val="008D1831"/>
    <w:rsid w:val="008D1839"/>
    <w:rsid w:val="008D19BE"/>
    <w:rsid w:val="008D1B1D"/>
    <w:rsid w:val="008D1BB7"/>
    <w:rsid w:val="008D1C47"/>
    <w:rsid w:val="008D2D70"/>
    <w:rsid w:val="008D2DF3"/>
    <w:rsid w:val="008D2E65"/>
    <w:rsid w:val="008D30F9"/>
    <w:rsid w:val="008D3639"/>
    <w:rsid w:val="008D3797"/>
    <w:rsid w:val="008D395B"/>
    <w:rsid w:val="008D3A08"/>
    <w:rsid w:val="008D409F"/>
    <w:rsid w:val="008D4100"/>
    <w:rsid w:val="008D429E"/>
    <w:rsid w:val="008D48A3"/>
    <w:rsid w:val="008D4BDD"/>
    <w:rsid w:val="008D4C65"/>
    <w:rsid w:val="008D4CF1"/>
    <w:rsid w:val="008D51FD"/>
    <w:rsid w:val="008D525F"/>
    <w:rsid w:val="008D5786"/>
    <w:rsid w:val="008D588C"/>
    <w:rsid w:val="008D5ACC"/>
    <w:rsid w:val="008D5B99"/>
    <w:rsid w:val="008D5D49"/>
    <w:rsid w:val="008D5FB8"/>
    <w:rsid w:val="008D60AD"/>
    <w:rsid w:val="008D6410"/>
    <w:rsid w:val="008D68E5"/>
    <w:rsid w:val="008D6A30"/>
    <w:rsid w:val="008D70F9"/>
    <w:rsid w:val="008D78BE"/>
    <w:rsid w:val="008D7B2A"/>
    <w:rsid w:val="008E059F"/>
    <w:rsid w:val="008E07A3"/>
    <w:rsid w:val="008E0821"/>
    <w:rsid w:val="008E0852"/>
    <w:rsid w:val="008E0A39"/>
    <w:rsid w:val="008E0EF9"/>
    <w:rsid w:val="008E123C"/>
    <w:rsid w:val="008E1B32"/>
    <w:rsid w:val="008E231A"/>
    <w:rsid w:val="008E24BD"/>
    <w:rsid w:val="008E255A"/>
    <w:rsid w:val="008E26C3"/>
    <w:rsid w:val="008E296F"/>
    <w:rsid w:val="008E3059"/>
    <w:rsid w:val="008E3136"/>
    <w:rsid w:val="008E32D5"/>
    <w:rsid w:val="008E3567"/>
    <w:rsid w:val="008E3606"/>
    <w:rsid w:val="008E373A"/>
    <w:rsid w:val="008E3C9D"/>
    <w:rsid w:val="008E3E04"/>
    <w:rsid w:val="008E3E6B"/>
    <w:rsid w:val="008E3E90"/>
    <w:rsid w:val="008E3F46"/>
    <w:rsid w:val="008E41E3"/>
    <w:rsid w:val="008E4579"/>
    <w:rsid w:val="008E469B"/>
    <w:rsid w:val="008E46D8"/>
    <w:rsid w:val="008E4A61"/>
    <w:rsid w:val="008E4A8C"/>
    <w:rsid w:val="008E5AD3"/>
    <w:rsid w:val="008E5C37"/>
    <w:rsid w:val="008E5C72"/>
    <w:rsid w:val="008E6215"/>
    <w:rsid w:val="008E645A"/>
    <w:rsid w:val="008E6597"/>
    <w:rsid w:val="008E6913"/>
    <w:rsid w:val="008E6A65"/>
    <w:rsid w:val="008E6B96"/>
    <w:rsid w:val="008E701A"/>
    <w:rsid w:val="008E73F0"/>
    <w:rsid w:val="008E76C1"/>
    <w:rsid w:val="008E79C9"/>
    <w:rsid w:val="008E7AB9"/>
    <w:rsid w:val="008E7B0F"/>
    <w:rsid w:val="008E7CE2"/>
    <w:rsid w:val="008F03A4"/>
    <w:rsid w:val="008F065B"/>
    <w:rsid w:val="008F06D1"/>
    <w:rsid w:val="008F0719"/>
    <w:rsid w:val="008F07AD"/>
    <w:rsid w:val="008F1102"/>
    <w:rsid w:val="008F1615"/>
    <w:rsid w:val="008F17A3"/>
    <w:rsid w:val="008F1AAB"/>
    <w:rsid w:val="008F1D3E"/>
    <w:rsid w:val="008F2157"/>
    <w:rsid w:val="008F2332"/>
    <w:rsid w:val="008F2576"/>
    <w:rsid w:val="008F264E"/>
    <w:rsid w:val="008F306C"/>
    <w:rsid w:val="008F3106"/>
    <w:rsid w:val="008F33B5"/>
    <w:rsid w:val="008F36F2"/>
    <w:rsid w:val="008F3BE6"/>
    <w:rsid w:val="008F4461"/>
    <w:rsid w:val="008F44E8"/>
    <w:rsid w:val="008F4533"/>
    <w:rsid w:val="008F4603"/>
    <w:rsid w:val="008F479F"/>
    <w:rsid w:val="008F48A8"/>
    <w:rsid w:val="008F4901"/>
    <w:rsid w:val="008F4F00"/>
    <w:rsid w:val="008F5CB7"/>
    <w:rsid w:val="008F604F"/>
    <w:rsid w:val="008F73CC"/>
    <w:rsid w:val="008F7812"/>
    <w:rsid w:val="008F79E6"/>
    <w:rsid w:val="009004F8"/>
    <w:rsid w:val="009005A5"/>
    <w:rsid w:val="009005BE"/>
    <w:rsid w:val="00900AA2"/>
    <w:rsid w:val="00900FFC"/>
    <w:rsid w:val="009012C8"/>
    <w:rsid w:val="009015E7"/>
    <w:rsid w:val="0090164F"/>
    <w:rsid w:val="00901ACA"/>
    <w:rsid w:val="00901E4C"/>
    <w:rsid w:val="00901E72"/>
    <w:rsid w:val="0090242B"/>
    <w:rsid w:val="00902601"/>
    <w:rsid w:val="00902A96"/>
    <w:rsid w:val="00902EEE"/>
    <w:rsid w:val="009032F4"/>
    <w:rsid w:val="00903318"/>
    <w:rsid w:val="009039B6"/>
    <w:rsid w:val="00903DCA"/>
    <w:rsid w:val="00903E8B"/>
    <w:rsid w:val="0090415F"/>
    <w:rsid w:val="009041FD"/>
    <w:rsid w:val="0090446E"/>
    <w:rsid w:val="009049DB"/>
    <w:rsid w:val="00904B75"/>
    <w:rsid w:val="00904BFC"/>
    <w:rsid w:val="0090508A"/>
    <w:rsid w:val="0090512F"/>
    <w:rsid w:val="009054A7"/>
    <w:rsid w:val="00905889"/>
    <w:rsid w:val="0090590B"/>
    <w:rsid w:val="00905B35"/>
    <w:rsid w:val="00906144"/>
    <w:rsid w:val="009065D2"/>
    <w:rsid w:val="00906E67"/>
    <w:rsid w:val="00906EB0"/>
    <w:rsid w:val="00906F33"/>
    <w:rsid w:val="009076E2"/>
    <w:rsid w:val="00907A8E"/>
    <w:rsid w:val="00907E6B"/>
    <w:rsid w:val="00907F55"/>
    <w:rsid w:val="00910011"/>
    <w:rsid w:val="009101AB"/>
    <w:rsid w:val="0091124A"/>
    <w:rsid w:val="00911515"/>
    <w:rsid w:val="0091184A"/>
    <w:rsid w:val="00911E29"/>
    <w:rsid w:val="009125FE"/>
    <w:rsid w:val="00912688"/>
    <w:rsid w:val="00912B15"/>
    <w:rsid w:val="00912E9D"/>
    <w:rsid w:val="0091386C"/>
    <w:rsid w:val="009143EB"/>
    <w:rsid w:val="00914861"/>
    <w:rsid w:val="00915019"/>
    <w:rsid w:val="00915570"/>
    <w:rsid w:val="00916224"/>
    <w:rsid w:val="009163EC"/>
    <w:rsid w:val="00916526"/>
    <w:rsid w:val="0091658B"/>
    <w:rsid w:val="009167EA"/>
    <w:rsid w:val="00916A2D"/>
    <w:rsid w:val="009172FF"/>
    <w:rsid w:val="00917550"/>
    <w:rsid w:val="0091768B"/>
    <w:rsid w:val="00917C20"/>
    <w:rsid w:val="00917D06"/>
    <w:rsid w:val="00917E88"/>
    <w:rsid w:val="00917EEE"/>
    <w:rsid w:val="00920327"/>
    <w:rsid w:val="0092054B"/>
    <w:rsid w:val="009212E9"/>
    <w:rsid w:val="009214AE"/>
    <w:rsid w:val="0092179E"/>
    <w:rsid w:val="00921CD9"/>
    <w:rsid w:val="00921CF7"/>
    <w:rsid w:val="00921D5F"/>
    <w:rsid w:val="009220BA"/>
    <w:rsid w:val="00922CB9"/>
    <w:rsid w:val="00922ECB"/>
    <w:rsid w:val="0092357A"/>
    <w:rsid w:val="009236D7"/>
    <w:rsid w:val="00924690"/>
    <w:rsid w:val="009247DE"/>
    <w:rsid w:val="00924990"/>
    <w:rsid w:val="009249B9"/>
    <w:rsid w:val="0092514F"/>
    <w:rsid w:val="0092537C"/>
    <w:rsid w:val="0092540A"/>
    <w:rsid w:val="009255B1"/>
    <w:rsid w:val="009255D9"/>
    <w:rsid w:val="0092583D"/>
    <w:rsid w:val="0092606E"/>
    <w:rsid w:val="00926163"/>
    <w:rsid w:val="0092617C"/>
    <w:rsid w:val="009261A3"/>
    <w:rsid w:val="009264AF"/>
    <w:rsid w:val="00926B38"/>
    <w:rsid w:val="00926E2F"/>
    <w:rsid w:val="00927809"/>
    <w:rsid w:val="009300F1"/>
    <w:rsid w:val="00930159"/>
    <w:rsid w:val="009301E5"/>
    <w:rsid w:val="0093070A"/>
    <w:rsid w:val="00930A34"/>
    <w:rsid w:val="009314B4"/>
    <w:rsid w:val="00931B5C"/>
    <w:rsid w:val="009325E2"/>
    <w:rsid w:val="009327C8"/>
    <w:rsid w:val="009327DF"/>
    <w:rsid w:val="00932F18"/>
    <w:rsid w:val="0093336E"/>
    <w:rsid w:val="0093342F"/>
    <w:rsid w:val="009341CF"/>
    <w:rsid w:val="009347D7"/>
    <w:rsid w:val="0093484D"/>
    <w:rsid w:val="00934B50"/>
    <w:rsid w:val="00934CC2"/>
    <w:rsid w:val="009350ED"/>
    <w:rsid w:val="00935311"/>
    <w:rsid w:val="009353A4"/>
    <w:rsid w:val="00935423"/>
    <w:rsid w:val="009355D2"/>
    <w:rsid w:val="009359AF"/>
    <w:rsid w:val="00935C0C"/>
    <w:rsid w:val="0093657F"/>
    <w:rsid w:val="00936973"/>
    <w:rsid w:val="00936AC3"/>
    <w:rsid w:val="00936D6E"/>
    <w:rsid w:val="00936E04"/>
    <w:rsid w:val="00936FE4"/>
    <w:rsid w:val="00937324"/>
    <w:rsid w:val="0093752F"/>
    <w:rsid w:val="009378D5"/>
    <w:rsid w:val="009378EF"/>
    <w:rsid w:val="00937D37"/>
    <w:rsid w:val="009402FC"/>
    <w:rsid w:val="009404D9"/>
    <w:rsid w:val="00940529"/>
    <w:rsid w:val="00940706"/>
    <w:rsid w:val="009408B7"/>
    <w:rsid w:val="00940A81"/>
    <w:rsid w:val="00940D0D"/>
    <w:rsid w:val="00941705"/>
    <w:rsid w:val="0094244B"/>
    <w:rsid w:val="00942453"/>
    <w:rsid w:val="00942F22"/>
    <w:rsid w:val="00943194"/>
    <w:rsid w:val="009432A6"/>
    <w:rsid w:val="009432CE"/>
    <w:rsid w:val="00943713"/>
    <w:rsid w:val="009439D9"/>
    <w:rsid w:val="00943D05"/>
    <w:rsid w:val="00943D9E"/>
    <w:rsid w:val="00944160"/>
    <w:rsid w:val="00944E8F"/>
    <w:rsid w:val="00944EEF"/>
    <w:rsid w:val="00945178"/>
    <w:rsid w:val="00945323"/>
    <w:rsid w:val="0094573F"/>
    <w:rsid w:val="00945F38"/>
    <w:rsid w:val="00945FF7"/>
    <w:rsid w:val="0094627C"/>
    <w:rsid w:val="0094655A"/>
    <w:rsid w:val="00946719"/>
    <w:rsid w:val="00946A2F"/>
    <w:rsid w:val="00947125"/>
    <w:rsid w:val="009501F9"/>
    <w:rsid w:val="00950971"/>
    <w:rsid w:val="00950D9D"/>
    <w:rsid w:val="00951072"/>
    <w:rsid w:val="009510CC"/>
    <w:rsid w:val="009516B1"/>
    <w:rsid w:val="00951B0D"/>
    <w:rsid w:val="00951F48"/>
    <w:rsid w:val="00951FC9"/>
    <w:rsid w:val="0095201E"/>
    <w:rsid w:val="00952051"/>
    <w:rsid w:val="0095209F"/>
    <w:rsid w:val="00952257"/>
    <w:rsid w:val="00952BE0"/>
    <w:rsid w:val="00952FBD"/>
    <w:rsid w:val="00953230"/>
    <w:rsid w:val="00953D27"/>
    <w:rsid w:val="00953F03"/>
    <w:rsid w:val="00954528"/>
    <w:rsid w:val="009548F1"/>
    <w:rsid w:val="0095550B"/>
    <w:rsid w:val="009557E6"/>
    <w:rsid w:val="00955AD6"/>
    <w:rsid w:val="00955C8E"/>
    <w:rsid w:val="009562E7"/>
    <w:rsid w:val="0095672D"/>
    <w:rsid w:val="00956B20"/>
    <w:rsid w:val="00956D5A"/>
    <w:rsid w:val="0095700D"/>
    <w:rsid w:val="009573E4"/>
    <w:rsid w:val="00957DED"/>
    <w:rsid w:val="00957ED1"/>
    <w:rsid w:val="0096076F"/>
    <w:rsid w:val="009607E2"/>
    <w:rsid w:val="009609B2"/>
    <w:rsid w:val="0096102C"/>
    <w:rsid w:val="009611E1"/>
    <w:rsid w:val="00961603"/>
    <w:rsid w:val="00961936"/>
    <w:rsid w:val="00961F3C"/>
    <w:rsid w:val="00962285"/>
    <w:rsid w:val="00962AC2"/>
    <w:rsid w:val="00962B43"/>
    <w:rsid w:val="00963643"/>
    <w:rsid w:val="00964205"/>
    <w:rsid w:val="009644E4"/>
    <w:rsid w:val="00964981"/>
    <w:rsid w:val="00964B7E"/>
    <w:rsid w:val="00964D91"/>
    <w:rsid w:val="00964DFE"/>
    <w:rsid w:val="0096512F"/>
    <w:rsid w:val="00965783"/>
    <w:rsid w:val="00965B8C"/>
    <w:rsid w:val="00966301"/>
    <w:rsid w:val="00966325"/>
    <w:rsid w:val="0096667A"/>
    <w:rsid w:val="009667F2"/>
    <w:rsid w:val="00966B32"/>
    <w:rsid w:val="00967131"/>
    <w:rsid w:val="009675CC"/>
    <w:rsid w:val="0096782B"/>
    <w:rsid w:val="00967A48"/>
    <w:rsid w:val="00967BAF"/>
    <w:rsid w:val="00967D45"/>
    <w:rsid w:val="00970A13"/>
    <w:rsid w:val="00970C9C"/>
    <w:rsid w:val="00970D81"/>
    <w:rsid w:val="009715CF"/>
    <w:rsid w:val="00971722"/>
    <w:rsid w:val="00971C5C"/>
    <w:rsid w:val="009720D6"/>
    <w:rsid w:val="009721B8"/>
    <w:rsid w:val="009722F7"/>
    <w:rsid w:val="009724A8"/>
    <w:rsid w:val="0097250C"/>
    <w:rsid w:val="009728D6"/>
    <w:rsid w:val="00972DCE"/>
    <w:rsid w:val="00972E4F"/>
    <w:rsid w:val="009731F8"/>
    <w:rsid w:val="00973AA6"/>
    <w:rsid w:val="00973BA8"/>
    <w:rsid w:val="0097419B"/>
    <w:rsid w:val="00974690"/>
    <w:rsid w:val="009747ED"/>
    <w:rsid w:val="009747FA"/>
    <w:rsid w:val="00975131"/>
    <w:rsid w:val="00975406"/>
    <w:rsid w:val="009758A7"/>
    <w:rsid w:val="00975B0D"/>
    <w:rsid w:val="00975C7E"/>
    <w:rsid w:val="00975D83"/>
    <w:rsid w:val="00975E08"/>
    <w:rsid w:val="00976564"/>
    <w:rsid w:val="00976C4C"/>
    <w:rsid w:val="00977609"/>
    <w:rsid w:val="00977769"/>
    <w:rsid w:val="009777AF"/>
    <w:rsid w:val="00980773"/>
    <w:rsid w:val="00980A9B"/>
    <w:rsid w:val="00980CE5"/>
    <w:rsid w:val="00981686"/>
    <w:rsid w:val="00981772"/>
    <w:rsid w:val="00981E3D"/>
    <w:rsid w:val="009824D4"/>
    <w:rsid w:val="009826D8"/>
    <w:rsid w:val="009828A1"/>
    <w:rsid w:val="009828BD"/>
    <w:rsid w:val="00982AEF"/>
    <w:rsid w:val="00982DBB"/>
    <w:rsid w:val="00982DE4"/>
    <w:rsid w:val="00982E11"/>
    <w:rsid w:val="009830E3"/>
    <w:rsid w:val="0098337A"/>
    <w:rsid w:val="009836F3"/>
    <w:rsid w:val="00983BFC"/>
    <w:rsid w:val="00983D0A"/>
    <w:rsid w:val="00984138"/>
    <w:rsid w:val="00984580"/>
    <w:rsid w:val="00985178"/>
    <w:rsid w:val="00985E8B"/>
    <w:rsid w:val="00986CD1"/>
    <w:rsid w:val="00986D9F"/>
    <w:rsid w:val="0098714E"/>
    <w:rsid w:val="00987357"/>
    <w:rsid w:val="00987BCD"/>
    <w:rsid w:val="00987C1F"/>
    <w:rsid w:val="00987E5A"/>
    <w:rsid w:val="00987EB9"/>
    <w:rsid w:val="00987F38"/>
    <w:rsid w:val="00990970"/>
    <w:rsid w:val="00991039"/>
    <w:rsid w:val="009916D5"/>
    <w:rsid w:val="00991A7F"/>
    <w:rsid w:val="00991DB9"/>
    <w:rsid w:val="00991F4A"/>
    <w:rsid w:val="00991F4F"/>
    <w:rsid w:val="009920A6"/>
    <w:rsid w:val="0099265D"/>
    <w:rsid w:val="00992EA2"/>
    <w:rsid w:val="0099391C"/>
    <w:rsid w:val="00993AD7"/>
    <w:rsid w:val="00993B21"/>
    <w:rsid w:val="00993BE5"/>
    <w:rsid w:val="009949A7"/>
    <w:rsid w:val="00994A92"/>
    <w:rsid w:val="00994B64"/>
    <w:rsid w:val="00994C37"/>
    <w:rsid w:val="00995445"/>
    <w:rsid w:val="00995892"/>
    <w:rsid w:val="00995B93"/>
    <w:rsid w:val="00995D24"/>
    <w:rsid w:val="00995F49"/>
    <w:rsid w:val="0099617F"/>
    <w:rsid w:val="00996E63"/>
    <w:rsid w:val="00997098"/>
    <w:rsid w:val="009970A4"/>
    <w:rsid w:val="00997601"/>
    <w:rsid w:val="00997DBC"/>
    <w:rsid w:val="009A00AE"/>
    <w:rsid w:val="009A0F52"/>
    <w:rsid w:val="009A12FB"/>
    <w:rsid w:val="009A1A71"/>
    <w:rsid w:val="009A1C34"/>
    <w:rsid w:val="009A21B9"/>
    <w:rsid w:val="009A261D"/>
    <w:rsid w:val="009A266E"/>
    <w:rsid w:val="009A26E5"/>
    <w:rsid w:val="009A2833"/>
    <w:rsid w:val="009A2DB2"/>
    <w:rsid w:val="009A3575"/>
    <w:rsid w:val="009A35DB"/>
    <w:rsid w:val="009A48F7"/>
    <w:rsid w:val="009A4A80"/>
    <w:rsid w:val="009A547E"/>
    <w:rsid w:val="009A54A0"/>
    <w:rsid w:val="009A54CA"/>
    <w:rsid w:val="009A551E"/>
    <w:rsid w:val="009A5DF0"/>
    <w:rsid w:val="009A66B6"/>
    <w:rsid w:val="009A6706"/>
    <w:rsid w:val="009A6742"/>
    <w:rsid w:val="009A6CAE"/>
    <w:rsid w:val="009A7529"/>
    <w:rsid w:val="009A7670"/>
    <w:rsid w:val="009A7823"/>
    <w:rsid w:val="009A797A"/>
    <w:rsid w:val="009A7E9D"/>
    <w:rsid w:val="009B002C"/>
    <w:rsid w:val="009B00DD"/>
    <w:rsid w:val="009B0866"/>
    <w:rsid w:val="009B0EEE"/>
    <w:rsid w:val="009B18BD"/>
    <w:rsid w:val="009B1A57"/>
    <w:rsid w:val="009B1A89"/>
    <w:rsid w:val="009B1BA4"/>
    <w:rsid w:val="009B1BE6"/>
    <w:rsid w:val="009B1E33"/>
    <w:rsid w:val="009B1F6F"/>
    <w:rsid w:val="009B24C6"/>
    <w:rsid w:val="009B24CB"/>
    <w:rsid w:val="009B2AED"/>
    <w:rsid w:val="009B2E64"/>
    <w:rsid w:val="009B2F80"/>
    <w:rsid w:val="009B35C1"/>
    <w:rsid w:val="009B3E1A"/>
    <w:rsid w:val="009B3FB5"/>
    <w:rsid w:val="009B47BF"/>
    <w:rsid w:val="009B4CAD"/>
    <w:rsid w:val="009B4F3E"/>
    <w:rsid w:val="009B552D"/>
    <w:rsid w:val="009B5C43"/>
    <w:rsid w:val="009B664B"/>
    <w:rsid w:val="009B6F2B"/>
    <w:rsid w:val="009B7044"/>
    <w:rsid w:val="009B7244"/>
    <w:rsid w:val="009B7400"/>
    <w:rsid w:val="009B76FC"/>
    <w:rsid w:val="009B79F9"/>
    <w:rsid w:val="009B7D28"/>
    <w:rsid w:val="009C012B"/>
    <w:rsid w:val="009C0312"/>
    <w:rsid w:val="009C0C25"/>
    <w:rsid w:val="009C0C4F"/>
    <w:rsid w:val="009C0C65"/>
    <w:rsid w:val="009C0CA7"/>
    <w:rsid w:val="009C0DCE"/>
    <w:rsid w:val="009C0E49"/>
    <w:rsid w:val="009C1164"/>
    <w:rsid w:val="009C1527"/>
    <w:rsid w:val="009C1666"/>
    <w:rsid w:val="009C1A38"/>
    <w:rsid w:val="009C20F9"/>
    <w:rsid w:val="009C249B"/>
    <w:rsid w:val="009C2617"/>
    <w:rsid w:val="009C26EF"/>
    <w:rsid w:val="009C2BF1"/>
    <w:rsid w:val="009C2C6F"/>
    <w:rsid w:val="009C318F"/>
    <w:rsid w:val="009C3750"/>
    <w:rsid w:val="009C386F"/>
    <w:rsid w:val="009C38D0"/>
    <w:rsid w:val="009C3FB3"/>
    <w:rsid w:val="009C4E28"/>
    <w:rsid w:val="009C5410"/>
    <w:rsid w:val="009C5886"/>
    <w:rsid w:val="009C5D82"/>
    <w:rsid w:val="009C66E9"/>
    <w:rsid w:val="009C6B92"/>
    <w:rsid w:val="009C76E3"/>
    <w:rsid w:val="009C7EB5"/>
    <w:rsid w:val="009C7F5C"/>
    <w:rsid w:val="009D06FC"/>
    <w:rsid w:val="009D07EE"/>
    <w:rsid w:val="009D07EF"/>
    <w:rsid w:val="009D0A95"/>
    <w:rsid w:val="009D1184"/>
    <w:rsid w:val="009D1395"/>
    <w:rsid w:val="009D1712"/>
    <w:rsid w:val="009D1A97"/>
    <w:rsid w:val="009D1ACA"/>
    <w:rsid w:val="009D1C63"/>
    <w:rsid w:val="009D1E39"/>
    <w:rsid w:val="009D23D4"/>
    <w:rsid w:val="009D2419"/>
    <w:rsid w:val="009D27AF"/>
    <w:rsid w:val="009D2F39"/>
    <w:rsid w:val="009D3BAC"/>
    <w:rsid w:val="009D3EC7"/>
    <w:rsid w:val="009D3F99"/>
    <w:rsid w:val="009D44D0"/>
    <w:rsid w:val="009D4530"/>
    <w:rsid w:val="009D4BC3"/>
    <w:rsid w:val="009D4BF2"/>
    <w:rsid w:val="009D4EA1"/>
    <w:rsid w:val="009D4FEC"/>
    <w:rsid w:val="009D51EC"/>
    <w:rsid w:val="009D5FE0"/>
    <w:rsid w:val="009D6026"/>
    <w:rsid w:val="009D61BA"/>
    <w:rsid w:val="009D65AD"/>
    <w:rsid w:val="009D66F0"/>
    <w:rsid w:val="009D690D"/>
    <w:rsid w:val="009D7064"/>
    <w:rsid w:val="009D7133"/>
    <w:rsid w:val="009D75FD"/>
    <w:rsid w:val="009D7669"/>
    <w:rsid w:val="009D76F0"/>
    <w:rsid w:val="009D7726"/>
    <w:rsid w:val="009D7AE5"/>
    <w:rsid w:val="009E037C"/>
    <w:rsid w:val="009E03E5"/>
    <w:rsid w:val="009E03EF"/>
    <w:rsid w:val="009E060E"/>
    <w:rsid w:val="009E07DF"/>
    <w:rsid w:val="009E090D"/>
    <w:rsid w:val="009E10A7"/>
    <w:rsid w:val="009E11BD"/>
    <w:rsid w:val="009E15D0"/>
    <w:rsid w:val="009E1E27"/>
    <w:rsid w:val="009E22BE"/>
    <w:rsid w:val="009E23C1"/>
    <w:rsid w:val="009E275C"/>
    <w:rsid w:val="009E299B"/>
    <w:rsid w:val="009E2A63"/>
    <w:rsid w:val="009E3251"/>
    <w:rsid w:val="009E39A4"/>
    <w:rsid w:val="009E3C46"/>
    <w:rsid w:val="009E3D29"/>
    <w:rsid w:val="009E408D"/>
    <w:rsid w:val="009E409C"/>
    <w:rsid w:val="009E44A6"/>
    <w:rsid w:val="009E46D4"/>
    <w:rsid w:val="009E4810"/>
    <w:rsid w:val="009E48DF"/>
    <w:rsid w:val="009E4E44"/>
    <w:rsid w:val="009E4EBA"/>
    <w:rsid w:val="009E50A6"/>
    <w:rsid w:val="009E679B"/>
    <w:rsid w:val="009E6A7F"/>
    <w:rsid w:val="009E6B28"/>
    <w:rsid w:val="009E6BAD"/>
    <w:rsid w:val="009E6D5C"/>
    <w:rsid w:val="009E77DE"/>
    <w:rsid w:val="009E7935"/>
    <w:rsid w:val="009E7E9D"/>
    <w:rsid w:val="009E7FA1"/>
    <w:rsid w:val="009F0027"/>
    <w:rsid w:val="009F0134"/>
    <w:rsid w:val="009F0161"/>
    <w:rsid w:val="009F0613"/>
    <w:rsid w:val="009F0C46"/>
    <w:rsid w:val="009F0F57"/>
    <w:rsid w:val="009F1193"/>
    <w:rsid w:val="009F1357"/>
    <w:rsid w:val="009F1B50"/>
    <w:rsid w:val="009F1C15"/>
    <w:rsid w:val="009F1C88"/>
    <w:rsid w:val="009F1F42"/>
    <w:rsid w:val="009F23A2"/>
    <w:rsid w:val="009F23E9"/>
    <w:rsid w:val="009F283A"/>
    <w:rsid w:val="009F2AFE"/>
    <w:rsid w:val="009F2B7A"/>
    <w:rsid w:val="009F2E41"/>
    <w:rsid w:val="009F332F"/>
    <w:rsid w:val="009F383F"/>
    <w:rsid w:val="009F3BAF"/>
    <w:rsid w:val="009F3C59"/>
    <w:rsid w:val="009F412A"/>
    <w:rsid w:val="009F47D8"/>
    <w:rsid w:val="009F492B"/>
    <w:rsid w:val="009F4A4A"/>
    <w:rsid w:val="009F4BC9"/>
    <w:rsid w:val="009F5226"/>
    <w:rsid w:val="009F5456"/>
    <w:rsid w:val="009F5603"/>
    <w:rsid w:val="009F5B7C"/>
    <w:rsid w:val="009F60CB"/>
    <w:rsid w:val="009F621B"/>
    <w:rsid w:val="009F64B0"/>
    <w:rsid w:val="009F6DFB"/>
    <w:rsid w:val="009F77EA"/>
    <w:rsid w:val="009F7889"/>
    <w:rsid w:val="009F79EB"/>
    <w:rsid w:val="009F7CB8"/>
    <w:rsid w:val="009F7D75"/>
    <w:rsid w:val="009F7FD3"/>
    <w:rsid w:val="00A00423"/>
    <w:rsid w:val="00A00752"/>
    <w:rsid w:val="00A00831"/>
    <w:rsid w:val="00A01506"/>
    <w:rsid w:val="00A016DF"/>
    <w:rsid w:val="00A01729"/>
    <w:rsid w:val="00A01747"/>
    <w:rsid w:val="00A01A72"/>
    <w:rsid w:val="00A01BF1"/>
    <w:rsid w:val="00A01F3B"/>
    <w:rsid w:val="00A02215"/>
    <w:rsid w:val="00A02955"/>
    <w:rsid w:val="00A029FC"/>
    <w:rsid w:val="00A02FCE"/>
    <w:rsid w:val="00A030F0"/>
    <w:rsid w:val="00A033D8"/>
    <w:rsid w:val="00A034D0"/>
    <w:rsid w:val="00A035FB"/>
    <w:rsid w:val="00A03954"/>
    <w:rsid w:val="00A03BB8"/>
    <w:rsid w:val="00A03FAF"/>
    <w:rsid w:val="00A03FB0"/>
    <w:rsid w:val="00A04051"/>
    <w:rsid w:val="00A04671"/>
    <w:rsid w:val="00A04AF5"/>
    <w:rsid w:val="00A04B40"/>
    <w:rsid w:val="00A054A6"/>
    <w:rsid w:val="00A05578"/>
    <w:rsid w:val="00A057D3"/>
    <w:rsid w:val="00A05A39"/>
    <w:rsid w:val="00A05D5B"/>
    <w:rsid w:val="00A063AC"/>
    <w:rsid w:val="00A064A7"/>
    <w:rsid w:val="00A0682D"/>
    <w:rsid w:val="00A0692F"/>
    <w:rsid w:val="00A06CA2"/>
    <w:rsid w:val="00A070E7"/>
    <w:rsid w:val="00A0715E"/>
    <w:rsid w:val="00A072E7"/>
    <w:rsid w:val="00A072EA"/>
    <w:rsid w:val="00A07A93"/>
    <w:rsid w:val="00A1007F"/>
    <w:rsid w:val="00A1076C"/>
    <w:rsid w:val="00A10D76"/>
    <w:rsid w:val="00A10EB4"/>
    <w:rsid w:val="00A11189"/>
    <w:rsid w:val="00A1199A"/>
    <w:rsid w:val="00A11DA7"/>
    <w:rsid w:val="00A1204C"/>
    <w:rsid w:val="00A121B4"/>
    <w:rsid w:val="00A12892"/>
    <w:rsid w:val="00A12E87"/>
    <w:rsid w:val="00A132B6"/>
    <w:rsid w:val="00A14026"/>
    <w:rsid w:val="00A143BA"/>
    <w:rsid w:val="00A1453B"/>
    <w:rsid w:val="00A14A24"/>
    <w:rsid w:val="00A14AF2"/>
    <w:rsid w:val="00A14B3B"/>
    <w:rsid w:val="00A15014"/>
    <w:rsid w:val="00A15BE7"/>
    <w:rsid w:val="00A15CA9"/>
    <w:rsid w:val="00A15F8D"/>
    <w:rsid w:val="00A1600B"/>
    <w:rsid w:val="00A16367"/>
    <w:rsid w:val="00A16515"/>
    <w:rsid w:val="00A16757"/>
    <w:rsid w:val="00A16843"/>
    <w:rsid w:val="00A16ED4"/>
    <w:rsid w:val="00A1703E"/>
    <w:rsid w:val="00A17218"/>
    <w:rsid w:val="00A17316"/>
    <w:rsid w:val="00A1733D"/>
    <w:rsid w:val="00A17A1B"/>
    <w:rsid w:val="00A17DE6"/>
    <w:rsid w:val="00A17FC0"/>
    <w:rsid w:val="00A2004B"/>
    <w:rsid w:val="00A2065A"/>
    <w:rsid w:val="00A20672"/>
    <w:rsid w:val="00A2082D"/>
    <w:rsid w:val="00A20D3E"/>
    <w:rsid w:val="00A20D75"/>
    <w:rsid w:val="00A21E45"/>
    <w:rsid w:val="00A21E49"/>
    <w:rsid w:val="00A21EC6"/>
    <w:rsid w:val="00A21ED3"/>
    <w:rsid w:val="00A22013"/>
    <w:rsid w:val="00A2207D"/>
    <w:rsid w:val="00A22326"/>
    <w:rsid w:val="00A22ACD"/>
    <w:rsid w:val="00A22F38"/>
    <w:rsid w:val="00A23196"/>
    <w:rsid w:val="00A23283"/>
    <w:rsid w:val="00A2362B"/>
    <w:rsid w:val="00A24041"/>
    <w:rsid w:val="00A243A3"/>
    <w:rsid w:val="00A24A13"/>
    <w:rsid w:val="00A2554D"/>
    <w:rsid w:val="00A257E8"/>
    <w:rsid w:val="00A25984"/>
    <w:rsid w:val="00A25FA9"/>
    <w:rsid w:val="00A26107"/>
    <w:rsid w:val="00A262D3"/>
    <w:rsid w:val="00A262FF"/>
    <w:rsid w:val="00A2654C"/>
    <w:rsid w:val="00A265F2"/>
    <w:rsid w:val="00A26973"/>
    <w:rsid w:val="00A26AEB"/>
    <w:rsid w:val="00A26E08"/>
    <w:rsid w:val="00A27230"/>
    <w:rsid w:val="00A27EA2"/>
    <w:rsid w:val="00A303B4"/>
    <w:rsid w:val="00A30827"/>
    <w:rsid w:val="00A30F6E"/>
    <w:rsid w:val="00A31A0F"/>
    <w:rsid w:val="00A31AAB"/>
    <w:rsid w:val="00A31DC4"/>
    <w:rsid w:val="00A325D4"/>
    <w:rsid w:val="00A3274E"/>
    <w:rsid w:val="00A32F53"/>
    <w:rsid w:val="00A330B9"/>
    <w:rsid w:val="00A3312A"/>
    <w:rsid w:val="00A33394"/>
    <w:rsid w:val="00A33ED6"/>
    <w:rsid w:val="00A340A2"/>
    <w:rsid w:val="00A346C0"/>
    <w:rsid w:val="00A34787"/>
    <w:rsid w:val="00A349BF"/>
    <w:rsid w:val="00A34AF4"/>
    <w:rsid w:val="00A34F2C"/>
    <w:rsid w:val="00A35005"/>
    <w:rsid w:val="00A355A6"/>
    <w:rsid w:val="00A355C5"/>
    <w:rsid w:val="00A358B8"/>
    <w:rsid w:val="00A35A04"/>
    <w:rsid w:val="00A35A27"/>
    <w:rsid w:val="00A36230"/>
    <w:rsid w:val="00A37261"/>
    <w:rsid w:val="00A37AAF"/>
    <w:rsid w:val="00A37E35"/>
    <w:rsid w:val="00A401D8"/>
    <w:rsid w:val="00A40364"/>
    <w:rsid w:val="00A41053"/>
    <w:rsid w:val="00A411F3"/>
    <w:rsid w:val="00A41D18"/>
    <w:rsid w:val="00A424E7"/>
    <w:rsid w:val="00A429B1"/>
    <w:rsid w:val="00A42FC2"/>
    <w:rsid w:val="00A430BC"/>
    <w:rsid w:val="00A43116"/>
    <w:rsid w:val="00A4316C"/>
    <w:rsid w:val="00A43C12"/>
    <w:rsid w:val="00A442B4"/>
    <w:rsid w:val="00A44636"/>
    <w:rsid w:val="00A44C00"/>
    <w:rsid w:val="00A44EC5"/>
    <w:rsid w:val="00A452D5"/>
    <w:rsid w:val="00A45E60"/>
    <w:rsid w:val="00A45F21"/>
    <w:rsid w:val="00A4616E"/>
    <w:rsid w:val="00A46355"/>
    <w:rsid w:val="00A463E1"/>
    <w:rsid w:val="00A46B1B"/>
    <w:rsid w:val="00A46F28"/>
    <w:rsid w:val="00A473EC"/>
    <w:rsid w:val="00A4752B"/>
    <w:rsid w:val="00A4767C"/>
    <w:rsid w:val="00A476BB"/>
    <w:rsid w:val="00A4794E"/>
    <w:rsid w:val="00A47B4C"/>
    <w:rsid w:val="00A47C87"/>
    <w:rsid w:val="00A47C9D"/>
    <w:rsid w:val="00A47FB9"/>
    <w:rsid w:val="00A50277"/>
    <w:rsid w:val="00A50568"/>
    <w:rsid w:val="00A5061E"/>
    <w:rsid w:val="00A50759"/>
    <w:rsid w:val="00A50894"/>
    <w:rsid w:val="00A50BB5"/>
    <w:rsid w:val="00A51389"/>
    <w:rsid w:val="00A51940"/>
    <w:rsid w:val="00A51A71"/>
    <w:rsid w:val="00A51B04"/>
    <w:rsid w:val="00A51DCB"/>
    <w:rsid w:val="00A51ED8"/>
    <w:rsid w:val="00A51F5D"/>
    <w:rsid w:val="00A5266A"/>
    <w:rsid w:val="00A527AF"/>
    <w:rsid w:val="00A52A0D"/>
    <w:rsid w:val="00A52B18"/>
    <w:rsid w:val="00A52C51"/>
    <w:rsid w:val="00A53266"/>
    <w:rsid w:val="00A5332A"/>
    <w:rsid w:val="00A53E0A"/>
    <w:rsid w:val="00A53E59"/>
    <w:rsid w:val="00A54207"/>
    <w:rsid w:val="00A54656"/>
    <w:rsid w:val="00A54D16"/>
    <w:rsid w:val="00A550E5"/>
    <w:rsid w:val="00A5533C"/>
    <w:rsid w:val="00A5543E"/>
    <w:rsid w:val="00A55952"/>
    <w:rsid w:val="00A55B4D"/>
    <w:rsid w:val="00A55C12"/>
    <w:rsid w:val="00A55FD5"/>
    <w:rsid w:val="00A56463"/>
    <w:rsid w:val="00A572D1"/>
    <w:rsid w:val="00A575FA"/>
    <w:rsid w:val="00A57608"/>
    <w:rsid w:val="00A57913"/>
    <w:rsid w:val="00A57C6F"/>
    <w:rsid w:val="00A60149"/>
    <w:rsid w:val="00A601DB"/>
    <w:rsid w:val="00A601EB"/>
    <w:rsid w:val="00A602FC"/>
    <w:rsid w:val="00A6047D"/>
    <w:rsid w:val="00A60E10"/>
    <w:rsid w:val="00A6122A"/>
    <w:rsid w:val="00A61CAF"/>
    <w:rsid w:val="00A6260E"/>
    <w:rsid w:val="00A62833"/>
    <w:rsid w:val="00A62A48"/>
    <w:rsid w:val="00A62AA6"/>
    <w:rsid w:val="00A62AAD"/>
    <w:rsid w:val="00A62CD6"/>
    <w:rsid w:val="00A634CC"/>
    <w:rsid w:val="00A63C85"/>
    <w:rsid w:val="00A64058"/>
    <w:rsid w:val="00A6410C"/>
    <w:rsid w:val="00A642BA"/>
    <w:rsid w:val="00A645C6"/>
    <w:rsid w:val="00A648E9"/>
    <w:rsid w:val="00A649CA"/>
    <w:rsid w:val="00A649F3"/>
    <w:rsid w:val="00A64ABF"/>
    <w:rsid w:val="00A64C7D"/>
    <w:rsid w:val="00A64CD9"/>
    <w:rsid w:val="00A64FC1"/>
    <w:rsid w:val="00A654E5"/>
    <w:rsid w:val="00A6673D"/>
    <w:rsid w:val="00A66A5E"/>
    <w:rsid w:val="00A66A89"/>
    <w:rsid w:val="00A66AFE"/>
    <w:rsid w:val="00A66C20"/>
    <w:rsid w:val="00A66F62"/>
    <w:rsid w:val="00A66FEE"/>
    <w:rsid w:val="00A6710E"/>
    <w:rsid w:val="00A67551"/>
    <w:rsid w:val="00A67EFA"/>
    <w:rsid w:val="00A7000F"/>
    <w:rsid w:val="00A70298"/>
    <w:rsid w:val="00A704EF"/>
    <w:rsid w:val="00A70937"/>
    <w:rsid w:val="00A70982"/>
    <w:rsid w:val="00A70A5E"/>
    <w:rsid w:val="00A70E79"/>
    <w:rsid w:val="00A70FDD"/>
    <w:rsid w:val="00A71814"/>
    <w:rsid w:val="00A71ACC"/>
    <w:rsid w:val="00A72036"/>
    <w:rsid w:val="00A72270"/>
    <w:rsid w:val="00A7238D"/>
    <w:rsid w:val="00A72A04"/>
    <w:rsid w:val="00A72ED9"/>
    <w:rsid w:val="00A72F85"/>
    <w:rsid w:val="00A7357B"/>
    <w:rsid w:val="00A73659"/>
    <w:rsid w:val="00A73A72"/>
    <w:rsid w:val="00A73B60"/>
    <w:rsid w:val="00A74048"/>
    <w:rsid w:val="00A74954"/>
    <w:rsid w:val="00A7546A"/>
    <w:rsid w:val="00A759BF"/>
    <w:rsid w:val="00A75C0F"/>
    <w:rsid w:val="00A75CAC"/>
    <w:rsid w:val="00A75DC5"/>
    <w:rsid w:val="00A75E59"/>
    <w:rsid w:val="00A76113"/>
    <w:rsid w:val="00A76865"/>
    <w:rsid w:val="00A76975"/>
    <w:rsid w:val="00A76A68"/>
    <w:rsid w:val="00A76DCD"/>
    <w:rsid w:val="00A77002"/>
    <w:rsid w:val="00A774D9"/>
    <w:rsid w:val="00A77549"/>
    <w:rsid w:val="00A77CE6"/>
    <w:rsid w:val="00A77F3F"/>
    <w:rsid w:val="00A8014E"/>
    <w:rsid w:val="00A8052F"/>
    <w:rsid w:val="00A80874"/>
    <w:rsid w:val="00A80BE7"/>
    <w:rsid w:val="00A80C18"/>
    <w:rsid w:val="00A81D41"/>
    <w:rsid w:val="00A81D76"/>
    <w:rsid w:val="00A8213D"/>
    <w:rsid w:val="00A82190"/>
    <w:rsid w:val="00A82728"/>
    <w:rsid w:val="00A8293F"/>
    <w:rsid w:val="00A838DC"/>
    <w:rsid w:val="00A83C84"/>
    <w:rsid w:val="00A8495B"/>
    <w:rsid w:val="00A8496B"/>
    <w:rsid w:val="00A84DAA"/>
    <w:rsid w:val="00A84E3E"/>
    <w:rsid w:val="00A85172"/>
    <w:rsid w:val="00A85694"/>
    <w:rsid w:val="00A856F3"/>
    <w:rsid w:val="00A85844"/>
    <w:rsid w:val="00A85B6D"/>
    <w:rsid w:val="00A86309"/>
    <w:rsid w:val="00A86363"/>
    <w:rsid w:val="00A865C6"/>
    <w:rsid w:val="00A86682"/>
    <w:rsid w:val="00A86AB8"/>
    <w:rsid w:val="00A87240"/>
    <w:rsid w:val="00A9007F"/>
    <w:rsid w:val="00A9030D"/>
    <w:rsid w:val="00A90D25"/>
    <w:rsid w:val="00A90E32"/>
    <w:rsid w:val="00A917DC"/>
    <w:rsid w:val="00A91A94"/>
    <w:rsid w:val="00A91D6E"/>
    <w:rsid w:val="00A91EDC"/>
    <w:rsid w:val="00A920DB"/>
    <w:rsid w:val="00A927D0"/>
    <w:rsid w:val="00A92B43"/>
    <w:rsid w:val="00A92FBA"/>
    <w:rsid w:val="00A9334A"/>
    <w:rsid w:val="00A93578"/>
    <w:rsid w:val="00A93AA0"/>
    <w:rsid w:val="00A93EAA"/>
    <w:rsid w:val="00A9410C"/>
    <w:rsid w:val="00A94328"/>
    <w:rsid w:val="00A9442B"/>
    <w:rsid w:val="00A94452"/>
    <w:rsid w:val="00A94659"/>
    <w:rsid w:val="00A9466D"/>
    <w:rsid w:val="00A95126"/>
    <w:rsid w:val="00A95556"/>
    <w:rsid w:val="00A95A72"/>
    <w:rsid w:val="00A95C9F"/>
    <w:rsid w:val="00A95CA6"/>
    <w:rsid w:val="00A96019"/>
    <w:rsid w:val="00A9672B"/>
    <w:rsid w:val="00A96843"/>
    <w:rsid w:val="00A96849"/>
    <w:rsid w:val="00A96E79"/>
    <w:rsid w:val="00A9707B"/>
    <w:rsid w:val="00A97399"/>
    <w:rsid w:val="00A97826"/>
    <w:rsid w:val="00A97AF7"/>
    <w:rsid w:val="00A97B32"/>
    <w:rsid w:val="00A97C83"/>
    <w:rsid w:val="00AA0373"/>
    <w:rsid w:val="00AA0CAA"/>
    <w:rsid w:val="00AA18EF"/>
    <w:rsid w:val="00AA1BBD"/>
    <w:rsid w:val="00AA1D0D"/>
    <w:rsid w:val="00AA1E24"/>
    <w:rsid w:val="00AA218C"/>
    <w:rsid w:val="00AA280B"/>
    <w:rsid w:val="00AA3086"/>
    <w:rsid w:val="00AA3127"/>
    <w:rsid w:val="00AA3A47"/>
    <w:rsid w:val="00AA4193"/>
    <w:rsid w:val="00AA431C"/>
    <w:rsid w:val="00AA461B"/>
    <w:rsid w:val="00AA4888"/>
    <w:rsid w:val="00AA4D16"/>
    <w:rsid w:val="00AA502B"/>
    <w:rsid w:val="00AA50B9"/>
    <w:rsid w:val="00AA58BE"/>
    <w:rsid w:val="00AA5BA7"/>
    <w:rsid w:val="00AA5C3E"/>
    <w:rsid w:val="00AA612E"/>
    <w:rsid w:val="00AA6201"/>
    <w:rsid w:val="00AA653D"/>
    <w:rsid w:val="00AA6560"/>
    <w:rsid w:val="00AA68B0"/>
    <w:rsid w:val="00AA6963"/>
    <w:rsid w:val="00AA6E1B"/>
    <w:rsid w:val="00AA7090"/>
    <w:rsid w:val="00AA70C4"/>
    <w:rsid w:val="00AA7159"/>
    <w:rsid w:val="00AA718F"/>
    <w:rsid w:val="00AA76FB"/>
    <w:rsid w:val="00AA7904"/>
    <w:rsid w:val="00AA79B3"/>
    <w:rsid w:val="00AA7C58"/>
    <w:rsid w:val="00AB02ED"/>
    <w:rsid w:val="00AB070A"/>
    <w:rsid w:val="00AB0F64"/>
    <w:rsid w:val="00AB193A"/>
    <w:rsid w:val="00AB1A3F"/>
    <w:rsid w:val="00AB20AD"/>
    <w:rsid w:val="00AB2396"/>
    <w:rsid w:val="00AB25A3"/>
    <w:rsid w:val="00AB25EF"/>
    <w:rsid w:val="00AB2A24"/>
    <w:rsid w:val="00AB2A31"/>
    <w:rsid w:val="00AB2D62"/>
    <w:rsid w:val="00AB2FE3"/>
    <w:rsid w:val="00AB31E1"/>
    <w:rsid w:val="00AB3562"/>
    <w:rsid w:val="00AB39F1"/>
    <w:rsid w:val="00AB3A62"/>
    <w:rsid w:val="00AB4154"/>
    <w:rsid w:val="00AB415E"/>
    <w:rsid w:val="00AB42A5"/>
    <w:rsid w:val="00AB4593"/>
    <w:rsid w:val="00AB461C"/>
    <w:rsid w:val="00AB48BA"/>
    <w:rsid w:val="00AB48FB"/>
    <w:rsid w:val="00AB4901"/>
    <w:rsid w:val="00AB49D2"/>
    <w:rsid w:val="00AB4BFA"/>
    <w:rsid w:val="00AB4EC1"/>
    <w:rsid w:val="00AB51E8"/>
    <w:rsid w:val="00AB56A6"/>
    <w:rsid w:val="00AB5713"/>
    <w:rsid w:val="00AB5795"/>
    <w:rsid w:val="00AB5B3C"/>
    <w:rsid w:val="00AB5BF7"/>
    <w:rsid w:val="00AB5D78"/>
    <w:rsid w:val="00AB5DDD"/>
    <w:rsid w:val="00AB65AC"/>
    <w:rsid w:val="00AB661A"/>
    <w:rsid w:val="00AB68CB"/>
    <w:rsid w:val="00AB6958"/>
    <w:rsid w:val="00AB6DDF"/>
    <w:rsid w:val="00AB7E1E"/>
    <w:rsid w:val="00AB7E4B"/>
    <w:rsid w:val="00AC0043"/>
    <w:rsid w:val="00AC0351"/>
    <w:rsid w:val="00AC05BA"/>
    <w:rsid w:val="00AC06E7"/>
    <w:rsid w:val="00AC0914"/>
    <w:rsid w:val="00AC150B"/>
    <w:rsid w:val="00AC173D"/>
    <w:rsid w:val="00AC19ED"/>
    <w:rsid w:val="00AC1DAC"/>
    <w:rsid w:val="00AC1F6E"/>
    <w:rsid w:val="00AC275E"/>
    <w:rsid w:val="00AC27CA"/>
    <w:rsid w:val="00AC3076"/>
    <w:rsid w:val="00AC33F0"/>
    <w:rsid w:val="00AC3761"/>
    <w:rsid w:val="00AC3A92"/>
    <w:rsid w:val="00AC3BA2"/>
    <w:rsid w:val="00AC48B3"/>
    <w:rsid w:val="00AC4CF1"/>
    <w:rsid w:val="00AC520D"/>
    <w:rsid w:val="00AC5B1D"/>
    <w:rsid w:val="00AC5B89"/>
    <w:rsid w:val="00AC6537"/>
    <w:rsid w:val="00AC65B1"/>
    <w:rsid w:val="00AC6B39"/>
    <w:rsid w:val="00AC7330"/>
    <w:rsid w:val="00AC780D"/>
    <w:rsid w:val="00AD01E5"/>
    <w:rsid w:val="00AD0B17"/>
    <w:rsid w:val="00AD0FD7"/>
    <w:rsid w:val="00AD14E7"/>
    <w:rsid w:val="00AD156D"/>
    <w:rsid w:val="00AD1802"/>
    <w:rsid w:val="00AD1B07"/>
    <w:rsid w:val="00AD1D03"/>
    <w:rsid w:val="00AD1D55"/>
    <w:rsid w:val="00AD22ED"/>
    <w:rsid w:val="00AD240E"/>
    <w:rsid w:val="00AD2493"/>
    <w:rsid w:val="00AD2767"/>
    <w:rsid w:val="00AD2E96"/>
    <w:rsid w:val="00AD2F78"/>
    <w:rsid w:val="00AD2FCA"/>
    <w:rsid w:val="00AD33B7"/>
    <w:rsid w:val="00AD33D8"/>
    <w:rsid w:val="00AD3847"/>
    <w:rsid w:val="00AD3A87"/>
    <w:rsid w:val="00AD3F12"/>
    <w:rsid w:val="00AD4873"/>
    <w:rsid w:val="00AD4C22"/>
    <w:rsid w:val="00AD4DBA"/>
    <w:rsid w:val="00AD5009"/>
    <w:rsid w:val="00AD53A9"/>
    <w:rsid w:val="00AD55AC"/>
    <w:rsid w:val="00AD5A37"/>
    <w:rsid w:val="00AD5C38"/>
    <w:rsid w:val="00AD5DE1"/>
    <w:rsid w:val="00AD6058"/>
    <w:rsid w:val="00AD6206"/>
    <w:rsid w:val="00AD6DCB"/>
    <w:rsid w:val="00AD6F4F"/>
    <w:rsid w:val="00AD725F"/>
    <w:rsid w:val="00AD732E"/>
    <w:rsid w:val="00AD774B"/>
    <w:rsid w:val="00AD7821"/>
    <w:rsid w:val="00AD7848"/>
    <w:rsid w:val="00AD7C1F"/>
    <w:rsid w:val="00AE01B2"/>
    <w:rsid w:val="00AE0589"/>
    <w:rsid w:val="00AE07A4"/>
    <w:rsid w:val="00AE07F6"/>
    <w:rsid w:val="00AE0A62"/>
    <w:rsid w:val="00AE0A7D"/>
    <w:rsid w:val="00AE0CA8"/>
    <w:rsid w:val="00AE0D38"/>
    <w:rsid w:val="00AE0F9C"/>
    <w:rsid w:val="00AE0FA5"/>
    <w:rsid w:val="00AE10CF"/>
    <w:rsid w:val="00AE14E3"/>
    <w:rsid w:val="00AE1A06"/>
    <w:rsid w:val="00AE1C61"/>
    <w:rsid w:val="00AE1C9C"/>
    <w:rsid w:val="00AE1FB2"/>
    <w:rsid w:val="00AE24B8"/>
    <w:rsid w:val="00AE24CB"/>
    <w:rsid w:val="00AE2D68"/>
    <w:rsid w:val="00AE34C6"/>
    <w:rsid w:val="00AE35E8"/>
    <w:rsid w:val="00AE38D5"/>
    <w:rsid w:val="00AE3FA8"/>
    <w:rsid w:val="00AE3FAD"/>
    <w:rsid w:val="00AE4785"/>
    <w:rsid w:val="00AE49E9"/>
    <w:rsid w:val="00AE4AA8"/>
    <w:rsid w:val="00AE4AAF"/>
    <w:rsid w:val="00AE4BFF"/>
    <w:rsid w:val="00AE4D36"/>
    <w:rsid w:val="00AE5039"/>
    <w:rsid w:val="00AE515F"/>
    <w:rsid w:val="00AE538C"/>
    <w:rsid w:val="00AE59B5"/>
    <w:rsid w:val="00AE5FBB"/>
    <w:rsid w:val="00AE5FBF"/>
    <w:rsid w:val="00AE6297"/>
    <w:rsid w:val="00AE63D1"/>
    <w:rsid w:val="00AE6455"/>
    <w:rsid w:val="00AE694D"/>
    <w:rsid w:val="00AE6B02"/>
    <w:rsid w:val="00AE79B3"/>
    <w:rsid w:val="00AE7A04"/>
    <w:rsid w:val="00AE7D89"/>
    <w:rsid w:val="00AE7EDD"/>
    <w:rsid w:val="00AF07BC"/>
    <w:rsid w:val="00AF0A96"/>
    <w:rsid w:val="00AF0BA7"/>
    <w:rsid w:val="00AF0BB3"/>
    <w:rsid w:val="00AF0DF8"/>
    <w:rsid w:val="00AF17E0"/>
    <w:rsid w:val="00AF2243"/>
    <w:rsid w:val="00AF38A6"/>
    <w:rsid w:val="00AF39FA"/>
    <w:rsid w:val="00AF3A30"/>
    <w:rsid w:val="00AF3A56"/>
    <w:rsid w:val="00AF3F59"/>
    <w:rsid w:val="00AF40C4"/>
    <w:rsid w:val="00AF40F8"/>
    <w:rsid w:val="00AF4300"/>
    <w:rsid w:val="00AF4D68"/>
    <w:rsid w:val="00AF4E18"/>
    <w:rsid w:val="00AF4F2D"/>
    <w:rsid w:val="00AF50E3"/>
    <w:rsid w:val="00AF5862"/>
    <w:rsid w:val="00AF5E2A"/>
    <w:rsid w:val="00AF5F53"/>
    <w:rsid w:val="00AF6485"/>
    <w:rsid w:val="00AF66B0"/>
    <w:rsid w:val="00AF682D"/>
    <w:rsid w:val="00AF69FC"/>
    <w:rsid w:val="00AF6E09"/>
    <w:rsid w:val="00AF6F64"/>
    <w:rsid w:val="00AF7311"/>
    <w:rsid w:val="00B00F6E"/>
    <w:rsid w:val="00B00FBC"/>
    <w:rsid w:val="00B010CF"/>
    <w:rsid w:val="00B02C18"/>
    <w:rsid w:val="00B02C5F"/>
    <w:rsid w:val="00B0372D"/>
    <w:rsid w:val="00B03899"/>
    <w:rsid w:val="00B0397A"/>
    <w:rsid w:val="00B039D9"/>
    <w:rsid w:val="00B03DE1"/>
    <w:rsid w:val="00B041F5"/>
    <w:rsid w:val="00B042AA"/>
    <w:rsid w:val="00B048CA"/>
    <w:rsid w:val="00B04ED0"/>
    <w:rsid w:val="00B04FEF"/>
    <w:rsid w:val="00B05605"/>
    <w:rsid w:val="00B05880"/>
    <w:rsid w:val="00B05956"/>
    <w:rsid w:val="00B05E17"/>
    <w:rsid w:val="00B064F6"/>
    <w:rsid w:val="00B073C0"/>
    <w:rsid w:val="00B074BC"/>
    <w:rsid w:val="00B07500"/>
    <w:rsid w:val="00B07A47"/>
    <w:rsid w:val="00B07AAD"/>
    <w:rsid w:val="00B1024B"/>
    <w:rsid w:val="00B10A41"/>
    <w:rsid w:val="00B10F20"/>
    <w:rsid w:val="00B10FB3"/>
    <w:rsid w:val="00B11012"/>
    <w:rsid w:val="00B11117"/>
    <w:rsid w:val="00B111E7"/>
    <w:rsid w:val="00B11206"/>
    <w:rsid w:val="00B1236A"/>
    <w:rsid w:val="00B125D5"/>
    <w:rsid w:val="00B12691"/>
    <w:rsid w:val="00B12CD1"/>
    <w:rsid w:val="00B132F9"/>
    <w:rsid w:val="00B133C4"/>
    <w:rsid w:val="00B13608"/>
    <w:rsid w:val="00B13C4B"/>
    <w:rsid w:val="00B13F61"/>
    <w:rsid w:val="00B140D1"/>
    <w:rsid w:val="00B14607"/>
    <w:rsid w:val="00B1475F"/>
    <w:rsid w:val="00B14819"/>
    <w:rsid w:val="00B14CE0"/>
    <w:rsid w:val="00B151E0"/>
    <w:rsid w:val="00B16061"/>
    <w:rsid w:val="00B1666D"/>
    <w:rsid w:val="00B1694A"/>
    <w:rsid w:val="00B16EB3"/>
    <w:rsid w:val="00B17061"/>
    <w:rsid w:val="00B17099"/>
    <w:rsid w:val="00B17BCA"/>
    <w:rsid w:val="00B17EAF"/>
    <w:rsid w:val="00B20A65"/>
    <w:rsid w:val="00B20CFD"/>
    <w:rsid w:val="00B20D0C"/>
    <w:rsid w:val="00B20D9D"/>
    <w:rsid w:val="00B214DF"/>
    <w:rsid w:val="00B215B9"/>
    <w:rsid w:val="00B21AA5"/>
    <w:rsid w:val="00B225D9"/>
    <w:rsid w:val="00B2282E"/>
    <w:rsid w:val="00B22BD2"/>
    <w:rsid w:val="00B22BEB"/>
    <w:rsid w:val="00B22E65"/>
    <w:rsid w:val="00B22F4A"/>
    <w:rsid w:val="00B240AB"/>
    <w:rsid w:val="00B2423C"/>
    <w:rsid w:val="00B24408"/>
    <w:rsid w:val="00B249C0"/>
    <w:rsid w:val="00B249FC"/>
    <w:rsid w:val="00B24A0B"/>
    <w:rsid w:val="00B24A76"/>
    <w:rsid w:val="00B24AC5"/>
    <w:rsid w:val="00B24E55"/>
    <w:rsid w:val="00B24EA1"/>
    <w:rsid w:val="00B25701"/>
    <w:rsid w:val="00B2579A"/>
    <w:rsid w:val="00B257F5"/>
    <w:rsid w:val="00B25F6E"/>
    <w:rsid w:val="00B2602F"/>
    <w:rsid w:val="00B26179"/>
    <w:rsid w:val="00B26434"/>
    <w:rsid w:val="00B266BC"/>
    <w:rsid w:val="00B26AA6"/>
    <w:rsid w:val="00B26B02"/>
    <w:rsid w:val="00B26FA0"/>
    <w:rsid w:val="00B2730C"/>
    <w:rsid w:val="00B3002C"/>
    <w:rsid w:val="00B30365"/>
    <w:rsid w:val="00B305C5"/>
    <w:rsid w:val="00B305DE"/>
    <w:rsid w:val="00B30894"/>
    <w:rsid w:val="00B308AE"/>
    <w:rsid w:val="00B310F9"/>
    <w:rsid w:val="00B31322"/>
    <w:rsid w:val="00B3180B"/>
    <w:rsid w:val="00B31B79"/>
    <w:rsid w:val="00B31D46"/>
    <w:rsid w:val="00B32A0E"/>
    <w:rsid w:val="00B33075"/>
    <w:rsid w:val="00B33446"/>
    <w:rsid w:val="00B33692"/>
    <w:rsid w:val="00B338ED"/>
    <w:rsid w:val="00B33F97"/>
    <w:rsid w:val="00B33FF6"/>
    <w:rsid w:val="00B340E4"/>
    <w:rsid w:val="00B341DB"/>
    <w:rsid w:val="00B3427B"/>
    <w:rsid w:val="00B34384"/>
    <w:rsid w:val="00B34B37"/>
    <w:rsid w:val="00B34F09"/>
    <w:rsid w:val="00B35089"/>
    <w:rsid w:val="00B351F6"/>
    <w:rsid w:val="00B35263"/>
    <w:rsid w:val="00B35332"/>
    <w:rsid w:val="00B35642"/>
    <w:rsid w:val="00B3577B"/>
    <w:rsid w:val="00B35920"/>
    <w:rsid w:val="00B35A48"/>
    <w:rsid w:val="00B361FA"/>
    <w:rsid w:val="00B36234"/>
    <w:rsid w:val="00B36246"/>
    <w:rsid w:val="00B36306"/>
    <w:rsid w:val="00B36754"/>
    <w:rsid w:val="00B36D65"/>
    <w:rsid w:val="00B37180"/>
    <w:rsid w:val="00B374E8"/>
    <w:rsid w:val="00B376D7"/>
    <w:rsid w:val="00B4035B"/>
    <w:rsid w:val="00B4069F"/>
    <w:rsid w:val="00B40A08"/>
    <w:rsid w:val="00B40A3B"/>
    <w:rsid w:val="00B40B33"/>
    <w:rsid w:val="00B40B93"/>
    <w:rsid w:val="00B40DC5"/>
    <w:rsid w:val="00B40E5F"/>
    <w:rsid w:val="00B4116B"/>
    <w:rsid w:val="00B41436"/>
    <w:rsid w:val="00B4163A"/>
    <w:rsid w:val="00B416ED"/>
    <w:rsid w:val="00B418D9"/>
    <w:rsid w:val="00B4192F"/>
    <w:rsid w:val="00B420CD"/>
    <w:rsid w:val="00B42434"/>
    <w:rsid w:val="00B42516"/>
    <w:rsid w:val="00B4289F"/>
    <w:rsid w:val="00B42BF1"/>
    <w:rsid w:val="00B42EEF"/>
    <w:rsid w:val="00B43397"/>
    <w:rsid w:val="00B437DD"/>
    <w:rsid w:val="00B43914"/>
    <w:rsid w:val="00B43EC6"/>
    <w:rsid w:val="00B440E8"/>
    <w:rsid w:val="00B44243"/>
    <w:rsid w:val="00B444C5"/>
    <w:rsid w:val="00B44BCF"/>
    <w:rsid w:val="00B45076"/>
    <w:rsid w:val="00B45720"/>
    <w:rsid w:val="00B457CE"/>
    <w:rsid w:val="00B459B4"/>
    <w:rsid w:val="00B45E06"/>
    <w:rsid w:val="00B45E6A"/>
    <w:rsid w:val="00B460F4"/>
    <w:rsid w:val="00B465BA"/>
    <w:rsid w:val="00B46DE7"/>
    <w:rsid w:val="00B46F62"/>
    <w:rsid w:val="00B47180"/>
    <w:rsid w:val="00B477DA"/>
    <w:rsid w:val="00B478D5"/>
    <w:rsid w:val="00B47BCE"/>
    <w:rsid w:val="00B47E32"/>
    <w:rsid w:val="00B47F44"/>
    <w:rsid w:val="00B50461"/>
    <w:rsid w:val="00B50477"/>
    <w:rsid w:val="00B5048B"/>
    <w:rsid w:val="00B5096D"/>
    <w:rsid w:val="00B50991"/>
    <w:rsid w:val="00B50C5D"/>
    <w:rsid w:val="00B50FFA"/>
    <w:rsid w:val="00B511E6"/>
    <w:rsid w:val="00B5121C"/>
    <w:rsid w:val="00B5149A"/>
    <w:rsid w:val="00B51824"/>
    <w:rsid w:val="00B51AC2"/>
    <w:rsid w:val="00B5220D"/>
    <w:rsid w:val="00B522DF"/>
    <w:rsid w:val="00B528F7"/>
    <w:rsid w:val="00B52A17"/>
    <w:rsid w:val="00B52A4D"/>
    <w:rsid w:val="00B52F98"/>
    <w:rsid w:val="00B53119"/>
    <w:rsid w:val="00B53525"/>
    <w:rsid w:val="00B53698"/>
    <w:rsid w:val="00B54152"/>
    <w:rsid w:val="00B541CA"/>
    <w:rsid w:val="00B544B3"/>
    <w:rsid w:val="00B5543B"/>
    <w:rsid w:val="00B5547B"/>
    <w:rsid w:val="00B556C2"/>
    <w:rsid w:val="00B55823"/>
    <w:rsid w:val="00B55EF9"/>
    <w:rsid w:val="00B565B1"/>
    <w:rsid w:val="00B56CCE"/>
    <w:rsid w:val="00B576D0"/>
    <w:rsid w:val="00B57E57"/>
    <w:rsid w:val="00B6000D"/>
    <w:rsid w:val="00B607A6"/>
    <w:rsid w:val="00B60B63"/>
    <w:rsid w:val="00B60FF7"/>
    <w:rsid w:val="00B6126F"/>
    <w:rsid w:val="00B613AE"/>
    <w:rsid w:val="00B61A98"/>
    <w:rsid w:val="00B61E69"/>
    <w:rsid w:val="00B61FEB"/>
    <w:rsid w:val="00B6227A"/>
    <w:rsid w:val="00B62545"/>
    <w:rsid w:val="00B62A26"/>
    <w:rsid w:val="00B62D49"/>
    <w:rsid w:val="00B63E3C"/>
    <w:rsid w:val="00B63FB8"/>
    <w:rsid w:val="00B6432F"/>
    <w:rsid w:val="00B645C2"/>
    <w:rsid w:val="00B646EB"/>
    <w:rsid w:val="00B64757"/>
    <w:rsid w:val="00B647BA"/>
    <w:rsid w:val="00B656FA"/>
    <w:rsid w:val="00B662E8"/>
    <w:rsid w:val="00B6691D"/>
    <w:rsid w:val="00B66AF8"/>
    <w:rsid w:val="00B66D3C"/>
    <w:rsid w:val="00B6716B"/>
    <w:rsid w:val="00B673A1"/>
    <w:rsid w:val="00B67408"/>
    <w:rsid w:val="00B674A0"/>
    <w:rsid w:val="00B7013D"/>
    <w:rsid w:val="00B70BEC"/>
    <w:rsid w:val="00B70D8A"/>
    <w:rsid w:val="00B70EB8"/>
    <w:rsid w:val="00B70F42"/>
    <w:rsid w:val="00B710C5"/>
    <w:rsid w:val="00B715A5"/>
    <w:rsid w:val="00B71D36"/>
    <w:rsid w:val="00B7232B"/>
    <w:rsid w:val="00B725F6"/>
    <w:rsid w:val="00B7303A"/>
    <w:rsid w:val="00B7304D"/>
    <w:rsid w:val="00B7363A"/>
    <w:rsid w:val="00B7376E"/>
    <w:rsid w:val="00B73D8D"/>
    <w:rsid w:val="00B743D3"/>
    <w:rsid w:val="00B74444"/>
    <w:rsid w:val="00B7459F"/>
    <w:rsid w:val="00B74A57"/>
    <w:rsid w:val="00B74B74"/>
    <w:rsid w:val="00B7556D"/>
    <w:rsid w:val="00B75981"/>
    <w:rsid w:val="00B75BE8"/>
    <w:rsid w:val="00B76409"/>
    <w:rsid w:val="00B768B4"/>
    <w:rsid w:val="00B768C3"/>
    <w:rsid w:val="00B77126"/>
    <w:rsid w:val="00B7726E"/>
    <w:rsid w:val="00B77CB1"/>
    <w:rsid w:val="00B77E0B"/>
    <w:rsid w:val="00B8001F"/>
    <w:rsid w:val="00B81585"/>
    <w:rsid w:val="00B81C2E"/>
    <w:rsid w:val="00B82278"/>
    <w:rsid w:val="00B822FD"/>
    <w:rsid w:val="00B829BC"/>
    <w:rsid w:val="00B831E2"/>
    <w:rsid w:val="00B833AD"/>
    <w:rsid w:val="00B838D1"/>
    <w:rsid w:val="00B83AC8"/>
    <w:rsid w:val="00B83BF3"/>
    <w:rsid w:val="00B83E29"/>
    <w:rsid w:val="00B840F0"/>
    <w:rsid w:val="00B8415F"/>
    <w:rsid w:val="00B84197"/>
    <w:rsid w:val="00B84478"/>
    <w:rsid w:val="00B84A0B"/>
    <w:rsid w:val="00B85495"/>
    <w:rsid w:val="00B859E9"/>
    <w:rsid w:val="00B859ED"/>
    <w:rsid w:val="00B85EEF"/>
    <w:rsid w:val="00B8653E"/>
    <w:rsid w:val="00B874CD"/>
    <w:rsid w:val="00B8753E"/>
    <w:rsid w:val="00B8764E"/>
    <w:rsid w:val="00B87951"/>
    <w:rsid w:val="00B87B82"/>
    <w:rsid w:val="00B903AA"/>
    <w:rsid w:val="00B904C9"/>
    <w:rsid w:val="00B905CE"/>
    <w:rsid w:val="00B90814"/>
    <w:rsid w:val="00B90B23"/>
    <w:rsid w:val="00B90DD3"/>
    <w:rsid w:val="00B9127D"/>
    <w:rsid w:val="00B91639"/>
    <w:rsid w:val="00B91D27"/>
    <w:rsid w:val="00B91F11"/>
    <w:rsid w:val="00B91F58"/>
    <w:rsid w:val="00B92367"/>
    <w:rsid w:val="00B92427"/>
    <w:rsid w:val="00B92596"/>
    <w:rsid w:val="00B93095"/>
    <w:rsid w:val="00B93399"/>
    <w:rsid w:val="00B933BD"/>
    <w:rsid w:val="00B933BE"/>
    <w:rsid w:val="00B9346A"/>
    <w:rsid w:val="00B9377F"/>
    <w:rsid w:val="00B937D6"/>
    <w:rsid w:val="00B939BB"/>
    <w:rsid w:val="00B942E3"/>
    <w:rsid w:val="00B948B0"/>
    <w:rsid w:val="00B949F0"/>
    <w:rsid w:val="00B949FC"/>
    <w:rsid w:val="00B94A8B"/>
    <w:rsid w:val="00B9544A"/>
    <w:rsid w:val="00B95F1F"/>
    <w:rsid w:val="00B96208"/>
    <w:rsid w:val="00B9621C"/>
    <w:rsid w:val="00B96242"/>
    <w:rsid w:val="00B962E6"/>
    <w:rsid w:val="00B9676F"/>
    <w:rsid w:val="00B96CE8"/>
    <w:rsid w:val="00B96E95"/>
    <w:rsid w:val="00B9717C"/>
    <w:rsid w:val="00B972C9"/>
    <w:rsid w:val="00B97326"/>
    <w:rsid w:val="00B97B1C"/>
    <w:rsid w:val="00BA02C0"/>
    <w:rsid w:val="00BA08A0"/>
    <w:rsid w:val="00BA09F8"/>
    <w:rsid w:val="00BA0F82"/>
    <w:rsid w:val="00BA1AE2"/>
    <w:rsid w:val="00BA1C8F"/>
    <w:rsid w:val="00BA1CB5"/>
    <w:rsid w:val="00BA1CEF"/>
    <w:rsid w:val="00BA2390"/>
    <w:rsid w:val="00BA23C6"/>
    <w:rsid w:val="00BA25A8"/>
    <w:rsid w:val="00BA270A"/>
    <w:rsid w:val="00BA2854"/>
    <w:rsid w:val="00BA2996"/>
    <w:rsid w:val="00BA2B4D"/>
    <w:rsid w:val="00BA3F11"/>
    <w:rsid w:val="00BA3F76"/>
    <w:rsid w:val="00BA40F0"/>
    <w:rsid w:val="00BA52C0"/>
    <w:rsid w:val="00BA53E6"/>
    <w:rsid w:val="00BA545E"/>
    <w:rsid w:val="00BA6384"/>
    <w:rsid w:val="00BA64AC"/>
    <w:rsid w:val="00BA6676"/>
    <w:rsid w:val="00BA6698"/>
    <w:rsid w:val="00BA66CF"/>
    <w:rsid w:val="00BA6C68"/>
    <w:rsid w:val="00BA71F4"/>
    <w:rsid w:val="00BA72EA"/>
    <w:rsid w:val="00BA7796"/>
    <w:rsid w:val="00BA7937"/>
    <w:rsid w:val="00BA7AB7"/>
    <w:rsid w:val="00BA7B81"/>
    <w:rsid w:val="00BA7CA2"/>
    <w:rsid w:val="00BB0B9D"/>
    <w:rsid w:val="00BB101E"/>
    <w:rsid w:val="00BB131A"/>
    <w:rsid w:val="00BB1450"/>
    <w:rsid w:val="00BB1476"/>
    <w:rsid w:val="00BB1786"/>
    <w:rsid w:val="00BB179B"/>
    <w:rsid w:val="00BB1888"/>
    <w:rsid w:val="00BB19F2"/>
    <w:rsid w:val="00BB1E4D"/>
    <w:rsid w:val="00BB2111"/>
    <w:rsid w:val="00BB2188"/>
    <w:rsid w:val="00BB21FD"/>
    <w:rsid w:val="00BB2741"/>
    <w:rsid w:val="00BB3014"/>
    <w:rsid w:val="00BB316E"/>
    <w:rsid w:val="00BB31EC"/>
    <w:rsid w:val="00BB37DF"/>
    <w:rsid w:val="00BB3D41"/>
    <w:rsid w:val="00BB412C"/>
    <w:rsid w:val="00BB4496"/>
    <w:rsid w:val="00BB4920"/>
    <w:rsid w:val="00BB4E37"/>
    <w:rsid w:val="00BB4F67"/>
    <w:rsid w:val="00BB5038"/>
    <w:rsid w:val="00BB5157"/>
    <w:rsid w:val="00BB5583"/>
    <w:rsid w:val="00BB5675"/>
    <w:rsid w:val="00BB5724"/>
    <w:rsid w:val="00BB57B3"/>
    <w:rsid w:val="00BB5C27"/>
    <w:rsid w:val="00BB5CC8"/>
    <w:rsid w:val="00BB5D91"/>
    <w:rsid w:val="00BB6050"/>
    <w:rsid w:val="00BB609C"/>
    <w:rsid w:val="00BB623B"/>
    <w:rsid w:val="00BB6747"/>
    <w:rsid w:val="00BB6AF3"/>
    <w:rsid w:val="00BB6EA9"/>
    <w:rsid w:val="00BB6F50"/>
    <w:rsid w:val="00BB70D6"/>
    <w:rsid w:val="00BB7846"/>
    <w:rsid w:val="00BB7900"/>
    <w:rsid w:val="00BB7E30"/>
    <w:rsid w:val="00BB7FC6"/>
    <w:rsid w:val="00BC024E"/>
    <w:rsid w:val="00BC0446"/>
    <w:rsid w:val="00BC04B5"/>
    <w:rsid w:val="00BC057B"/>
    <w:rsid w:val="00BC07C5"/>
    <w:rsid w:val="00BC07DC"/>
    <w:rsid w:val="00BC08D8"/>
    <w:rsid w:val="00BC09B8"/>
    <w:rsid w:val="00BC1311"/>
    <w:rsid w:val="00BC188E"/>
    <w:rsid w:val="00BC1B6B"/>
    <w:rsid w:val="00BC1CB7"/>
    <w:rsid w:val="00BC1CE0"/>
    <w:rsid w:val="00BC2468"/>
    <w:rsid w:val="00BC24C1"/>
    <w:rsid w:val="00BC2D70"/>
    <w:rsid w:val="00BC2E0C"/>
    <w:rsid w:val="00BC323E"/>
    <w:rsid w:val="00BC3371"/>
    <w:rsid w:val="00BC3486"/>
    <w:rsid w:val="00BC367C"/>
    <w:rsid w:val="00BC37D3"/>
    <w:rsid w:val="00BC3E8C"/>
    <w:rsid w:val="00BC3F6E"/>
    <w:rsid w:val="00BC474E"/>
    <w:rsid w:val="00BC4895"/>
    <w:rsid w:val="00BC4CC1"/>
    <w:rsid w:val="00BC4D4B"/>
    <w:rsid w:val="00BC5609"/>
    <w:rsid w:val="00BC5B06"/>
    <w:rsid w:val="00BC6662"/>
    <w:rsid w:val="00BC676E"/>
    <w:rsid w:val="00BC68E5"/>
    <w:rsid w:val="00BC6D22"/>
    <w:rsid w:val="00BC7415"/>
    <w:rsid w:val="00BC74D8"/>
    <w:rsid w:val="00BC77D1"/>
    <w:rsid w:val="00BC79C6"/>
    <w:rsid w:val="00BC7FEC"/>
    <w:rsid w:val="00BD0CAB"/>
    <w:rsid w:val="00BD0DE8"/>
    <w:rsid w:val="00BD10B0"/>
    <w:rsid w:val="00BD1160"/>
    <w:rsid w:val="00BD1749"/>
    <w:rsid w:val="00BD17A4"/>
    <w:rsid w:val="00BD18A3"/>
    <w:rsid w:val="00BD18FB"/>
    <w:rsid w:val="00BD1CB2"/>
    <w:rsid w:val="00BD23E5"/>
    <w:rsid w:val="00BD27CD"/>
    <w:rsid w:val="00BD28A3"/>
    <w:rsid w:val="00BD2AC1"/>
    <w:rsid w:val="00BD2AF5"/>
    <w:rsid w:val="00BD2C21"/>
    <w:rsid w:val="00BD3265"/>
    <w:rsid w:val="00BD3ECA"/>
    <w:rsid w:val="00BD418D"/>
    <w:rsid w:val="00BD45D6"/>
    <w:rsid w:val="00BD4651"/>
    <w:rsid w:val="00BD47F1"/>
    <w:rsid w:val="00BD5738"/>
    <w:rsid w:val="00BD5766"/>
    <w:rsid w:val="00BD5817"/>
    <w:rsid w:val="00BD5CA7"/>
    <w:rsid w:val="00BD62B7"/>
    <w:rsid w:val="00BD6981"/>
    <w:rsid w:val="00BD7164"/>
    <w:rsid w:val="00BD74B5"/>
    <w:rsid w:val="00BD7730"/>
    <w:rsid w:val="00BD78EA"/>
    <w:rsid w:val="00BE099D"/>
    <w:rsid w:val="00BE0FE9"/>
    <w:rsid w:val="00BE14B2"/>
    <w:rsid w:val="00BE1C4F"/>
    <w:rsid w:val="00BE2056"/>
    <w:rsid w:val="00BE29B9"/>
    <w:rsid w:val="00BE2A32"/>
    <w:rsid w:val="00BE2FF0"/>
    <w:rsid w:val="00BE3108"/>
    <w:rsid w:val="00BE37EE"/>
    <w:rsid w:val="00BE3A7B"/>
    <w:rsid w:val="00BE3F64"/>
    <w:rsid w:val="00BE40D4"/>
    <w:rsid w:val="00BE428C"/>
    <w:rsid w:val="00BE46DB"/>
    <w:rsid w:val="00BE46E4"/>
    <w:rsid w:val="00BE479D"/>
    <w:rsid w:val="00BE48F0"/>
    <w:rsid w:val="00BE4FBA"/>
    <w:rsid w:val="00BE589E"/>
    <w:rsid w:val="00BE5A37"/>
    <w:rsid w:val="00BE5BD9"/>
    <w:rsid w:val="00BE5C29"/>
    <w:rsid w:val="00BE5F79"/>
    <w:rsid w:val="00BE61DC"/>
    <w:rsid w:val="00BE6CE0"/>
    <w:rsid w:val="00BE74CE"/>
    <w:rsid w:val="00BE766F"/>
    <w:rsid w:val="00BF0056"/>
    <w:rsid w:val="00BF029C"/>
    <w:rsid w:val="00BF03B8"/>
    <w:rsid w:val="00BF0F31"/>
    <w:rsid w:val="00BF1221"/>
    <w:rsid w:val="00BF16ED"/>
    <w:rsid w:val="00BF1B29"/>
    <w:rsid w:val="00BF1C77"/>
    <w:rsid w:val="00BF1DE9"/>
    <w:rsid w:val="00BF1E92"/>
    <w:rsid w:val="00BF1F6E"/>
    <w:rsid w:val="00BF24DB"/>
    <w:rsid w:val="00BF2507"/>
    <w:rsid w:val="00BF26E7"/>
    <w:rsid w:val="00BF2B2A"/>
    <w:rsid w:val="00BF337D"/>
    <w:rsid w:val="00BF3756"/>
    <w:rsid w:val="00BF3C59"/>
    <w:rsid w:val="00BF3C74"/>
    <w:rsid w:val="00BF3E73"/>
    <w:rsid w:val="00BF3FB3"/>
    <w:rsid w:val="00BF41AA"/>
    <w:rsid w:val="00BF42D2"/>
    <w:rsid w:val="00BF4347"/>
    <w:rsid w:val="00BF45DA"/>
    <w:rsid w:val="00BF45DB"/>
    <w:rsid w:val="00BF472E"/>
    <w:rsid w:val="00BF53D3"/>
    <w:rsid w:val="00BF540A"/>
    <w:rsid w:val="00BF5437"/>
    <w:rsid w:val="00C000FD"/>
    <w:rsid w:val="00C00659"/>
    <w:rsid w:val="00C008B2"/>
    <w:rsid w:val="00C009AF"/>
    <w:rsid w:val="00C015EB"/>
    <w:rsid w:val="00C019FF"/>
    <w:rsid w:val="00C01CBD"/>
    <w:rsid w:val="00C01FBD"/>
    <w:rsid w:val="00C020F0"/>
    <w:rsid w:val="00C021F0"/>
    <w:rsid w:val="00C02261"/>
    <w:rsid w:val="00C02AE7"/>
    <w:rsid w:val="00C02F02"/>
    <w:rsid w:val="00C03122"/>
    <w:rsid w:val="00C031FA"/>
    <w:rsid w:val="00C039DA"/>
    <w:rsid w:val="00C03A83"/>
    <w:rsid w:val="00C03C98"/>
    <w:rsid w:val="00C03E54"/>
    <w:rsid w:val="00C042B5"/>
    <w:rsid w:val="00C0491B"/>
    <w:rsid w:val="00C04B18"/>
    <w:rsid w:val="00C04C1B"/>
    <w:rsid w:val="00C04C33"/>
    <w:rsid w:val="00C054F8"/>
    <w:rsid w:val="00C0622C"/>
    <w:rsid w:val="00C0644D"/>
    <w:rsid w:val="00C06776"/>
    <w:rsid w:val="00C06977"/>
    <w:rsid w:val="00C06CCE"/>
    <w:rsid w:val="00C0714E"/>
    <w:rsid w:val="00C071FA"/>
    <w:rsid w:val="00C0724D"/>
    <w:rsid w:val="00C07517"/>
    <w:rsid w:val="00C076AC"/>
    <w:rsid w:val="00C0789F"/>
    <w:rsid w:val="00C07DC1"/>
    <w:rsid w:val="00C10937"/>
    <w:rsid w:val="00C11008"/>
    <w:rsid w:val="00C110B6"/>
    <w:rsid w:val="00C110F7"/>
    <w:rsid w:val="00C11201"/>
    <w:rsid w:val="00C11803"/>
    <w:rsid w:val="00C11AA9"/>
    <w:rsid w:val="00C11CCD"/>
    <w:rsid w:val="00C11ED7"/>
    <w:rsid w:val="00C1239F"/>
    <w:rsid w:val="00C12608"/>
    <w:rsid w:val="00C12C11"/>
    <w:rsid w:val="00C12D76"/>
    <w:rsid w:val="00C12EFF"/>
    <w:rsid w:val="00C1330B"/>
    <w:rsid w:val="00C13532"/>
    <w:rsid w:val="00C13A8E"/>
    <w:rsid w:val="00C13C2D"/>
    <w:rsid w:val="00C1447C"/>
    <w:rsid w:val="00C14B70"/>
    <w:rsid w:val="00C14D3E"/>
    <w:rsid w:val="00C152F6"/>
    <w:rsid w:val="00C15453"/>
    <w:rsid w:val="00C154B1"/>
    <w:rsid w:val="00C1555C"/>
    <w:rsid w:val="00C1562F"/>
    <w:rsid w:val="00C157B9"/>
    <w:rsid w:val="00C15A7A"/>
    <w:rsid w:val="00C16061"/>
    <w:rsid w:val="00C16544"/>
    <w:rsid w:val="00C167CC"/>
    <w:rsid w:val="00C16E23"/>
    <w:rsid w:val="00C17158"/>
    <w:rsid w:val="00C17475"/>
    <w:rsid w:val="00C1762D"/>
    <w:rsid w:val="00C17BE6"/>
    <w:rsid w:val="00C17EA3"/>
    <w:rsid w:val="00C20111"/>
    <w:rsid w:val="00C201DB"/>
    <w:rsid w:val="00C2028A"/>
    <w:rsid w:val="00C207ED"/>
    <w:rsid w:val="00C209F3"/>
    <w:rsid w:val="00C20C45"/>
    <w:rsid w:val="00C20CA4"/>
    <w:rsid w:val="00C20F22"/>
    <w:rsid w:val="00C21579"/>
    <w:rsid w:val="00C21AA6"/>
    <w:rsid w:val="00C21CBC"/>
    <w:rsid w:val="00C22133"/>
    <w:rsid w:val="00C222CB"/>
    <w:rsid w:val="00C2248B"/>
    <w:rsid w:val="00C2261B"/>
    <w:rsid w:val="00C22665"/>
    <w:rsid w:val="00C22983"/>
    <w:rsid w:val="00C23AEA"/>
    <w:rsid w:val="00C23BD5"/>
    <w:rsid w:val="00C23C1E"/>
    <w:rsid w:val="00C23C7C"/>
    <w:rsid w:val="00C240D5"/>
    <w:rsid w:val="00C2420E"/>
    <w:rsid w:val="00C24534"/>
    <w:rsid w:val="00C247D4"/>
    <w:rsid w:val="00C24993"/>
    <w:rsid w:val="00C24ABA"/>
    <w:rsid w:val="00C25094"/>
    <w:rsid w:val="00C25205"/>
    <w:rsid w:val="00C2532E"/>
    <w:rsid w:val="00C25808"/>
    <w:rsid w:val="00C25BB1"/>
    <w:rsid w:val="00C25CB8"/>
    <w:rsid w:val="00C25E25"/>
    <w:rsid w:val="00C25EBC"/>
    <w:rsid w:val="00C2633D"/>
    <w:rsid w:val="00C26830"/>
    <w:rsid w:val="00C26912"/>
    <w:rsid w:val="00C26B35"/>
    <w:rsid w:val="00C27124"/>
    <w:rsid w:val="00C2795B"/>
    <w:rsid w:val="00C27D3D"/>
    <w:rsid w:val="00C27E96"/>
    <w:rsid w:val="00C30484"/>
    <w:rsid w:val="00C30675"/>
    <w:rsid w:val="00C30FB9"/>
    <w:rsid w:val="00C314CC"/>
    <w:rsid w:val="00C31CE2"/>
    <w:rsid w:val="00C326CD"/>
    <w:rsid w:val="00C32760"/>
    <w:rsid w:val="00C3278E"/>
    <w:rsid w:val="00C3355B"/>
    <w:rsid w:val="00C33AE0"/>
    <w:rsid w:val="00C33D0E"/>
    <w:rsid w:val="00C340EC"/>
    <w:rsid w:val="00C341D4"/>
    <w:rsid w:val="00C34336"/>
    <w:rsid w:val="00C3473C"/>
    <w:rsid w:val="00C34770"/>
    <w:rsid w:val="00C34B93"/>
    <w:rsid w:val="00C34BB9"/>
    <w:rsid w:val="00C34D52"/>
    <w:rsid w:val="00C350B0"/>
    <w:rsid w:val="00C351FF"/>
    <w:rsid w:val="00C35677"/>
    <w:rsid w:val="00C35D36"/>
    <w:rsid w:val="00C360B3"/>
    <w:rsid w:val="00C362F4"/>
    <w:rsid w:val="00C363D0"/>
    <w:rsid w:val="00C36479"/>
    <w:rsid w:val="00C36917"/>
    <w:rsid w:val="00C36E36"/>
    <w:rsid w:val="00C36EEA"/>
    <w:rsid w:val="00C375D1"/>
    <w:rsid w:val="00C375FB"/>
    <w:rsid w:val="00C37707"/>
    <w:rsid w:val="00C3788F"/>
    <w:rsid w:val="00C37B4E"/>
    <w:rsid w:val="00C37BEB"/>
    <w:rsid w:val="00C37D45"/>
    <w:rsid w:val="00C402B1"/>
    <w:rsid w:val="00C4034F"/>
    <w:rsid w:val="00C4083B"/>
    <w:rsid w:val="00C409CB"/>
    <w:rsid w:val="00C40EAE"/>
    <w:rsid w:val="00C40F8A"/>
    <w:rsid w:val="00C4142C"/>
    <w:rsid w:val="00C41690"/>
    <w:rsid w:val="00C41D2C"/>
    <w:rsid w:val="00C41F49"/>
    <w:rsid w:val="00C423A4"/>
    <w:rsid w:val="00C42696"/>
    <w:rsid w:val="00C427DD"/>
    <w:rsid w:val="00C42958"/>
    <w:rsid w:val="00C42C21"/>
    <w:rsid w:val="00C4310E"/>
    <w:rsid w:val="00C432E6"/>
    <w:rsid w:val="00C43431"/>
    <w:rsid w:val="00C43551"/>
    <w:rsid w:val="00C447DA"/>
    <w:rsid w:val="00C44CB2"/>
    <w:rsid w:val="00C44DC3"/>
    <w:rsid w:val="00C44F5A"/>
    <w:rsid w:val="00C45955"/>
    <w:rsid w:val="00C45DF1"/>
    <w:rsid w:val="00C46726"/>
    <w:rsid w:val="00C46883"/>
    <w:rsid w:val="00C46964"/>
    <w:rsid w:val="00C469E0"/>
    <w:rsid w:val="00C46A0A"/>
    <w:rsid w:val="00C46D76"/>
    <w:rsid w:val="00C46DC9"/>
    <w:rsid w:val="00C471D6"/>
    <w:rsid w:val="00C47586"/>
    <w:rsid w:val="00C476B7"/>
    <w:rsid w:val="00C4776C"/>
    <w:rsid w:val="00C47A0E"/>
    <w:rsid w:val="00C47A89"/>
    <w:rsid w:val="00C50599"/>
    <w:rsid w:val="00C5077A"/>
    <w:rsid w:val="00C50867"/>
    <w:rsid w:val="00C50C48"/>
    <w:rsid w:val="00C51142"/>
    <w:rsid w:val="00C51163"/>
    <w:rsid w:val="00C511B0"/>
    <w:rsid w:val="00C52671"/>
    <w:rsid w:val="00C52DBA"/>
    <w:rsid w:val="00C533E6"/>
    <w:rsid w:val="00C5413E"/>
    <w:rsid w:val="00C54680"/>
    <w:rsid w:val="00C548B4"/>
    <w:rsid w:val="00C54B2C"/>
    <w:rsid w:val="00C54F0A"/>
    <w:rsid w:val="00C554F3"/>
    <w:rsid w:val="00C55599"/>
    <w:rsid w:val="00C5566A"/>
    <w:rsid w:val="00C556DB"/>
    <w:rsid w:val="00C55786"/>
    <w:rsid w:val="00C5674E"/>
    <w:rsid w:val="00C568F0"/>
    <w:rsid w:val="00C56DA1"/>
    <w:rsid w:val="00C5748E"/>
    <w:rsid w:val="00C57563"/>
    <w:rsid w:val="00C61189"/>
    <w:rsid w:val="00C61411"/>
    <w:rsid w:val="00C61EAD"/>
    <w:rsid w:val="00C61EE4"/>
    <w:rsid w:val="00C6219E"/>
    <w:rsid w:val="00C626A3"/>
    <w:rsid w:val="00C62709"/>
    <w:rsid w:val="00C62851"/>
    <w:rsid w:val="00C62884"/>
    <w:rsid w:val="00C631CB"/>
    <w:rsid w:val="00C631EE"/>
    <w:rsid w:val="00C63697"/>
    <w:rsid w:val="00C650D7"/>
    <w:rsid w:val="00C650FD"/>
    <w:rsid w:val="00C6529B"/>
    <w:rsid w:val="00C6558C"/>
    <w:rsid w:val="00C6575A"/>
    <w:rsid w:val="00C65E08"/>
    <w:rsid w:val="00C65EEF"/>
    <w:rsid w:val="00C666B3"/>
    <w:rsid w:val="00C6702A"/>
    <w:rsid w:val="00C672B9"/>
    <w:rsid w:val="00C674DF"/>
    <w:rsid w:val="00C6772A"/>
    <w:rsid w:val="00C6780D"/>
    <w:rsid w:val="00C67987"/>
    <w:rsid w:val="00C707A1"/>
    <w:rsid w:val="00C70BC5"/>
    <w:rsid w:val="00C70D31"/>
    <w:rsid w:val="00C71289"/>
    <w:rsid w:val="00C712E4"/>
    <w:rsid w:val="00C716E0"/>
    <w:rsid w:val="00C716F3"/>
    <w:rsid w:val="00C7180E"/>
    <w:rsid w:val="00C71B3B"/>
    <w:rsid w:val="00C71C93"/>
    <w:rsid w:val="00C72D5D"/>
    <w:rsid w:val="00C72F8E"/>
    <w:rsid w:val="00C730C7"/>
    <w:rsid w:val="00C73525"/>
    <w:rsid w:val="00C7352F"/>
    <w:rsid w:val="00C7366E"/>
    <w:rsid w:val="00C739E2"/>
    <w:rsid w:val="00C73A7C"/>
    <w:rsid w:val="00C74966"/>
    <w:rsid w:val="00C74BD2"/>
    <w:rsid w:val="00C75378"/>
    <w:rsid w:val="00C75615"/>
    <w:rsid w:val="00C75759"/>
    <w:rsid w:val="00C75A59"/>
    <w:rsid w:val="00C75C07"/>
    <w:rsid w:val="00C75C1A"/>
    <w:rsid w:val="00C75C1F"/>
    <w:rsid w:val="00C75DE4"/>
    <w:rsid w:val="00C76217"/>
    <w:rsid w:val="00C762D8"/>
    <w:rsid w:val="00C766C5"/>
    <w:rsid w:val="00C76FDC"/>
    <w:rsid w:val="00C80292"/>
    <w:rsid w:val="00C804F5"/>
    <w:rsid w:val="00C806E8"/>
    <w:rsid w:val="00C80866"/>
    <w:rsid w:val="00C80B7A"/>
    <w:rsid w:val="00C80B90"/>
    <w:rsid w:val="00C80BF1"/>
    <w:rsid w:val="00C80D11"/>
    <w:rsid w:val="00C81290"/>
    <w:rsid w:val="00C812CF"/>
    <w:rsid w:val="00C8131C"/>
    <w:rsid w:val="00C81B90"/>
    <w:rsid w:val="00C81C42"/>
    <w:rsid w:val="00C81D39"/>
    <w:rsid w:val="00C81E8A"/>
    <w:rsid w:val="00C81F10"/>
    <w:rsid w:val="00C81F9F"/>
    <w:rsid w:val="00C82072"/>
    <w:rsid w:val="00C82247"/>
    <w:rsid w:val="00C82596"/>
    <w:rsid w:val="00C82CD4"/>
    <w:rsid w:val="00C83507"/>
    <w:rsid w:val="00C8377B"/>
    <w:rsid w:val="00C83E17"/>
    <w:rsid w:val="00C83FF9"/>
    <w:rsid w:val="00C84750"/>
    <w:rsid w:val="00C849C2"/>
    <w:rsid w:val="00C84AC9"/>
    <w:rsid w:val="00C84BF6"/>
    <w:rsid w:val="00C84EAB"/>
    <w:rsid w:val="00C84FB2"/>
    <w:rsid w:val="00C850F5"/>
    <w:rsid w:val="00C85466"/>
    <w:rsid w:val="00C85800"/>
    <w:rsid w:val="00C85C39"/>
    <w:rsid w:val="00C85ED2"/>
    <w:rsid w:val="00C86168"/>
    <w:rsid w:val="00C86197"/>
    <w:rsid w:val="00C86249"/>
    <w:rsid w:val="00C8644E"/>
    <w:rsid w:val="00C8660A"/>
    <w:rsid w:val="00C86638"/>
    <w:rsid w:val="00C867C6"/>
    <w:rsid w:val="00C86B64"/>
    <w:rsid w:val="00C870B9"/>
    <w:rsid w:val="00C87228"/>
    <w:rsid w:val="00C87590"/>
    <w:rsid w:val="00C877E1"/>
    <w:rsid w:val="00C87B10"/>
    <w:rsid w:val="00C87B86"/>
    <w:rsid w:val="00C87BF1"/>
    <w:rsid w:val="00C87DD0"/>
    <w:rsid w:val="00C87EF7"/>
    <w:rsid w:val="00C90293"/>
    <w:rsid w:val="00C909E3"/>
    <w:rsid w:val="00C90A18"/>
    <w:rsid w:val="00C90B4E"/>
    <w:rsid w:val="00C911BB"/>
    <w:rsid w:val="00C91A25"/>
    <w:rsid w:val="00C91C0F"/>
    <w:rsid w:val="00C920C0"/>
    <w:rsid w:val="00C9250A"/>
    <w:rsid w:val="00C92863"/>
    <w:rsid w:val="00C92A91"/>
    <w:rsid w:val="00C92DA3"/>
    <w:rsid w:val="00C931FD"/>
    <w:rsid w:val="00C939A0"/>
    <w:rsid w:val="00C93B06"/>
    <w:rsid w:val="00C94216"/>
    <w:rsid w:val="00C94352"/>
    <w:rsid w:val="00C94781"/>
    <w:rsid w:val="00C94F5A"/>
    <w:rsid w:val="00C956A8"/>
    <w:rsid w:val="00C9571B"/>
    <w:rsid w:val="00C95CD9"/>
    <w:rsid w:val="00C95EAB"/>
    <w:rsid w:val="00C9642E"/>
    <w:rsid w:val="00C96D09"/>
    <w:rsid w:val="00C971CB"/>
    <w:rsid w:val="00C975B0"/>
    <w:rsid w:val="00C97664"/>
    <w:rsid w:val="00C978EC"/>
    <w:rsid w:val="00C97909"/>
    <w:rsid w:val="00CA03BF"/>
    <w:rsid w:val="00CA0740"/>
    <w:rsid w:val="00CA0F20"/>
    <w:rsid w:val="00CA0F8B"/>
    <w:rsid w:val="00CA0FFB"/>
    <w:rsid w:val="00CA1051"/>
    <w:rsid w:val="00CA1268"/>
    <w:rsid w:val="00CA1489"/>
    <w:rsid w:val="00CA1E32"/>
    <w:rsid w:val="00CA1F79"/>
    <w:rsid w:val="00CA20B8"/>
    <w:rsid w:val="00CA248F"/>
    <w:rsid w:val="00CA2AC0"/>
    <w:rsid w:val="00CA2B93"/>
    <w:rsid w:val="00CA3094"/>
    <w:rsid w:val="00CA30D2"/>
    <w:rsid w:val="00CA3635"/>
    <w:rsid w:val="00CA39D0"/>
    <w:rsid w:val="00CA3A8A"/>
    <w:rsid w:val="00CA3BFE"/>
    <w:rsid w:val="00CA3C8F"/>
    <w:rsid w:val="00CA3DAA"/>
    <w:rsid w:val="00CA3F3A"/>
    <w:rsid w:val="00CA40E4"/>
    <w:rsid w:val="00CA40E7"/>
    <w:rsid w:val="00CA4145"/>
    <w:rsid w:val="00CA42FA"/>
    <w:rsid w:val="00CA470F"/>
    <w:rsid w:val="00CA4B45"/>
    <w:rsid w:val="00CA4FE4"/>
    <w:rsid w:val="00CA53D2"/>
    <w:rsid w:val="00CA5547"/>
    <w:rsid w:val="00CA55A5"/>
    <w:rsid w:val="00CA5A8A"/>
    <w:rsid w:val="00CA5C53"/>
    <w:rsid w:val="00CA5FF4"/>
    <w:rsid w:val="00CA623E"/>
    <w:rsid w:val="00CA636E"/>
    <w:rsid w:val="00CA64DB"/>
    <w:rsid w:val="00CA65C0"/>
    <w:rsid w:val="00CA68D3"/>
    <w:rsid w:val="00CA6FBB"/>
    <w:rsid w:val="00CA6FC4"/>
    <w:rsid w:val="00CA7050"/>
    <w:rsid w:val="00CA70A8"/>
    <w:rsid w:val="00CA7102"/>
    <w:rsid w:val="00CA73AF"/>
    <w:rsid w:val="00CA74D8"/>
    <w:rsid w:val="00CA75BB"/>
    <w:rsid w:val="00CA7914"/>
    <w:rsid w:val="00CA7EE8"/>
    <w:rsid w:val="00CB0197"/>
    <w:rsid w:val="00CB0917"/>
    <w:rsid w:val="00CB0A27"/>
    <w:rsid w:val="00CB0CD2"/>
    <w:rsid w:val="00CB1040"/>
    <w:rsid w:val="00CB10E2"/>
    <w:rsid w:val="00CB12FF"/>
    <w:rsid w:val="00CB1313"/>
    <w:rsid w:val="00CB1CDF"/>
    <w:rsid w:val="00CB1FD9"/>
    <w:rsid w:val="00CB229D"/>
    <w:rsid w:val="00CB22AC"/>
    <w:rsid w:val="00CB2409"/>
    <w:rsid w:val="00CB2570"/>
    <w:rsid w:val="00CB2665"/>
    <w:rsid w:val="00CB289B"/>
    <w:rsid w:val="00CB2E00"/>
    <w:rsid w:val="00CB2E1A"/>
    <w:rsid w:val="00CB3971"/>
    <w:rsid w:val="00CB4278"/>
    <w:rsid w:val="00CB42A7"/>
    <w:rsid w:val="00CB4D24"/>
    <w:rsid w:val="00CB5067"/>
    <w:rsid w:val="00CB5863"/>
    <w:rsid w:val="00CB590D"/>
    <w:rsid w:val="00CB5B99"/>
    <w:rsid w:val="00CB6086"/>
    <w:rsid w:val="00CB625E"/>
    <w:rsid w:val="00CB6699"/>
    <w:rsid w:val="00CB682A"/>
    <w:rsid w:val="00CB6953"/>
    <w:rsid w:val="00CB6A30"/>
    <w:rsid w:val="00CB6E1A"/>
    <w:rsid w:val="00CB7001"/>
    <w:rsid w:val="00CB7338"/>
    <w:rsid w:val="00CB7DBE"/>
    <w:rsid w:val="00CB7EF4"/>
    <w:rsid w:val="00CB7F23"/>
    <w:rsid w:val="00CC0001"/>
    <w:rsid w:val="00CC00F4"/>
    <w:rsid w:val="00CC0694"/>
    <w:rsid w:val="00CC0975"/>
    <w:rsid w:val="00CC0F31"/>
    <w:rsid w:val="00CC135B"/>
    <w:rsid w:val="00CC1BD2"/>
    <w:rsid w:val="00CC1F95"/>
    <w:rsid w:val="00CC1FCA"/>
    <w:rsid w:val="00CC25B4"/>
    <w:rsid w:val="00CC2B21"/>
    <w:rsid w:val="00CC2D3E"/>
    <w:rsid w:val="00CC318B"/>
    <w:rsid w:val="00CC399A"/>
    <w:rsid w:val="00CC39A2"/>
    <w:rsid w:val="00CC3AE7"/>
    <w:rsid w:val="00CC4295"/>
    <w:rsid w:val="00CC42A5"/>
    <w:rsid w:val="00CC4431"/>
    <w:rsid w:val="00CC44D4"/>
    <w:rsid w:val="00CC501E"/>
    <w:rsid w:val="00CC5784"/>
    <w:rsid w:val="00CC5A43"/>
    <w:rsid w:val="00CC5D16"/>
    <w:rsid w:val="00CC5E72"/>
    <w:rsid w:val="00CC616F"/>
    <w:rsid w:val="00CC669B"/>
    <w:rsid w:val="00CC66CD"/>
    <w:rsid w:val="00CC70FD"/>
    <w:rsid w:val="00CC77AF"/>
    <w:rsid w:val="00CC77EE"/>
    <w:rsid w:val="00CC7B07"/>
    <w:rsid w:val="00CC7B95"/>
    <w:rsid w:val="00CC7D8A"/>
    <w:rsid w:val="00CD0582"/>
    <w:rsid w:val="00CD0B66"/>
    <w:rsid w:val="00CD0F60"/>
    <w:rsid w:val="00CD13C0"/>
    <w:rsid w:val="00CD1543"/>
    <w:rsid w:val="00CD1ACE"/>
    <w:rsid w:val="00CD1C1C"/>
    <w:rsid w:val="00CD1EFA"/>
    <w:rsid w:val="00CD1FD2"/>
    <w:rsid w:val="00CD2316"/>
    <w:rsid w:val="00CD25D8"/>
    <w:rsid w:val="00CD26BE"/>
    <w:rsid w:val="00CD2849"/>
    <w:rsid w:val="00CD2EAE"/>
    <w:rsid w:val="00CD2F62"/>
    <w:rsid w:val="00CD3A15"/>
    <w:rsid w:val="00CD3B36"/>
    <w:rsid w:val="00CD3C23"/>
    <w:rsid w:val="00CD4083"/>
    <w:rsid w:val="00CD4328"/>
    <w:rsid w:val="00CD470D"/>
    <w:rsid w:val="00CD48F0"/>
    <w:rsid w:val="00CD4D8C"/>
    <w:rsid w:val="00CD5017"/>
    <w:rsid w:val="00CD54F1"/>
    <w:rsid w:val="00CD55A8"/>
    <w:rsid w:val="00CD55E2"/>
    <w:rsid w:val="00CD56E9"/>
    <w:rsid w:val="00CD58C0"/>
    <w:rsid w:val="00CD5C93"/>
    <w:rsid w:val="00CD5D6F"/>
    <w:rsid w:val="00CD5E3B"/>
    <w:rsid w:val="00CD5F13"/>
    <w:rsid w:val="00CD604A"/>
    <w:rsid w:val="00CD68B0"/>
    <w:rsid w:val="00CD6930"/>
    <w:rsid w:val="00CD6C62"/>
    <w:rsid w:val="00CD71CB"/>
    <w:rsid w:val="00CD74DC"/>
    <w:rsid w:val="00CD7EAE"/>
    <w:rsid w:val="00CE0185"/>
    <w:rsid w:val="00CE0254"/>
    <w:rsid w:val="00CE050F"/>
    <w:rsid w:val="00CE0B42"/>
    <w:rsid w:val="00CE11D9"/>
    <w:rsid w:val="00CE16D5"/>
    <w:rsid w:val="00CE1A7D"/>
    <w:rsid w:val="00CE1AD5"/>
    <w:rsid w:val="00CE1B3A"/>
    <w:rsid w:val="00CE1BF9"/>
    <w:rsid w:val="00CE1E4D"/>
    <w:rsid w:val="00CE2188"/>
    <w:rsid w:val="00CE26F6"/>
    <w:rsid w:val="00CE3808"/>
    <w:rsid w:val="00CE4039"/>
    <w:rsid w:val="00CE4627"/>
    <w:rsid w:val="00CE475D"/>
    <w:rsid w:val="00CE4DED"/>
    <w:rsid w:val="00CE4E58"/>
    <w:rsid w:val="00CE5146"/>
    <w:rsid w:val="00CE5322"/>
    <w:rsid w:val="00CE5389"/>
    <w:rsid w:val="00CE5394"/>
    <w:rsid w:val="00CE572E"/>
    <w:rsid w:val="00CE574D"/>
    <w:rsid w:val="00CE5A3F"/>
    <w:rsid w:val="00CE5B0F"/>
    <w:rsid w:val="00CE63C7"/>
    <w:rsid w:val="00CE6AF3"/>
    <w:rsid w:val="00CE7356"/>
    <w:rsid w:val="00CE736C"/>
    <w:rsid w:val="00CE7505"/>
    <w:rsid w:val="00CE752D"/>
    <w:rsid w:val="00CE75D2"/>
    <w:rsid w:val="00CE7DBF"/>
    <w:rsid w:val="00CF05CF"/>
    <w:rsid w:val="00CF0BFE"/>
    <w:rsid w:val="00CF11BA"/>
    <w:rsid w:val="00CF12A8"/>
    <w:rsid w:val="00CF13E1"/>
    <w:rsid w:val="00CF1A91"/>
    <w:rsid w:val="00CF1DCC"/>
    <w:rsid w:val="00CF1FB9"/>
    <w:rsid w:val="00CF266B"/>
    <w:rsid w:val="00CF2797"/>
    <w:rsid w:val="00CF28B5"/>
    <w:rsid w:val="00CF318F"/>
    <w:rsid w:val="00CF3481"/>
    <w:rsid w:val="00CF3ACC"/>
    <w:rsid w:val="00CF426F"/>
    <w:rsid w:val="00CF454C"/>
    <w:rsid w:val="00CF461B"/>
    <w:rsid w:val="00CF4750"/>
    <w:rsid w:val="00CF4A13"/>
    <w:rsid w:val="00CF4ACC"/>
    <w:rsid w:val="00CF4D27"/>
    <w:rsid w:val="00CF51EA"/>
    <w:rsid w:val="00CF543E"/>
    <w:rsid w:val="00CF59B6"/>
    <w:rsid w:val="00CF5ACF"/>
    <w:rsid w:val="00CF5D7D"/>
    <w:rsid w:val="00CF6208"/>
    <w:rsid w:val="00CF69B1"/>
    <w:rsid w:val="00CF7149"/>
    <w:rsid w:val="00CF733D"/>
    <w:rsid w:val="00CF73A9"/>
    <w:rsid w:val="00CF74BC"/>
    <w:rsid w:val="00CF77F0"/>
    <w:rsid w:val="00CF799E"/>
    <w:rsid w:val="00CF7AC3"/>
    <w:rsid w:val="00CF7C76"/>
    <w:rsid w:val="00D000D0"/>
    <w:rsid w:val="00D0025B"/>
    <w:rsid w:val="00D011FF"/>
    <w:rsid w:val="00D012CE"/>
    <w:rsid w:val="00D0132E"/>
    <w:rsid w:val="00D01713"/>
    <w:rsid w:val="00D017C0"/>
    <w:rsid w:val="00D022C3"/>
    <w:rsid w:val="00D02957"/>
    <w:rsid w:val="00D02A99"/>
    <w:rsid w:val="00D02F65"/>
    <w:rsid w:val="00D0331F"/>
    <w:rsid w:val="00D03DC7"/>
    <w:rsid w:val="00D04085"/>
    <w:rsid w:val="00D04301"/>
    <w:rsid w:val="00D0448B"/>
    <w:rsid w:val="00D04AB3"/>
    <w:rsid w:val="00D04AE1"/>
    <w:rsid w:val="00D04BC6"/>
    <w:rsid w:val="00D04F28"/>
    <w:rsid w:val="00D04F59"/>
    <w:rsid w:val="00D05421"/>
    <w:rsid w:val="00D054B3"/>
    <w:rsid w:val="00D05570"/>
    <w:rsid w:val="00D05592"/>
    <w:rsid w:val="00D059AF"/>
    <w:rsid w:val="00D05E54"/>
    <w:rsid w:val="00D06230"/>
    <w:rsid w:val="00D06257"/>
    <w:rsid w:val="00D063B5"/>
    <w:rsid w:val="00D06500"/>
    <w:rsid w:val="00D066D8"/>
    <w:rsid w:val="00D06A76"/>
    <w:rsid w:val="00D06CFA"/>
    <w:rsid w:val="00D07661"/>
    <w:rsid w:val="00D076A3"/>
    <w:rsid w:val="00D0797C"/>
    <w:rsid w:val="00D079ED"/>
    <w:rsid w:val="00D10946"/>
    <w:rsid w:val="00D10AE2"/>
    <w:rsid w:val="00D11077"/>
    <w:rsid w:val="00D113CA"/>
    <w:rsid w:val="00D11CCA"/>
    <w:rsid w:val="00D12BAB"/>
    <w:rsid w:val="00D12ECF"/>
    <w:rsid w:val="00D13530"/>
    <w:rsid w:val="00D13713"/>
    <w:rsid w:val="00D13752"/>
    <w:rsid w:val="00D137A2"/>
    <w:rsid w:val="00D137FE"/>
    <w:rsid w:val="00D13880"/>
    <w:rsid w:val="00D1399B"/>
    <w:rsid w:val="00D13F67"/>
    <w:rsid w:val="00D14011"/>
    <w:rsid w:val="00D1419A"/>
    <w:rsid w:val="00D142DA"/>
    <w:rsid w:val="00D147B0"/>
    <w:rsid w:val="00D14AEB"/>
    <w:rsid w:val="00D14D27"/>
    <w:rsid w:val="00D154E7"/>
    <w:rsid w:val="00D15688"/>
    <w:rsid w:val="00D15691"/>
    <w:rsid w:val="00D15CA0"/>
    <w:rsid w:val="00D15F03"/>
    <w:rsid w:val="00D15F04"/>
    <w:rsid w:val="00D167E0"/>
    <w:rsid w:val="00D16948"/>
    <w:rsid w:val="00D178CF"/>
    <w:rsid w:val="00D17D4B"/>
    <w:rsid w:val="00D17DAE"/>
    <w:rsid w:val="00D200E6"/>
    <w:rsid w:val="00D20506"/>
    <w:rsid w:val="00D205CC"/>
    <w:rsid w:val="00D209F4"/>
    <w:rsid w:val="00D20B47"/>
    <w:rsid w:val="00D21099"/>
    <w:rsid w:val="00D2111F"/>
    <w:rsid w:val="00D21260"/>
    <w:rsid w:val="00D2196E"/>
    <w:rsid w:val="00D22034"/>
    <w:rsid w:val="00D2208B"/>
    <w:rsid w:val="00D225DC"/>
    <w:rsid w:val="00D2268A"/>
    <w:rsid w:val="00D2275A"/>
    <w:rsid w:val="00D227BE"/>
    <w:rsid w:val="00D233CA"/>
    <w:rsid w:val="00D2404F"/>
    <w:rsid w:val="00D24362"/>
    <w:rsid w:val="00D24388"/>
    <w:rsid w:val="00D24636"/>
    <w:rsid w:val="00D24747"/>
    <w:rsid w:val="00D247A7"/>
    <w:rsid w:val="00D24C8B"/>
    <w:rsid w:val="00D2508B"/>
    <w:rsid w:val="00D2519D"/>
    <w:rsid w:val="00D251CD"/>
    <w:rsid w:val="00D25286"/>
    <w:rsid w:val="00D25CB6"/>
    <w:rsid w:val="00D25F4C"/>
    <w:rsid w:val="00D25FEA"/>
    <w:rsid w:val="00D26144"/>
    <w:rsid w:val="00D2659C"/>
    <w:rsid w:val="00D265FA"/>
    <w:rsid w:val="00D2694C"/>
    <w:rsid w:val="00D26CEC"/>
    <w:rsid w:val="00D26D44"/>
    <w:rsid w:val="00D26DBF"/>
    <w:rsid w:val="00D27226"/>
    <w:rsid w:val="00D2738A"/>
    <w:rsid w:val="00D2790B"/>
    <w:rsid w:val="00D2798B"/>
    <w:rsid w:val="00D27F1E"/>
    <w:rsid w:val="00D3013F"/>
    <w:rsid w:val="00D302D3"/>
    <w:rsid w:val="00D30580"/>
    <w:rsid w:val="00D30982"/>
    <w:rsid w:val="00D320FF"/>
    <w:rsid w:val="00D32771"/>
    <w:rsid w:val="00D331A6"/>
    <w:rsid w:val="00D3327C"/>
    <w:rsid w:val="00D3336B"/>
    <w:rsid w:val="00D33665"/>
    <w:rsid w:val="00D337EF"/>
    <w:rsid w:val="00D33C35"/>
    <w:rsid w:val="00D33CC9"/>
    <w:rsid w:val="00D33D4C"/>
    <w:rsid w:val="00D33DA1"/>
    <w:rsid w:val="00D340CE"/>
    <w:rsid w:val="00D342E1"/>
    <w:rsid w:val="00D34925"/>
    <w:rsid w:val="00D34B2F"/>
    <w:rsid w:val="00D350C8"/>
    <w:rsid w:val="00D3516A"/>
    <w:rsid w:val="00D35976"/>
    <w:rsid w:val="00D35B48"/>
    <w:rsid w:val="00D35D41"/>
    <w:rsid w:val="00D361E5"/>
    <w:rsid w:val="00D36C48"/>
    <w:rsid w:val="00D36C70"/>
    <w:rsid w:val="00D3799E"/>
    <w:rsid w:val="00D3799F"/>
    <w:rsid w:val="00D40440"/>
    <w:rsid w:val="00D41047"/>
    <w:rsid w:val="00D420DB"/>
    <w:rsid w:val="00D42187"/>
    <w:rsid w:val="00D42672"/>
    <w:rsid w:val="00D4270D"/>
    <w:rsid w:val="00D42CEF"/>
    <w:rsid w:val="00D43110"/>
    <w:rsid w:val="00D4339F"/>
    <w:rsid w:val="00D4395D"/>
    <w:rsid w:val="00D439F4"/>
    <w:rsid w:val="00D43B55"/>
    <w:rsid w:val="00D4427A"/>
    <w:rsid w:val="00D44517"/>
    <w:rsid w:val="00D44B93"/>
    <w:rsid w:val="00D44E7B"/>
    <w:rsid w:val="00D45081"/>
    <w:rsid w:val="00D4538E"/>
    <w:rsid w:val="00D45A20"/>
    <w:rsid w:val="00D45AF9"/>
    <w:rsid w:val="00D45F42"/>
    <w:rsid w:val="00D46723"/>
    <w:rsid w:val="00D46729"/>
    <w:rsid w:val="00D46B7F"/>
    <w:rsid w:val="00D46CE6"/>
    <w:rsid w:val="00D47641"/>
    <w:rsid w:val="00D47C07"/>
    <w:rsid w:val="00D47CC6"/>
    <w:rsid w:val="00D47F0A"/>
    <w:rsid w:val="00D501B8"/>
    <w:rsid w:val="00D50519"/>
    <w:rsid w:val="00D51194"/>
    <w:rsid w:val="00D51A88"/>
    <w:rsid w:val="00D51CC2"/>
    <w:rsid w:val="00D51CE6"/>
    <w:rsid w:val="00D522FA"/>
    <w:rsid w:val="00D52553"/>
    <w:rsid w:val="00D52682"/>
    <w:rsid w:val="00D52C66"/>
    <w:rsid w:val="00D5357C"/>
    <w:rsid w:val="00D53598"/>
    <w:rsid w:val="00D53696"/>
    <w:rsid w:val="00D53A34"/>
    <w:rsid w:val="00D53B9E"/>
    <w:rsid w:val="00D53C89"/>
    <w:rsid w:val="00D53C97"/>
    <w:rsid w:val="00D53E06"/>
    <w:rsid w:val="00D54744"/>
    <w:rsid w:val="00D558E1"/>
    <w:rsid w:val="00D55908"/>
    <w:rsid w:val="00D55919"/>
    <w:rsid w:val="00D559A8"/>
    <w:rsid w:val="00D55A30"/>
    <w:rsid w:val="00D56146"/>
    <w:rsid w:val="00D5679F"/>
    <w:rsid w:val="00D56FB5"/>
    <w:rsid w:val="00D570BB"/>
    <w:rsid w:val="00D57663"/>
    <w:rsid w:val="00D57907"/>
    <w:rsid w:val="00D57B35"/>
    <w:rsid w:val="00D57CFF"/>
    <w:rsid w:val="00D57DA6"/>
    <w:rsid w:val="00D6044A"/>
    <w:rsid w:val="00D60596"/>
    <w:rsid w:val="00D607E4"/>
    <w:rsid w:val="00D609CC"/>
    <w:rsid w:val="00D609D8"/>
    <w:rsid w:val="00D60A57"/>
    <w:rsid w:val="00D60E49"/>
    <w:rsid w:val="00D61623"/>
    <w:rsid w:val="00D618D3"/>
    <w:rsid w:val="00D618F6"/>
    <w:rsid w:val="00D61C0F"/>
    <w:rsid w:val="00D61C3F"/>
    <w:rsid w:val="00D62249"/>
    <w:rsid w:val="00D62366"/>
    <w:rsid w:val="00D62CC4"/>
    <w:rsid w:val="00D62E47"/>
    <w:rsid w:val="00D636ED"/>
    <w:rsid w:val="00D6395A"/>
    <w:rsid w:val="00D6402B"/>
    <w:rsid w:val="00D641CD"/>
    <w:rsid w:val="00D64C8F"/>
    <w:rsid w:val="00D65583"/>
    <w:rsid w:val="00D656F6"/>
    <w:rsid w:val="00D65B87"/>
    <w:rsid w:val="00D65FB7"/>
    <w:rsid w:val="00D65FE1"/>
    <w:rsid w:val="00D66213"/>
    <w:rsid w:val="00D663A3"/>
    <w:rsid w:val="00D6659A"/>
    <w:rsid w:val="00D66677"/>
    <w:rsid w:val="00D66AAC"/>
    <w:rsid w:val="00D66BB5"/>
    <w:rsid w:val="00D678D7"/>
    <w:rsid w:val="00D705F1"/>
    <w:rsid w:val="00D70618"/>
    <w:rsid w:val="00D70904"/>
    <w:rsid w:val="00D71269"/>
    <w:rsid w:val="00D712B4"/>
    <w:rsid w:val="00D71AAC"/>
    <w:rsid w:val="00D721FB"/>
    <w:rsid w:val="00D7224B"/>
    <w:rsid w:val="00D723C7"/>
    <w:rsid w:val="00D723DD"/>
    <w:rsid w:val="00D725A2"/>
    <w:rsid w:val="00D72841"/>
    <w:rsid w:val="00D729F9"/>
    <w:rsid w:val="00D736BC"/>
    <w:rsid w:val="00D73A59"/>
    <w:rsid w:val="00D73B0D"/>
    <w:rsid w:val="00D73EA9"/>
    <w:rsid w:val="00D74C9C"/>
    <w:rsid w:val="00D74CBF"/>
    <w:rsid w:val="00D75916"/>
    <w:rsid w:val="00D75F08"/>
    <w:rsid w:val="00D76048"/>
    <w:rsid w:val="00D760A0"/>
    <w:rsid w:val="00D76354"/>
    <w:rsid w:val="00D76450"/>
    <w:rsid w:val="00D76EFE"/>
    <w:rsid w:val="00D76F20"/>
    <w:rsid w:val="00D77041"/>
    <w:rsid w:val="00D77079"/>
    <w:rsid w:val="00D77137"/>
    <w:rsid w:val="00D77235"/>
    <w:rsid w:val="00D77BE6"/>
    <w:rsid w:val="00D77EFD"/>
    <w:rsid w:val="00D80FB0"/>
    <w:rsid w:val="00D81162"/>
    <w:rsid w:val="00D815F0"/>
    <w:rsid w:val="00D81E96"/>
    <w:rsid w:val="00D81FC6"/>
    <w:rsid w:val="00D82398"/>
    <w:rsid w:val="00D8255C"/>
    <w:rsid w:val="00D82B92"/>
    <w:rsid w:val="00D82BD0"/>
    <w:rsid w:val="00D82E53"/>
    <w:rsid w:val="00D82EFB"/>
    <w:rsid w:val="00D83A8F"/>
    <w:rsid w:val="00D83CA4"/>
    <w:rsid w:val="00D843A9"/>
    <w:rsid w:val="00D84476"/>
    <w:rsid w:val="00D84800"/>
    <w:rsid w:val="00D84835"/>
    <w:rsid w:val="00D849ED"/>
    <w:rsid w:val="00D857F8"/>
    <w:rsid w:val="00D85A68"/>
    <w:rsid w:val="00D86E92"/>
    <w:rsid w:val="00D87178"/>
    <w:rsid w:val="00D872F4"/>
    <w:rsid w:val="00D875E0"/>
    <w:rsid w:val="00D87965"/>
    <w:rsid w:val="00D87A6C"/>
    <w:rsid w:val="00D87D35"/>
    <w:rsid w:val="00D87FAD"/>
    <w:rsid w:val="00D900BF"/>
    <w:rsid w:val="00D90217"/>
    <w:rsid w:val="00D90298"/>
    <w:rsid w:val="00D9074F"/>
    <w:rsid w:val="00D9087B"/>
    <w:rsid w:val="00D909EB"/>
    <w:rsid w:val="00D91143"/>
    <w:rsid w:val="00D91529"/>
    <w:rsid w:val="00D919E5"/>
    <w:rsid w:val="00D921B9"/>
    <w:rsid w:val="00D92647"/>
    <w:rsid w:val="00D92A17"/>
    <w:rsid w:val="00D92B09"/>
    <w:rsid w:val="00D92B2F"/>
    <w:rsid w:val="00D92BCD"/>
    <w:rsid w:val="00D92D4E"/>
    <w:rsid w:val="00D9340C"/>
    <w:rsid w:val="00D934F8"/>
    <w:rsid w:val="00D93816"/>
    <w:rsid w:val="00D93E65"/>
    <w:rsid w:val="00D94485"/>
    <w:rsid w:val="00D94741"/>
    <w:rsid w:val="00D94764"/>
    <w:rsid w:val="00D94A28"/>
    <w:rsid w:val="00D95463"/>
    <w:rsid w:val="00D95479"/>
    <w:rsid w:val="00D9588A"/>
    <w:rsid w:val="00D95CE7"/>
    <w:rsid w:val="00D96114"/>
    <w:rsid w:val="00D96354"/>
    <w:rsid w:val="00D9636F"/>
    <w:rsid w:val="00D967E0"/>
    <w:rsid w:val="00D96B6A"/>
    <w:rsid w:val="00D96CC8"/>
    <w:rsid w:val="00D97321"/>
    <w:rsid w:val="00D973C8"/>
    <w:rsid w:val="00D975C3"/>
    <w:rsid w:val="00D97E41"/>
    <w:rsid w:val="00DA040B"/>
    <w:rsid w:val="00DA05DA"/>
    <w:rsid w:val="00DA073F"/>
    <w:rsid w:val="00DA0B0B"/>
    <w:rsid w:val="00DA0CF9"/>
    <w:rsid w:val="00DA0DDA"/>
    <w:rsid w:val="00DA1025"/>
    <w:rsid w:val="00DA1EA0"/>
    <w:rsid w:val="00DA21D9"/>
    <w:rsid w:val="00DA260D"/>
    <w:rsid w:val="00DA270D"/>
    <w:rsid w:val="00DA2C49"/>
    <w:rsid w:val="00DA2C62"/>
    <w:rsid w:val="00DA3767"/>
    <w:rsid w:val="00DA3E0F"/>
    <w:rsid w:val="00DA41FB"/>
    <w:rsid w:val="00DA4C6E"/>
    <w:rsid w:val="00DA4E15"/>
    <w:rsid w:val="00DA51E1"/>
    <w:rsid w:val="00DA51EF"/>
    <w:rsid w:val="00DA55B4"/>
    <w:rsid w:val="00DA576F"/>
    <w:rsid w:val="00DA5CC8"/>
    <w:rsid w:val="00DA5D3E"/>
    <w:rsid w:val="00DA5DF8"/>
    <w:rsid w:val="00DA61A8"/>
    <w:rsid w:val="00DA6E34"/>
    <w:rsid w:val="00DA722E"/>
    <w:rsid w:val="00DA7520"/>
    <w:rsid w:val="00DA75A1"/>
    <w:rsid w:val="00DA75C1"/>
    <w:rsid w:val="00DA7714"/>
    <w:rsid w:val="00DA788E"/>
    <w:rsid w:val="00DA78C5"/>
    <w:rsid w:val="00DA7954"/>
    <w:rsid w:val="00DA7BA1"/>
    <w:rsid w:val="00DA7C82"/>
    <w:rsid w:val="00DA7D6C"/>
    <w:rsid w:val="00DA7F6E"/>
    <w:rsid w:val="00DB014B"/>
    <w:rsid w:val="00DB02B0"/>
    <w:rsid w:val="00DB0BD9"/>
    <w:rsid w:val="00DB1709"/>
    <w:rsid w:val="00DB1C73"/>
    <w:rsid w:val="00DB1D0B"/>
    <w:rsid w:val="00DB2143"/>
    <w:rsid w:val="00DB221F"/>
    <w:rsid w:val="00DB2286"/>
    <w:rsid w:val="00DB23F1"/>
    <w:rsid w:val="00DB2468"/>
    <w:rsid w:val="00DB24A4"/>
    <w:rsid w:val="00DB29E6"/>
    <w:rsid w:val="00DB2A49"/>
    <w:rsid w:val="00DB2BE0"/>
    <w:rsid w:val="00DB2CB9"/>
    <w:rsid w:val="00DB36DF"/>
    <w:rsid w:val="00DB39D9"/>
    <w:rsid w:val="00DB44FC"/>
    <w:rsid w:val="00DB4543"/>
    <w:rsid w:val="00DB49A4"/>
    <w:rsid w:val="00DB5588"/>
    <w:rsid w:val="00DB5A83"/>
    <w:rsid w:val="00DB5DFE"/>
    <w:rsid w:val="00DB5F4A"/>
    <w:rsid w:val="00DB5FA8"/>
    <w:rsid w:val="00DB60AD"/>
    <w:rsid w:val="00DB6267"/>
    <w:rsid w:val="00DB643B"/>
    <w:rsid w:val="00DB6CE4"/>
    <w:rsid w:val="00DB6D6D"/>
    <w:rsid w:val="00DB6E63"/>
    <w:rsid w:val="00DB72E7"/>
    <w:rsid w:val="00DB75AD"/>
    <w:rsid w:val="00DB77BE"/>
    <w:rsid w:val="00DC0162"/>
    <w:rsid w:val="00DC0251"/>
    <w:rsid w:val="00DC0426"/>
    <w:rsid w:val="00DC0925"/>
    <w:rsid w:val="00DC0AA7"/>
    <w:rsid w:val="00DC0C19"/>
    <w:rsid w:val="00DC0EC3"/>
    <w:rsid w:val="00DC0FD6"/>
    <w:rsid w:val="00DC152A"/>
    <w:rsid w:val="00DC197A"/>
    <w:rsid w:val="00DC1CCB"/>
    <w:rsid w:val="00DC2265"/>
    <w:rsid w:val="00DC25DF"/>
    <w:rsid w:val="00DC277D"/>
    <w:rsid w:val="00DC293C"/>
    <w:rsid w:val="00DC2B1A"/>
    <w:rsid w:val="00DC2D95"/>
    <w:rsid w:val="00DC3B48"/>
    <w:rsid w:val="00DC4846"/>
    <w:rsid w:val="00DC4A7C"/>
    <w:rsid w:val="00DC4C4C"/>
    <w:rsid w:val="00DC4C94"/>
    <w:rsid w:val="00DC4EF5"/>
    <w:rsid w:val="00DC5319"/>
    <w:rsid w:val="00DC54FC"/>
    <w:rsid w:val="00DC570A"/>
    <w:rsid w:val="00DC5DF7"/>
    <w:rsid w:val="00DC62C8"/>
    <w:rsid w:val="00DC6374"/>
    <w:rsid w:val="00DC6C35"/>
    <w:rsid w:val="00DC7027"/>
    <w:rsid w:val="00DC70D6"/>
    <w:rsid w:val="00DC7A84"/>
    <w:rsid w:val="00DC7C3A"/>
    <w:rsid w:val="00DC7F6D"/>
    <w:rsid w:val="00DD084F"/>
    <w:rsid w:val="00DD0893"/>
    <w:rsid w:val="00DD193A"/>
    <w:rsid w:val="00DD19EA"/>
    <w:rsid w:val="00DD1A59"/>
    <w:rsid w:val="00DD1AC0"/>
    <w:rsid w:val="00DD1B41"/>
    <w:rsid w:val="00DD1FD0"/>
    <w:rsid w:val="00DD1FF6"/>
    <w:rsid w:val="00DD2421"/>
    <w:rsid w:val="00DD2453"/>
    <w:rsid w:val="00DD24B7"/>
    <w:rsid w:val="00DD27E8"/>
    <w:rsid w:val="00DD28DD"/>
    <w:rsid w:val="00DD2951"/>
    <w:rsid w:val="00DD2B49"/>
    <w:rsid w:val="00DD2D7D"/>
    <w:rsid w:val="00DD39DA"/>
    <w:rsid w:val="00DD3CF1"/>
    <w:rsid w:val="00DD3D49"/>
    <w:rsid w:val="00DD3EBB"/>
    <w:rsid w:val="00DD3F2C"/>
    <w:rsid w:val="00DD4313"/>
    <w:rsid w:val="00DD455A"/>
    <w:rsid w:val="00DD4650"/>
    <w:rsid w:val="00DD4A25"/>
    <w:rsid w:val="00DD51AC"/>
    <w:rsid w:val="00DD57CB"/>
    <w:rsid w:val="00DD5A03"/>
    <w:rsid w:val="00DD5B03"/>
    <w:rsid w:val="00DD5B27"/>
    <w:rsid w:val="00DD631A"/>
    <w:rsid w:val="00DD6443"/>
    <w:rsid w:val="00DD682C"/>
    <w:rsid w:val="00DD6916"/>
    <w:rsid w:val="00DD6D0B"/>
    <w:rsid w:val="00DD76B3"/>
    <w:rsid w:val="00DD7853"/>
    <w:rsid w:val="00DD7D52"/>
    <w:rsid w:val="00DD7DC0"/>
    <w:rsid w:val="00DD7EC5"/>
    <w:rsid w:val="00DD7EE3"/>
    <w:rsid w:val="00DE0850"/>
    <w:rsid w:val="00DE0A1E"/>
    <w:rsid w:val="00DE0B1D"/>
    <w:rsid w:val="00DE0E2D"/>
    <w:rsid w:val="00DE15B9"/>
    <w:rsid w:val="00DE20B8"/>
    <w:rsid w:val="00DE25B8"/>
    <w:rsid w:val="00DE33A0"/>
    <w:rsid w:val="00DE3410"/>
    <w:rsid w:val="00DE3DD6"/>
    <w:rsid w:val="00DE41BF"/>
    <w:rsid w:val="00DE4548"/>
    <w:rsid w:val="00DE4685"/>
    <w:rsid w:val="00DE47C5"/>
    <w:rsid w:val="00DE4AF8"/>
    <w:rsid w:val="00DE5C2F"/>
    <w:rsid w:val="00DE5D3D"/>
    <w:rsid w:val="00DE6126"/>
    <w:rsid w:val="00DE621D"/>
    <w:rsid w:val="00DE6449"/>
    <w:rsid w:val="00DE652D"/>
    <w:rsid w:val="00DE6979"/>
    <w:rsid w:val="00DE6BD2"/>
    <w:rsid w:val="00DE6E6D"/>
    <w:rsid w:val="00DE72FE"/>
    <w:rsid w:val="00DF052D"/>
    <w:rsid w:val="00DF071D"/>
    <w:rsid w:val="00DF07C2"/>
    <w:rsid w:val="00DF1BBB"/>
    <w:rsid w:val="00DF2B0C"/>
    <w:rsid w:val="00DF3492"/>
    <w:rsid w:val="00DF3876"/>
    <w:rsid w:val="00DF5139"/>
    <w:rsid w:val="00DF5483"/>
    <w:rsid w:val="00DF5FF5"/>
    <w:rsid w:val="00DF6304"/>
    <w:rsid w:val="00DF68C9"/>
    <w:rsid w:val="00DF6DA1"/>
    <w:rsid w:val="00DF7892"/>
    <w:rsid w:val="00DF7D04"/>
    <w:rsid w:val="00DF7D6C"/>
    <w:rsid w:val="00E00324"/>
    <w:rsid w:val="00E004BE"/>
    <w:rsid w:val="00E00A67"/>
    <w:rsid w:val="00E00B03"/>
    <w:rsid w:val="00E00D64"/>
    <w:rsid w:val="00E00E68"/>
    <w:rsid w:val="00E01027"/>
    <w:rsid w:val="00E011A9"/>
    <w:rsid w:val="00E01282"/>
    <w:rsid w:val="00E01E5C"/>
    <w:rsid w:val="00E021EF"/>
    <w:rsid w:val="00E026BA"/>
    <w:rsid w:val="00E028F0"/>
    <w:rsid w:val="00E02B3A"/>
    <w:rsid w:val="00E02D96"/>
    <w:rsid w:val="00E0303A"/>
    <w:rsid w:val="00E0307A"/>
    <w:rsid w:val="00E03910"/>
    <w:rsid w:val="00E03B1C"/>
    <w:rsid w:val="00E04168"/>
    <w:rsid w:val="00E04535"/>
    <w:rsid w:val="00E04557"/>
    <w:rsid w:val="00E047D6"/>
    <w:rsid w:val="00E0490A"/>
    <w:rsid w:val="00E049BD"/>
    <w:rsid w:val="00E05603"/>
    <w:rsid w:val="00E0592A"/>
    <w:rsid w:val="00E059BD"/>
    <w:rsid w:val="00E05C09"/>
    <w:rsid w:val="00E0620F"/>
    <w:rsid w:val="00E06465"/>
    <w:rsid w:val="00E0680B"/>
    <w:rsid w:val="00E06C72"/>
    <w:rsid w:val="00E06E35"/>
    <w:rsid w:val="00E071D7"/>
    <w:rsid w:val="00E07876"/>
    <w:rsid w:val="00E07D4D"/>
    <w:rsid w:val="00E07E42"/>
    <w:rsid w:val="00E10860"/>
    <w:rsid w:val="00E10A81"/>
    <w:rsid w:val="00E110C6"/>
    <w:rsid w:val="00E1181B"/>
    <w:rsid w:val="00E11BEA"/>
    <w:rsid w:val="00E11DD6"/>
    <w:rsid w:val="00E1263C"/>
    <w:rsid w:val="00E1294C"/>
    <w:rsid w:val="00E12C45"/>
    <w:rsid w:val="00E131A5"/>
    <w:rsid w:val="00E131E0"/>
    <w:rsid w:val="00E131E6"/>
    <w:rsid w:val="00E132E3"/>
    <w:rsid w:val="00E1469E"/>
    <w:rsid w:val="00E14CB7"/>
    <w:rsid w:val="00E14D72"/>
    <w:rsid w:val="00E1500C"/>
    <w:rsid w:val="00E15A25"/>
    <w:rsid w:val="00E15ADB"/>
    <w:rsid w:val="00E16684"/>
    <w:rsid w:val="00E16D47"/>
    <w:rsid w:val="00E173F3"/>
    <w:rsid w:val="00E17464"/>
    <w:rsid w:val="00E17DC7"/>
    <w:rsid w:val="00E17F56"/>
    <w:rsid w:val="00E20022"/>
    <w:rsid w:val="00E20522"/>
    <w:rsid w:val="00E20BCB"/>
    <w:rsid w:val="00E20C8C"/>
    <w:rsid w:val="00E20D45"/>
    <w:rsid w:val="00E20F57"/>
    <w:rsid w:val="00E21172"/>
    <w:rsid w:val="00E2117A"/>
    <w:rsid w:val="00E211A5"/>
    <w:rsid w:val="00E21299"/>
    <w:rsid w:val="00E212A6"/>
    <w:rsid w:val="00E214BA"/>
    <w:rsid w:val="00E2179F"/>
    <w:rsid w:val="00E21B21"/>
    <w:rsid w:val="00E21B47"/>
    <w:rsid w:val="00E21B58"/>
    <w:rsid w:val="00E21B66"/>
    <w:rsid w:val="00E21C2B"/>
    <w:rsid w:val="00E21D39"/>
    <w:rsid w:val="00E224A8"/>
    <w:rsid w:val="00E22604"/>
    <w:rsid w:val="00E22C92"/>
    <w:rsid w:val="00E22F50"/>
    <w:rsid w:val="00E231D0"/>
    <w:rsid w:val="00E236D4"/>
    <w:rsid w:val="00E23B66"/>
    <w:rsid w:val="00E23E3C"/>
    <w:rsid w:val="00E23F29"/>
    <w:rsid w:val="00E24004"/>
    <w:rsid w:val="00E24036"/>
    <w:rsid w:val="00E242FB"/>
    <w:rsid w:val="00E25257"/>
    <w:rsid w:val="00E25971"/>
    <w:rsid w:val="00E25A67"/>
    <w:rsid w:val="00E25B08"/>
    <w:rsid w:val="00E2654C"/>
    <w:rsid w:val="00E2658C"/>
    <w:rsid w:val="00E265D5"/>
    <w:rsid w:val="00E269CE"/>
    <w:rsid w:val="00E26AB1"/>
    <w:rsid w:val="00E26CA3"/>
    <w:rsid w:val="00E26E1C"/>
    <w:rsid w:val="00E271F0"/>
    <w:rsid w:val="00E272E9"/>
    <w:rsid w:val="00E275A8"/>
    <w:rsid w:val="00E27D1D"/>
    <w:rsid w:val="00E30347"/>
    <w:rsid w:val="00E306CA"/>
    <w:rsid w:val="00E309DD"/>
    <w:rsid w:val="00E30A0D"/>
    <w:rsid w:val="00E30A46"/>
    <w:rsid w:val="00E30AA5"/>
    <w:rsid w:val="00E30DBD"/>
    <w:rsid w:val="00E31117"/>
    <w:rsid w:val="00E311AE"/>
    <w:rsid w:val="00E313BF"/>
    <w:rsid w:val="00E31A2A"/>
    <w:rsid w:val="00E31C9A"/>
    <w:rsid w:val="00E32399"/>
    <w:rsid w:val="00E32E22"/>
    <w:rsid w:val="00E3321D"/>
    <w:rsid w:val="00E332F7"/>
    <w:rsid w:val="00E333EB"/>
    <w:rsid w:val="00E3363D"/>
    <w:rsid w:val="00E33A70"/>
    <w:rsid w:val="00E33ACD"/>
    <w:rsid w:val="00E33FB0"/>
    <w:rsid w:val="00E34093"/>
    <w:rsid w:val="00E346F2"/>
    <w:rsid w:val="00E3549C"/>
    <w:rsid w:val="00E35826"/>
    <w:rsid w:val="00E36079"/>
    <w:rsid w:val="00E361FB"/>
    <w:rsid w:val="00E36947"/>
    <w:rsid w:val="00E36CD6"/>
    <w:rsid w:val="00E36DFE"/>
    <w:rsid w:val="00E3725B"/>
    <w:rsid w:val="00E373F3"/>
    <w:rsid w:val="00E375DC"/>
    <w:rsid w:val="00E37EE7"/>
    <w:rsid w:val="00E406A9"/>
    <w:rsid w:val="00E40882"/>
    <w:rsid w:val="00E413AD"/>
    <w:rsid w:val="00E42607"/>
    <w:rsid w:val="00E427EC"/>
    <w:rsid w:val="00E432E5"/>
    <w:rsid w:val="00E4378A"/>
    <w:rsid w:val="00E43972"/>
    <w:rsid w:val="00E43985"/>
    <w:rsid w:val="00E43B4C"/>
    <w:rsid w:val="00E43CB5"/>
    <w:rsid w:val="00E44166"/>
    <w:rsid w:val="00E4473F"/>
    <w:rsid w:val="00E44B3E"/>
    <w:rsid w:val="00E44CF8"/>
    <w:rsid w:val="00E44D65"/>
    <w:rsid w:val="00E44F0D"/>
    <w:rsid w:val="00E45963"/>
    <w:rsid w:val="00E461A3"/>
    <w:rsid w:val="00E4629F"/>
    <w:rsid w:val="00E46C25"/>
    <w:rsid w:val="00E46F4C"/>
    <w:rsid w:val="00E472C5"/>
    <w:rsid w:val="00E473E1"/>
    <w:rsid w:val="00E476D6"/>
    <w:rsid w:val="00E47700"/>
    <w:rsid w:val="00E47712"/>
    <w:rsid w:val="00E47EDB"/>
    <w:rsid w:val="00E50226"/>
    <w:rsid w:val="00E506CB"/>
    <w:rsid w:val="00E50991"/>
    <w:rsid w:val="00E50BA6"/>
    <w:rsid w:val="00E50E56"/>
    <w:rsid w:val="00E51075"/>
    <w:rsid w:val="00E51386"/>
    <w:rsid w:val="00E513EE"/>
    <w:rsid w:val="00E51571"/>
    <w:rsid w:val="00E51F79"/>
    <w:rsid w:val="00E52452"/>
    <w:rsid w:val="00E52746"/>
    <w:rsid w:val="00E52BF5"/>
    <w:rsid w:val="00E534E3"/>
    <w:rsid w:val="00E53589"/>
    <w:rsid w:val="00E53D43"/>
    <w:rsid w:val="00E53EEC"/>
    <w:rsid w:val="00E54C19"/>
    <w:rsid w:val="00E5571E"/>
    <w:rsid w:val="00E558CA"/>
    <w:rsid w:val="00E55B21"/>
    <w:rsid w:val="00E55C51"/>
    <w:rsid w:val="00E55CE0"/>
    <w:rsid w:val="00E5617A"/>
    <w:rsid w:val="00E563E8"/>
    <w:rsid w:val="00E56426"/>
    <w:rsid w:val="00E564D0"/>
    <w:rsid w:val="00E56540"/>
    <w:rsid w:val="00E56770"/>
    <w:rsid w:val="00E56D6E"/>
    <w:rsid w:val="00E575FE"/>
    <w:rsid w:val="00E579D1"/>
    <w:rsid w:val="00E57B09"/>
    <w:rsid w:val="00E57CD7"/>
    <w:rsid w:val="00E57D1A"/>
    <w:rsid w:val="00E57E16"/>
    <w:rsid w:val="00E60711"/>
    <w:rsid w:val="00E60CA8"/>
    <w:rsid w:val="00E61424"/>
    <w:rsid w:val="00E61981"/>
    <w:rsid w:val="00E61B61"/>
    <w:rsid w:val="00E61C3C"/>
    <w:rsid w:val="00E62423"/>
    <w:rsid w:val="00E625D8"/>
    <w:rsid w:val="00E626CD"/>
    <w:rsid w:val="00E628F1"/>
    <w:rsid w:val="00E62AC3"/>
    <w:rsid w:val="00E62C5A"/>
    <w:rsid w:val="00E62CD9"/>
    <w:rsid w:val="00E636CB"/>
    <w:rsid w:val="00E638D9"/>
    <w:rsid w:val="00E63A44"/>
    <w:rsid w:val="00E63CE4"/>
    <w:rsid w:val="00E64413"/>
    <w:rsid w:val="00E64459"/>
    <w:rsid w:val="00E645B0"/>
    <w:rsid w:val="00E645F1"/>
    <w:rsid w:val="00E6471D"/>
    <w:rsid w:val="00E64780"/>
    <w:rsid w:val="00E647B9"/>
    <w:rsid w:val="00E64830"/>
    <w:rsid w:val="00E64BB9"/>
    <w:rsid w:val="00E64C08"/>
    <w:rsid w:val="00E64CB5"/>
    <w:rsid w:val="00E64D9D"/>
    <w:rsid w:val="00E65360"/>
    <w:rsid w:val="00E65365"/>
    <w:rsid w:val="00E65F69"/>
    <w:rsid w:val="00E661D5"/>
    <w:rsid w:val="00E66631"/>
    <w:rsid w:val="00E66E38"/>
    <w:rsid w:val="00E6726B"/>
    <w:rsid w:val="00E6780F"/>
    <w:rsid w:val="00E678CB"/>
    <w:rsid w:val="00E67B49"/>
    <w:rsid w:val="00E67C1C"/>
    <w:rsid w:val="00E67F95"/>
    <w:rsid w:val="00E701D7"/>
    <w:rsid w:val="00E70C08"/>
    <w:rsid w:val="00E70EC9"/>
    <w:rsid w:val="00E7157C"/>
    <w:rsid w:val="00E7167A"/>
    <w:rsid w:val="00E7173C"/>
    <w:rsid w:val="00E722EA"/>
    <w:rsid w:val="00E726E2"/>
    <w:rsid w:val="00E727F9"/>
    <w:rsid w:val="00E72B92"/>
    <w:rsid w:val="00E73149"/>
    <w:rsid w:val="00E731C2"/>
    <w:rsid w:val="00E732D3"/>
    <w:rsid w:val="00E733C4"/>
    <w:rsid w:val="00E73583"/>
    <w:rsid w:val="00E73933"/>
    <w:rsid w:val="00E73CF4"/>
    <w:rsid w:val="00E7421A"/>
    <w:rsid w:val="00E74402"/>
    <w:rsid w:val="00E746C2"/>
    <w:rsid w:val="00E74C06"/>
    <w:rsid w:val="00E74E06"/>
    <w:rsid w:val="00E75313"/>
    <w:rsid w:val="00E75485"/>
    <w:rsid w:val="00E75969"/>
    <w:rsid w:val="00E759C3"/>
    <w:rsid w:val="00E75CF9"/>
    <w:rsid w:val="00E75EC9"/>
    <w:rsid w:val="00E75F66"/>
    <w:rsid w:val="00E766CF"/>
    <w:rsid w:val="00E767E8"/>
    <w:rsid w:val="00E768C0"/>
    <w:rsid w:val="00E76AAD"/>
    <w:rsid w:val="00E76F4B"/>
    <w:rsid w:val="00E773B6"/>
    <w:rsid w:val="00E773EC"/>
    <w:rsid w:val="00E776BC"/>
    <w:rsid w:val="00E779BB"/>
    <w:rsid w:val="00E77C87"/>
    <w:rsid w:val="00E77D01"/>
    <w:rsid w:val="00E77D10"/>
    <w:rsid w:val="00E80242"/>
    <w:rsid w:val="00E8043E"/>
    <w:rsid w:val="00E80834"/>
    <w:rsid w:val="00E808AE"/>
    <w:rsid w:val="00E808B1"/>
    <w:rsid w:val="00E814B9"/>
    <w:rsid w:val="00E81582"/>
    <w:rsid w:val="00E815D6"/>
    <w:rsid w:val="00E81801"/>
    <w:rsid w:val="00E81803"/>
    <w:rsid w:val="00E82BB7"/>
    <w:rsid w:val="00E839D7"/>
    <w:rsid w:val="00E83DA8"/>
    <w:rsid w:val="00E84EF4"/>
    <w:rsid w:val="00E8504D"/>
    <w:rsid w:val="00E85138"/>
    <w:rsid w:val="00E85180"/>
    <w:rsid w:val="00E858A1"/>
    <w:rsid w:val="00E859CB"/>
    <w:rsid w:val="00E85B39"/>
    <w:rsid w:val="00E861DE"/>
    <w:rsid w:val="00E86325"/>
    <w:rsid w:val="00E86405"/>
    <w:rsid w:val="00E86646"/>
    <w:rsid w:val="00E86C2C"/>
    <w:rsid w:val="00E86DD0"/>
    <w:rsid w:val="00E872EF"/>
    <w:rsid w:val="00E8744C"/>
    <w:rsid w:val="00E87566"/>
    <w:rsid w:val="00E879D2"/>
    <w:rsid w:val="00E87C89"/>
    <w:rsid w:val="00E90284"/>
    <w:rsid w:val="00E9028F"/>
    <w:rsid w:val="00E90756"/>
    <w:rsid w:val="00E908E3"/>
    <w:rsid w:val="00E90AE5"/>
    <w:rsid w:val="00E90C93"/>
    <w:rsid w:val="00E9100B"/>
    <w:rsid w:val="00E9160E"/>
    <w:rsid w:val="00E917CB"/>
    <w:rsid w:val="00E91B0F"/>
    <w:rsid w:val="00E91B35"/>
    <w:rsid w:val="00E91FC7"/>
    <w:rsid w:val="00E92291"/>
    <w:rsid w:val="00E9239B"/>
    <w:rsid w:val="00E92701"/>
    <w:rsid w:val="00E92AEC"/>
    <w:rsid w:val="00E92EE0"/>
    <w:rsid w:val="00E93270"/>
    <w:rsid w:val="00E9343F"/>
    <w:rsid w:val="00E9362F"/>
    <w:rsid w:val="00E93F35"/>
    <w:rsid w:val="00E940A1"/>
    <w:rsid w:val="00E94455"/>
    <w:rsid w:val="00E9478C"/>
    <w:rsid w:val="00E94B27"/>
    <w:rsid w:val="00E94E45"/>
    <w:rsid w:val="00E94F51"/>
    <w:rsid w:val="00E9506F"/>
    <w:rsid w:val="00E958BF"/>
    <w:rsid w:val="00E95D03"/>
    <w:rsid w:val="00E95DB4"/>
    <w:rsid w:val="00E960D9"/>
    <w:rsid w:val="00E96235"/>
    <w:rsid w:val="00E96542"/>
    <w:rsid w:val="00E96785"/>
    <w:rsid w:val="00E9690C"/>
    <w:rsid w:val="00E96AD0"/>
    <w:rsid w:val="00E96BF1"/>
    <w:rsid w:val="00E96E2B"/>
    <w:rsid w:val="00E9718F"/>
    <w:rsid w:val="00E971E2"/>
    <w:rsid w:val="00E975F2"/>
    <w:rsid w:val="00E9765E"/>
    <w:rsid w:val="00E976CF"/>
    <w:rsid w:val="00E97B0F"/>
    <w:rsid w:val="00EA02AC"/>
    <w:rsid w:val="00EA0792"/>
    <w:rsid w:val="00EA0A5D"/>
    <w:rsid w:val="00EA0B2B"/>
    <w:rsid w:val="00EA0C1F"/>
    <w:rsid w:val="00EA0CD4"/>
    <w:rsid w:val="00EA18D6"/>
    <w:rsid w:val="00EA1B27"/>
    <w:rsid w:val="00EA1CF4"/>
    <w:rsid w:val="00EA1EAA"/>
    <w:rsid w:val="00EA20EF"/>
    <w:rsid w:val="00EA218A"/>
    <w:rsid w:val="00EA2237"/>
    <w:rsid w:val="00EA24D0"/>
    <w:rsid w:val="00EA3345"/>
    <w:rsid w:val="00EA3730"/>
    <w:rsid w:val="00EA392C"/>
    <w:rsid w:val="00EA39D6"/>
    <w:rsid w:val="00EA44E7"/>
    <w:rsid w:val="00EA4536"/>
    <w:rsid w:val="00EA4540"/>
    <w:rsid w:val="00EA4A4B"/>
    <w:rsid w:val="00EA4AD0"/>
    <w:rsid w:val="00EA5615"/>
    <w:rsid w:val="00EA5C87"/>
    <w:rsid w:val="00EA61C4"/>
    <w:rsid w:val="00EA6692"/>
    <w:rsid w:val="00EA67A7"/>
    <w:rsid w:val="00EA67C7"/>
    <w:rsid w:val="00EA6A42"/>
    <w:rsid w:val="00EA6E0D"/>
    <w:rsid w:val="00EA7313"/>
    <w:rsid w:val="00EA7AEB"/>
    <w:rsid w:val="00EA7B76"/>
    <w:rsid w:val="00EA7DD7"/>
    <w:rsid w:val="00EB0051"/>
    <w:rsid w:val="00EB0D29"/>
    <w:rsid w:val="00EB0F27"/>
    <w:rsid w:val="00EB1775"/>
    <w:rsid w:val="00EB1811"/>
    <w:rsid w:val="00EB1F6B"/>
    <w:rsid w:val="00EB2459"/>
    <w:rsid w:val="00EB2C2F"/>
    <w:rsid w:val="00EB3005"/>
    <w:rsid w:val="00EB3073"/>
    <w:rsid w:val="00EB31B4"/>
    <w:rsid w:val="00EB38DB"/>
    <w:rsid w:val="00EB3BE2"/>
    <w:rsid w:val="00EB3E43"/>
    <w:rsid w:val="00EB42A8"/>
    <w:rsid w:val="00EB474F"/>
    <w:rsid w:val="00EB4753"/>
    <w:rsid w:val="00EB48BE"/>
    <w:rsid w:val="00EB4E3B"/>
    <w:rsid w:val="00EB500A"/>
    <w:rsid w:val="00EB50E5"/>
    <w:rsid w:val="00EB540B"/>
    <w:rsid w:val="00EB5609"/>
    <w:rsid w:val="00EB571C"/>
    <w:rsid w:val="00EB5A89"/>
    <w:rsid w:val="00EB6428"/>
    <w:rsid w:val="00EB6A77"/>
    <w:rsid w:val="00EB6AC3"/>
    <w:rsid w:val="00EB79A6"/>
    <w:rsid w:val="00EB7AC5"/>
    <w:rsid w:val="00EB7FDA"/>
    <w:rsid w:val="00EC0224"/>
    <w:rsid w:val="00EC06F8"/>
    <w:rsid w:val="00EC0A33"/>
    <w:rsid w:val="00EC0A69"/>
    <w:rsid w:val="00EC0AF1"/>
    <w:rsid w:val="00EC0C2E"/>
    <w:rsid w:val="00EC0CB9"/>
    <w:rsid w:val="00EC0E5B"/>
    <w:rsid w:val="00EC1188"/>
    <w:rsid w:val="00EC208A"/>
    <w:rsid w:val="00EC2351"/>
    <w:rsid w:val="00EC2789"/>
    <w:rsid w:val="00EC2880"/>
    <w:rsid w:val="00EC297B"/>
    <w:rsid w:val="00EC298A"/>
    <w:rsid w:val="00EC2D29"/>
    <w:rsid w:val="00EC2F9B"/>
    <w:rsid w:val="00EC319F"/>
    <w:rsid w:val="00EC3311"/>
    <w:rsid w:val="00EC3727"/>
    <w:rsid w:val="00EC38EC"/>
    <w:rsid w:val="00EC3E67"/>
    <w:rsid w:val="00EC405E"/>
    <w:rsid w:val="00EC40C2"/>
    <w:rsid w:val="00EC44B9"/>
    <w:rsid w:val="00EC4527"/>
    <w:rsid w:val="00EC468A"/>
    <w:rsid w:val="00EC4922"/>
    <w:rsid w:val="00EC502F"/>
    <w:rsid w:val="00EC53BD"/>
    <w:rsid w:val="00EC57C6"/>
    <w:rsid w:val="00EC5DF8"/>
    <w:rsid w:val="00EC65A0"/>
    <w:rsid w:val="00EC6C02"/>
    <w:rsid w:val="00EC70C9"/>
    <w:rsid w:val="00EC751B"/>
    <w:rsid w:val="00EC77C4"/>
    <w:rsid w:val="00EC7849"/>
    <w:rsid w:val="00EC7ABB"/>
    <w:rsid w:val="00EC7ADA"/>
    <w:rsid w:val="00EC7F1B"/>
    <w:rsid w:val="00ED010B"/>
    <w:rsid w:val="00ED053E"/>
    <w:rsid w:val="00ED0744"/>
    <w:rsid w:val="00ED0798"/>
    <w:rsid w:val="00ED0B2A"/>
    <w:rsid w:val="00ED0BF7"/>
    <w:rsid w:val="00ED0DE5"/>
    <w:rsid w:val="00ED0EDF"/>
    <w:rsid w:val="00ED11BD"/>
    <w:rsid w:val="00ED13FD"/>
    <w:rsid w:val="00ED1639"/>
    <w:rsid w:val="00ED1646"/>
    <w:rsid w:val="00ED1701"/>
    <w:rsid w:val="00ED1955"/>
    <w:rsid w:val="00ED1FD2"/>
    <w:rsid w:val="00ED20B3"/>
    <w:rsid w:val="00ED21DA"/>
    <w:rsid w:val="00ED22A2"/>
    <w:rsid w:val="00ED2320"/>
    <w:rsid w:val="00ED2727"/>
    <w:rsid w:val="00ED2DA0"/>
    <w:rsid w:val="00ED3371"/>
    <w:rsid w:val="00ED34E5"/>
    <w:rsid w:val="00ED3B83"/>
    <w:rsid w:val="00ED3B91"/>
    <w:rsid w:val="00ED3BDF"/>
    <w:rsid w:val="00ED3E6B"/>
    <w:rsid w:val="00ED4095"/>
    <w:rsid w:val="00ED40B1"/>
    <w:rsid w:val="00ED40DF"/>
    <w:rsid w:val="00ED41BF"/>
    <w:rsid w:val="00ED438B"/>
    <w:rsid w:val="00ED4552"/>
    <w:rsid w:val="00ED462B"/>
    <w:rsid w:val="00ED4AE1"/>
    <w:rsid w:val="00ED4C73"/>
    <w:rsid w:val="00ED4EB2"/>
    <w:rsid w:val="00ED5ED2"/>
    <w:rsid w:val="00ED63FB"/>
    <w:rsid w:val="00ED6CA8"/>
    <w:rsid w:val="00ED719E"/>
    <w:rsid w:val="00ED741D"/>
    <w:rsid w:val="00ED754E"/>
    <w:rsid w:val="00ED75BB"/>
    <w:rsid w:val="00ED7A91"/>
    <w:rsid w:val="00ED7F26"/>
    <w:rsid w:val="00EE0144"/>
    <w:rsid w:val="00EE0514"/>
    <w:rsid w:val="00EE0EB8"/>
    <w:rsid w:val="00EE0FE6"/>
    <w:rsid w:val="00EE11B7"/>
    <w:rsid w:val="00EE174A"/>
    <w:rsid w:val="00EE185D"/>
    <w:rsid w:val="00EE1DC5"/>
    <w:rsid w:val="00EE2A84"/>
    <w:rsid w:val="00EE2EB2"/>
    <w:rsid w:val="00EE30B8"/>
    <w:rsid w:val="00EE3189"/>
    <w:rsid w:val="00EE31B0"/>
    <w:rsid w:val="00EE380A"/>
    <w:rsid w:val="00EE3D2F"/>
    <w:rsid w:val="00EE3DAF"/>
    <w:rsid w:val="00EE4060"/>
    <w:rsid w:val="00EE44CA"/>
    <w:rsid w:val="00EE4D86"/>
    <w:rsid w:val="00EE4E15"/>
    <w:rsid w:val="00EE539A"/>
    <w:rsid w:val="00EE5682"/>
    <w:rsid w:val="00EE56EA"/>
    <w:rsid w:val="00EE57F1"/>
    <w:rsid w:val="00EE5C89"/>
    <w:rsid w:val="00EE5E33"/>
    <w:rsid w:val="00EE5EBD"/>
    <w:rsid w:val="00EE605B"/>
    <w:rsid w:val="00EE61A1"/>
    <w:rsid w:val="00EE620C"/>
    <w:rsid w:val="00EE63BA"/>
    <w:rsid w:val="00EE63CF"/>
    <w:rsid w:val="00EE6C0F"/>
    <w:rsid w:val="00EE6F07"/>
    <w:rsid w:val="00EE71FF"/>
    <w:rsid w:val="00EE7415"/>
    <w:rsid w:val="00EE77F2"/>
    <w:rsid w:val="00EE78BE"/>
    <w:rsid w:val="00EE7C14"/>
    <w:rsid w:val="00EE7C7D"/>
    <w:rsid w:val="00EE7F6A"/>
    <w:rsid w:val="00EF021D"/>
    <w:rsid w:val="00EF03C5"/>
    <w:rsid w:val="00EF04E7"/>
    <w:rsid w:val="00EF058D"/>
    <w:rsid w:val="00EF081A"/>
    <w:rsid w:val="00EF08AA"/>
    <w:rsid w:val="00EF0E65"/>
    <w:rsid w:val="00EF108A"/>
    <w:rsid w:val="00EF1413"/>
    <w:rsid w:val="00EF1425"/>
    <w:rsid w:val="00EF15E1"/>
    <w:rsid w:val="00EF16BE"/>
    <w:rsid w:val="00EF190D"/>
    <w:rsid w:val="00EF1D19"/>
    <w:rsid w:val="00EF1D29"/>
    <w:rsid w:val="00EF1DBD"/>
    <w:rsid w:val="00EF2EA7"/>
    <w:rsid w:val="00EF33E1"/>
    <w:rsid w:val="00EF3612"/>
    <w:rsid w:val="00EF3628"/>
    <w:rsid w:val="00EF3BBF"/>
    <w:rsid w:val="00EF3C39"/>
    <w:rsid w:val="00EF3EB4"/>
    <w:rsid w:val="00EF438D"/>
    <w:rsid w:val="00EF46A5"/>
    <w:rsid w:val="00EF4C3D"/>
    <w:rsid w:val="00EF4C6A"/>
    <w:rsid w:val="00EF4EFF"/>
    <w:rsid w:val="00EF4F65"/>
    <w:rsid w:val="00EF4F81"/>
    <w:rsid w:val="00EF5262"/>
    <w:rsid w:val="00EF5388"/>
    <w:rsid w:val="00EF5826"/>
    <w:rsid w:val="00EF59C7"/>
    <w:rsid w:val="00EF5E4A"/>
    <w:rsid w:val="00EF67B9"/>
    <w:rsid w:val="00EF7342"/>
    <w:rsid w:val="00EF75E1"/>
    <w:rsid w:val="00EF7942"/>
    <w:rsid w:val="00F0018B"/>
    <w:rsid w:val="00F002CD"/>
    <w:rsid w:val="00F00B44"/>
    <w:rsid w:val="00F01409"/>
    <w:rsid w:val="00F0143F"/>
    <w:rsid w:val="00F0145F"/>
    <w:rsid w:val="00F01D9C"/>
    <w:rsid w:val="00F01E70"/>
    <w:rsid w:val="00F029F0"/>
    <w:rsid w:val="00F03075"/>
    <w:rsid w:val="00F033C5"/>
    <w:rsid w:val="00F043EA"/>
    <w:rsid w:val="00F04930"/>
    <w:rsid w:val="00F04F30"/>
    <w:rsid w:val="00F0532C"/>
    <w:rsid w:val="00F0538B"/>
    <w:rsid w:val="00F05542"/>
    <w:rsid w:val="00F05605"/>
    <w:rsid w:val="00F05D5A"/>
    <w:rsid w:val="00F065B9"/>
    <w:rsid w:val="00F06811"/>
    <w:rsid w:val="00F06BC8"/>
    <w:rsid w:val="00F06DBA"/>
    <w:rsid w:val="00F06DEE"/>
    <w:rsid w:val="00F07431"/>
    <w:rsid w:val="00F07C7A"/>
    <w:rsid w:val="00F102F6"/>
    <w:rsid w:val="00F1058A"/>
    <w:rsid w:val="00F106A2"/>
    <w:rsid w:val="00F106B6"/>
    <w:rsid w:val="00F10AE3"/>
    <w:rsid w:val="00F10C05"/>
    <w:rsid w:val="00F10D3C"/>
    <w:rsid w:val="00F10E66"/>
    <w:rsid w:val="00F1148B"/>
    <w:rsid w:val="00F1178F"/>
    <w:rsid w:val="00F117E8"/>
    <w:rsid w:val="00F11917"/>
    <w:rsid w:val="00F11AD4"/>
    <w:rsid w:val="00F1278B"/>
    <w:rsid w:val="00F1285E"/>
    <w:rsid w:val="00F12A0C"/>
    <w:rsid w:val="00F12D32"/>
    <w:rsid w:val="00F12EED"/>
    <w:rsid w:val="00F131BC"/>
    <w:rsid w:val="00F131BD"/>
    <w:rsid w:val="00F1374D"/>
    <w:rsid w:val="00F139CF"/>
    <w:rsid w:val="00F13EA9"/>
    <w:rsid w:val="00F1408F"/>
    <w:rsid w:val="00F14681"/>
    <w:rsid w:val="00F149A5"/>
    <w:rsid w:val="00F14A62"/>
    <w:rsid w:val="00F14BEE"/>
    <w:rsid w:val="00F156AA"/>
    <w:rsid w:val="00F1591A"/>
    <w:rsid w:val="00F1593B"/>
    <w:rsid w:val="00F15963"/>
    <w:rsid w:val="00F160C7"/>
    <w:rsid w:val="00F162A4"/>
    <w:rsid w:val="00F16384"/>
    <w:rsid w:val="00F16A42"/>
    <w:rsid w:val="00F16E35"/>
    <w:rsid w:val="00F1715B"/>
    <w:rsid w:val="00F1740A"/>
    <w:rsid w:val="00F174BF"/>
    <w:rsid w:val="00F17E57"/>
    <w:rsid w:val="00F202DF"/>
    <w:rsid w:val="00F2081F"/>
    <w:rsid w:val="00F20924"/>
    <w:rsid w:val="00F20B36"/>
    <w:rsid w:val="00F20F19"/>
    <w:rsid w:val="00F21638"/>
    <w:rsid w:val="00F2249F"/>
    <w:rsid w:val="00F22758"/>
    <w:rsid w:val="00F23134"/>
    <w:rsid w:val="00F232AA"/>
    <w:rsid w:val="00F233D0"/>
    <w:rsid w:val="00F23B17"/>
    <w:rsid w:val="00F2441A"/>
    <w:rsid w:val="00F24827"/>
    <w:rsid w:val="00F256EE"/>
    <w:rsid w:val="00F25D51"/>
    <w:rsid w:val="00F25D92"/>
    <w:rsid w:val="00F260F3"/>
    <w:rsid w:val="00F26397"/>
    <w:rsid w:val="00F26440"/>
    <w:rsid w:val="00F26AE6"/>
    <w:rsid w:val="00F26FE9"/>
    <w:rsid w:val="00F27568"/>
    <w:rsid w:val="00F27AA0"/>
    <w:rsid w:val="00F27B88"/>
    <w:rsid w:val="00F27F98"/>
    <w:rsid w:val="00F305CA"/>
    <w:rsid w:val="00F308F7"/>
    <w:rsid w:val="00F30BBB"/>
    <w:rsid w:val="00F30FAB"/>
    <w:rsid w:val="00F31518"/>
    <w:rsid w:val="00F31A1B"/>
    <w:rsid w:val="00F31EE9"/>
    <w:rsid w:val="00F329FB"/>
    <w:rsid w:val="00F32B0B"/>
    <w:rsid w:val="00F32BF9"/>
    <w:rsid w:val="00F32F39"/>
    <w:rsid w:val="00F33401"/>
    <w:rsid w:val="00F33490"/>
    <w:rsid w:val="00F33687"/>
    <w:rsid w:val="00F33A6C"/>
    <w:rsid w:val="00F33C3C"/>
    <w:rsid w:val="00F33C7E"/>
    <w:rsid w:val="00F33E26"/>
    <w:rsid w:val="00F33FD4"/>
    <w:rsid w:val="00F3453E"/>
    <w:rsid w:val="00F34584"/>
    <w:rsid w:val="00F3463E"/>
    <w:rsid w:val="00F35374"/>
    <w:rsid w:val="00F357ED"/>
    <w:rsid w:val="00F358B8"/>
    <w:rsid w:val="00F359BC"/>
    <w:rsid w:val="00F35A07"/>
    <w:rsid w:val="00F35FB9"/>
    <w:rsid w:val="00F361A9"/>
    <w:rsid w:val="00F36A1F"/>
    <w:rsid w:val="00F36E4A"/>
    <w:rsid w:val="00F36FD5"/>
    <w:rsid w:val="00F36FFD"/>
    <w:rsid w:val="00F370F5"/>
    <w:rsid w:val="00F3774F"/>
    <w:rsid w:val="00F377D0"/>
    <w:rsid w:val="00F37A79"/>
    <w:rsid w:val="00F37EAE"/>
    <w:rsid w:val="00F37ED3"/>
    <w:rsid w:val="00F37FC8"/>
    <w:rsid w:val="00F40036"/>
    <w:rsid w:val="00F4011D"/>
    <w:rsid w:val="00F40A90"/>
    <w:rsid w:val="00F40CFD"/>
    <w:rsid w:val="00F40D8B"/>
    <w:rsid w:val="00F40E30"/>
    <w:rsid w:val="00F410C0"/>
    <w:rsid w:val="00F415B8"/>
    <w:rsid w:val="00F415D0"/>
    <w:rsid w:val="00F415D4"/>
    <w:rsid w:val="00F41634"/>
    <w:rsid w:val="00F419A7"/>
    <w:rsid w:val="00F41AEB"/>
    <w:rsid w:val="00F4202A"/>
    <w:rsid w:val="00F42447"/>
    <w:rsid w:val="00F4260A"/>
    <w:rsid w:val="00F427D3"/>
    <w:rsid w:val="00F42A0F"/>
    <w:rsid w:val="00F42A3C"/>
    <w:rsid w:val="00F432B1"/>
    <w:rsid w:val="00F432C6"/>
    <w:rsid w:val="00F432DE"/>
    <w:rsid w:val="00F43485"/>
    <w:rsid w:val="00F43754"/>
    <w:rsid w:val="00F438C6"/>
    <w:rsid w:val="00F43A8A"/>
    <w:rsid w:val="00F448CA"/>
    <w:rsid w:val="00F44BBF"/>
    <w:rsid w:val="00F45266"/>
    <w:rsid w:val="00F45B35"/>
    <w:rsid w:val="00F45F87"/>
    <w:rsid w:val="00F4687E"/>
    <w:rsid w:val="00F46D46"/>
    <w:rsid w:val="00F47535"/>
    <w:rsid w:val="00F47665"/>
    <w:rsid w:val="00F47A45"/>
    <w:rsid w:val="00F47A5F"/>
    <w:rsid w:val="00F47D5D"/>
    <w:rsid w:val="00F50681"/>
    <w:rsid w:val="00F50DA6"/>
    <w:rsid w:val="00F51021"/>
    <w:rsid w:val="00F5102E"/>
    <w:rsid w:val="00F512F4"/>
    <w:rsid w:val="00F51A63"/>
    <w:rsid w:val="00F51D67"/>
    <w:rsid w:val="00F5236D"/>
    <w:rsid w:val="00F52879"/>
    <w:rsid w:val="00F528F6"/>
    <w:rsid w:val="00F529BD"/>
    <w:rsid w:val="00F529CB"/>
    <w:rsid w:val="00F52A2D"/>
    <w:rsid w:val="00F52B6C"/>
    <w:rsid w:val="00F52F96"/>
    <w:rsid w:val="00F53304"/>
    <w:rsid w:val="00F53BBF"/>
    <w:rsid w:val="00F540C3"/>
    <w:rsid w:val="00F542AD"/>
    <w:rsid w:val="00F54A70"/>
    <w:rsid w:val="00F553AF"/>
    <w:rsid w:val="00F554C1"/>
    <w:rsid w:val="00F557A6"/>
    <w:rsid w:val="00F55F65"/>
    <w:rsid w:val="00F56570"/>
    <w:rsid w:val="00F56663"/>
    <w:rsid w:val="00F56B5A"/>
    <w:rsid w:val="00F56DAC"/>
    <w:rsid w:val="00F571A8"/>
    <w:rsid w:val="00F57B78"/>
    <w:rsid w:val="00F57EE7"/>
    <w:rsid w:val="00F60136"/>
    <w:rsid w:val="00F60880"/>
    <w:rsid w:val="00F60BA8"/>
    <w:rsid w:val="00F61016"/>
    <w:rsid w:val="00F610EB"/>
    <w:rsid w:val="00F61222"/>
    <w:rsid w:val="00F6150E"/>
    <w:rsid w:val="00F6158F"/>
    <w:rsid w:val="00F617CA"/>
    <w:rsid w:val="00F6184F"/>
    <w:rsid w:val="00F61FE9"/>
    <w:rsid w:val="00F621A1"/>
    <w:rsid w:val="00F62429"/>
    <w:rsid w:val="00F62768"/>
    <w:rsid w:val="00F629E3"/>
    <w:rsid w:val="00F62A41"/>
    <w:rsid w:val="00F62A4C"/>
    <w:rsid w:val="00F63138"/>
    <w:rsid w:val="00F63836"/>
    <w:rsid w:val="00F6397E"/>
    <w:rsid w:val="00F63E56"/>
    <w:rsid w:val="00F640B2"/>
    <w:rsid w:val="00F6423A"/>
    <w:rsid w:val="00F6447A"/>
    <w:rsid w:val="00F64550"/>
    <w:rsid w:val="00F648F9"/>
    <w:rsid w:val="00F64F97"/>
    <w:rsid w:val="00F6519B"/>
    <w:rsid w:val="00F6525C"/>
    <w:rsid w:val="00F65868"/>
    <w:rsid w:val="00F65B07"/>
    <w:rsid w:val="00F65CA6"/>
    <w:rsid w:val="00F6617E"/>
    <w:rsid w:val="00F66292"/>
    <w:rsid w:val="00F663D3"/>
    <w:rsid w:val="00F664D2"/>
    <w:rsid w:val="00F66655"/>
    <w:rsid w:val="00F667A6"/>
    <w:rsid w:val="00F66E30"/>
    <w:rsid w:val="00F67198"/>
    <w:rsid w:val="00F671A6"/>
    <w:rsid w:val="00F70044"/>
    <w:rsid w:val="00F70478"/>
    <w:rsid w:val="00F70FCC"/>
    <w:rsid w:val="00F71A7F"/>
    <w:rsid w:val="00F71CF1"/>
    <w:rsid w:val="00F71DBC"/>
    <w:rsid w:val="00F71ECB"/>
    <w:rsid w:val="00F72A36"/>
    <w:rsid w:val="00F72BB5"/>
    <w:rsid w:val="00F72E60"/>
    <w:rsid w:val="00F731B6"/>
    <w:rsid w:val="00F7336A"/>
    <w:rsid w:val="00F73A12"/>
    <w:rsid w:val="00F73EA4"/>
    <w:rsid w:val="00F74189"/>
    <w:rsid w:val="00F74232"/>
    <w:rsid w:val="00F7437A"/>
    <w:rsid w:val="00F745C4"/>
    <w:rsid w:val="00F74C7E"/>
    <w:rsid w:val="00F74DD0"/>
    <w:rsid w:val="00F74E58"/>
    <w:rsid w:val="00F754D3"/>
    <w:rsid w:val="00F75596"/>
    <w:rsid w:val="00F75899"/>
    <w:rsid w:val="00F75929"/>
    <w:rsid w:val="00F75AF5"/>
    <w:rsid w:val="00F75DAB"/>
    <w:rsid w:val="00F76043"/>
    <w:rsid w:val="00F76161"/>
    <w:rsid w:val="00F76692"/>
    <w:rsid w:val="00F767DA"/>
    <w:rsid w:val="00F76871"/>
    <w:rsid w:val="00F76919"/>
    <w:rsid w:val="00F76D0A"/>
    <w:rsid w:val="00F76D68"/>
    <w:rsid w:val="00F76D9A"/>
    <w:rsid w:val="00F772C2"/>
    <w:rsid w:val="00F772EF"/>
    <w:rsid w:val="00F7738F"/>
    <w:rsid w:val="00F77472"/>
    <w:rsid w:val="00F775BD"/>
    <w:rsid w:val="00F77CDD"/>
    <w:rsid w:val="00F77DD8"/>
    <w:rsid w:val="00F77F90"/>
    <w:rsid w:val="00F80093"/>
    <w:rsid w:val="00F800B4"/>
    <w:rsid w:val="00F8027A"/>
    <w:rsid w:val="00F80818"/>
    <w:rsid w:val="00F8088E"/>
    <w:rsid w:val="00F80969"/>
    <w:rsid w:val="00F80C86"/>
    <w:rsid w:val="00F8181E"/>
    <w:rsid w:val="00F81A45"/>
    <w:rsid w:val="00F821C4"/>
    <w:rsid w:val="00F825B2"/>
    <w:rsid w:val="00F825EA"/>
    <w:rsid w:val="00F8282F"/>
    <w:rsid w:val="00F83034"/>
    <w:rsid w:val="00F832C9"/>
    <w:rsid w:val="00F833D9"/>
    <w:rsid w:val="00F8355D"/>
    <w:rsid w:val="00F83A64"/>
    <w:rsid w:val="00F83BC3"/>
    <w:rsid w:val="00F83BFE"/>
    <w:rsid w:val="00F83FE8"/>
    <w:rsid w:val="00F840A4"/>
    <w:rsid w:val="00F845E2"/>
    <w:rsid w:val="00F84687"/>
    <w:rsid w:val="00F848FA"/>
    <w:rsid w:val="00F84918"/>
    <w:rsid w:val="00F84AC0"/>
    <w:rsid w:val="00F84D4A"/>
    <w:rsid w:val="00F852CF"/>
    <w:rsid w:val="00F85DD2"/>
    <w:rsid w:val="00F85E3C"/>
    <w:rsid w:val="00F85EC4"/>
    <w:rsid w:val="00F85F05"/>
    <w:rsid w:val="00F86841"/>
    <w:rsid w:val="00F86844"/>
    <w:rsid w:val="00F86DBD"/>
    <w:rsid w:val="00F86E66"/>
    <w:rsid w:val="00F8718E"/>
    <w:rsid w:val="00F87262"/>
    <w:rsid w:val="00F87817"/>
    <w:rsid w:val="00F87A66"/>
    <w:rsid w:val="00F87AD5"/>
    <w:rsid w:val="00F902C3"/>
    <w:rsid w:val="00F90D4B"/>
    <w:rsid w:val="00F90D62"/>
    <w:rsid w:val="00F90DC0"/>
    <w:rsid w:val="00F91626"/>
    <w:rsid w:val="00F919F9"/>
    <w:rsid w:val="00F91D5F"/>
    <w:rsid w:val="00F91EC0"/>
    <w:rsid w:val="00F92238"/>
    <w:rsid w:val="00F92778"/>
    <w:rsid w:val="00F92790"/>
    <w:rsid w:val="00F92936"/>
    <w:rsid w:val="00F92B16"/>
    <w:rsid w:val="00F931B2"/>
    <w:rsid w:val="00F93456"/>
    <w:rsid w:val="00F939BB"/>
    <w:rsid w:val="00F93ABF"/>
    <w:rsid w:val="00F93D48"/>
    <w:rsid w:val="00F93D7D"/>
    <w:rsid w:val="00F94026"/>
    <w:rsid w:val="00F943B2"/>
    <w:rsid w:val="00F95084"/>
    <w:rsid w:val="00F95C90"/>
    <w:rsid w:val="00F95C95"/>
    <w:rsid w:val="00F95D5D"/>
    <w:rsid w:val="00F969F6"/>
    <w:rsid w:val="00F96A38"/>
    <w:rsid w:val="00F96ABA"/>
    <w:rsid w:val="00F97611"/>
    <w:rsid w:val="00F97E7F"/>
    <w:rsid w:val="00FA00A8"/>
    <w:rsid w:val="00FA0394"/>
    <w:rsid w:val="00FA03FF"/>
    <w:rsid w:val="00FA070C"/>
    <w:rsid w:val="00FA081F"/>
    <w:rsid w:val="00FA1467"/>
    <w:rsid w:val="00FA1716"/>
    <w:rsid w:val="00FA17A9"/>
    <w:rsid w:val="00FA18B1"/>
    <w:rsid w:val="00FA228A"/>
    <w:rsid w:val="00FA27A0"/>
    <w:rsid w:val="00FA27CE"/>
    <w:rsid w:val="00FA27FF"/>
    <w:rsid w:val="00FA29F4"/>
    <w:rsid w:val="00FA3622"/>
    <w:rsid w:val="00FA37B4"/>
    <w:rsid w:val="00FA386F"/>
    <w:rsid w:val="00FA3B3E"/>
    <w:rsid w:val="00FA42B2"/>
    <w:rsid w:val="00FA42C0"/>
    <w:rsid w:val="00FA48AF"/>
    <w:rsid w:val="00FA4EC3"/>
    <w:rsid w:val="00FA58CC"/>
    <w:rsid w:val="00FA5A5A"/>
    <w:rsid w:val="00FA5A6D"/>
    <w:rsid w:val="00FA5C94"/>
    <w:rsid w:val="00FA5E42"/>
    <w:rsid w:val="00FA684A"/>
    <w:rsid w:val="00FA69C0"/>
    <w:rsid w:val="00FA6B98"/>
    <w:rsid w:val="00FA7145"/>
    <w:rsid w:val="00FA7365"/>
    <w:rsid w:val="00FA736C"/>
    <w:rsid w:val="00FA7669"/>
    <w:rsid w:val="00FA78E3"/>
    <w:rsid w:val="00FA7D04"/>
    <w:rsid w:val="00FA7D55"/>
    <w:rsid w:val="00FA7DC9"/>
    <w:rsid w:val="00FB02A2"/>
    <w:rsid w:val="00FB0425"/>
    <w:rsid w:val="00FB06AB"/>
    <w:rsid w:val="00FB0B9A"/>
    <w:rsid w:val="00FB0C95"/>
    <w:rsid w:val="00FB0EA7"/>
    <w:rsid w:val="00FB190A"/>
    <w:rsid w:val="00FB1940"/>
    <w:rsid w:val="00FB20B9"/>
    <w:rsid w:val="00FB286F"/>
    <w:rsid w:val="00FB2BA6"/>
    <w:rsid w:val="00FB2E43"/>
    <w:rsid w:val="00FB30F0"/>
    <w:rsid w:val="00FB345C"/>
    <w:rsid w:val="00FB3639"/>
    <w:rsid w:val="00FB3910"/>
    <w:rsid w:val="00FB3C0F"/>
    <w:rsid w:val="00FB41D4"/>
    <w:rsid w:val="00FB44A0"/>
    <w:rsid w:val="00FB477F"/>
    <w:rsid w:val="00FB4861"/>
    <w:rsid w:val="00FB4A22"/>
    <w:rsid w:val="00FB4D71"/>
    <w:rsid w:val="00FB5A0D"/>
    <w:rsid w:val="00FB5CB4"/>
    <w:rsid w:val="00FB5FB8"/>
    <w:rsid w:val="00FB673E"/>
    <w:rsid w:val="00FB677F"/>
    <w:rsid w:val="00FB690A"/>
    <w:rsid w:val="00FB692A"/>
    <w:rsid w:val="00FB6961"/>
    <w:rsid w:val="00FB6BA8"/>
    <w:rsid w:val="00FB76FA"/>
    <w:rsid w:val="00FB7745"/>
    <w:rsid w:val="00FC04C2"/>
    <w:rsid w:val="00FC17C1"/>
    <w:rsid w:val="00FC1AD6"/>
    <w:rsid w:val="00FC1D81"/>
    <w:rsid w:val="00FC1EF4"/>
    <w:rsid w:val="00FC20D7"/>
    <w:rsid w:val="00FC24D9"/>
    <w:rsid w:val="00FC28D0"/>
    <w:rsid w:val="00FC2E57"/>
    <w:rsid w:val="00FC3200"/>
    <w:rsid w:val="00FC359A"/>
    <w:rsid w:val="00FC3D85"/>
    <w:rsid w:val="00FC3E4F"/>
    <w:rsid w:val="00FC40A2"/>
    <w:rsid w:val="00FC40C4"/>
    <w:rsid w:val="00FC4184"/>
    <w:rsid w:val="00FC4466"/>
    <w:rsid w:val="00FC462E"/>
    <w:rsid w:val="00FC486D"/>
    <w:rsid w:val="00FC48D0"/>
    <w:rsid w:val="00FC4B2C"/>
    <w:rsid w:val="00FC4B59"/>
    <w:rsid w:val="00FC4BF5"/>
    <w:rsid w:val="00FC4C79"/>
    <w:rsid w:val="00FC4E72"/>
    <w:rsid w:val="00FC5209"/>
    <w:rsid w:val="00FC5548"/>
    <w:rsid w:val="00FC585A"/>
    <w:rsid w:val="00FC586A"/>
    <w:rsid w:val="00FC5C4A"/>
    <w:rsid w:val="00FC5D60"/>
    <w:rsid w:val="00FC6746"/>
    <w:rsid w:val="00FC68E8"/>
    <w:rsid w:val="00FC7090"/>
    <w:rsid w:val="00FC71CA"/>
    <w:rsid w:val="00FC78D7"/>
    <w:rsid w:val="00FC795A"/>
    <w:rsid w:val="00FC7B8D"/>
    <w:rsid w:val="00FC7BE1"/>
    <w:rsid w:val="00FC7E27"/>
    <w:rsid w:val="00FD11FE"/>
    <w:rsid w:val="00FD130B"/>
    <w:rsid w:val="00FD1929"/>
    <w:rsid w:val="00FD1FA3"/>
    <w:rsid w:val="00FD21D1"/>
    <w:rsid w:val="00FD2674"/>
    <w:rsid w:val="00FD3033"/>
    <w:rsid w:val="00FD332E"/>
    <w:rsid w:val="00FD35D1"/>
    <w:rsid w:val="00FD375B"/>
    <w:rsid w:val="00FD38CD"/>
    <w:rsid w:val="00FD3ED2"/>
    <w:rsid w:val="00FD40FB"/>
    <w:rsid w:val="00FD415B"/>
    <w:rsid w:val="00FD4953"/>
    <w:rsid w:val="00FD4CE4"/>
    <w:rsid w:val="00FD4E7B"/>
    <w:rsid w:val="00FD4F8D"/>
    <w:rsid w:val="00FD5063"/>
    <w:rsid w:val="00FD5507"/>
    <w:rsid w:val="00FD5B3D"/>
    <w:rsid w:val="00FD5E84"/>
    <w:rsid w:val="00FD5F56"/>
    <w:rsid w:val="00FD6407"/>
    <w:rsid w:val="00FD675D"/>
    <w:rsid w:val="00FD692B"/>
    <w:rsid w:val="00FD6953"/>
    <w:rsid w:val="00FD7512"/>
    <w:rsid w:val="00FD7ADD"/>
    <w:rsid w:val="00FD7CC6"/>
    <w:rsid w:val="00FE0CA6"/>
    <w:rsid w:val="00FE0D70"/>
    <w:rsid w:val="00FE0F0E"/>
    <w:rsid w:val="00FE159D"/>
    <w:rsid w:val="00FE1811"/>
    <w:rsid w:val="00FE1826"/>
    <w:rsid w:val="00FE203B"/>
    <w:rsid w:val="00FE2481"/>
    <w:rsid w:val="00FE2C30"/>
    <w:rsid w:val="00FE2C85"/>
    <w:rsid w:val="00FE2CD6"/>
    <w:rsid w:val="00FE33B6"/>
    <w:rsid w:val="00FE3CF8"/>
    <w:rsid w:val="00FE44AF"/>
    <w:rsid w:val="00FE4519"/>
    <w:rsid w:val="00FE461E"/>
    <w:rsid w:val="00FE4709"/>
    <w:rsid w:val="00FE47FF"/>
    <w:rsid w:val="00FE49D9"/>
    <w:rsid w:val="00FE4CFC"/>
    <w:rsid w:val="00FE51B9"/>
    <w:rsid w:val="00FE535F"/>
    <w:rsid w:val="00FE5621"/>
    <w:rsid w:val="00FE595E"/>
    <w:rsid w:val="00FE5F1D"/>
    <w:rsid w:val="00FE5FBA"/>
    <w:rsid w:val="00FE6472"/>
    <w:rsid w:val="00FE6955"/>
    <w:rsid w:val="00FE6FC4"/>
    <w:rsid w:val="00FE77DA"/>
    <w:rsid w:val="00FE7B39"/>
    <w:rsid w:val="00FF04C8"/>
    <w:rsid w:val="00FF0587"/>
    <w:rsid w:val="00FF0C2D"/>
    <w:rsid w:val="00FF186D"/>
    <w:rsid w:val="00FF192E"/>
    <w:rsid w:val="00FF1AD3"/>
    <w:rsid w:val="00FF1E85"/>
    <w:rsid w:val="00FF2021"/>
    <w:rsid w:val="00FF2633"/>
    <w:rsid w:val="00FF2714"/>
    <w:rsid w:val="00FF2830"/>
    <w:rsid w:val="00FF284F"/>
    <w:rsid w:val="00FF2895"/>
    <w:rsid w:val="00FF2E71"/>
    <w:rsid w:val="00FF3129"/>
    <w:rsid w:val="00FF316A"/>
    <w:rsid w:val="00FF330E"/>
    <w:rsid w:val="00FF38AD"/>
    <w:rsid w:val="00FF430E"/>
    <w:rsid w:val="00FF4D77"/>
    <w:rsid w:val="00FF55CD"/>
    <w:rsid w:val="00FF565A"/>
    <w:rsid w:val="00FF593C"/>
    <w:rsid w:val="00FF5C7D"/>
    <w:rsid w:val="00FF6943"/>
    <w:rsid w:val="00FF71EB"/>
    <w:rsid w:val="00FF7CE8"/>
    <w:rsid w:val="00FF7D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F3F3B"/>
    <w:rPr>
      <w:sz w:val="26"/>
      <w:szCs w:val="24"/>
    </w:rPr>
  </w:style>
  <w:style w:type="paragraph" w:styleId="Heading1">
    <w:name w:val="heading 1"/>
    <w:basedOn w:val="BodyText"/>
    <w:next w:val="BodyText"/>
    <w:rsid w:val="003F3F3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F3F3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F3F3B"/>
    <w:pPr>
      <w:spacing w:before="560" w:line="320" w:lineRule="exact"/>
      <w:ind w:left="0" w:firstLine="0"/>
      <w:outlineLvl w:val="2"/>
    </w:pPr>
    <w:rPr>
      <w:sz w:val="26"/>
    </w:rPr>
  </w:style>
  <w:style w:type="paragraph" w:styleId="Heading4">
    <w:name w:val="heading 4"/>
    <w:basedOn w:val="Heading3"/>
    <w:next w:val="BodyText"/>
    <w:qFormat/>
    <w:rsid w:val="003F3F3B"/>
    <w:pPr>
      <w:spacing w:before="480"/>
      <w:outlineLvl w:val="3"/>
    </w:pPr>
    <w:rPr>
      <w:b w:val="0"/>
      <w:i/>
      <w:sz w:val="24"/>
    </w:rPr>
  </w:style>
  <w:style w:type="paragraph" w:styleId="Heading5">
    <w:name w:val="heading 5"/>
    <w:basedOn w:val="Heading4"/>
    <w:next w:val="BodyText"/>
    <w:qFormat/>
    <w:rsid w:val="003F3F3B"/>
    <w:pPr>
      <w:outlineLvl w:val="4"/>
    </w:pPr>
    <w:rPr>
      <w:rFonts w:ascii="Times New Roman" w:hAnsi="Times New Roman"/>
      <w:sz w:val="26"/>
    </w:rPr>
  </w:style>
  <w:style w:type="paragraph" w:styleId="Heading6">
    <w:name w:val="heading 6"/>
    <w:basedOn w:val="BodyText"/>
    <w:next w:val="BodyText"/>
    <w:rsid w:val="003F3F3B"/>
    <w:pPr>
      <w:spacing w:after="60"/>
      <w:jc w:val="left"/>
      <w:outlineLvl w:val="5"/>
    </w:pPr>
    <w:rPr>
      <w:i/>
      <w:sz w:val="22"/>
    </w:rPr>
  </w:style>
  <w:style w:type="paragraph" w:styleId="Heading7">
    <w:name w:val="heading 7"/>
    <w:basedOn w:val="BodyText"/>
    <w:next w:val="BodyText"/>
    <w:rsid w:val="003F3F3B"/>
    <w:pPr>
      <w:spacing w:after="60" w:line="240" w:lineRule="auto"/>
      <w:jc w:val="left"/>
      <w:outlineLvl w:val="6"/>
    </w:pPr>
    <w:rPr>
      <w:rFonts w:ascii="Arial" w:hAnsi="Arial"/>
      <w:sz w:val="20"/>
    </w:rPr>
  </w:style>
  <w:style w:type="paragraph" w:styleId="Heading8">
    <w:name w:val="heading 8"/>
    <w:basedOn w:val="BodyText"/>
    <w:next w:val="BodyText"/>
    <w:rsid w:val="003F3F3B"/>
    <w:pPr>
      <w:spacing w:after="60" w:line="240" w:lineRule="auto"/>
      <w:jc w:val="left"/>
      <w:outlineLvl w:val="7"/>
    </w:pPr>
    <w:rPr>
      <w:rFonts w:ascii="Arial" w:hAnsi="Arial"/>
      <w:i/>
      <w:sz w:val="20"/>
    </w:rPr>
  </w:style>
  <w:style w:type="paragraph" w:styleId="Heading9">
    <w:name w:val="heading 9"/>
    <w:basedOn w:val="BodyText"/>
    <w:next w:val="BodyText"/>
    <w:rsid w:val="003F3F3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F3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F3B"/>
  </w:style>
  <w:style w:type="paragraph" w:styleId="BodyText">
    <w:name w:val="Body Text"/>
    <w:link w:val="BodyTextChar"/>
    <w:qFormat/>
    <w:rsid w:val="003F3F3B"/>
    <w:pPr>
      <w:spacing w:before="240" w:line="320" w:lineRule="atLeast"/>
      <w:jc w:val="both"/>
    </w:pPr>
    <w:rPr>
      <w:sz w:val="26"/>
    </w:rPr>
  </w:style>
  <w:style w:type="paragraph" w:customStyle="1" w:styleId="Reference">
    <w:name w:val="Reference"/>
    <w:basedOn w:val="BodyText"/>
    <w:rsid w:val="003F3F3B"/>
    <w:pPr>
      <w:spacing w:before="120"/>
      <w:ind w:left="340" w:hanging="340"/>
    </w:pPr>
  </w:style>
  <w:style w:type="paragraph" w:customStyle="1" w:styleId="Chapter">
    <w:name w:val="Chapter"/>
    <w:basedOn w:val="Heading1"/>
    <w:next w:val="BodyText"/>
    <w:semiHidden/>
    <w:rsid w:val="003F3F3B"/>
    <w:pPr>
      <w:ind w:left="0" w:firstLine="0"/>
      <w:outlineLvl w:val="9"/>
    </w:pPr>
  </w:style>
  <w:style w:type="paragraph" w:customStyle="1" w:styleId="SequenceInfo">
    <w:name w:val="Sequence Info"/>
    <w:basedOn w:val="BodyText"/>
    <w:semiHidden/>
    <w:rsid w:val="003F3F3B"/>
    <w:rPr>
      <w:vanish/>
      <w:sz w:val="16"/>
    </w:rPr>
  </w:style>
  <w:style w:type="character" w:styleId="CommentReference">
    <w:name w:val="annotation reference"/>
    <w:basedOn w:val="DefaultParagraphFont"/>
    <w:semiHidden/>
    <w:rsid w:val="003F3F3B"/>
    <w:rPr>
      <w:b/>
      <w:vanish/>
      <w:color w:val="FF00FF"/>
      <w:sz w:val="20"/>
    </w:rPr>
  </w:style>
  <w:style w:type="paragraph" w:styleId="CommentText">
    <w:name w:val="annotation text"/>
    <w:basedOn w:val="Normal"/>
    <w:semiHidden/>
    <w:rsid w:val="003F3F3B"/>
    <w:pPr>
      <w:spacing w:before="120" w:line="240" w:lineRule="atLeast"/>
      <w:ind w:left="567" w:hanging="567"/>
    </w:pPr>
    <w:rPr>
      <w:sz w:val="20"/>
    </w:rPr>
  </w:style>
  <w:style w:type="paragraph" w:customStyle="1" w:styleId="Abbreviation">
    <w:name w:val="Abbreviation"/>
    <w:basedOn w:val="BodyText"/>
    <w:rsid w:val="003F3F3B"/>
    <w:pPr>
      <w:spacing w:before="120"/>
      <w:ind w:left="2381" w:hanging="2381"/>
      <w:jc w:val="left"/>
    </w:pPr>
  </w:style>
  <w:style w:type="paragraph" w:customStyle="1" w:styleId="Box">
    <w:name w:val="Box"/>
    <w:basedOn w:val="BodyText"/>
    <w:qFormat/>
    <w:rsid w:val="003F3F3B"/>
    <w:pPr>
      <w:keepNext/>
      <w:spacing w:before="120" w:line="280" w:lineRule="atLeast"/>
    </w:pPr>
    <w:rPr>
      <w:rFonts w:ascii="Arial" w:hAnsi="Arial"/>
      <w:sz w:val="22"/>
    </w:rPr>
  </w:style>
  <w:style w:type="paragraph" w:customStyle="1" w:styleId="QuoteBullet">
    <w:name w:val="Quote Bullet"/>
    <w:basedOn w:val="Quote"/>
    <w:rsid w:val="003F3F3B"/>
    <w:pPr>
      <w:numPr>
        <w:numId w:val="12"/>
      </w:numPr>
    </w:pPr>
  </w:style>
  <w:style w:type="paragraph" w:styleId="Quote">
    <w:name w:val="Quote"/>
    <w:basedOn w:val="BodyText"/>
    <w:next w:val="BodyText"/>
    <w:qFormat/>
    <w:rsid w:val="003F3F3B"/>
    <w:pPr>
      <w:spacing w:before="120" w:line="280" w:lineRule="exact"/>
      <w:ind w:left="340"/>
    </w:pPr>
    <w:rPr>
      <w:sz w:val="24"/>
    </w:rPr>
  </w:style>
  <w:style w:type="paragraph" w:customStyle="1" w:styleId="BoxListBullet">
    <w:name w:val="Box List Bullet"/>
    <w:basedOn w:val="BodyText"/>
    <w:rsid w:val="003F3F3B"/>
    <w:pPr>
      <w:keepNext/>
      <w:numPr>
        <w:numId w:val="7"/>
      </w:numPr>
      <w:spacing w:before="60" w:line="280" w:lineRule="atLeast"/>
    </w:pPr>
    <w:rPr>
      <w:rFonts w:ascii="Arial" w:hAnsi="Arial"/>
      <w:sz w:val="22"/>
    </w:rPr>
  </w:style>
  <w:style w:type="paragraph" w:customStyle="1" w:styleId="BoxListBullet2">
    <w:name w:val="Box List Bullet 2"/>
    <w:basedOn w:val="BodyText"/>
    <w:rsid w:val="003F3F3B"/>
    <w:pPr>
      <w:keepNext/>
      <w:numPr>
        <w:numId w:val="4"/>
      </w:numPr>
      <w:spacing w:before="60" w:line="280" w:lineRule="atLeast"/>
    </w:pPr>
    <w:rPr>
      <w:rFonts w:ascii="Arial" w:hAnsi="Arial"/>
      <w:sz w:val="22"/>
    </w:rPr>
  </w:style>
  <w:style w:type="paragraph" w:customStyle="1" w:styleId="BoxListNumber">
    <w:name w:val="Box List Number"/>
    <w:basedOn w:val="BodyText"/>
    <w:rsid w:val="003F3F3B"/>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3F3F3B"/>
    <w:pPr>
      <w:numPr>
        <w:ilvl w:val="1"/>
      </w:numPr>
    </w:pPr>
  </w:style>
  <w:style w:type="paragraph" w:customStyle="1" w:styleId="BoxQuote">
    <w:name w:val="Box Quote"/>
    <w:basedOn w:val="BodyText"/>
    <w:next w:val="Box"/>
    <w:rsid w:val="003F3F3B"/>
    <w:pPr>
      <w:keepNext/>
      <w:spacing w:before="60" w:line="260" w:lineRule="exact"/>
      <w:ind w:left="284"/>
    </w:pPr>
    <w:rPr>
      <w:rFonts w:ascii="Arial" w:hAnsi="Arial"/>
      <w:sz w:val="20"/>
    </w:rPr>
  </w:style>
  <w:style w:type="paragraph" w:customStyle="1" w:styleId="BoxSource">
    <w:name w:val="Box Source"/>
    <w:basedOn w:val="Source"/>
    <w:next w:val="BodyText"/>
    <w:rsid w:val="003F3F3B"/>
    <w:pPr>
      <w:spacing w:before="180" w:after="0"/>
    </w:pPr>
  </w:style>
  <w:style w:type="paragraph" w:customStyle="1" w:styleId="Source">
    <w:name w:val="Source"/>
    <w:basedOn w:val="Note"/>
    <w:next w:val="BodyText"/>
    <w:rsid w:val="003F3F3B"/>
    <w:pPr>
      <w:spacing w:after="120"/>
    </w:pPr>
  </w:style>
  <w:style w:type="paragraph" w:customStyle="1" w:styleId="Note">
    <w:name w:val="Note"/>
    <w:basedOn w:val="BodyText"/>
    <w:next w:val="BodyText"/>
    <w:rsid w:val="003F3F3B"/>
    <w:pPr>
      <w:keepLines/>
      <w:spacing w:before="80" w:line="220" w:lineRule="exact"/>
    </w:pPr>
    <w:rPr>
      <w:rFonts w:ascii="Arial" w:hAnsi="Arial"/>
      <w:sz w:val="18"/>
    </w:rPr>
  </w:style>
  <w:style w:type="paragraph" w:customStyle="1" w:styleId="BoxSpace">
    <w:name w:val="Box Space"/>
    <w:basedOn w:val="BodyText"/>
    <w:rsid w:val="006A1BC9"/>
    <w:pPr>
      <w:keepNext/>
      <w:spacing w:before="360" w:line="80" w:lineRule="exact"/>
      <w:jc w:val="left"/>
    </w:pPr>
  </w:style>
  <w:style w:type="paragraph" w:customStyle="1" w:styleId="BoxSubtitle">
    <w:name w:val="Box Subtitle"/>
    <w:basedOn w:val="BoxTitle"/>
    <w:next w:val="Normal"/>
    <w:rsid w:val="003F3F3B"/>
    <w:pPr>
      <w:spacing w:after="80" w:line="200" w:lineRule="exact"/>
      <w:ind w:firstLine="0"/>
    </w:pPr>
    <w:rPr>
      <w:b w:val="0"/>
      <w:sz w:val="20"/>
    </w:rPr>
  </w:style>
  <w:style w:type="paragraph" w:customStyle="1" w:styleId="BoxTitle">
    <w:name w:val="Box Title"/>
    <w:basedOn w:val="Caption"/>
    <w:next w:val="BoxSubtitle"/>
    <w:rsid w:val="003F3F3B"/>
    <w:pPr>
      <w:spacing w:before="120" w:after="0"/>
      <w:ind w:left="1304" w:hanging="1304"/>
    </w:pPr>
    <w:rPr>
      <w:sz w:val="24"/>
    </w:rPr>
  </w:style>
  <w:style w:type="paragraph" w:styleId="Caption">
    <w:name w:val="caption"/>
    <w:basedOn w:val="Normal"/>
    <w:next w:val="BodyText"/>
    <w:rsid w:val="003F3F3B"/>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3F3F3B"/>
    <w:pPr>
      <w:ind w:left="907"/>
    </w:pPr>
    <w:rPr>
      <w:rFonts w:ascii="Arial" w:hAnsi="Arial"/>
      <w:b/>
      <w:sz w:val="22"/>
    </w:rPr>
  </w:style>
  <w:style w:type="character" w:customStyle="1" w:styleId="DocumentInfo">
    <w:name w:val="Document Info"/>
    <w:basedOn w:val="DefaultParagraphFont"/>
    <w:semiHidden/>
    <w:rsid w:val="003F3F3B"/>
    <w:rPr>
      <w:rFonts w:ascii="Arial" w:hAnsi="Arial"/>
      <w:sz w:val="14"/>
    </w:rPr>
  </w:style>
  <w:style w:type="paragraph" w:styleId="Footer">
    <w:name w:val="footer"/>
    <w:basedOn w:val="BodyText"/>
    <w:semiHidden/>
    <w:rsid w:val="003F3F3B"/>
    <w:pPr>
      <w:spacing w:before="80" w:line="200" w:lineRule="exact"/>
      <w:ind w:right="6"/>
      <w:jc w:val="left"/>
    </w:pPr>
    <w:rPr>
      <w:caps/>
      <w:spacing w:val="-4"/>
      <w:sz w:val="16"/>
    </w:rPr>
  </w:style>
  <w:style w:type="character" w:customStyle="1" w:styleId="DraftingNote">
    <w:name w:val="Drafting Note"/>
    <w:basedOn w:val="DefaultParagraphFont"/>
    <w:rsid w:val="003F3F3B"/>
    <w:rPr>
      <w:b/>
      <w:color w:val="FF0000"/>
      <w:sz w:val="24"/>
      <w:u w:val="dotted"/>
    </w:rPr>
  </w:style>
  <w:style w:type="paragraph" w:customStyle="1" w:styleId="Figure">
    <w:name w:val="Figure"/>
    <w:basedOn w:val="BodyText"/>
    <w:rsid w:val="003F3F3B"/>
    <w:pPr>
      <w:keepNext/>
      <w:spacing w:before="120" w:after="120" w:line="240" w:lineRule="atLeast"/>
      <w:jc w:val="center"/>
    </w:pPr>
  </w:style>
  <w:style w:type="paragraph" w:customStyle="1" w:styleId="FigureTitle">
    <w:name w:val="Figure Title"/>
    <w:basedOn w:val="Caption"/>
    <w:next w:val="Subtitle"/>
    <w:rsid w:val="003F3F3B"/>
    <w:rPr>
      <w:sz w:val="24"/>
    </w:rPr>
  </w:style>
  <w:style w:type="paragraph" w:styleId="Subtitle">
    <w:name w:val="Subtitle"/>
    <w:basedOn w:val="Caption"/>
    <w:link w:val="SubtitleChar"/>
    <w:rsid w:val="003F3F3B"/>
    <w:pPr>
      <w:spacing w:before="0" w:line="200" w:lineRule="exact"/>
      <w:ind w:firstLine="0"/>
    </w:pPr>
    <w:rPr>
      <w:b w:val="0"/>
      <w:sz w:val="20"/>
    </w:rPr>
  </w:style>
  <w:style w:type="paragraph" w:customStyle="1" w:styleId="Finding">
    <w:name w:val="Finding"/>
    <w:basedOn w:val="BodyText"/>
    <w:rsid w:val="003F3F3B"/>
    <w:pPr>
      <w:keepLines/>
      <w:spacing w:before="180"/>
    </w:pPr>
    <w:rPr>
      <w:i/>
    </w:rPr>
  </w:style>
  <w:style w:type="paragraph" w:customStyle="1" w:styleId="FindingBullet">
    <w:name w:val="Finding Bullet"/>
    <w:basedOn w:val="Finding"/>
    <w:rsid w:val="003F3F3B"/>
    <w:pPr>
      <w:numPr>
        <w:numId w:val="8"/>
      </w:numPr>
      <w:spacing w:before="80"/>
    </w:pPr>
  </w:style>
  <w:style w:type="paragraph" w:customStyle="1" w:styleId="FindingNoTitle">
    <w:name w:val="Finding NoTitle"/>
    <w:basedOn w:val="Finding"/>
    <w:rsid w:val="003F3F3B"/>
    <w:pPr>
      <w:spacing w:before="240"/>
    </w:pPr>
  </w:style>
  <w:style w:type="paragraph" w:customStyle="1" w:styleId="FindingTitle">
    <w:name w:val="Finding Title"/>
    <w:basedOn w:val="RecTitle"/>
    <w:next w:val="Finding"/>
    <w:rsid w:val="003F3F3B"/>
    <w:pPr>
      <w:framePr w:wrap="notBeside" w:hAnchor="text"/>
    </w:pPr>
  </w:style>
  <w:style w:type="paragraph" w:customStyle="1" w:styleId="RecTitle">
    <w:name w:val="Rec Title"/>
    <w:basedOn w:val="BodyText"/>
    <w:next w:val="Normal"/>
    <w:rsid w:val="003F3F3B"/>
    <w:pPr>
      <w:keepNext/>
      <w:keepLines/>
    </w:pPr>
    <w:rPr>
      <w:caps/>
      <w:sz w:val="20"/>
    </w:rPr>
  </w:style>
  <w:style w:type="paragraph" w:customStyle="1" w:styleId="Rec">
    <w:name w:val="Rec"/>
    <w:basedOn w:val="BodyText"/>
    <w:rsid w:val="003F3F3B"/>
    <w:pPr>
      <w:keepLines/>
      <w:spacing w:before="180"/>
    </w:pPr>
    <w:rPr>
      <w:b/>
      <w:i/>
    </w:rPr>
  </w:style>
  <w:style w:type="paragraph" w:customStyle="1" w:styleId="FooterEnd">
    <w:name w:val="Footer End"/>
    <w:basedOn w:val="Footer"/>
    <w:rsid w:val="003F3F3B"/>
    <w:pPr>
      <w:spacing w:before="0" w:line="20" w:lineRule="exact"/>
    </w:pPr>
  </w:style>
  <w:style w:type="character" w:styleId="FootnoteReference">
    <w:name w:val="footnote reference"/>
    <w:basedOn w:val="DefaultParagraphFont"/>
    <w:semiHidden/>
    <w:rsid w:val="003F3F3B"/>
    <w:rPr>
      <w:rFonts w:ascii="Times New Roman" w:hAnsi="Times New Roman"/>
      <w:position w:val="6"/>
      <w:sz w:val="22"/>
      <w:vertAlign w:val="baseline"/>
    </w:rPr>
  </w:style>
  <w:style w:type="paragraph" w:styleId="FootnoteText">
    <w:name w:val="footnote text"/>
    <w:basedOn w:val="BodyText"/>
    <w:rsid w:val="003F3F3B"/>
    <w:pPr>
      <w:tabs>
        <w:tab w:val="left" w:pos="284"/>
      </w:tabs>
      <w:spacing w:before="80" w:line="260" w:lineRule="exact"/>
      <w:ind w:left="284" w:hanging="284"/>
    </w:pPr>
    <w:rPr>
      <w:sz w:val="22"/>
    </w:rPr>
  </w:style>
  <w:style w:type="paragraph" w:styleId="Header">
    <w:name w:val="header"/>
    <w:basedOn w:val="BodyText"/>
    <w:rsid w:val="003F3F3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F3F3B"/>
    <w:pPr>
      <w:spacing w:line="20" w:lineRule="exact"/>
    </w:pPr>
    <w:rPr>
      <w:sz w:val="16"/>
    </w:rPr>
  </w:style>
  <w:style w:type="paragraph" w:customStyle="1" w:styleId="HeaderEven">
    <w:name w:val="Header Even"/>
    <w:basedOn w:val="Header"/>
    <w:semiHidden/>
    <w:rsid w:val="003F3F3B"/>
  </w:style>
  <w:style w:type="paragraph" w:customStyle="1" w:styleId="HeaderOdd">
    <w:name w:val="Header Odd"/>
    <w:basedOn w:val="Header"/>
    <w:semiHidden/>
    <w:rsid w:val="003F3F3B"/>
  </w:style>
  <w:style w:type="paragraph" w:customStyle="1" w:styleId="InformationRequest">
    <w:name w:val="Information Request"/>
    <w:basedOn w:val="Finding"/>
    <w:next w:val="BodyText"/>
    <w:rsid w:val="003F3F3B"/>
    <w:pPr>
      <w:spacing w:before="360" w:after="120"/>
    </w:pPr>
    <w:rPr>
      <w:rFonts w:ascii="Arial" w:hAnsi="Arial"/>
      <w:sz w:val="24"/>
    </w:rPr>
  </w:style>
  <w:style w:type="paragraph" w:styleId="ListBullet">
    <w:name w:val="List Bullet"/>
    <w:basedOn w:val="BodyText"/>
    <w:rsid w:val="003F3F3B"/>
    <w:pPr>
      <w:numPr>
        <w:numId w:val="6"/>
      </w:numPr>
      <w:spacing w:before="120"/>
    </w:pPr>
  </w:style>
  <w:style w:type="paragraph" w:styleId="ListBullet2">
    <w:name w:val="List Bullet 2"/>
    <w:basedOn w:val="BodyText"/>
    <w:rsid w:val="003F3F3B"/>
    <w:pPr>
      <w:numPr>
        <w:numId w:val="3"/>
      </w:numPr>
      <w:spacing w:before="120"/>
    </w:pPr>
  </w:style>
  <w:style w:type="paragraph" w:styleId="ListBullet3">
    <w:name w:val="List Bullet 3"/>
    <w:basedOn w:val="BodyText"/>
    <w:rsid w:val="003F3F3B"/>
    <w:pPr>
      <w:numPr>
        <w:numId w:val="2"/>
      </w:numPr>
      <w:spacing w:before="120"/>
    </w:pPr>
  </w:style>
  <w:style w:type="paragraph" w:styleId="ListNumber">
    <w:name w:val="List Number"/>
    <w:basedOn w:val="BodyText"/>
    <w:rsid w:val="003F3F3B"/>
    <w:pPr>
      <w:numPr>
        <w:numId w:val="14"/>
      </w:numPr>
      <w:spacing w:before="120"/>
    </w:pPr>
  </w:style>
  <w:style w:type="paragraph" w:styleId="ListNumber2">
    <w:name w:val="List Number 2"/>
    <w:basedOn w:val="ListNumber"/>
    <w:rsid w:val="003F3F3B"/>
    <w:pPr>
      <w:numPr>
        <w:ilvl w:val="1"/>
      </w:numPr>
    </w:pPr>
  </w:style>
  <w:style w:type="paragraph" w:styleId="ListNumber3">
    <w:name w:val="List Number 3"/>
    <w:basedOn w:val="ListNumber2"/>
    <w:rsid w:val="003F3F3B"/>
    <w:pPr>
      <w:numPr>
        <w:ilvl w:val="2"/>
      </w:numPr>
    </w:pPr>
  </w:style>
  <w:style w:type="character" w:customStyle="1" w:styleId="NoteLabel">
    <w:name w:val="Note Label"/>
    <w:basedOn w:val="DefaultParagraphFont"/>
    <w:rsid w:val="003F3F3B"/>
    <w:rPr>
      <w:rFonts w:ascii="Arial" w:hAnsi="Arial"/>
      <w:b/>
      <w:position w:val="6"/>
      <w:sz w:val="18"/>
    </w:rPr>
  </w:style>
  <w:style w:type="character" w:styleId="PageNumber">
    <w:name w:val="page number"/>
    <w:basedOn w:val="DefaultParagraphFont"/>
    <w:rsid w:val="003F3F3B"/>
    <w:rPr>
      <w:rFonts w:ascii="Arial" w:hAnsi="Arial"/>
      <w:b/>
      <w:sz w:val="16"/>
    </w:rPr>
  </w:style>
  <w:style w:type="paragraph" w:customStyle="1" w:styleId="PartDivider">
    <w:name w:val="Part Divider"/>
    <w:basedOn w:val="BodyText"/>
    <w:next w:val="BodyText"/>
    <w:semiHidden/>
    <w:rsid w:val="003F3F3B"/>
    <w:pPr>
      <w:spacing w:before="0" w:line="40" w:lineRule="exact"/>
      <w:jc w:val="right"/>
    </w:pPr>
    <w:rPr>
      <w:smallCaps/>
      <w:sz w:val="16"/>
    </w:rPr>
  </w:style>
  <w:style w:type="paragraph" w:customStyle="1" w:styleId="PartNumber">
    <w:name w:val="Part Number"/>
    <w:basedOn w:val="BodyText"/>
    <w:next w:val="BodyText"/>
    <w:semiHidden/>
    <w:rsid w:val="003F3F3B"/>
    <w:pPr>
      <w:spacing w:before="4000" w:line="320" w:lineRule="exact"/>
      <w:ind w:left="6634"/>
      <w:jc w:val="right"/>
    </w:pPr>
    <w:rPr>
      <w:smallCaps/>
      <w:spacing w:val="60"/>
      <w:sz w:val="32"/>
    </w:rPr>
  </w:style>
  <w:style w:type="paragraph" w:customStyle="1" w:styleId="PartTitle">
    <w:name w:val="Part Title"/>
    <w:basedOn w:val="BodyText"/>
    <w:semiHidden/>
    <w:rsid w:val="003F3F3B"/>
    <w:pPr>
      <w:spacing w:before="160" w:after="1360" w:line="520" w:lineRule="exact"/>
      <w:ind w:right="2381"/>
      <w:jc w:val="right"/>
    </w:pPr>
    <w:rPr>
      <w:smallCaps/>
      <w:sz w:val="52"/>
    </w:rPr>
  </w:style>
  <w:style w:type="paragraph" w:customStyle="1" w:styleId="RecBullet">
    <w:name w:val="Rec Bullet"/>
    <w:basedOn w:val="Rec"/>
    <w:rsid w:val="003F3F3B"/>
    <w:pPr>
      <w:numPr>
        <w:numId w:val="9"/>
      </w:numPr>
      <w:spacing w:before="80"/>
    </w:pPr>
  </w:style>
  <w:style w:type="paragraph" w:customStyle="1" w:styleId="RecB">
    <w:name w:val="RecB"/>
    <w:basedOn w:val="Normal"/>
    <w:rsid w:val="003F3F3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F3F3B"/>
    <w:pPr>
      <w:numPr>
        <w:numId w:val="10"/>
      </w:numPr>
      <w:spacing w:before="80"/>
    </w:pPr>
  </w:style>
  <w:style w:type="paragraph" w:customStyle="1" w:styleId="RecBNoTitle">
    <w:name w:val="RecB NoTitle"/>
    <w:basedOn w:val="RecB"/>
    <w:rsid w:val="003F3F3B"/>
    <w:pPr>
      <w:spacing w:before="240"/>
    </w:pPr>
  </w:style>
  <w:style w:type="paragraph" w:customStyle="1" w:styleId="TableBodyText">
    <w:name w:val="Table Body Text"/>
    <w:basedOn w:val="BodyText"/>
    <w:link w:val="TableBodyTextChar"/>
    <w:rsid w:val="003F3F3B"/>
    <w:pPr>
      <w:keepNext/>
      <w:keepLines/>
      <w:spacing w:before="0" w:after="40" w:line="220" w:lineRule="atLeast"/>
      <w:ind w:left="6" w:right="113"/>
      <w:jc w:val="right"/>
    </w:pPr>
    <w:rPr>
      <w:rFonts w:ascii="Arial" w:hAnsi="Arial"/>
      <w:sz w:val="20"/>
    </w:rPr>
  </w:style>
  <w:style w:type="paragraph" w:customStyle="1" w:styleId="TableTitle">
    <w:name w:val="Table Title"/>
    <w:basedOn w:val="Caption"/>
    <w:next w:val="Subtitle"/>
    <w:rsid w:val="003F3F3B"/>
    <w:rPr>
      <w:sz w:val="24"/>
    </w:rPr>
  </w:style>
  <w:style w:type="paragraph" w:customStyle="1" w:styleId="SideNote">
    <w:name w:val="Side Note"/>
    <w:basedOn w:val="BodyText"/>
    <w:next w:val="BodyText"/>
    <w:semiHidden/>
    <w:rsid w:val="003F3F3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F3F3B"/>
    <w:pPr>
      <w:framePr w:wrap="around"/>
      <w:numPr>
        <w:numId w:val="5"/>
      </w:numPr>
      <w:tabs>
        <w:tab w:val="left" w:pos="227"/>
      </w:tabs>
    </w:pPr>
  </w:style>
  <w:style w:type="paragraph" w:customStyle="1" w:styleId="SideNoteGraphic">
    <w:name w:val="Side Note Graphic"/>
    <w:basedOn w:val="SideNote"/>
    <w:next w:val="BodyText"/>
    <w:semiHidden/>
    <w:rsid w:val="003F3F3B"/>
    <w:pPr>
      <w:framePr w:wrap="around"/>
    </w:pPr>
  </w:style>
  <w:style w:type="paragraph" w:customStyle="1" w:styleId="Jurisdictioncommentsbodytext">
    <w:name w:val="Jurisdiction comments body text"/>
    <w:rsid w:val="003F3F3B"/>
    <w:pPr>
      <w:spacing w:after="140"/>
      <w:jc w:val="both"/>
    </w:pPr>
    <w:rPr>
      <w:rFonts w:ascii="Arial" w:hAnsi="Arial"/>
      <w:sz w:val="24"/>
      <w:lang w:eastAsia="en-US"/>
    </w:rPr>
  </w:style>
  <w:style w:type="paragraph" w:customStyle="1" w:styleId="Jurisdictioncommentsheading">
    <w:name w:val="Jurisdiction comments heading"/>
    <w:rsid w:val="003F3F3B"/>
    <w:pPr>
      <w:spacing w:after="140" w:line="320" w:lineRule="atLeast"/>
      <w:jc w:val="both"/>
    </w:pPr>
    <w:rPr>
      <w:rFonts w:ascii="Arial" w:hAnsi="Arial"/>
      <w:b/>
      <w:sz w:val="24"/>
      <w:lang w:eastAsia="en-US"/>
    </w:rPr>
  </w:style>
  <w:style w:type="paragraph" w:customStyle="1" w:styleId="TableBullet">
    <w:name w:val="Table Bullet"/>
    <w:basedOn w:val="TableBodyText"/>
    <w:rsid w:val="003F3F3B"/>
    <w:pPr>
      <w:numPr>
        <w:numId w:val="11"/>
      </w:numPr>
      <w:jc w:val="left"/>
    </w:pPr>
  </w:style>
  <w:style w:type="paragraph" w:customStyle="1" w:styleId="TableColumnHeading">
    <w:name w:val="Table Column Heading"/>
    <w:basedOn w:val="TableBodyText"/>
    <w:rsid w:val="003F3F3B"/>
    <w:pPr>
      <w:spacing w:before="80" w:after="80"/>
    </w:pPr>
    <w:rPr>
      <w:i/>
    </w:rPr>
  </w:style>
  <w:style w:type="paragraph" w:styleId="TableofFigures">
    <w:name w:val="table of figures"/>
    <w:basedOn w:val="TOC3"/>
    <w:next w:val="BodyText"/>
    <w:semiHidden/>
    <w:rsid w:val="003F3F3B"/>
    <w:pPr>
      <w:ind w:left="737" w:hanging="737"/>
    </w:pPr>
  </w:style>
  <w:style w:type="paragraph" w:styleId="TOC3">
    <w:name w:val="toc 3"/>
    <w:basedOn w:val="TOC2"/>
    <w:semiHidden/>
    <w:rsid w:val="003F3F3B"/>
    <w:pPr>
      <w:spacing w:before="60"/>
      <w:ind w:left="1190" w:hanging="680"/>
    </w:pPr>
    <w:rPr>
      <w:b w:val="0"/>
    </w:rPr>
  </w:style>
  <w:style w:type="paragraph" w:styleId="TOC2">
    <w:name w:val="toc 2"/>
    <w:basedOn w:val="BodyText"/>
    <w:rsid w:val="003F3F3B"/>
    <w:pPr>
      <w:tabs>
        <w:tab w:val="right" w:pos="8789"/>
      </w:tabs>
      <w:ind w:left="510" w:right="851" w:hanging="510"/>
      <w:jc w:val="left"/>
    </w:pPr>
    <w:rPr>
      <w:b/>
    </w:rPr>
  </w:style>
  <w:style w:type="paragraph" w:styleId="CommentSubject">
    <w:name w:val="annotation subject"/>
    <w:basedOn w:val="CommentText"/>
    <w:next w:val="CommentText"/>
    <w:semiHidden/>
    <w:rsid w:val="00A66F62"/>
    <w:pPr>
      <w:spacing w:before="0" w:line="240" w:lineRule="auto"/>
      <w:ind w:left="0" w:firstLine="0"/>
    </w:pPr>
    <w:rPr>
      <w:b/>
      <w:bCs/>
    </w:rPr>
  </w:style>
  <w:style w:type="paragraph" w:customStyle="1" w:styleId="Jurisdictioncommentslistbullet">
    <w:name w:val="Jurisdiction comments list bullet"/>
    <w:rsid w:val="003F3F3B"/>
    <w:pPr>
      <w:numPr>
        <w:numId w:val="13"/>
      </w:numPr>
      <w:spacing w:after="140"/>
      <w:jc w:val="both"/>
    </w:pPr>
    <w:rPr>
      <w:rFonts w:ascii="Arial" w:hAnsi="Arial"/>
      <w:sz w:val="24"/>
      <w:lang w:eastAsia="en-US"/>
    </w:rPr>
  </w:style>
  <w:style w:type="paragraph" w:customStyle="1" w:styleId="TableUnitsRow">
    <w:name w:val="Table Units Row"/>
    <w:basedOn w:val="TableBodyText"/>
    <w:rsid w:val="003F3F3B"/>
    <w:pPr>
      <w:spacing w:before="80" w:after="80"/>
    </w:pPr>
  </w:style>
  <w:style w:type="paragraph" w:styleId="TOC1">
    <w:name w:val="toc 1"/>
    <w:basedOn w:val="Normal"/>
    <w:next w:val="TOC2"/>
    <w:rsid w:val="003F3F3B"/>
    <w:pPr>
      <w:tabs>
        <w:tab w:val="right" w:pos="8789"/>
      </w:tabs>
      <w:spacing w:before="480" w:after="60" w:line="320" w:lineRule="exact"/>
      <w:ind w:left="1191" w:right="851" w:hanging="1191"/>
    </w:pPr>
    <w:rPr>
      <w:b/>
      <w:caps/>
    </w:rPr>
  </w:style>
  <w:style w:type="paragraph" w:styleId="TOC4">
    <w:name w:val="toc 4"/>
    <w:basedOn w:val="TOC3"/>
    <w:semiHidden/>
    <w:rsid w:val="003F3F3B"/>
    <w:pPr>
      <w:ind w:left="1191" w:firstLine="0"/>
    </w:pPr>
  </w:style>
  <w:style w:type="paragraph" w:customStyle="1" w:styleId="BoxContinued">
    <w:name w:val="Box Continued"/>
    <w:basedOn w:val="BodyText"/>
    <w:next w:val="BodyText"/>
    <w:semiHidden/>
    <w:rsid w:val="003F3F3B"/>
    <w:pPr>
      <w:spacing w:before="180" w:line="220" w:lineRule="exact"/>
      <w:jc w:val="right"/>
    </w:pPr>
    <w:rPr>
      <w:rFonts w:ascii="Arial" w:hAnsi="Arial"/>
      <w:sz w:val="18"/>
    </w:rPr>
  </w:style>
  <w:style w:type="paragraph" w:customStyle="1" w:styleId="Continued">
    <w:name w:val="Continued"/>
    <w:basedOn w:val="BoxContinued"/>
    <w:next w:val="BodyText"/>
    <w:rsid w:val="003F3F3B"/>
  </w:style>
  <w:style w:type="paragraph" w:customStyle="1" w:styleId="BoxHeading1">
    <w:name w:val="Box Heading 1"/>
    <w:basedOn w:val="BodyText"/>
    <w:next w:val="Box"/>
    <w:rsid w:val="003F3F3B"/>
    <w:pPr>
      <w:keepNext/>
      <w:spacing w:before="200" w:line="280" w:lineRule="atLeast"/>
    </w:pPr>
    <w:rPr>
      <w:rFonts w:ascii="Arial" w:hAnsi="Arial"/>
      <w:b/>
      <w:sz w:val="22"/>
    </w:rPr>
  </w:style>
  <w:style w:type="paragraph" w:customStyle="1" w:styleId="BoxHeading2">
    <w:name w:val="Box Heading 2"/>
    <w:basedOn w:val="BoxHeading1"/>
    <w:next w:val="Normal"/>
    <w:rsid w:val="003F3F3B"/>
    <w:rPr>
      <w:b w:val="0"/>
      <w:i/>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rsid w:val="003F3F3B"/>
    <w:rPr>
      <w:rFonts w:ascii="Tahoma" w:hAnsi="Tahoma" w:cs="Tahoma"/>
      <w:sz w:val="16"/>
      <w:szCs w:val="16"/>
    </w:rPr>
  </w:style>
  <w:style w:type="table" w:styleId="TableGrid">
    <w:name w:val="Table Grid"/>
    <w:basedOn w:val="TableNormal"/>
    <w:rsid w:val="006D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DC6C35"/>
    <w:pPr>
      <w:ind w:left="720"/>
    </w:pPr>
    <w:rPr>
      <w:sz w:val="24"/>
    </w:rPr>
  </w:style>
  <w:style w:type="paragraph" w:customStyle="1" w:styleId="DocInfo">
    <w:name w:val="Doc Info"/>
    <w:basedOn w:val="Normal"/>
    <w:next w:val="Normal"/>
    <w:rsid w:val="00C15A7A"/>
    <w:pPr>
      <w:jc w:val="center"/>
    </w:pPr>
    <w:rPr>
      <w:rFonts w:ascii="Arial" w:hAnsi="Arial"/>
      <w:sz w:val="14"/>
    </w:rPr>
  </w:style>
  <w:style w:type="paragraph" w:customStyle="1" w:styleId="SOC">
    <w:name w:val="SOC"/>
    <w:basedOn w:val="Normal"/>
    <w:rsid w:val="00CF7AC3"/>
    <w:pPr>
      <w:spacing w:after="140"/>
      <w:jc w:val="both"/>
    </w:pPr>
    <w:rPr>
      <w:rFonts w:ascii="Arial" w:hAnsi="Arial"/>
      <w:szCs w:val="20"/>
      <w:lang w:eastAsia="en-US"/>
    </w:rPr>
  </w:style>
  <w:style w:type="paragraph" w:customStyle="1" w:styleId="RecBBullet2">
    <w:name w:val="RecB Bullet 2"/>
    <w:basedOn w:val="ListBullet2"/>
    <w:semiHidden/>
    <w:rsid w:val="003F3F3B"/>
    <w:pPr>
      <w:pBdr>
        <w:left w:val="single" w:sz="24" w:space="29" w:color="C0C0C0"/>
      </w:pBdr>
    </w:pPr>
    <w:rPr>
      <w:b/>
      <w:i/>
    </w:rPr>
  </w:style>
  <w:style w:type="character" w:customStyle="1" w:styleId="BalloonTextChar">
    <w:name w:val="Balloon Text Char"/>
    <w:basedOn w:val="DefaultParagraphFont"/>
    <w:link w:val="BalloonText"/>
    <w:rsid w:val="003F3F3B"/>
    <w:rPr>
      <w:rFonts w:ascii="Tahoma" w:hAnsi="Tahoma" w:cs="Tahoma"/>
      <w:sz w:val="16"/>
      <w:szCs w:val="16"/>
    </w:rPr>
  </w:style>
  <w:style w:type="character" w:customStyle="1" w:styleId="SubtitleChar">
    <w:name w:val="Subtitle Char"/>
    <w:basedOn w:val="DefaultParagraphFont"/>
    <w:link w:val="Subtitle"/>
    <w:rsid w:val="003F3F3B"/>
    <w:rPr>
      <w:rFonts w:ascii="Arial" w:hAnsi="Arial"/>
      <w:szCs w:val="24"/>
    </w:rPr>
  </w:style>
  <w:style w:type="paragraph" w:customStyle="1" w:styleId="BoxListBullet3">
    <w:name w:val="Box List Bullet 3"/>
    <w:basedOn w:val="ListBullet3"/>
    <w:rsid w:val="003F3F3B"/>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F3F3B"/>
    <w:rPr>
      <w:i/>
      <w:iCs/>
    </w:rPr>
  </w:style>
  <w:style w:type="paragraph" w:customStyle="1" w:styleId="BoxQuoteBullet">
    <w:name w:val="Box Quote Bullet"/>
    <w:basedOn w:val="BoxQuote"/>
    <w:next w:val="Box"/>
    <w:rsid w:val="003F3F3B"/>
    <w:pPr>
      <w:numPr>
        <w:numId w:val="17"/>
      </w:numPr>
      <w:ind w:left="568" w:hanging="284"/>
    </w:pPr>
  </w:style>
  <w:style w:type="paragraph" w:customStyle="1" w:styleId="InformationRequestBullet">
    <w:name w:val="Information Request Bullet"/>
    <w:basedOn w:val="ListBullet"/>
    <w:next w:val="BodyText"/>
    <w:rsid w:val="003F3F3B"/>
    <w:pPr>
      <w:numPr>
        <w:numId w:val="18"/>
      </w:numPr>
      <w:ind w:left="340" w:hanging="340"/>
    </w:pPr>
    <w:rPr>
      <w:rFonts w:ascii="Arial" w:hAnsi="Arial"/>
      <w:i/>
      <w:sz w:val="24"/>
    </w:rPr>
  </w:style>
  <w:style w:type="numbering" w:customStyle="1" w:styleId="StyleStyleBulletedOutlinenumberedLatinCourierNewComp1">
    <w:name w:val="Style Style Bulleted + Outline numbered (Latin) Courier New (Comp...1"/>
    <w:basedOn w:val="NoList"/>
    <w:rsid w:val="00E64C08"/>
    <w:pPr>
      <w:numPr>
        <w:numId w:val="16"/>
      </w:numPr>
    </w:pPr>
  </w:style>
  <w:style w:type="paragraph" w:customStyle="1" w:styleId="BoxListBullet4">
    <w:name w:val="Box List Bullet 4"/>
    <w:basedOn w:val="BoxListBullet3"/>
    <w:rsid w:val="00294108"/>
    <w:pPr>
      <w:numPr>
        <w:numId w:val="20"/>
      </w:numPr>
      <w:ind w:left="1247" w:hanging="340"/>
    </w:pPr>
  </w:style>
  <w:style w:type="paragraph" w:styleId="NormalWeb">
    <w:name w:val="Normal (Web)"/>
    <w:basedOn w:val="Normal"/>
    <w:rsid w:val="007E5EC5"/>
    <w:rPr>
      <w:sz w:val="24"/>
    </w:rPr>
  </w:style>
  <w:style w:type="character" w:styleId="FollowedHyperlink">
    <w:name w:val="FollowedHyperlink"/>
    <w:basedOn w:val="DefaultParagraphFont"/>
    <w:rsid w:val="0067594B"/>
    <w:rPr>
      <w:color w:val="800080" w:themeColor="followedHyperlink"/>
      <w:u w:val="single"/>
    </w:rPr>
  </w:style>
  <w:style w:type="paragraph" w:customStyle="1" w:styleId="BoxSpaceAbove">
    <w:name w:val="Box Space Above"/>
    <w:basedOn w:val="BodyText"/>
    <w:rsid w:val="003F3F3B"/>
    <w:pPr>
      <w:keepNext/>
      <w:spacing w:before="360" w:line="80" w:lineRule="exact"/>
      <w:jc w:val="left"/>
    </w:pPr>
  </w:style>
  <w:style w:type="paragraph" w:customStyle="1" w:styleId="BoxSpaceBelow">
    <w:name w:val="Box Space Below"/>
    <w:basedOn w:val="Box"/>
    <w:rsid w:val="003F3F3B"/>
    <w:pPr>
      <w:keepNext w:val="0"/>
      <w:spacing w:before="60" w:after="60" w:line="80" w:lineRule="exact"/>
    </w:pPr>
    <w:rPr>
      <w:sz w:val="14"/>
    </w:rPr>
  </w:style>
  <w:style w:type="character" w:customStyle="1" w:styleId="BodyTextChar">
    <w:name w:val="Body Text Char"/>
    <w:basedOn w:val="DefaultParagraphFont"/>
    <w:link w:val="BodyText"/>
    <w:rsid w:val="002D5881"/>
    <w:rPr>
      <w:sz w:val="26"/>
    </w:rPr>
  </w:style>
  <w:style w:type="character" w:customStyle="1" w:styleId="TableBodyTextChar">
    <w:name w:val="Table Body Text Char"/>
    <w:link w:val="TableBodyText"/>
    <w:rsid w:val="0086548B"/>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F3F3B"/>
    <w:rPr>
      <w:sz w:val="26"/>
      <w:szCs w:val="24"/>
    </w:rPr>
  </w:style>
  <w:style w:type="paragraph" w:styleId="Heading1">
    <w:name w:val="heading 1"/>
    <w:basedOn w:val="BodyText"/>
    <w:next w:val="BodyText"/>
    <w:rsid w:val="003F3F3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3F3F3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3F3F3B"/>
    <w:pPr>
      <w:spacing w:before="560" w:line="320" w:lineRule="exact"/>
      <w:ind w:left="0" w:firstLine="0"/>
      <w:outlineLvl w:val="2"/>
    </w:pPr>
    <w:rPr>
      <w:sz w:val="26"/>
    </w:rPr>
  </w:style>
  <w:style w:type="paragraph" w:styleId="Heading4">
    <w:name w:val="heading 4"/>
    <w:basedOn w:val="Heading3"/>
    <w:next w:val="BodyText"/>
    <w:qFormat/>
    <w:rsid w:val="003F3F3B"/>
    <w:pPr>
      <w:spacing w:before="480"/>
      <w:outlineLvl w:val="3"/>
    </w:pPr>
    <w:rPr>
      <w:b w:val="0"/>
      <w:i/>
      <w:sz w:val="24"/>
    </w:rPr>
  </w:style>
  <w:style w:type="paragraph" w:styleId="Heading5">
    <w:name w:val="heading 5"/>
    <w:basedOn w:val="Heading4"/>
    <w:next w:val="BodyText"/>
    <w:qFormat/>
    <w:rsid w:val="003F3F3B"/>
    <w:pPr>
      <w:outlineLvl w:val="4"/>
    </w:pPr>
    <w:rPr>
      <w:rFonts w:ascii="Times New Roman" w:hAnsi="Times New Roman"/>
      <w:sz w:val="26"/>
    </w:rPr>
  </w:style>
  <w:style w:type="paragraph" w:styleId="Heading6">
    <w:name w:val="heading 6"/>
    <w:basedOn w:val="BodyText"/>
    <w:next w:val="BodyText"/>
    <w:rsid w:val="003F3F3B"/>
    <w:pPr>
      <w:spacing w:after="60"/>
      <w:jc w:val="left"/>
      <w:outlineLvl w:val="5"/>
    </w:pPr>
    <w:rPr>
      <w:i/>
      <w:sz w:val="22"/>
    </w:rPr>
  </w:style>
  <w:style w:type="paragraph" w:styleId="Heading7">
    <w:name w:val="heading 7"/>
    <w:basedOn w:val="BodyText"/>
    <w:next w:val="BodyText"/>
    <w:rsid w:val="003F3F3B"/>
    <w:pPr>
      <w:spacing w:after="60" w:line="240" w:lineRule="auto"/>
      <w:jc w:val="left"/>
      <w:outlineLvl w:val="6"/>
    </w:pPr>
    <w:rPr>
      <w:rFonts w:ascii="Arial" w:hAnsi="Arial"/>
      <w:sz w:val="20"/>
    </w:rPr>
  </w:style>
  <w:style w:type="paragraph" w:styleId="Heading8">
    <w:name w:val="heading 8"/>
    <w:basedOn w:val="BodyText"/>
    <w:next w:val="BodyText"/>
    <w:rsid w:val="003F3F3B"/>
    <w:pPr>
      <w:spacing w:after="60" w:line="240" w:lineRule="auto"/>
      <w:jc w:val="left"/>
      <w:outlineLvl w:val="7"/>
    </w:pPr>
    <w:rPr>
      <w:rFonts w:ascii="Arial" w:hAnsi="Arial"/>
      <w:i/>
      <w:sz w:val="20"/>
    </w:rPr>
  </w:style>
  <w:style w:type="paragraph" w:styleId="Heading9">
    <w:name w:val="heading 9"/>
    <w:basedOn w:val="BodyText"/>
    <w:next w:val="BodyText"/>
    <w:rsid w:val="003F3F3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3F3F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3F3B"/>
  </w:style>
  <w:style w:type="paragraph" w:styleId="BodyText">
    <w:name w:val="Body Text"/>
    <w:link w:val="BodyTextChar"/>
    <w:qFormat/>
    <w:rsid w:val="003F3F3B"/>
    <w:pPr>
      <w:spacing w:before="240" w:line="320" w:lineRule="atLeast"/>
      <w:jc w:val="both"/>
    </w:pPr>
    <w:rPr>
      <w:sz w:val="26"/>
    </w:rPr>
  </w:style>
  <w:style w:type="paragraph" w:customStyle="1" w:styleId="Reference">
    <w:name w:val="Reference"/>
    <w:basedOn w:val="BodyText"/>
    <w:rsid w:val="003F3F3B"/>
    <w:pPr>
      <w:spacing w:before="120"/>
      <w:ind w:left="340" w:hanging="340"/>
    </w:pPr>
  </w:style>
  <w:style w:type="paragraph" w:customStyle="1" w:styleId="Chapter">
    <w:name w:val="Chapter"/>
    <w:basedOn w:val="Heading1"/>
    <w:next w:val="BodyText"/>
    <w:semiHidden/>
    <w:rsid w:val="003F3F3B"/>
    <w:pPr>
      <w:ind w:left="0" w:firstLine="0"/>
      <w:outlineLvl w:val="9"/>
    </w:pPr>
  </w:style>
  <w:style w:type="paragraph" w:customStyle="1" w:styleId="SequenceInfo">
    <w:name w:val="Sequence Info"/>
    <w:basedOn w:val="BodyText"/>
    <w:semiHidden/>
    <w:rsid w:val="003F3F3B"/>
    <w:rPr>
      <w:vanish/>
      <w:sz w:val="16"/>
    </w:rPr>
  </w:style>
  <w:style w:type="character" w:styleId="CommentReference">
    <w:name w:val="annotation reference"/>
    <w:basedOn w:val="DefaultParagraphFont"/>
    <w:semiHidden/>
    <w:rsid w:val="003F3F3B"/>
    <w:rPr>
      <w:b/>
      <w:vanish/>
      <w:color w:val="FF00FF"/>
      <w:sz w:val="20"/>
    </w:rPr>
  </w:style>
  <w:style w:type="paragraph" w:styleId="CommentText">
    <w:name w:val="annotation text"/>
    <w:basedOn w:val="Normal"/>
    <w:semiHidden/>
    <w:rsid w:val="003F3F3B"/>
    <w:pPr>
      <w:spacing w:before="120" w:line="240" w:lineRule="atLeast"/>
      <w:ind w:left="567" w:hanging="567"/>
    </w:pPr>
    <w:rPr>
      <w:sz w:val="20"/>
    </w:rPr>
  </w:style>
  <w:style w:type="paragraph" w:customStyle="1" w:styleId="Abbreviation">
    <w:name w:val="Abbreviation"/>
    <w:basedOn w:val="BodyText"/>
    <w:rsid w:val="003F3F3B"/>
    <w:pPr>
      <w:spacing w:before="120"/>
      <w:ind w:left="2381" w:hanging="2381"/>
      <w:jc w:val="left"/>
    </w:pPr>
  </w:style>
  <w:style w:type="paragraph" w:customStyle="1" w:styleId="Box">
    <w:name w:val="Box"/>
    <w:basedOn w:val="BodyText"/>
    <w:qFormat/>
    <w:rsid w:val="003F3F3B"/>
    <w:pPr>
      <w:keepNext/>
      <w:spacing w:before="120" w:line="280" w:lineRule="atLeast"/>
    </w:pPr>
    <w:rPr>
      <w:rFonts w:ascii="Arial" w:hAnsi="Arial"/>
      <w:sz w:val="22"/>
    </w:rPr>
  </w:style>
  <w:style w:type="paragraph" w:customStyle="1" w:styleId="QuoteBullet">
    <w:name w:val="Quote Bullet"/>
    <w:basedOn w:val="Quote"/>
    <w:rsid w:val="003F3F3B"/>
    <w:pPr>
      <w:numPr>
        <w:numId w:val="12"/>
      </w:numPr>
    </w:pPr>
  </w:style>
  <w:style w:type="paragraph" w:styleId="Quote">
    <w:name w:val="Quote"/>
    <w:basedOn w:val="BodyText"/>
    <w:next w:val="BodyText"/>
    <w:qFormat/>
    <w:rsid w:val="003F3F3B"/>
    <w:pPr>
      <w:spacing w:before="120" w:line="280" w:lineRule="exact"/>
      <w:ind w:left="340"/>
    </w:pPr>
    <w:rPr>
      <w:sz w:val="24"/>
    </w:rPr>
  </w:style>
  <w:style w:type="paragraph" w:customStyle="1" w:styleId="BoxListBullet">
    <w:name w:val="Box List Bullet"/>
    <w:basedOn w:val="BodyText"/>
    <w:rsid w:val="003F3F3B"/>
    <w:pPr>
      <w:keepNext/>
      <w:numPr>
        <w:numId w:val="7"/>
      </w:numPr>
      <w:spacing w:before="60" w:line="280" w:lineRule="atLeast"/>
    </w:pPr>
    <w:rPr>
      <w:rFonts w:ascii="Arial" w:hAnsi="Arial"/>
      <w:sz w:val="22"/>
    </w:rPr>
  </w:style>
  <w:style w:type="paragraph" w:customStyle="1" w:styleId="BoxListBullet2">
    <w:name w:val="Box List Bullet 2"/>
    <w:basedOn w:val="BodyText"/>
    <w:rsid w:val="003F3F3B"/>
    <w:pPr>
      <w:keepNext/>
      <w:numPr>
        <w:numId w:val="4"/>
      </w:numPr>
      <w:spacing w:before="60" w:line="280" w:lineRule="atLeast"/>
    </w:pPr>
    <w:rPr>
      <w:rFonts w:ascii="Arial" w:hAnsi="Arial"/>
      <w:sz w:val="22"/>
    </w:rPr>
  </w:style>
  <w:style w:type="paragraph" w:customStyle="1" w:styleId="BoxListNumber">
    <w:name w:val="Box List Number"/>
    <w:basedOn w:val="BodyText"/>
    <w:rsid w:val="003F3F3B"/>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3F3F3B"/>
    <w:pPr>
      <w:numPr>
        <w:ilvl w:val="1"/>
      </w:numPr>
    </w:pPr>
  </w:style>
  <w:style w:type="paragraph" w:customStyle="1" w:styleId="BoxQuote">
    <w:name w:val="Box Quote"/>
    <w:basedOn w:val="BodyText"/>
    <w:next w:val="Box"/>
    <w:rsid w:val="003F3F3B"/>
    <w:pPr>
      <w:keepNext/>
      <w:spacing w:before="60" w:line="260" w:lineRule="exact"/>
      <w:ind w:left="284"/>
    </w:pPr>
    <w:rPr>
      <w:rFonts w:ascii="Arial" w:hAnsi="Arial"/>
      <w:sz w:val="20"/>
    </w:rPr>
  </w:style>
  <w:style w:type="paragraph" w:customStyle="1" w:styleId="BoxSource">
    <w:name w:val="Box Source"/>
    <w:basedOn w:val="Source"/>
    <w:next w:val="BodyText"/>
    <w:rsid w:val="003F3F3B"/>
    <w:pPr>
      <w:spacing w:before="180" w:after="0"/>
    </w:pPr>
  </w:style>
  <w:style w:type="paragraph" w:customStyle="1" w:styleId="Source">
    <w:name w:val="Source"/>
    <w:basedOn w:val="Note"/>
    <w:next w:val="BodyText"/>
    <w:rsid w:val="003F3F3B"/>
    <w:pPr>
      <w:spacing w:after="120"/>
    </w:pPr>
  </w:style>
  <w:style w:type="paragraph" w:customStyle="1" w:styleId="Note">
    <w:name w:val="Note"/>
    <w:basedOn w:val="BodyText"/>
    <w:next w:val="BodyText"/>
    <w:rsid w:val="003F3F3B"/>
    <w:pPr>
      <w:keepLines/>
      <w:spacing w:before="80" w:line="220" w:lineRule="exact"/>
    </w:pPr>
    <w:rPr>
      <w:rFonts w:ascii="Arial" w:hAnsi="Arial"/>
      <w:sz w:val="18"/>
    </w:rPr>
  </w:style>
  <w:style w:type="paragraph" w:customStyle="1" w:styleId="BoxSpace">
    <w:name w:val="Box Space"/>
    <w:basedOn w:val="BodyText"/>
    <w:rsid w:val="006A1BC9"/>
    <w:pPr>
      <w:keepNext/>
      <w:spacing w:before="360" w:line="80" w:lineRule="exact"/>
      <w:jc w:val="left"/>
    </w:pPr>
  </w:style>
  <w:style w:type="paragraph" w:customStyle="1" w:styleId="BoxSubtitle">
    <w:name w:val="Box Subtitle"/>
    <w:basedOn w:val="BoxTitle"/>
    <w:next w:val="Normal"/>
    <w:rsid w:val="003F3F3B"/>
    <w:pPr>
      <w:spacing w:after="80" w:line="200" w:lineRule="exact"/>
      <w:ind w:firstLine="0"/>
    </w:pPr>
    <w:rPr>
      <w:b w:val="0"/>
      <w:sz w:val="20"/>
    </w:rPr>
  </w:style>
  <w:style w:type="paragraph" w:customStyle="1" w:styleId="BoxTitle">
    <w:name w:val="Box Title"/>
    <w:basedOn w:val="Caption"/>
    <w:next w:val="BoxSubtitle"/>
    <w:rsid w:val="003F3F3B"/>
    <w:pPr>
      <w:spacing w:before="120" w:after="0"/>
      <w:ind w:left="1304" w:hanging="1304"/>
    </w:pPr>
    <w:rPr>
      <w:sz w:val="24"/>
    </w:rPr>
  </w:style>
  <w:style w:type="paragraph" w:styleId="Caption">
    <w:name w:val="caption"/>
    <w:basedOn w:val="Normal"/>
    <w:next w:val="BodyText"/>
    <w:rsid w:val="003F3F3B"/>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3F3F3B"/>
    <w:pPr>
      <w:ind w:left="907"/>
    </w:pPr>
    <w:rPr>
      <w:rFonts w:ascii="Arial" w:hAnsi="Arial"/>
      <w:b/>
      <w:sz w:val="22"/>
    </w:rPr>
  </w:style>
  <w:style w:type="character" w:customStyle="1" w:styleId="DocumentInfo">
    <w:name w:val="Document Info"/>
    <w:basedOn w:val="DefaultParagraphFont"/>
    <w:semiHidden/>
    <w:rsid w:val="003F3F3B"/>
    <w:rPr>
      <w:rFonts w:ascii="Arial" w:hAnsi="Arial"/>
      <w:sz w:val="14"/>
    </w:rPr>
  </w:style>
  <w:style w:type="paragraph" w:styleId="Footer">
    <w:name w:val="footer"/>
    <w:basedOn w:val="BodyText"/>
    <w:semiHidden/>
    <w:rsid w:val="003F3F3B"/>
    <w:pPr>
      <w:spacing w:before="80" w:line="200" w:lineRule="exact"/>
      <w:ind w:right="6"/>
      <w:jc w:val="left"/>
    </w:pPr>
    <w:rPr>
      <w:caps/>
      <w:spacing w:val="-4"/>
      <w:sz w:val="16"/>
    </w:rPr>
  </w:style>
  <w:style w:type="character" w:customStyle="1" w:styleId="DraftingNote">
    <w:name w:val="Drafting Note"/>
    <w:basedOn w:val="DefaultParagraphFont"/>
    <w:rsid w:val="003F3F3B"/>
    <w:rPr>
      <w:b/>
      <w:color w:val="FF0000"/>
      <w:sz w:val="24"/>
      <w:u w:val="dotted"/>
    </w:rPr>
  </w:style>
  <w:style w:type="paragraph" w:customStyle="1" w:styleId="Figure">
    <w:name w:val="Figure"/>
    <w:basedOn w:val="BodyText"/>
    <w:rsid w:val="003F3F3B"/>
    <w:pPr>
      <w:keepNext/>
      <w:spacing w:before="120" w:after="120" w:line="240" w:lineRule="atLeast"/>
      <w:jc w:val="center"/>
    </w:pPr>
  </w:style>
  <w:style w:type="paragraph" w:customStyle="1" w:styleId="FigureTitle">
    <w:name w:val="Figure Title"/>
    <w:basedOn w:val="Caption"/>
    <w:next w:val="Subtitle"/>
    <w:rsid w:val="003F3F3B"/>
    <w:rPr>
      <w:sz w:val="24"/>
    </w:rPr>
  </w:style>
  <w:style w:type="paragraph" w:styleId="Subtitle">
    <w:name w:val="Subtitle"/>
    <w:basedOn w:val="Caption"/>
    <w:link w:val="SubtitleChar"/>
    <w:rsid w:val="003F3F3B"/>
    <w:pPr>
      <w:spacing w:before="0" w:line="200" w:lineRule="exact"/>
      <w:ind w:firstLine="0"/>
    </w:pPr>
    <w:rPr>
      <w:b w:val="0"/>
      <w:sz w:val="20"/>
    </w:rPr>
  </w:style>
  <w:style w:type="paragraph" w:customStyle="1" w:styleId="Finding">
    <w:name w:val="Finding"/>
    <w:basedOn w:val="BodyText"/>
    <w:rsid w:val="003F3F3B"/>
    <w:pPr>
      <w:keepLines/>
      <w:spacing w:before="180"/>
    </w:pPr>
    <w:rPr>
      <w:i/>
    </w:rPr>
  </w:style>
  <w:style w:type="paragraph" w:customStyle="1" w:styleId="FindingBullet">
    <w:name w:val="Finding Bullet"/>
    <w:basedOn w:val="Finding"/>
    <w:rsid w:val="003F3F3B"/>
    <w:pPr>
      <w:numPr>
        <w:numId w:val="8"/>
      </w:numPr>
      <w:spacing w:before="80"/>
    </w:pPr>
  </w:style>
  <w:style w:type="paragraph" w:customStyle="1" w:styleId="FindingNoTitle">
    <w:name w:val="Finding NoTitle"/>
    <w:basedOn w:val="Finding"/>
    <w:rsid w:val="003F3F3B"/>
    <w:pPr>
      <w:spacing w:before="240"/>
    </w:pPr>
  </w:style>
  <w:style w:type="paragraph" w:customStyle="1" w:styleId="FindingTitle">
    <w:name w:val="Finding Title"/>
    <w:basedOn w:val="RecTitle"/>
    <w:next w:val="Finding"/>
    <w:rsid w:val="003F3F3B"/>
    <w:pPr>
      <w:framePr w:wrap="notBeside" w:hAnchor="text"/>
    </w:pPr>
  </w:style>
  <w:style w:type="paragraph" w:customStyle="1" w:styleId="RecTitle">
    <w:name w:val="Rec Title"/>
    <w:basedOn w:val="BodyText"/>
    <w:next w:val="Normal"/>
    <w:rsid w:val="003F3F3B"/>
    <w:pPr>
      <w:keepNext/>
      <w:keepLines/>
    </w:pPr>
    <w:rPr>
      <w:caps/>
      <w:sz w:val="20"/>
    </w:rPr>
  </w:style>
  <w:style w:type="paragraph" w:customStyle="1" w:styleId="Rec">
    <w:name w:val="Rec"/>
    <w:basedOn w:val="BodyText"/>
    <w:rsid w:val="003F3F3B"/>
    <w:pPr>
      <w:keepLines/>
      <w:spacing w:before="180"/>
    </w:pPr>
    <w:rPr>
      <w:b/>
      <w:i/>
    </w:rPr>
  </w:style>
  <w:style w:type="paragraph" w:customStyle="1" w:styleId="FooterEnd">
    <w:name w:val="Footer End"/>
    <w:basedOn w:val="Footer"/>
    <w:rsid w:val="003F3F3B"/>
    <w:pPr>
      <w:spacing w:before="0" w:line="20" w:lineRule="exact"/>
    </w:pPr>
  </w:style>
  <w:style w:type="character" w:styleId="FootnoteReference">
    <w:name w:val="footnote reference"/>
    <w:basedOn w:val="DefaultParagraphFont"/>
    <w:semiHidden/>
    <w:rsid w:val="003F3F3B"/>
    <w:rPr>
      <w:rFonts w:ascii="Times New Roman" w:hAnsi="Times New Roman"/>
      <w:position w:val="6"/>
      <w:sz w:val="22"/>
      <w:vertAlign w:val="baseline"/>
    </w:rPr>
  </w:style>
  <w:style w:type="paragraph" w:styleId="FootnoteText">
    <w:name w:val="footnote text"/>
    <w:basedOn w:val="BodyText"/>
    <w:rsid w:val="003F3F3B"/>
    <w:pPr>
      <w:tabs>
        <w:tab w:val="left" w:pos="284"/>
      </w:tabs>
      <w:spacing w:before="80" w:line="260" w:lineRule="exact"/>
      <w:ind w:left="284" w:hanging="284"/>
    </w:pPr>
    <w:rPr>
      <w:sz w:val="22"/>
    </w:rPr>
  </w:style>
  <w:style w:type="paragraph" w:styleId="Header">
    <w:name w:val="header"/>
    <w:basedOn w:val="BodyText"/>
    <w:rsid w:val="003F3F3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3F3F3B"/>
    <w:pPr>
      <w:spacing w:line="20" w:lineRule="exact"/>
    </w:pPr>
    <w:rPr>
      <w:sz w:val="16"/>
    </w:rPr>
  </w:style>
  <w:style w:type="paragraph" w:customStyle="1" w:styleId="HeaderEven">
    <w:name w:val="Header Even"/>
    <w:basedOn w:val="Header"/>
    <w:semiHidden/>
    <w:rsid w:val="003F3F3B"/>
  </w:style>
  <w:style w:type="paragraph" w:customStyle="1" w:styleId="HeaderOdd">
    <w:name w:val="Header Odd"/>
    <w:basedOn w:val="Header"/>
    <w:semiHidden/>
    <w:rsid w:val="003F3F3B"/>
  </w:style>
  <w:style w:type="paragraph" w:customStyle="1" w:styleId="InformationRequest">
    <w:name w:val="Information Request"/>
    <w:basedOn w:val="Finding"/>
    <w:next w:val="BodyText"/>
    <w:rsid w:val="003F3F3B"/>
    <w:pPr>
      <w:spacing w:before="360" w:after="120"/>
    </w:pPr>
    <w:rPr>
      <w:rFonts w:ascii="Arial" w:hAnsi="Arial"/>
      <w:sz w:val="24"/>
    </w:rPr>
  </w:style>
  <w:style w:type="paragraph" w:styleId="ListBullet">
    <w:name w:val="List Bullet"/>
    <w:basedOn w:val="BodyText"/>
    <w:rsid w:val="003F3F3B"/>
    <w:pPr>
      <w:numPr>
        <w:numId w:val="6"/>
      </w:numPr>
      <w:spacing w:before="120"/>
    </w:pPr>
  </w:style>
  <w:style w:type="paragraph" w:styleId="ListBullet2">
    <w:name w:val="List Bullet 2"/>
    <w:basedOn w:val="BodyText"/>
    <w:rsid w:val="003F3F3B"/>
    <w:pPr>
      <w:numPr>
        <w:numId w:val="3"/>
      </w:numPr>
      <w:spacing w:before="120"/>
    </w:pPr>
  </w:style>
  <w:style w:type="paragraph" w:styleId="ListBullet3">
    <w:name w:val="List Bullet 3"/>
    <w:basedOn w:val="BodyText"/>
    <w:rsid w:val="003F3F3B"/>
    <w:pPr>
      <w:numPr>
        <w:numId w:val="2"/>
      </w:numPr>
      <w:spacing w:before="120"/>
    </w:pPr>
  </w:style>
  <w:style w:type="paragraph" w:styleId="ListNumber">
    <w:name w:val="List Number"/>
    <w:basedOn w:val="BodyText"/>
    <w:rsid w:val="003F3F3B"/>
    <w:pPr>
      <w:numPr>
        <w:numId w:val="14"/>
      </w:numPr>
      <w:spacing w:before="120"/>
    </w:pPr>
  </w:style>
  <w:style w:type="paragraph" w:styleId="ListNumber2">
    <w:name w:val="List Number 2"/>
    <w:basedOn w:val="ListNumber"/>
    <w:rsid w:val="003F3F3B"/>
    <w:pPr>
      <w:numPr>
        <w:ilvl w:val="1"/>
      </w:numPr>
    </w:pPr>
  </w:style>
  <w:style w:type="paragraph" w:styleId="ListNumber3">
    <w:name w:val="List Number 3"/>
    <w:basedOn w:val="ListNumber2"/>
    <w:rsid w:val="003F3F3B"/>
    <w:pPr>
      <w:numPr>
        <w:ilvl w:val="2"/>
      </w:numPr>
    </w:pPr>
  </w:style>
  <w:style w:type="character" w:customStyle="1" w:styleId="NoteLabel">
    <w:name w:val="Note Label"/>
    <w:basedOn w:val="DefaultParagraphFont"/>
    <w:rsid w:val="003F3F3B"/>
    <w:rPr>
      <w:rFonts w:ascii="Arial" w:hAnsi="Arial"/>
      <w:b/>
      <w:position w:val="6"/>
      <w:sz w:val="18"/>
    </w:rPr>
  </w:style>
  <w:style w:type="character" w:styleId="PageNumber">
    <w:name w:val="page number"/>
    <w:basedOn w:val="DefaultParagraphFont"/>
    <w:rsid w:val="003F3F3B"/>
    <w:rPr>
      <w:rFonts w:ascii="Arial" w:hAnsi="Arial"/>
      <w:b/>
      <w:sz w:val="16"/>
    </w:rPr>
  </w:style>
  <w:style w:type="paragraph" w:customStyle="1" w:styleId="PartDivider">
    <w:name w:val="Part Divider"/>
    <w:basedOn w:val="BodyText"/>
    <w:next w:val="BodyText"/>
    <w:semiHidden/>
    <w:rsid w:val="003F3F3B"/>
    <w:pPr>
      <w:spacing w:before="0" w:line="40" w:lineRule="exact"/>
      <w:jc w:val="right"/>
    </w:pPr>
    <w:rPr>
      <w:smallCaps/>
      <w:sz w:val="16"/>
    </w:rPr>
  </w:style>
  <w:style w:type="paragraph" w:customStyle="1" w:styleId="PartNumber">
    <w:name w:val="Part Number"/>
    <w:basedOn w:val="BodyText"/>
    <w:next w:val="BodyText"/>
    <w:semiHidden/>
    <w:rsid w:val="003F3F3B"/>
    <w:pPr>
      <w:spacing w:before="4000" w:line="320" w:lineRule="exact"/>
      <w:ind w:left="6634"/>
      <w:jc w:val="right"/>
    </w:pPr>
    <w:rPr>
      <w:smallCaps/>
      <w:spacing w:val="60"/>
      <w:sz w:val="32"/>
    </w:rPr>
  </w:style>
  <w:style w:type="paragraph" w:customStyle="1" w:styleId="PartTitle">
    <w:name w:val="Part Title"/>
    <w:basedOn w:val="BodyText"/>
    <w:semiHidden/>
    <w:rsid w:val="003F3F3B"/>
    <w:pPr>
      <w:spacing w:before="160" w:after="1360" w:line="520" w:lineRule="exact"/>
      <w:ind w:right="2381"/>
      <w:jc w:val="right"/>
    </w:pPr>
    <w:rPr>
      <w:smallCaps/>
      <w:sz w:val="52"/>
    </w:rPr>
  </w:style>
  <w:style w:type="paragraph" w:customStyle="1" w:styleId="RecBullet">
    <w:name w:val="Rec Bullet"/>
    <w:basedOn w:val="Rec"/>
    <w:rsid w:val="003F3F3B"/>
    <w:pPr>
      <w:numPr>
        <w:numId w:val="9"/>
      </w:numPr>
      <w:spacing w:before="80"/>
    </w:pPr>
  </w:style>
  <w:style w:type="paragraph" w:customStyle="1" w:styleId="RecB">
    <w:name w:val="RecB"/>
    <w:basedOn w:val="Normal"/>
    <w:rsid w:val="003F3F3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3F3F3B"/>
    <w:pPr>
      <w:numPr>
        <w:numId w:val="10"/>
      </w:numPr>
      <w:spacing w:before="80"/>
    </w:pPr>
  </w:style>
  <w:style w:type="paragraph" w:customStyle="1" w:styleId="RecBNoTitle">
    <w:name w:val="RecB NoTitle"/>
    <w:basedOn w:val="RecB"/>
    <w:rsid w:val="003F3F3B"/>
    <w:pPr>
      <w:spacing w:before="240"/>
    </w:pPr>
  </w:style>
  <w:style w:type="paragraph" w:customStyle="1" w:styleId="TableBodyText">
    <w:name w:val="Table Body Text"/>
    <w:basedOn w:val="BodyText"/>
    <w:link w:val="TableBodyTextChar"/>
    <w:rsid w:val="003F3F3B"/>
    <w:pPr>
      <w:keepNext/>
      <w:keepLines/>
      <w:spacing w:before="0" w:after="40" w:line="220" w:lineRule="atLeast"/>
      <w:ind w:left="6" w:right="113"/>
      <w:jc w:val="right"/>
    </w:pPr>
    <w:rPr>
      <w:rFonts w:ascii="Arial" w:hAnsi="Arial"/>
      <w:sz w:val="20"/>
    </w:rPr>
  </w:style>
  <w:style w:type="paragraph" w:customStyle="1" w:styleId="TableTitle">
    <w:name w:val="Table Title"/>
    <w:basedOn w:val="Caption"/>
    <w:next w:val="Subtitle"/>
    <w:rsid w:val="003F3F3B"/>
    <w:rPr>
      <w:sz w:val="24"/>
    </w:rPr>
  </w:style>
  <w:style w:type="paragraph" w:customStyle="1" w:styleId="SideNote">
    <w:name w:val="Side Note"/>
    <w:basedOn w:val="BodyText"/>
    <w:next w:val="BodyText"/>
    <w:semiHidden/>
    <w:rsid w:val="003F3F3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3F3F3B"/>
    <w:pPr>
      <w:framePr w:wrap="around"/>
      <w:numPr>
        <w:numId w:val="5"/>
      </w:numPr>
      <w:tabs>
        <w:tab w:val="left" w:pos="227"/>
      </w:tabs>
    </w:pPr>
  </w:style>
  <w:style w:type="paragraph" w:customStyle="1" w:styleId="SideNoteGraphic">
    <w:name w:val="Side Note Graphic"/>
    <w:basedOn w:val="SideNote"/>
    <w:next w:val="BodyText"/>
    <w:semiHidden/>
    <w:rsid w:val="003F3F3B"/>
    <w:pPr>
      <w:framePr w:wrap="around"/>
    </w:pPr>
  </w:style>
  <w:style w:type="paragraph" w:customStyle="1" w:styleId="Jurisdictioncommentsbodytext">
    <w:name w:val="Jurisdiction comments body text"/>
    <w:rsid w:val="003F3F3B"/>
    <w:pPr>
      <w:spacing w:after="140"/>
      <w:jc w:val="both"/>
    </w:pPr>
    <w:rPr>
      <w:rFonts w:ascii="Arial" w:hAnsi="Arial"/>
      <w:sz w:val="24"/>
      <w:lang w:eastAsia="en-US"/>
    </w:rPr>
  </w:style>
  <w:style w:type="paragraph" w:customStyle="1" w:styleId="Jurisdictioncommentsheading">
    <w:name w:val="Jurisdiction comments heading"/>
    <w:rsid w:val="003F3F3B"/>
    <w:pPr>
      <w:spacing w:after="140" w:line="320" w:lineRule="atLeast"/>
      <w:jc w:val="both"/>
    </w:pPr>
    <w:rPr>
      <w:rFonts w:ascii="Arial" w:hAnsi="Arial"/>
      <w:b/>
      <w:sz w:val="24"/>
      <w:lang w:eastAsia="en-US"/>
    </w:rPr>
  </w:style>
  <w:style w:type="paragraph" w:customStyle="1" w:styleId="TableBullet">
    <w:name w:val="Table Bullet"/>
    <w:basedOn w:val="TableBodyText"/>
    <w:rsid w:val="003F3F3B"/>
    <w:pPr>
      <w:numPr>
        <w:numId w:val="11"/>
      </w:numPr>
      <w:jc w:val="left"/>
    </w:pPr>
  </w:style>
  <w:style w:type="paragraph" w:customStyle="1" w:styleId="TableColumnHeading">
    <w:name w:val="Table Column Heading"/>
    <w:basedOn w:val="TableBodyText"/>
    <w:rsid w:val="003F3F3B"/>
    <w:pPr>
      <w:spacing w:before="80" w:after="80"/>
    </w:pPr>
    <w:rPr>
      <w:i/>
    </w:rPr>
  </w:style>
  <w:style w:type="paragraph" w:styleId="TableofFigures">
    <w:name w:val="table of figures"/>
    <w:basedOn w:val="TOC3"/>
    <w:next w:val="BodyText"/>
    <w:semiHidden/>
    <w:rsid w:val="003F3F3B"/>
    <w:pPr>
      <w:ind w:left="737" w:hanging="737"/>
    </w:pPr>
  </w:style>
  <w:style w:type="paragraph" w:styleId="TOC3">
    <w:name w:val="toc 3"/>
    <w:basedOn w:val="TOC2"/>
    <w:semiHidden/>
    <w:rsid w:val="003F3F3B"/>
    <w:pPr>
      <w:spacing w:before="60"/>
      <w:ind w:left="1190" w:hanging="680"/>
    </w:pPr>
    <w:rPr>
      <w:b w:val="0"/>
    </w:rPr>
  </w:style>
  <w:style w:type="paragraph" w:styleId="TOC2">
    <w:name w:val="toc 2"/>
    <w:basedOn w:val="BodyText"/>
    <w:rsid w:val="003F3F3B"/>
    <w:pPr>
      <w:tabs>
        <w:tab w:val="right" w:pos="8789"/>
      </w:tabs>
      <w:ind w:left="510" w:right="851" w:hanging="510"/>
      <w:jc w:val="left"/>
    </w:pPr>
    <w:rPr>
      <w:b/>
    </w:rPr>
  </w:style>
  <w:style w:type="paragraph" w:styleId="CommentSubject">
    <w:name w:val="annotation subject"/>
    <w:basedOn w:val="CommentText"/>
    <w:next w:val="CommentText"/>
    <w:semiHidden/>
    <w:rsid w:val="00A66F62"/>
    <w:pPr>
      <w:spacing w:before="0" w:line="240" w:lineRule="auto"/>
      <w:ind w:left="0" w:firstLine="0"/>
    </w:pPr>
    <w:rPr>
      <w:b/>
      <w:bCs/>
    </w:rPr>
  </w:style>
  <w:style w:type="paragraph" w:customStyle="1" w:styleId="Jurisdictioncommentslistbullet">
    <w:name w:val="Jurisdiction comments list bullet"/>
    <w:rsid w:val="003F3F3B"/>
    <w:pPr>
      <w:numPr>
        <w:numId w:val="13"/>
      </w:numPr>
      <w:spacing w:after="140"/>
      <w:jc w:val="both"/>
    </w:pPr>
    <w:rPr>
      <w:rFonts w:ascii="Arial" w:hAnsi="Arial"/>
      <w:sz w:val="24"/>
      <w:lang w:eastAsia="en-US"/>
    </w:rPr>
  </w:style>
  <w:style w:type="paragraph" w:customStyle="1" w:styleId="TableUnitsRow">
    <w:name w:val="Table Units Row"/>
    <w:basedOn w:val="TableBodyText"/>
    <w:rsid w:val="003F3F3B"/>
    <w:pPr>
      <w:spacing w:before="80" w:after="80"/>
    </w:pPr>
  </w:style>
  <w:style w:type="paragraph" w:styleId="TOC1">
    <w:name w:val="toc 1"/>
    <w:basedOn w:val="Normal"/>
    <w:next w:val="TOC2"/>
    <w:rsid w:val="003F3F3B"/>
    <w:pPr>
      <w:tabs>
        <w:tab w:val="right" w:pos="8789"/>
      </w:tabs>
      <w:spacing w:before="480" w:after="60" w:line="320" w:lineRule="exact"/>
      <w:ind w:left="1191" w:right="851" w:hanging="1191"/>
    </w:pPr>
    <w:rPr>
      <w:b/>
      <w:caps/>
    </w:rPr>
  </w:style>
  <w:style w:type="paragraph" w:styleId="TOC4">
    <w:name w:val="toc 4"/>
    <w:basedOn w:val="TOC3"/>
    <w:semiHidden/>
    <w:rsid w:val="003F3F3B"/>
    <w:pPr>
      <w:ind w:left="1191" w:firstLine="0"/>
    </w:pPr>
  </w:style>
  <w:style w:type="paragraph" w:customStyle="1" w:styleId="BoxContinued">
    <w:name w:val="Box Continued"/>
    <w:basedOn w:val="BodyText"/>
    <w:next w:val="BodyText"/>
    <w:semiHidden/>
    <w:rsid w:val="003F3F3B"/>
    <w:pPr>
      <w:spacing w:before="180" w:line="220" w:lineRule="exact"/>
      <w:jc w:val="right"/>
    </w:pPr>
    <w:rPr>
      <w:rFonts w:ascii="Arial" w:hAnsi="Arial"/>
      <w:sz w:val="18"/>
    </w:rPr>
  </w:style>
  <w:style w:type="paragraph" w:customStyle="1" w:styleId="Continued">
    <w:name w:val="Continued"/>
    <w:basedOn w:val="BoxContinued"/>
    <w:next w:val="BodyText"/>
    <w:rsid w:val="003F3F3B"/>
  </w:style>
  <w:style w:type="paragraph" w:customStyle="1" w:styleId="BoxHeading1">
    <w:name w:val="Box Heading 1"/>
    <w:basedOn w:val="BodyText"/>
    <w:next w:val="Box"/>
    <w:rsid w:val="003F3F3B"/>
    <w:pPr>
      <w:keepNext/>
      <w:spacing w:before="200" w:line="280" w:lineRule="atLeast"/>
    </w:pPr>
    <w:rPr>
      <w:rFonts w:ascii="Arial" w:hAnsi="Arial"/>
      <w:b/>
      <w:sz w:val="22"/>
    </w:rPr>
  </w:style>
  <w:style w:type="paragraph" w:customStyle="1" w:styleId="BoxHeading2">
    <w:name w:val="Box Heading 2"/>
    <w:basedOn w:val="BoxHeading1"/>
    <w:next w:val="Normal"/>
    <w:rsid w:val="003F3F3B"/>
    <w:rPr>
      <w:b w:val="0"/>
      <w:i/>
    </w:rPr>
  </w:style>
  <w:style w:type="character" w:styleId="Hyperlink">
    <w:name w:val="Hyperlink"/>
    <w:basedOn w:val="DefaultParagraphFont"/>
    <w:uiPriority w:val="99"/>
    <w:rPr>
      <w:color w:val="0000FF"/>
      <w:u w:val="single"/>
    </w:rPr>
  </w:style>
  <w:style w:type="paragraph" w:styleId="BalloonText">
    <w:name w:val="Balloon Text"/>
    <w:basedOn w:val="Normal"/>
    <w:link w:val="BalloonTextChar"/>
    <w:rsid w:val="003F3F3B"/>
    <w:rPr>
      <w:rFonts w:ascii="Tahoma" w:hAnsi="Tahoma" w:cs="Tahoma"/>
      <w:sz w:val="16"/>
      <w:szCs w:val="16"/>
    </w:rPr>
  </w:style>
  <w:style w:type="table" w:styleId="TableGrid">
    <w:name w:val="Table Grid"/>
    <w:basedOn w:val="TableNormal"/>
    <w:rsid w:val="006D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rsid w:val="00DC6C35"/>
    <w:pPr>
      <w:ind w:left="720"/>
    </w:pPr>
    <w:rPr>
      <w:sz w:val="24"/>
    </w:rPr>
  </w:style>
  <w:style w:type="paragraph" w:customStyle="1" w:styleId="DocInfo">
    <w:name w:val="Doc Info"/>
    <w:basedOn w:val="Normal"/>
    <w:next w:val="Normal"/>
    <w:rsid w:val="00C15A7A"/>
    <w:pPr>
      <w:jc w:val="center"/>
    </w:pPr>
    <w:rPr>
      <w:rFonts w:ascii="Arial" w:hAnsi="Arial"/>
      <w:sz w:val="14"/>
    </w:rPr>
  </w:style>
  <w:style w:type="paragraph" w:customStyle="1" w:styleId="SOC">
    <w:name w:val="SOC"/>
    <w:basedOn w:val="Normal"/>
    <w:rsid w:val="00CF7AC3"/>
    <w:pPr>
      <w:spacing w:after="140"/>
      <w:jc w:val="both"/>
    </w:pPr>
    <w:rPr>
      <w:rFonts w:ascii="Arial" w:hAnsi="Arial"/>
      <w:szCs w:val="20"/>
      <w:lang w:eastAsia="en-US"/>
    </w:rPr>
  </w:style>
  <w:style w:type="paragraph" w:customStyle="1" w:styleId="RecBBullet2">
    <w:name w:val="RecB Bullet 2"/>
    <w:basedOn w:val="ListBullet2"/>
    <w:semiHidden/>
    <w:rsid w:val="003F3F3B"/>
    <w:pPr>
      <w:pBdr>
        <w:left w:val="single" w:sz="24" w:space="29" w:color="C0C0C0"/>
      </w:pBdr>
    </w:pPr>
    <w:rPr>
      <w:b/>
      <w:i/>
    </w:rPr>
  </w:style>
  <w:style w:type="character" w:customStyle="1" w:styleId="BalloonTextChar">
    <w:name w:val="Balloon Text Char"/>
    <w:basedOn w:val="DefaultParagraphFont"/>
    <w:link w:val="BalloonText"/>
    <w:rsid w:val="003F3F3B"/>
    <w:rPr>
      <w:rFonts w:ascii="Tahoma" w:hAnsi="Tahoma" w:cs="Tahoma"/>
      <w:sz w:val="16"/>
      <w:szCs w:val="16"/>
    </w:rPr>
  </w:style>
  <w:style w:type="character" w:customStyle="1" w:styleId="SubtitleChar">
    <w:name w:val="Subtitle Char"/>
    <w:basedOn w:val="DefaultParagraphFont"/>
    <w:link w:val="Subtitle"/>
    <w:rsid w:val="003F3F3B"/>
    <w:rPr>
      <w:rFonts w:ascii="Arial" w:hAnsi="Arial"/>
      <w:szCs w:val="24"/>
    </w:rPr>
  </w:style>
  <w:style w:type="paragraph" w:customStyle="1" w:styleId="BoxListBullet3">
    <w:name w:val="Box List Bullet 3"/>
    <w:basedOn w:val="ListBullet3"/>
    <w:rsid w:val="003F3F3B"/>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3F3F3B"/>
    <w:rPr>
      <w:i/>
      <w:iCs/>
    </w:rPr>
  </w:style>
  <w:style w:type="paragraph" w:customStyle="1" w:styleId="BoxQuoteBullet">
    <w:name w:val="Box Quote Bullet"/>
    <w:basedOn w:val="BoxQuote"/>
    <w:next w:val="Box"/>
    <w:rsid w:val="003F3F3B"/>
    <w:pPr>
      <w:numPr>
        <w:numId w:val="17"/>
      </w:numPr>
      <w:ind w:left="568" w:hanging="284"/>
    </w:pPr>
  </w:style>
  <w:style w:type="paragraph" w:customStyle="1" w:styleId="InformationRequestBullet">
    <w:name w:val="Information Request Bullet"/>
    <w:basedOn w:val="ListBullet"/>
    <w:next w:val="BodyText"/>
    <w:rsid w:val="003F3F3B"/>
    <w:pPr>
      <w:numPr>
        <w:numId w:val="18"/>
      </w:numPr>
      <w:ind w:left="340" w:hanging="340"/>
    </w:pPr>
    <w:rPr>
      <w:rFonts w:ascii="Arial" w:hAnsi="Arial"/>
      <w:i/>
      <w:sz w:val="24"/>
    </w:rPr>
  </w:style>
  <w:style w:type="numbering" w:customStyle="1" w:styleId="StyleStyleBulletedOutlinenumberedLatinCourierNewComp1">
    <w:name w:val="Style Style Bulleted + Outline numbered (Latin) Courier New (Comp...1"/>
    <w:basedOn w:val="NoList"/>
    <w:rsid w:val="00E64C08"/>
    <w:pPr>
      <w:numPr>
        <w:numId w:val="16"/>
      </w:numPr>
    </w:pPr>
  </w:style>
  <w:style w:type="paragraph" w:customStyle="1" w:styleId="BoxListBullet4">
    <w:name w:val="Box List Bullet 4"/>
    <w:basedOn w:val="BoxListBullet3"/>
    <w:rsid w:val="00294108"/>
    <w:pPr>
      <w:numPr>
        <w:numId w:val="20"/>
      </w:numPr>
      <w:ind w:left="1247" w:hanging="340"/>
    </w:pPr>
  </w:style>
  <w:style w:type="paragraph" w:styleId="NormalWeb">
    <w:name w:val="Normal (Web)"/>
    <w:basedOn w:val="Normal"/>
    <w:rsid w:val="007E5EC5"/>
    <w:rPr>
      <w:sz w:val="24"/>
    </w:rPr>
  </w:style>
  <w:style w:type="character" w:styleId="FollowedHyperlink">
    <w:name w:val="FollowedHyperlink"/>
    <w:basedOn w:val="DefaultParagraphFont"/>
    <w:rsid w:val="0067594B"/>
    <w:rPr>
      <w:color w:val="800080" w:themeColor="followedHyperlink"/>
      <w:u w:val="single"/>
    </w:rPr>
  </w:style>
  <w:style w:type="paragraph" w:customStyle="1" w:styleId="BoxSpaceAbove">
    <w:name w:val="Box Space Above"/>
    <w:basedOn w:val="BodyText"/>
    <w:rsid w:val="003F3F3B"/>
    <w:pPr>
      <w:keepNext/>
      <w:spacing w:before="360" w:line="80" w:lineRule="exact"/>
      <w:jc w:val="left"/>
    </w:pPr>
  </w:style>
  <w:style w:type="paragraph" w:customStyle="1" w:styleId="BoxSpaceBelow">
    <w:name w:val="Box Space Below"/>
    <w:basedOn w:val="Box"/>
    <w:rsid w:val="003F3F3B"/>
    <w:pPr>
      <w:keepNext w:val="0"/>
      <w:spacing w:before="60" w:after="60" w:line="80" w:lineRule="exact"/>
    </w:pPr>
    <w:rPr>
      <w:sz w:val="14"/>
    </w:rPr>
  </w:style>
  <w:style w:type="character" w:customStyle="1" w:styleId="BodyTextChar">
    <w:name w:val="Body Text Char"/>
    <w:basedOn w:val="DefaultParagraphFont"/>
    <w:link w:val="BodyText"/>
    <w:rsid w:val="002D5881"/>
    <w:rPr>
      <w:sz w:val="26"/>
    </w:rPr>
  </w:style>
  <w:style w:type="character" w:customStyle="1" w:styleId="TableBodyTextChar">
    <w:name w:val="Table Body Text Char"/>
    <w:link w:val="TableBodyText"/>
    <w:rsid w:val="0086548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84">
      <w:bodyDiv w:val="1"/>
      <w:marLeft w:val="0"/>
      <w:marRight w:val="0"/>
      <w:marTop w:val="0"/>
      <w:marBottom w:val="0"/>
      <w:divBdr>
        <w:top w:val="none" w:sz="0" w:space="0" w:color="auto"/>
        <w:left w:val="none" w:sz="0" w:space="0" w:color="auto"/>
        <w:bottom w:val="none" w:sz="0" w:space="0" w:color="auto"/>
        <w:right w:val="none" w:sz="0" w:space="0" w:color="auto"/>
      </w:divBdr>
      <w:divsChild>
        <w:div w:id="1076513924">
          <w:marLeft w:val="0"/>
          <w:marRight w:val="0"/>
          <w:marTop w:val="0"/>
          <w:marBottom w:val="0"/>
          <w:divBdr>
            <w:top w:val="none" w:sz="0" w:space="0" w:color="auto"/>
            <w:left w:val="none" w:sz="0" w:space="0" w:color="auto"/>
            <w:bottom w:val="none" w:sz="0" w:space="0" w:color="auto"/>
            <w:right w:val="none" w:sz="0" w:space="0" w:color="auto"/>
          </w:divBdr>
          <w:divsChild>
            <w:div w:id="1809781456">
              <w:marLeft w:val="0"/>
              <w:marRight w:val="0"/>
              <w:marTop w:val="0"/>
              <w:marBottom w:val="0"/>
              <w:divBdr>
                <w:top w:val="none" w:sz="0" w:space="0" w:color="auto"/>
                <w:left w:val="none" w:sz="0" w:space="0" w:color="auto"/>
                <w:bottom w:val="none" w:sz="0" w:space="0" w:color="auto"/>
                <w:right w:val="none" w:sz="0" w:space="0" w:color="auto"/>
              </w:divBdr>
              <w:divsChild>
                <w:div w:id="1116749738">
                  <w:marLeft w:val="0"/>
                  <w:marRight w:val="0"/>
                  <w:marTop w:val="0"/>
                  <w:marBottom w:val="0"/>
                  <w:divBdr>
                    <w:top w:val="none" w:sz="0" w:space="0" w:color="auto"/>
                    <w:left w:val="none" w:sz="0" w:space="0" w:color="auto"/>
                    <w:bottom w:val="none" w:sz="0" w:space="0" w:color="auto"/>
                    <w:right w:val="none" w:sz="0" w:space="0" w:color="auto"/>
                  </w:divBdr>
                  <w:divsChild>
                    <w:div w:id="217330039">
                      <w:marLeft w:val="0"/>
                      <w:marRight w:val="0"/>
                      <w:marTop w:val="0"/>
                      <w:marBottom w:val="0"/>
                      <w:divBdr>
                        <w:top w:val="none" w:sz="0" w:space="0" w:color="auto"/>
                        <w:left w:val="none" w:sz="0" w:space="0" w:color="auto"/>
                        <w:bottom w:val="none" w:sz="0" w:space="0" w:color="auto"/>
                        <w:right w:val="none" w:sz="0" w:space="0" w:color="auto"/>
                      </w:divBdr>
                      <w:divsChild>
                        <w:div w:id="1749227715">
                          <w:marLeft w:val="0"/>
                          <w:marRight w:val="0"/>
                          <w:marTop w:val="0"/>
                          <w:marBottom w:val="0"/>
                          <w:divBdr>
                            <w:top w:val="none" w:sz="0" w:space="0" w:color="auto"/>
                            <w:left w:val="none" w:sz="0" w:space="0" w:color="auto"/>
                            <w:bottom w:val="none" w:sz="0" w:space="0" w:color="auto"/>
                            <w:right w:val="none" w:sz="0" w:space="0" w:color="auto"/>
                          </w:divBdr>
                          <w:divsChild>
                            <w:div w:id="1154301135">
                              <w:marLeft w:val="0"/>
                              <w:marRight w:val="0"/>
                              <w:marTop w:val="0"/>
                              <w:marBottom w:val="0"/>
                              <w:divBdr>
                                <w:top w:val="none" w:sz="0" w:space="0" w:color="auto"/>
                                <w:left w:val="none" w:sz="0" w:space="0" w:color="auto"/>
                                <w:bottom w:val="none" w:sz="0" w:space="0" w:color="auto"/>
                                <w:right w:val="none" w:sz="0" w:space="0" w:color="auto"/>
                              </w:divBdr>
                              <w:divsChild>
                                <w:div w:id="42337986">
                                  <w:marLeft w:val="0"/>
                                  <w:marRight w:val="0"/>
                                  <w:marTop w:val="0"/>
                                  <w:marBottom w:val="0"/>
                                  <w:divBdr>
                                    <w:top w:val="none" w:sz="0" w:space="0" w:color="auto"/>
                                    <w:left w:val="none" w:sz="0" w:space="0" w:color="auto"/>
                                    <w:bottom w:val="none" w:sz="0" w:space="0" w:color="auto"/>
                                    <w:right w:val="none" w:sz="0" w:space="0" w:color="auto"/>
                                  </w:divBdr>
                                  <w:divsChild>
                                    <w:div w:id="2055808486">
                                      <w:marLeft w:val="0"/>
                                      <w:marRight w:val="0"/>
                                      <w:marTop w:val="0"/>
                                      <w:marBottom w:val="0"/>
                                      <w:divBdr>
                                        <w:top w:val="none" w:sz="0" w:space="0" w:color="auto"/>
                                        <w:left w:val="none" w:sz="0" w:space="0" w:color="auto"/>
                                        <w:bottom w:val="none" w:sz="0" w:space="0" w:color="auto"/>
                                        <w:right w:val="none" w:sz="0" w:space="0" w:color="auto"/>
                                      </w:divBdr>
                                      <w:divsChild>
                                        <w:div w:id="484933124">
                                          <w:marLeft w:val="0"/>
                                          <w:marRight w:val="0"/>
                                          <w:marTop w:val="0"/>
                                          <w:marBottom w:val="0"/>
                                          <w:divBdr>
                                            <w:top w:val="none" w:sz="0" w:space="0" w:color="auto"/>
                                            <w:left w:val="none" w:sz="0" w:space="0" w:color="auto"/>
                                            <w:bottom w:val="none" w:sz="0" w:space="0" w:color="auto"/>
                                            <w:right w:val="none" w:sz="0" w:space="0" w:color="auto"/>
                                          </w:divBdr>
                                          <w:divsChild>
                                            <w:div w:id="1666087165">
                                              <w:marLeft w:val="0"/>
                                              <w:marRight w:val="0"/>
                                              <w:marTop w:val="0"/>
                                              <w:marBottom w:val="0"/>
                                              <w:divBdr>
                                                <w:top w:val="none" w:sz="0" w:space="0" w:color="auto"/>
                                                <w:left w:val="none" w:sz="0" w:space="0" w:color="auto"/>
                                                <w:bottom w:val="none" w:sz="0" w:space="0" w:color="auto"/>
                                                <w:right w:val="none" w:sz="0" w:space="0" w:color="auto"/>
                                              </w:divBdr>
                                              <w:divsChild>
                                                <w:div w:id="670455226">
                                                  <w:marLeft w:val="0"/>
                                                  <w:marRight w:val="0"/>
                                                  <w:marTop w:val="0"/>
                                                  <w:marBottom w:val="0"/>
                                                  <w:divBdr>
                                                    <w:top w:val="none" w:sz="0" w:space="0" w:color="auto"/>
                                                    <w:left w:val="none" w:sz="0" w:space="0" w:color="auto"/>
                                                    <w:bottom w:val="none" w:sz="0" w:space="0" w:color="auto"/>
                                                    <w:right w:val="none" w:sz="0" w:space="0" w:color="auto"/>
                                                  </w:divBdr>
                                                  <w:divsChild>
                                                    <w:div w:id="1244022703">
                                                      <w:marLeft w:val="0"/>
                                                      <w:marRight w:val="0"/>
                                                      <w:marTop w:val="0"/>
                                                      <w:marBottom w:val="0"/>
                                                      <w:divBdr>
                                                        <w:top w:val="none" w:sz="0" w:space="0" w:color="auto"/>
                                                        <w:left w:val="none" w:sz="0" w:space="0" w:color="auto"/>
                                                        <w:bottom w:val="none" w:sz="0" w:space="0" w:color="auto"/>
                                                        <w:right w:val="none" w:sz="0" w:space="0" w:color="auto"/>
                                                      </w:divBdr>
                                                      <w:divsChild>
                                                        <w:div w:id="100103788">
                                                          <w:marLeft w:val="0"/>
                                                          <w:marRight w:val="0"/>
                                                          <w:marTop w:val="0"/>
                                                          <w:marBottom w:val="0"/>
                                                          <w:divBdr>
                                                            <w:top w:val="none" w:sz="0" w:space="0" w:color="auto"/>
                                                            <w:left w:val="none" w:sz="0" w:space="0" w:color="auto"/>
                                                            <w:bottom w:val="none" w:sz="0" w:space="0" w:color="auto"/>
                                                            <w:right w:val="none" w:sz="0" w:space="0" w:color="auto"/>
                                                          </w:divBdr>
                                                          <w:divsChild>
                                                            <w:div w:id="1609777767">
                                                              <w:marLeft w:val="0"/>
                                                              <w:marRight w:val="0"/>
                                                              <w:marTop w:val="0"/>
                                                              <w:marBottom w:val="0"/>
                                                              <w:divBdr>
                                                                <w:top w:val="none" w:sz="0" w:space="0" w:color="auto"/>
                                                                <w:left w:val="none" w:sz="0" w:space="0" w:color="auto"/>
                                                                <w:bottom w:val="none" w:sz="0" w:space="0" w:color="auto"/>
                                                                <w:right w:val="none" w:sz="0" w:space="0" w:color="auto"/>
                                                              </w:divBdr>
                                                              <w:divsChild>
                                                                <w:div w:id="1925414490">
                                                                  <w:marLeft w:val="0"/>
                                                                  <w:marRight w:val="0"/>
                                                                  <w:marTop w:val="0"/>
                                                                  <w:marBottom w:val="0"/>
                                                                  <w:divBdr>
                                                                    <w:top w:val="none" w:sz="0" w:space="0" w:color="auto"/>
                                                                    <w:left w:val="none" w:sz="0" w:space="0" w:color="auto"/>
                                                                    <w:bottom w:val="none" w:sz="0" w:space="0" w:color="auto"/>
                                                                    <w:right w:val="none" w:sz="0" w:space="0" w:color="auto"/>
                                                                  </w:divBdr>
                                                                  <w:divsChild>
                                                                    <w:div w:id="599141399">
                                                                      <w:marLeft w:val="0"/>
                                                                      <w:marRight w:val="0"/>
                                                                      <w:marTop w:val="0"/>
                                                                      <w:marBottom w:val="0"/>
                                                                      <w:divBdr>
                                                                        <w:top w:val="none" w:sz="0" w:space="0" w:color="auto"/>
                                                                        <w:left w:val="none" w:sz="0" w:space="0" w:color="auto"/>
                                                                        <w:bottom w:val="none" w:sz="0" w:space="0" w:color="auto"/>
                                                                        <w:right w:val="none" w:sz="0" w:space="0" w:color="auto"/>
                                                                      </w:divBdr>
                                                                      <w:divsChild>
                                                                        <w:div w:id="1886676880">
                                                                          <w:marLeft w:val="0"/>
                                                                          <w:marRight w:val="0"/>
                                                                          <w:marTop w:val="0"/>
                                                                          <w:marBottom w:val="0"/>
                                                                          <w:divBdr>
                                                                            <w:top w:val="none" w:sz="0" w:space="0" w:color="auto"/>
                                                                            <w:left w:val="none" w:sz="0" w:space="0" w:color="auto"/>
                                                                            <w:bottom w:val="none" w:sz="0" w:space="0" w:color="auto"/>
                                                                            <w:right w:val="none" w:sz="0" w:space="0" w:color="auto"/>
                                                                          </w:divBdr>
                                                                          <w:divsChild>
                                                                            <w:div w:id="203745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146222">
      <w:bodyDiv w:val="1"/>
      <w:marLeft w:val="0"/>
      <w:marRight w:val="0"/>
      <w:marTop w:val="0"/>
      <w:marBottom w:val="0"/>
      <w:divBdr>
        <w:top w:val="none" w:sz="0" w:space="0" w:color="auto"/>
        <w:left w:val="none" w:sz="0" w:space="0" w:color="auto"/>
        <w:bottom w:val="none" w:sz="0" w:space="0" w:color="auto"/>
        <w:right w:val="none" w:sz="0" w:space="0" w:color="auto"/>
      </w:divBdr>
    </w:div>
    <w:div w:id="61223772">
      <w:bodyDiv w:val="1"/>
      <w:marLeft w:val="0"/>
      <w:marRight w:val="0"/>
      <w:marTop w:val="0"/>
      <w:marBottom w:val="0"/>
      <w:divBdr>
        <w:top w:val="none" w:sz="0" w:space="0" w:color="auto"/>
        <w:left w:val="none" w:sz="0" w:space="0" w:color="auto"/>
        <w:bottom w:val="none" w:sz="0" w:space="0" w:color="auto"/>
        <w:right w:val="none" w:sz="0" w:space="0" w:color="auto"/>
      </w:divBdr>
    </w:div>
    <w:div w:id="92436806">
      <w:bodyDiv w:val="1"/>
      <w:marLeft w:val="0"/>
      <w:marRight w:val="0"/>
      <w:marTop w:val="0"/>
      <w:marBottom w:val="0"/>
      <w:divBdr>
        <w:top w:val="none" w:sz="0" w:space="0" w:color="auto"/>
        <w:left w:val="none" w:sz="0" w:space="0" w:color="auto"/>
        <w:bottom w:val="none" w:sz="0" w:space="0" w:color="auto"/>
        <w:right w:val="none" w:sz="0" w:space="0" w:color="auto"/>
      </w:divBdr>
    </w:div>
    <w:div w:id="122432642">
      <w:bodyDiv w:val="1"/>
      <w:marLeft w:val="0"/>
      <w:marRight w:val="0"/>
      <w:marTop w:val="0"/>
      <w:marBottom w:val="0"/>
      <w:divBdr>
        <w:top w:val="none" w:sz="0" w:space="0" w:color="auto"/>
        <w:left w:val="none" w:sz="0" w:space="0" w:color="auto"/>
        <w:bottom w:val="none" w:sz="0" w:space="0" w:color="auto"/>
        <w:right w:val="none" w:sz="0" w:space="0" w:color="auto"/>
      </w:divBdr>
    </w:div>
    <w:div w:id="262619077">
      <w:bodyDiv w:val="1"/>
      <w:marLeft w:val="0"/>
      <w:marRight w:val="0"/>
      <w:marTop w:val="0"/>
      <w:marBottom w:val="0"/>
      <w:divBdr>
        <w:top w:val="none" w:sz="0" w:space="0" w:color="auto"/>
        <w:left w:val="none" w:sz="0" w:space="0" w:color="auto"/>
        <w:bottom w:val="none" w:sz="0" w:space="0" w:color="auto"/>
        <w:right w:val="none" w:sz="0" w:space="0" w:color="auto"/>
      </w:divBdr>
    </w:div>
    <w:div w:id="374085442">
      <w:bodyDiv w:val="1"/>
      <w:marLeft w:val="0"/>
      <w:marRight w:val="0"/>
      <w:marTop w:val="0"/>
      <w:marBottom w:val="0"/>
      <w:divBdr>
        <w:top w:val="none" w:sz="0" w:space="0" w:color="auto"/>
        <w:left w:val="none" w:sz="0" w:space="0" w:color="auto"/>
        <w:bottom w:val="none" w:sz="0" w:space="0" w:color="auto"/>
        <w:right w:val="none" w:sz="0" w:space="0" w:color="auto"/>
      </w:divBdr>
      <w:divsChild>
        <w:div w:id="53814765">
          <w:marLeft w:val="0"/>
          <w:marRight w:val="0"/>
          <w:marTop w:val="0"/>
          <w:marBottom w:val="0"/>
          <w:divBdr>
            <w:top w:val="none" w:sz="0" w:space="0" w:color="auto"/>
            <w:left w:val="none" w:sz="0" w:space="0" w:color="auto"/>
            <w:bottom w:val="none" w:sz="0" w:space="0" w:color="auto"/>
            <w:right w:val="none" w:sz="0" w:space="0" w:color="auto"/>
          </w:divBdr>
          <w:divsChild>
            <w:div w:id="1363045350">
              <w:marLeft w:val="0"/>
              <w:marRight w:val="0"/>
              <w:marTop w:val="0"/>
              <w:marBottom w:val="0"/>
              <w:divBdr>
                <w:top w:val="none" w:sz="0" w:space="0" w:color="auto"/>
                <w:left w:val="none" w:sz="0" w:space="0" w:color="auto"/>
                <w:bottom w:val="none" w:sz="0" w:space="0" w:color="auto"/>
                <w:right w:val="none" w:sz="0" w:space="0" w:color="auto"/>
              </w:divBdr>
              <w:divsChild>
                <w:div w:id="437868245">
                  <w:marLeft w:val="0"/>
                  <w:marRight w:val="0"/>
                  <w:marTop w:val="0"/>
                  <w:marBottom w:val="0"/>
                  <w:divBdr>
                    <w:top w:val="none" w:sz="0" w:space="0" w:color="auto"/>
                    <w:left w:val="none" w:sz="0" w:space="0" w:color="auto"/>
                    <w:bottom w:val="none" w:sz="0" w:space="0" w:color="auto"/>
                    <w:right w:val="none" w:sz="0" w:space="0" w:color="auto"/>
                  </w:divBdr>
                  <w:divsChild>
                    <w:div w:id="46153293">
                      <w:marLeft w:val="0"/>
                      <w:marRight w:val="0"/>
                      <w:marTop w:val="0"/>
                      <w:marBottom w:val="0"/>
                      <w:divBdr>
                        <w:top w:val="none" w:sz="0" w:space="0" w:color="auto"/>
                        <w:left w:val="none" w:sz="0" w:space="0" w:color="auto"/>
                        <w:bottom w:val="none" w:sz="0" w:space="0" w:color="auto"/>
                        <w:right w:val="none" w:sz="0" w:space="0" w:color="auto"/>
                      </w:divBdr>
                      <w:divsChild>
                        <w:div w:id="863712156">
                          <w:marLeft w:val="0"/>
                          <w:marRight w:val="0"/>
                          <w:marTop w:val="0"/>
                          <w:marBottom w:val="0"/>
                          <w:divBdr>
                            <w:top w:val="none" w:sz="0" w:space="0" w:color="auto"/>
                            <w:left w:val="none" w:sz="0" w:space="0" w:color="auto"/>
                            <w:bottom w:val="none" w:sz="0" w:space="0" w:color="auto"/>
                            <w:right w:val="none" w:sz="0" w:space="0" w:color="auto"/>
                          </w:divBdr>
                          <w:divsChild>
                            <w:div w:id="351876835">
                              <w:marLeft w:val="0"/>
                              <w:marRight w:val="0"/>
                              <w:marTop w:val="0"/>
                              <w:marBottom w:val="0"/>
                              <w:divBdr>
                                <w:top w:val="none" w:sz="0" w:space="0" w:color="auto"/>
                                <w:left w:val="none" w:sz="0" w:space="0" w:color="auto"/>
                                <w:bottom w:val="none" w:sz="0" w:space="0" w:color="auto"/>
                                <w:right w:val="none" w:sz="0" w:space="0" w:color="auto"/>
                              </w:divBdr>
                              <w:divsChild>
                                <w:div w:id="674891180">
                                  <w:marLeft w:val="0"/>
                                  <w:marRight w:val="0"/>
                                  <w:marTop w:val="0"/>
                                  <w:marBottom w:val="0"/>
                                  <w:divBdr>
                                    <w:top w:val="none" w:sz="0" w:space="0" w:color="auto"/>
                                    <w:left w:val="none" w:sz="0" w:space="0" w:color="auto"/>
                                    <w:bottom w:val="none" w:sz="0" w:space="0" w:color="auto"/>
                                    <w:right w:val="none" w:sz="0" w:space="0" w:color="auto"/>
                                  </w:divBdr>
                                  <w:divsChild>
                                    <w:div w:id="1146707876">
                                      <w:marLeft w:val="0"/>
                                      <w:marRight w:val="0"/>
                                      <w:marTop w:val="0"/>
                                      <w:marBottom w:val="0"/>
                                      <w:divBdr>
                                        <w:top w:val="none" w:sz="0" w:space="0" w:color="auto"/>
                                        <w:left w:val="none" w:sz="0" w:space="0" w:color="auto"/>
                                        <w:bottom w:val="none" w:sz="0" w:space="0" w:color="auto"/>
                                        <w:right w:val="none" w:sz="0" w:space="0" w:color="auto"/>
                                      </w:divBdr>
                                      <w:divsChild>
                                        <w:div w:id="1403942218">
                                          <w:marLeft w:val="0"/>
                                          <w:marRight w:val="0"/>
                                          <w:marTop w:val="0"/>
                                          <w:marBottom w:val="0"/>
                                          <w:divBdr>
                                            <w:top w:val="none" w:sz="0" w:space="0" w:color="auto"/>
                                            <w:left w:val="none" w:sz="0" w:space="0" w:color="auto"/>
                                            <w:bottom w:val="none" w:sz="0" w:space="0" w:color="auto"/>
                                            <w:right w:val="none" w:sz="0" w:space="0" w:color="auto"/>
                                          </w:divBdr>
                                          <w:divsChild>
                                            <w:div w:id="302198599">
                                              <w:marLeft w:val="0"/>
                                              <w:marRight w:val="0"/>
                                              <w:marTop w:val="0"/>
                                              <w:marBottom w:val="0"/>
                                              <w:divBdr>
                                                <w:top w:val="none" w:sz="0" w:space="0" w:color="auto"/>
                                                <w:left w:val="none" w:sz="0" w:space="0" w:color="auto"/>
                                                <w:bottom w:val="none" w:sz="0" w:space="0" w:color="auto"/>
                                                <w:right w:val="none" w:sz="0" w:space="0" w:color="auto"/>
                                              </w:divBdr>
                                              <w:divsChild>
                                                <w:div w:id="73597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4082718">
      <w:bodyDiv w:val="1"/>
      <w:marLeft w:val="0"/>
      <w:marRight w:val="0"/>
      <w:marTop w:val="0"/>
      <w:marBottom w:val="0"/>
      <w:divBdr>
        <w:top w:val="none" w:sz="0" w:space="0" w:color="auto"/>
        <w:left w:val="none" w:sz="0" w:space="0" w:color="auto"/>
        <w:bottom w:val="none" w:sz="0" w:space="0" w:color="auto"/>
        <w:right w:val="none" w:sz="0" w:space="0" w:color="auto"/>
      </w:divBdr>
    </w:div>
    <w:div w:id="454563150">
      <w:bodyDiv w:val="1"/>
      <w:marLeft w:val="0"/>
      <w:marRight w:val="0"/>
      <w:marTop w:val="0"/>
      <w:marBottom w:val="0"/>
      <w:divBdr>
        <w:top w:val="none" w:sz="0" w:space="0" w:color="auto"/>
        <w:left w:val="none" w:sz="0" w:space="0" w:color="auto"/>
        <w:bottom w:val="none" w:sz="0" w:space="0" w:color="auto"/>
        <w:right w:val="none" w:sz="0" w:space="0" w:color="auto"/>
      </w:divBdr>
    </w:div>
    <w:div w:id="482428827">
      <w:bodyDiv w:val="1"/>
      <w:marLeft w:val="0"/>
      <w:marRight w:val="0"/>
      <w:marTop w:val="0"/>
      <w:marBottom w:val="0"/>
      <w:divBdr>
        <w:top w:val="none" w:sz="0" w:space="0" w:color="auto"/>
        <w:left w:val="none" w:sz="0" w:space="0" w:color="auto"/>
        <w:bottom w:val="none" w:sz="0" w:space="0" w:color="auto"/>
        <w:right w:val="none" w:sz="0" w:space="0" w:color="auto"/>
      </w:divBdr>
    </w:div>
    <w:div w:id="519248356">
      <w:bodyDiv w:val="1"/>
      <w:marLeft w:val="0"/>
      <w:marRight w:val="0"/>
      <w:marTop w:val="0"/>
      <w:marBottom w:val="0"/>
      <w:divBdr>
        <w:top w:val="none" w:sz="0" w:space="0" w:color="auto"/>
        <w:left w:val="none" w:sz="0" w:space="0" w:color="auto"/>
        <w:bottom w:val="none" w:sz="0" w:space="0" w:color="auto"/>
        <w:right w:val="none" w:sz="0" w:space="0" w:color="auto"/>
      </w:divBdr>
    </w:div>
    <w:div w:id="553810811">
      <w:bodyDiv w:val="1"/>
      <w:marLeft w:val="0"/>
      <w:marRight w:val="0"/>
      <w:marTop w:val="0"/>
      <w:marBottom w:val="0"/>
      <w:divBdr>
        <w:top w:val="none" w:sz="0" w:space="0" w:color="auto"/>
        <w:left w:val="none" w:sz="0" w:space="0" w:color="auto"/>
        <w:bottom w:val="none" w:sz="0" w:space="0" w:color="auto"/>
        <w:right w:val="none" w:sz="0" w:space="0" w:color="auto"/>
      </w:divBdr>
    </w:div>
    <w:div w:id="616911716">
      <w:bodyDiv w:val="1"/>
      <w:marLeft w:val="0"/>
      <w:marRight w:val="0"/>
      <w:marTop w:val="0"/>
      <w:marBottom w:val="0"/>
      <w:divBdr>
        <w:top w:val="none" w:sz="0" w:space="0" w:color="auto"/>
        <w:left w:val="none" w:sz="0" w:space="0" w:color="auto"/>
        <w:bottom w:val="none" w:sz="0" w:space="0" w:color="auto"/>
        <w:right w:val="none" w:sz="0" w:space="0" w:color="auto"/>
      </w:divBdr>
    </w:div>
    <w:div w:id="748112956">
      <w:bodyDiv w:val="1"/>
      <w:marLeft w:val="0"/>
      <w:marRight w:val="0"/>
      <w:marTop w:val="0"/>
      <w:marBottom w:val="0"/>
      <w:divBdr>
        <w:top w:val="none" w:sz="0" w:space="0" w:color="auto"/>
        <w:left w:val="none" w:sz="0" w:space="0" w:color="auto"/>
        <w:bottom w:val="none" w:sz="0" w:space="0" w:color="auto"/>
        <w:right w:val="none" w:sz="0" w:space="0" w:color="auto"/>
      </w:divBdr>
    </w:div>
    <w:div w:id="945959989">
      <w:bodyDiv w:val="1"/>
      <w:marLeft w:val="0"/>
      <w:marRight w:val="0"/>
      <w:marTop w:val="0"/>
      <w:marBottom w:val="0"/>
      <w:divBdr>
        <w:top w:val="none" w:sz="0" w:space="0" w:color="auto"/>
        <w:left w:val="none" w:sz="0" w:space="0" w:color="auto"/>
        <w:bottom w:val="none" w:sz="0" w:space="0" w:color="auto"/>
        <w:right w:val="none" w:sz="0" w:space="0" w:color="auto"/>
      </w:divBdr>
      <w:divsChild>
        <w:div w:id="1051072185">
          <w:marLeft w:val="0"/>
          <w:marRight w:val="0"/>
          <w:marTop w:val="0"/>
          <w:marBottom w:val="0"/>
          <w:divBdr>
            <w:top w:val="none" w:sz="0" w:space="0" w:color="auto"/>
            <w:left w:val="none" w:sz="0" w:space="0" w:color="auto"/>
            <w:bottom w:val="none" w:sz="0" w:space="0" w:color="auto"/>
            <w:right w:val="none" w:sz="0" w:space="0" w:color="auto"/>
          </w:divBdr>
          <w:divsChild>
            <w:div w:id="1960263102">
              <w:marLeft w:val="0"/>
              <w:marRight w:val="0"/>
              <w:marTop w:val="0"/>
              <w:marBottom w:val="0"/>
              <w:divBdr>
                <w:top w:val="none" w:sz="0" w:space="0" w:color="auto"/>
                <w:left w:val="none" w:sz="0" w:space="0" w:color="auto"/>
                <w:bottom w:val="none" w:sz="0" w:space="0" w:color="auto"/>
                <w:right w:val="none" w:sz="0" w:space="0" w:color="auto"/>
              </w:divBdr>
              <w:divsChild>
                <w:div w:id="1511021524">
                  <w:marLeft w:val="0"/>
                  <w:marRight w:val="0"/>
                  <w:marTop w:val="0"/>
                  <w:marBottom w:val="0"/>
                  <w:divBdr>
                    <w:top w:val="none" w:sz="0" w:space="0" w:color="auto"/>
                    <w:left w:val="none" w:sz="0" w:space="0" w:color="auto"/>
                    <w:bottom w:val="none" w:sz="0" w:space="0" w:color="auto"/>
                    <w:right w:val="none" w:sz="0" w:space="0" w:color="auto"/>
                  </w:divBdr>
                  <w:divsChild>
                    <w:div w:id="664212340">
                      <w:marLeft w:val="0"/>
                      <w:marRight w:val="0"/>
                      <w:marTop w:val="0"/>
                      <w:marBottom w:val="0"/>
                      <w:divBdr>
                        <w:top w:val="none" w:sz="0" w:space="0" w:color="auto"/>
                        <w:left w:val="none" w:sz="0" w:space="0" w:color="auto"/>
                        <w:bottom w:val="none" w:sz="0" w:space="0" w:color="auto"/>
                        <w:right w:val="none" w:sz="0" w:space="0" w:color="auto"/>
                      </w:divBdr>
                      <w:divsChild>
                        <w:div w:id="1658336721">
                          <w:marLeft w:val="0"/>
                          <w:marRight w:val="0"/>
                          <w:marTop w:val="0"/>
                          <w:marBottom w:val="0"/>
                          <w:divBdr>
                            <w:top w:val="none" w:sz="0" w:space="0" w:color="auto"/>
                            <w:left w:val="none" w:sz="0" w:space="0" w:color="auto"/>
                            <w:bottom w:val="none" w:sz="0" w:space="0" w:color="auto"/>
                            <w:right w:val="none" w:sz="0" w:space="0" w:color="auto"/>
                          </w:divBdr>
                          <w:divsChild>
                            <w:div w:id="1465614141">
                              <w:marLeft w:val="0"/>
                              <w:marRight w:val="0"/>
                              <w:marTop w:val="0"/>
                              <w:marBottom w:val="0"/>
                              <w:divBdr>
                                <w:top w:val="none" w:sz="0" w:space="0" w:color="auto"/>
                                <w:left w:val="none" w:sz="0" w:space="0" w:color="auto"/>
                                <w:bottom w:val="none" w:sz="0" w:space="0" w:color="auto"/>
                                <w:right w:val="none" w:sz="0" w:space="0" w:color="auto"/>
                              </w:divBdr>
                              <w:divsChild>
                                <w:div w:id="2048555039">
                                  <w:marLeft w:val="0"/>
                                  <w:marRight w:val="0"/>
                                  <w:marTop w:val="0"/>
                                  <w:marBottom w:val="0"/>
                                  <w:divBdr>
                                    <w:top w:val="none" w:sz="0" w:space="0" w:color="auto"/>
                                    <w:left w:val="none" w:sz="0" w:space="0" w:color="auto"/>
                                    <w:bottom w:val="none" w:sz="0" w:space="0" w:color="auto"/>
                                    <w:right w:val="none" w:sz="0" w:space="0" w:color="auto"/>
                                  </w:divBdr>
                                  <w:divsChild>
                                    <w:div w:id="1849171730">
                                      <w:marLeft w:val="0"/>
                                      <w:marRight w:val="0"/>
                                      <w:marTop w:val="0"/>
                                      <w:marBottom w:val="0"/>
                                      <w:divBdr>
                                        <w:top w:val="none" w:sz="0" w:space="0" w:color="auto"/>
                                        <w:left w:val="none" w:sz="0" w:space="0" w:color="auto"/>
                                        <w:bottom w:val="none" w:sz="0" w:space="0" w:color="auto"/>
                                        <w:right w:val="none" w:sz="0" w:space="0" w:color="auto"/>
                                      </w:divBdr>
                                      <w:divsChild>
                                        <w:div w:id="264385516">
                                          <w:marLeft w:val="0"/>
                                          <w:marRight w:val="0"/>
                                          <w:marTop w:val="0"/>
                                          <w:marBottom w:val="0"/>
                                          <w:divBdr>
                                            <w:top w:val="none" w:sz="0" w:space="0" w:color="auto"/>
                                            <w:left w:val="none" w:sz="0" w:space="0" w:color="auto"/>
                                            <w:bottom w:val="none" w:sz="0" w:space="0" w:color="auto"/>
                                            <w:right w:val="none" w:sz="0" w:space="0" w:color="auto"/>
                                          </w:divBdr>
                                          <w:divsChild>
                                            <w:div w:id="599803849">
                                              <w:marLeft w:val="0"/>
                                              <w:marRight w:val="0"/>
                                              <w:marTop w:val="0"/>
                                              <w:marBottom w:val="0"/>
                                              <w:divBdr>
                                                <w:top w:val="none" w:sz="0" w:space="0" w:color="auto"/>
                                                <w:left w:val="none" w:sz="0" w:space="0" w:color="auto"/>
                                                <w:bottom w:val="none" w:sz="0" w:space="0" w:color="auto"/>
                                                <w:right w:val="none" w:sz="0" w:space="0" w:color="auto"/>
                                              </w:divBdr>
                                              <w:divsChild>
                                                <w:div w:id="818113591">
                                                  <w:marLeft w:val="0"/>
                                                  <w:marRight w:val="0"/>
                                                  <w:marTop w:val="0"/>
                                                  <w:marBottom w:val="0"/>
                                                  <w:divBdr>
                                                    <w:top w:val="none" w:sz="0" w:space="0" w:color="auto"/>
                                                    <w:left w:val="none" w:sz="0" w:space="0" w:color="auto"/>
                                                    <w:bottom w:val="none" w:sz="0" w:space="0" w:color="auto"/>
                                                    <w:right w:val="none" w:sz="0" w:space="0" w:color="auto"/>
                                                  </w:divBdr>
                                                  <w:divsChild>
                                                    <w:div w:id="591285545">
                                                      <w:marLeft w:val="0"/>
                                                      <w:marRight w:val="0"/>
                                                      <w:marTop w:val="0"/>
                                                      <w:marBottom w:val="0"/>
                                                      <w:divBdr>
                                                        <w:top w:val="none" w:sz="0" w:space="0" w:color="auto"/>
                                                        <w:left w:val="none" w:sz="0" w:space="0" w:color="auto"/>
                                                        <w:bottom w:val="none" w:sz="0" w:space="0" w:color="auto"/>
                                                        <w:right w:val="none" w:sz="0" w:space="0" w:color="auto"/>
                                                      </w:divBdr>
                                                      <w:divsChild>
                                                        <w:div w:id="1471900904">
                                                          <w:marLeft w:val="0"/>
                                                          <w:marRight w:val="0"/>
                                                          <w:marTop w:val="0"/>
                                                          <w:marBottom w:val="0"/>
                                                          <w:divBdr>
                                                            <w:top w:val="none" w:sz="0" w:space="0" w:color="auto"/>
                                                            <w:left w:val="none" w:sz="0" w:space="0" w:color="auto"/>
                                                            <w:bottom w:val="none" w:sz="0" w:space="0" w:color="auto"/>
                                                            <w:right w:val="none" w:sz="0" w:space="0" w:color="auto"/>
                                                          </w:divBdr>
                                                          <w:divsChild>
                                                            <w:div w:id="931160340">
                                                              <w:marLeft w:val="0"/>
                                                              <w:marRight w:val="0"/>
                                                              <w:marTop w:val="0"/>
                                                              <w:marBottom w:val="0"/>
                                                              <w:divBdr>
                                                                <w:top w:val="none" w:sz="0" w:space="0" w:color="auto"/>
                                                                <w:left w:val="none" w:sz="0" w:space="0" w:color="auto"/>
                                                                <w:bottom w:val="none" w:sz="0" w:space="0" w:color="auto"/>
                                                                <w:right w:val="none" w:sz="0" w:space="0" w:color="auto"/>
                                                              </w:divBdr>
                                                              <w:divsChild>
                                                                <w:div w:id="1871994041">
                                                                  <w:marLeft w:val="0"/>
                                                                  <w:marRight w:val="0"/>
                                                                  <w:marTop w:val="0"/>
                                                                  <w:marBottom w:val="0"/>
                                                                  <w:divBdr>
                                                                    <w:top w:val="none" w:sz="0" w:space="0" w:color="auto"/>
                                                                    <w:left w:val="none" w:sz="0" w:space="0" w:color="auto"/>
                                                                    <w:bottom w:val="none" w:sz="0" w:space="0" w:color="auto"/>
                                                                    <w:right w:val="none" w:sz="0" w:space="0" w:color="auto"/>
                                                                  </w:divBdr>
                                                                  <w:divsChild>
                                                                    <w:div w:id="1535843506">
                                                                      <w:marLeft w:val="0"/>
                                                                      <w:marRight w:val="0"/>
                                                                      <w:marTop w:val="0"/>
                                                                      <w:marBottom w:val="0"/>
                                                                      <w:divBdr>
                                                                        <w:top w:val="none" w:sz="0" w:space="0" w:color="auto"/>
                                                                        <w:left w:val="none" w:sz="0" w:space="0" w:color="auto"/>
                                                                        <w:bottom w:val="none" w:sz="0" w:space="0" w:color="auto"/>
                                                                        <w:right w:val="none" w:sz="0" w:space="0" w:color="auto"/>
                                                                      </w:divBdr>
                                                                      <w:divsChild>
                                                                        <w:div w:id="2015110232">
                                                                          <w:marLeft w:val="0"/>
                                                                          <w:marRight w:val="0"/>
                                                                          <w:marTop w:val="0"/>
                                                                          <w:marBottom w:val="0"/>
                                                                          <w:divBdr>
                                                                            <w:top w:val="none" w:sz="0" w:space="0" w:color="auto"/>
                                                                            <w:left w:val="none" w:sz="0" w:space="0" w:color="auto"/>
                                                                            <w:bottom w:val="none" w:sz="0" w:space="0" w:color="auto"/>
                                                                            <w:right w:val="none" w:sz="0" w:space="0" w:color="auto"/>
                                                                          </w:divBdr>
                                                                          <w:divsChild>
                                                                            <w:div w:id="11919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72793">
      <w:bodyDiv w:val="1"/>
      <w:marLeft w:val="0"/>
      <w:marRight w:val="0"/>
      <w:marTop w:val="0"/>
      <w:marBottom w:val="0"/>
      <w:divBdr>
        <w:top w:val="none" w:sz="0" w:space="0" w:color="auto"/>
        <w:left w:val="none" w:sz="0" w:space="0" w:color="auto"/>
        <w:bottom w:val="none" w:sz="0" w:space="0" w:color="auto"/>
        <w:right w:val="none" w:sz="0" w:space="0" w:color="auto"/>
      </w:divBdr>
      <w:divsChild>
        <w:div w:id="1649627420">
          <w:marLeft w:val="0"/>
          <w:marRight w:val="0"/>
          <w:marTop w:val="0"/>
          <w:marBottom w:val="0"/>
          <w:divBdr>
            <w:top w:val="none" w:sz="0" w:space="0" w:color="auto"/>
            <w:left w:val="none" w:sz="0" w:space="0" w:color="auto"/>
            <w:bottom w:val="none" w:sz="0" w:space="0" w:color="auto"/>
            <w:right w:val="none" w:sz="0" w:space="0" w:color="auto"/>
          </w:divBdr>
          <w:divsChild>
            <w:div w:id="697698214">
              <w:marLeft w:val="0"/>
              <w:marRight w:val="0"/>
              <w:marTop w:val="0"/>
              <w:marBottom w:val="0"/>
              <w:divBdr>
                <w:top w:val="none" w:sz="0" w:space="0" w:color="auto"/>
                <w:left w:val="none" w:sz="0" w:space="0" w:color="auto"/>
                <w:bottom w:val="none" w:sz="0" w:space="0" w:color="auto"/>
                <w:right w:val="none" w:sz="0" w:space="0" w:color="auto"/>
              </w:divBdr>
              <w:divsChild>
                <w:div w:id="2058313449">
                  <w:marLeft w:val="0"/>
                  <w:marRight w:val="0"/>
                  <w:marTop w:val="0"/>
                  <w:marBottom w:val="0"/>
                  <w:divBdr>
                    <w:top w:val="none" w:sz="0" w:space="0" w:color="auto"/>
                    <w:left w:val="none" w:sz="0" w:space="0" w:color="auto"/>
                    <w:bottom w:val="none" w:sz="0" w:space="0" w:color="auto"/>
                    <w:right w:val="none" w:sz="0" w:space="0" w:color="auto"/>
                  </w:divBdr>
                  <w:divsChild>
                    <w:div w:id="74674671">
                      <w:marLeft w:val="0"/>
                      <w:marRight w:val="0"/>
                      <w:marTop w:val="0"/>
                      <w:marBottom w:val="0"/>
                      <w:divBdr>
                        <w:top w:val="none" w:sz="0" w:space="0" w:color="auto"/>
                        <w:left w:val="none" w:sz="0" w:space="0" w:color="auto"/>
                        <w:bottom w:val="none" w:sz="0" w:space="0" w:color="auto"/>
                        <w:right w:val="none" w:sz="0" w:space="0" w:color="auto"/>
                      </w:divBdr>
                      <w:divsChild>
                        <w:div w:id="322198291">
                          <w:marLeft w:val="0"/>
                          <w:marRight w:val="0"/>
                          <w:marTop w:val="0"/>
                          <w:marBottom w:val="0"/>
                          <w:divBdr>
                            <w:top w:val="none" w:sz="0" w:space="0" w:color="auto"/>
                            <w:left w:val="none" w:sz="0" w:space="0" w:color="auto"/>
                            <w:bottom w:val="none" w:sz="0" w:space="0" w:color="auto"/>
                            <w:right w:val="none" w:sz="0" w:space="0" w:color="auto"/>
                          </w:divBdr>
                          <w:divsChild>
                            <w:div w:id="487671566">
                              <w:marLeft w:val="0"/>
                              <w:marRight w:val="0"/>
                              <w:marTop w:val="0"/>
                              <w:marBottom w:val="0"/>
                              <w:divBdr>
                                <w:top w:val="none" w:sz="0" w:space="0" w:color="auto"/>
                                <w:left w:val="none" w:sz="0" w:space="0" w:color="auto"/>
                                <w:bottom w:val="none" w:sz="0" w:space="0" w:color="auto"/>
                                <w:right w:val="none" w:sz="0" w:space="0" w:color="auto"/>
                              </w:divBdr>
                              <w:divsChild>
                                <w:div w:id="1113595433">
                                  <w:marLeft w:val="0"/>
                                  <w:marRight w:val="0"/>
                                  <w:marTop w:val="0"/>
                                  <w:marBottom w:val="0"/>
                                  <w:divBdr>
                                    <w:top w:val="none" w:sz="0" w:space="0" w:color="auto"/>
                                    <w:left w:val="none" w:sz="0" w:space="0" w:color="auto"/>
                                    <w:bottom w:val="none" w:sz="0" w:space="0" w:color="auto"/>
                                    <w:right w:val="none" w:sz="0" w:space="0" w:color="auto"/>
                                  </w:divBdr>
                                  <w:divsChild>
                                    <w:div w:id="1939870089">
                                      <w:marLeft w:val="0"/>
                                      <w:marRight w:val="0"/>
                                      <w:marTop w:val="0"/>
                                      <w:marBottom w:val="0"/>
                                      <w:divBdr>
                                        <w:top w:val="none" w:sz="0" w:space="0" w:color="auto"/>
                                        <w:left w:val="none" w:sz="0" w:space="0" w:color="auto"/>
                                        <w:bottom w:val="none" w:sz="0" w:space="0" w:color="auto"/>
                                        <w:right w:val="none" w:sz="0" w:space="0" w:color="auto"/>
                                      </w:divBdr>
                                      <w:divsChild>
                                        <w:div w:id="1895966012">
                                          <w:marLeft w:val="0"/>
                                          <w:marRight w:val="0"/>
                                          <w:marTop w:val="0"/>
                                          <w:marBottom w:val="0"/>
                                          <w:divBdr>
                                            <w:top w:val="none" w:sz="0" w:space="0" w:color="auto"/>
                                            <w:left w:val="none" w:sz="0" w:space="0" w:color="auto"/>
                                            <w:bottom w:val="none" w:sz="0" w:space="0" w:color="auto"/>
                                            <w:right w:val="none" w:sz="0" w:space="0" w:color="auto"/>
                                          </w:divBdr>
                                          <w:divsChild>
                                            <w:div w:id="1311010533">
                                              <w:marLeft w:val="0"/>
                                              <w:marRight w:val="0"/>
                                              <w:marTop w:val="0"/>
                                              <w:marBottom w:val="0"/>
                                              <w:divBdr>
                                                <w:top w:val="none" w:sz="0" w:space="0" w:color="auto"/>
                                                <w:left w:val="none" w:sz="0" w:space="0" w:color="auto"/>
                                                <w:bottom w:val="none" w:sz="0" w:space="0" w:color="auto"/>
                                                <w:right w:val="none" w:sz="0" w:space="0" w:color="auto"/>
                                              </w:divBdr>
                                              <w:divsChild>
                                                <w:div w:id="16892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8070622">
      <w:bodyDiv w:val="1"/>
      <w:marLeft w:val="0"/>
      <w:marRight w:val="0"/>
      <w:marTop w:val="0"/>
      <w:marBottom w:val="0"/>
      <w:divBdr>
        <w:top w:val="none" w:sz="0" w:space="0" w:color="auto"/>
        <w:left w:val="none" w:sz="0" w:space="0" w:color="auto"/>
        <w:bottom w:val="none" w:sz="0" w:space="0" w:color="auto"/>
        <w:right w:val="none" w:sz="0" w:space="0" w:color="auto"/>
      </w:divBdr>
    </w:div>
    <w:div w:id="1170176542">
      <w:bodyDiv w:val="1"/>
      <w:marLeft w:val="0"/>
      <w:marRight w:val="0"/>
      <w:marTop w:val="0"/>
      <w:marBottom w:val="0"/>
      <w:divBdr>
        <w:top w:val="none" w:sz="0" w:space="0" w:color="auto"/>
        <w:left w:val="none" w:sz="0" w:space="0" w:color="auto"/>
        <w:bottom w:val="none" w:sz="0" w:space="0" w:color="auto"/>
        <w:right w:val="none" w:sz="0" w:space="0" w:color="auto"/>
      </w:divBdr>
    </w:div>
    <w:div w:id="1193419435">
      <w:bodyDiv w:val="1"/>
      <w:marLeft w:val="0"/>
      <w:marRight w:val="0"/>
      <w:marTop w:val="0"/>
      <w:marBottom w:val="0"/>
      <w:divBdr>
        <w:top w:val="none" w:sz="0" w:space="0" w:color="auto"/>
        <w:left w:val="none" w:sz="0" w:space="0" w:color="auto"/>
        <w:bottom w:val="none" w:sz="0" w:space="0" w:color="auto"/>
        <w:right w:val="none" w:sz="0" w:space="0" w:color="auto"/>
      </w:divBdr>
    </w:div>
    <w:div w:id="1337222241">
      <w:bodyDiv w:val="1"/>
      <w:marLeft w:val="0"/>
      <w:marRight w:val="0"/>
      <w:marTop w:val="0"/>
      <w:marBottom w:val="0"/>
      <w:divBdr>
        <w:top w:val="none" w:sz="0" w:space="0" w:color="auto"/>
        <w:left w:val="none" w:sz="0" w:space="0" w:color="auto"/>
        <w:bottom w:val="none" w:sz="0" w:space="0" w:color="auto"/>
        <w:right w:val="none" w:sz="0" w:space="0" w:color="auto"/>
      </w:divBdr>
      <w:divsChild>
        <w:div w:id="965159994">
          <w:marLeft w:val="0"/>
          <w:marRight w:val="0"/>
          <w:marTop w:val="0"/>
          <w:marBottom w:val="0"/>
          <w:divBdr>
            <w:top w:val="none" w:sz="0" w:space="0" w:color="auto"/>
            <w:left w:val="none" w:sz="0" w:space="0" w:color="auto"/>
            <w:bottom w:val="none" w:sz="0" w:space="0" w:color="auto"/>
            <w:right w:val="none" w:sz="0" w:space="0" w:color="auto"/>
          </w:divBdr>
          <w:divsChild>
            <w:div w:id="1100417243">
              <w:marLeft w:val="0"/>
              <w:marRight w:val="0"/>
              <w:marTop w:val="0"/>
              <w:marBottom w:val="0"/>
              <w:divBdr>
                <w:top w:val="none" w:sz="0" w:space="0" w:color="auto"/>
                <w:left w:val="none" w:sz="0" w:space="0" w:color="auto"/>
                <w:bottom w:val="none" w:sz="0" w:space="0" w:color="auto"/>
                <w:right w:val="none" w:sz="0" w:space="0" w:color="auto"/>
              </w:divBdr>
              <w:divsChild>
                <w:div w:id="1920097832">
                  <w:marLeft w:val="0"/>
                  <w:marRight w:val="0"/>
                  <w:marTop w:val="0"/>
                  <w:marBottom w:val="0"/>
                  <w:divBdr>
                    <w:top w:val="none" w:sz="0" w:space="0" w:color="auto"/>
                    <w:left w:val="none" w:sz="0" w:space="0" w:color="auto"/>
                    <w:bottom w:val="none" w:sz="0" w:space="0" w:color="auto"/>
                    <w:right w:val="none" w:sz="0" w:space="0" w:color="auto"/>
                  </w:divBdr>
                  <w:divsChild>
                    <w:div w:id="309986661">
                      <w:marLeft w:val="0"/>
                      <w:marRight w:val="0"/>
                      <w:marTop w:val="0"/>
                      <w:marBottom w:val="0"/>
                      <w:divBdr>
                        <w:top w:val="none" w:sz="0" w:space="0" w:color="auto"/>
                        <w:left w:val="none" w:sz="0" w:space="0" w:color="auto"/>
                        <w:bottom w:val="none" w:sz="0" w:space="0" w:color="auto"/>
                        <w:right w:val="none" w:sz="0" w:space="0" w:color="auto"/>
                      </w:divBdr>
                      <w:divsChild>
                        <w:div w:id="495538619">
                          <w:marLeft w:val="0"/>
                          <w:marRight w:val="0"/>
                          <w:marTop w:val="0"/>
                          <w:marBottom w:val="0"/>
                          <w:divBdr>
                            <w:top w:val="none" w:sz="0" w:space="0" w:color="auto"/>
                            <w:left w:val="none" w:sz="0" w:space="0" w:color="auto"/>
                            <w:bottom w:val="none" w:sz="0" w:space="0" w:color="auto"/>
                            <w:right w:val="none" w:sz="0" w:space="0" w:color="auto"/>
                          </w:divBdr>
                          <w:divsChild>
                            <w:div w:id="404644755">
                              <w:marLeft w:val="0"/>
                              <w:marRight w:val="0"/>
                              <w:marTop w:val="0"/>
                              <w:marBottom w:val="0"/>
                              <w:divBdr>
                                <w:top w:val="none" w:sz="0" w:space="0" w:color="auto"/>
                                <w:left w:val="none" w:sz="0" w:space="0" w:color="auto"/>
                                <w:bottom w:val="none" w:sz="0" w:space="0" w:color="auto"/>
                                <w:right w:val="none" w:sz="0" w:space="0" w:color="auto"/>
                              </w:divBdr>
                              <w:divsChild>
                                <w:div w:id="1138110645">
                                  <w:marLeft w:val="0"/>
                                  <w:marRight w:val="0"/>
                                  <w:marTop w:val="0"/>
                                  <w:marBottom w:val="0"/>
                                  <w:divBdr>
                                    <w:top w:val="none" w:sz="0" w:space="0" w:color="auto"/>
                                    <w:left w:val="none" w:sz="0" w:space="0" w:color="auto"/>
                                    <w:bottom w:val="none" w:sz="0" w:space="0" w:color="auto"/>
                                    <w:right w:val="none" w:sz="0" w:space="0" w:color="auto"/>
                                  </w:divBdr>
                                  <w:divsChild>
                                    <w:div w:id="1411389120">
                                      <w:marLeft w:val="0"/>
                                      <w:marRight w:val="0"/>
                                      <w:marTop w:val="0"/>
                                      <w:marBottom w:val="0"/>
                                      <w:divBdr>
                                        <w:top w:val="none" w:sz="0" w:space="0" w:color="auto"/>
                                        <w:left w:val="none" w:sz="0" w:space="0" w:color="auto"/>
                                        <w:bottom w:val="none" w:sz="0" w:space="0" w:color="auto"/>
                                        <w:right w:val="none" w:sz="0" w:space="0" w:color="auto"/>
                                      </w:divBdr>
                                      <w:divsChild>
                                        <w:div w:id="1464688248">
                                          <w:marLeft w:val="0"/>
                                          <w:marRight w:val="0"/>
                                          <w:marTop w:val="0"/>
                                          <w:marBottom w:val="0"/>
                                          <w:divBdr>
                                            <w:top w:val="none" w:sz="0" w:space="0" w:color="auto"/>
                                            <w:left w:val="none" w:sz="0" w:space="0" w:color="auto"/>
                                            <w:bottom w:val="none" w:sz="0" w:space="0" w:color="auto"/>
                                            <w:right w:val="none" w:sz="0" w:space="0" w:color="auto"/>
                                          </w:divBdr>
                                          <w:divsChild>
                                            <w:div w:id="1404447225">
                                              <w:marLeft w:val="0"/>
                                              <w:marRight w:val="0"/>
                                              <w:marTop w:val="0"/>
                                              <w:marBottom w:val="0"/>
                                              <w:divBdr>
                                                <w:top w:val="none" w:sz="0" w:space="0" w:color="auto"/>
                                                <w:left w:val="none" w:sz="0" w:space="0" w:color="auto"/>
                                                <w:bottom w:val="none" w:sz="0" w:space="0" w:color="auto"/>
                                                <w:right w:val="none" w:sz="0" w:space="0" w:color="auto"/>
                                              </w:divBdr>
                                              <w:divsChild>
                                                <w:div w:id="132215872">
                                                  <w:marLeft w:val="0"/>
                                                  <w:marRight w:val="0"/>
                                                  <w:marTop w:val="0"/>
                                                  <w:marBottom w:val="0"/>
                                                  <w:divBdr>
                                                    <w:top w:val="none" w:sz="0" w:space="0" w:color="auto"/>
                                                    <w:left w:val="none" w:sz="0" w:space="0" w:color="auto"/>
                                                    <w:bottom w:val="none" w:sz="0" w:space="0" w:color="auto"/>
                                                    <w:right w:val="none" w:sz="0" w:space="0" w:color="auto"/>
                                                  </w:divBdr>
                                                  <w:divsChild>
                                                    <w:div w:id="2129663521">
                                                      <w:marLeft w:val="0"/>
                                                      <w:marRight w:val="0"/>
                                                      <w:marTop w:val="0"/>
                                                      <w:marBottom w:val="0"/>
                                                      <w:divBdr>
                                                        <w:top w:val="none" w:sz="0" w:space="0" w:color="auto"/>
                                                        <w:left w:val="none" w:sz="0" w:space="0" w:color="auto"/>
                                                        <w:bottom w:val="none" w:sz="0" w:space="0" w:color="auto"/>
                                                        <w:right w:val="none" w:sz="0" w:space="0" w:color="auto"/>
                                                      </w:divBdr>
                                                      <w:divsChild>
                                                        <w:div w:id="1260336895">
                                                          <w:marLeft w:val="0"/>
                                                          <w:marRight w:val="0"/>
                                                          <w:marTop w:val="0"/>
                                                          <w:marBottom w:val="0"/>
                                                          <w:divBdr>
                                                            <w:top w:val="none" w:sz="0" w:space="0" w:color="auto"/>
                                                            <w:left w:val="none" w:sz="0" w:space="0" w:color="auto"/>
                                                            <w:bottom w:val="none" w:sz="0" w:space="0" w:color="auto"/>
                                                            <w:right w:val="none" w:sz="0" w:space="0" w:color="auto"/>
                                                          </w:divBdr>
                                                          <w:divsChild>
                                                            <w:div w:id="1222475280">
                                                              <w:marLeft w:val="0"/>
                                                              <w:marRight w:val="0"/>
                                                              <w:marTop w:val="0"/>
                                                              <w:marBottom w:val="0"/>
                                                              <w:divBdr>
                                                                <w:top w:val="none" w:sz="0" w:space="0" w:color="auto"/>
                                                                <w:left w:val="none" w:sz="0" w:space="0" w:color="auto"/>
                                                                <w:bottom w:val="none" w:sz="0" w:space="0" w:color="auto"/>
                                                                <w:right w:val="none" w:sz="0" w:space="0" w:color="auto"/>
                                                              </w:divBdr>
                                                              <w:divsChild>
                                                                <w:div w:id="903443182">
                                                                  <w:marLeft w:val="0"/>
                                                                  <w:marRight w:val="0"/>
                                                                  <w:marTop w:val="0"/>
                                                                  <w:marBottom w:val="0"/>
                                                                  <w:divBdr>
                                                                    <w:top w:val="none" w:sz="0" w:space="0" w:color="auto"/>
                                                                    <w:left w:val="none" w:sz="0" w:space="0" w:color="auto"/>
                                                                    <w:bottom w:val="none" w:sz="0" w:space="0" w:color="auto"/>
                                                                    <w:right w:val="none" w:sz="0" w:space="0" w:color="auto"/>
                                                                  </w:divBdr>
                                                                  <w:divsChild>
                                                                    <w:div w:id="1119953934">
                                                                      <w:marLeft w:val="0"/>
                                                                      <w:marRight w:val="0"/>
                                                                      <w:marTop w:val="0"/>
                                                                      <w:marBottom w:val="0"/>
                                                                      <w:divBdr>
                                                                        <w:top w:val="none" w:sz="0" w:space="0" w:color="auto"/>
                                                                        <w:left w:val="none" w:sz="0" w:space="0" w:color="auto"/>
                                                                        <w:bottom w:val="none" w:sz="0" w:space="0" w:color="auto"/>
                                                                        <w:right w:val="none" w:sz="0" w:space="0" w:color="auto"/>
                                                                      </w:divBdr>
                                                                      <w:divsChild>
                                                                        <w:div w:id="1697734554">
                                                                          <w:marLeft w:val="0"/>
                                                                          <w:marRight w:val="0"/>
                                                                          <w:marTop w:val="0"/>
                                                                          <w:marBottom w:val="0"/>
                                                                          <w:divBdr>
                                                                            <w:top w:val="none" w:sz="0" w:space="0" w:color="auto"/>
                                                                            <w:left w:val="none" w:sz="0" w:space="0" w:color="auto"/>
                                                                            <w:bottom w:val="none" w:sz="0" w:space="0" w:color="auto"/>
                                                                            <w:right w:val="none" w:sz="0" w:space="0" w:color="auto"/>
                                                                          </w:divBdr>
                                                                          <w:divsChild>
                                                                            <w:div w:id="19590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5714924">
      <w:bodyDiv w:val="1"/>
      <w:marLeft w:val="0"/>
      <w:marRight w:val="0"/>
      <w:marTop w:val="0"/>
      <w:marBottom w:val="0"/>
      <w:divBdr>
        <w:top w:val="none" w:sz="0" w:space="0" w:color="auto"/>
        <w:left w:val="none" w:sz="0" w:space="0" w:color="auto"/>
        <w:bottom w:val="none" w:sz="0" w:space="0" w:color="auto"/>
        <w:right w:val="none" w:sz="0" w:space="0" w:color="auto"/>
      </w:divBdr>
    </w:div>
    <w:div w:id="1437170020">
      <w:bodyDiv w:val="1"/>
      <w:marLeft w:val="0"/>
      <w:marRight w:val="0"/>
      <w:marTop w:val="0"/>
      <w:marBottom w:val="0"/>
      <w:divBdr>
        <w:top w:val="none" w:sz="0" w:space="0" w:color="auto"/>
        <w:left w:val="none" w:sz="0" w:space="0" w:color="auto"/>
        <w:bottom w:val="none" w:sz="0" w:space="0" w:color="auto"/>
        <w:right w:val="none" w:sz="0" w:space="0" w:color="auto"/>
      </w:divBdr>
    </w:div>
    <w:div w:id="1478911812">
      <w:bodyDiv w:val="1"/>
      <w:marLeft w:val="0"/>
      <w:marRight w:val="0"/>
      <w:marTop w:val="0"/>
      <w:marBottom w:val="0"/>
      <w:divBdr>
        <w:top w:val="none" w:sz="0" w:space="0" w:color="auto"/>
        <w:left w:val="none" w:sz="0" w:space="0" w:color="auto"/>
        <w:bottom w:val="none" w:sz="0" w:space="0" w:color="auto"/>
        <w:right w:val="none" w:sz="0" w:space="0" w:color="auto"/>
      </w:divBdr>
    </w:div>
    <w:div w:id="1652367013">
      <w:bodyDiv w:val="1"/>
      <w:marLeft w:val="0"/>
      <w:marRight w:val="0"/>
      <w:marTop w:val="0"/>
      <w:marBottom w:val="0"/>
      <w:divBdr>
        <w:top w:val="none" w:sz="0" w:space="0" w:color="auto"/>
        <w:left w:val="none" w:sz="0" w:space="0" w:color="auto"/>
        <w:bottom w:val="none" w:sz="0" w:space="0" w:color="auto"/>
        <w:right w:val="none" w:sz="0" w:space="0" w:color="auto"/>
      </w:divBdr>
      <w:divsChild>
        <w:div w:id="70008639">
          <w:marLeft w:val="0"/>
          <w:marRight w:val="0"/>
          <w:marTop w:val="0"/>
          <w:marBottom w:val="0"/>
          <w:divBdr>
            <w:top w:val="none" w:sz="0" w:space="0" w:color="auto"/>
            <w:left w:val="none" w:sz="0" w:space="0" w:color="auto"/>
            <w:bottom w:val="none" w:sz="0" w:space="0" w:color="auto"/>
            <w:right w:val="none" w:sz="0" w:space="0" w:color="auto"/>
          </w:divBdr>
          <w:divsChild>
            <w:div w:id="907347535">
              <w:marLeft w:val="0"/>
              <w:marRight w:val="0"/>
              <w:marTop w:val="0"/>
              <w:marBottom w:val="0"/>
              <w:divBdr>
                <w:top w:val="none" w:sz="0" w:space="0" w:color="auto"/>
                <w:left w:val="none" w:sz="0" w:space="0" w:color="auto"/>
                <w:bottom w:val="none" w:sz="0" w:space="0" w:color="auto"/>
                <w:right w:val="none" w:sz="0" w:space="0" w:color="auto"/>
              </w:divBdr>
              <w:divsChild>
                <w:div w:id="74472412">
                  <w:marLeft w:val="0"/>
                  <w:marRight w:val="0"/>
                  <w:marTop w:val="0"/>
                  <w:marBottom w:val="0"/>
                  <w:divBdr>
                    <w:top w:val="none" w:sz="0" w:space="0" w:color="auto"/>
                    <w:left w:val="none" w:sz="0" w:space="0" w:color="auto"/>
                    <w:bottom w:val="none" w:sz="0" w:space="0" w:color="auto"/>
                    <w:right w:val="none" w:sz="0" w:space="0" w:color="auto"/>
                  </w:divBdr>
                  <w:divsChild>
                    <w:div w:id="1388870218">
                      <w:marLeft w:val="0"/>
                      <w:marRight w:val="0"/>
                      <w:marTop w:val="0"/>
                      <w:marBottom w:val="0"/>
                      <w:divBdr>
                        <w:top w:val="none" w:sz="0" w:space="0" w:color="auto"/>
                        <w:left w:val="none" w:sz="0" w:space="0" w:color="auto"/>
                        <w:bottom w:val="none" w:sz="0" w:space="0" w:color="auto"/>
                        <w:right w:val="none" w:sz="0" w:space="0" w:color="auto"/>
                      </w:divBdr>
                      <w:divsChild>
                        <w:div w:id="1619025505">
                          <w:marLeft w:val="0"/>
                          <w:marRight w:val="0"/>
                          <w:marTop w:val="0"/>
                          <w:marBottom w:val="0"/>
                          <w:divBdr>
                            <w:top w:val="none" w:sz="0" w:space="0" w:color="auto"/>
                            <w:left w:val="none" w:sz="0" w:space="0" w:color="auto"/>
                            <w:bottom w:val="none" w:sz="0" w:space="0" w:color="auto"/>
                            <w:right w:val="none" w:sz="0" w:space="0" w:color="auto"/>
                          </w:divBdr>
                          <w:divsChild>
                            <w:div w:id="720980379">
                              <w:marLeft w:val="0"/>
                              <w:marRight w:val="0"/>
                              <w:marTop w:val="0"/>
                              <w:marBottom w:val="0"/>
                              <w:divBdr>
                                <w:top w:val="none" w:sz="0" w:space="0" w:color="auto"/>
                                <w:left w:val="none" w:sz="0" w:space="0" w:color="auto"/>
                                <w:bottom w:val="none" w:sz="0" w:space="0" w:color="auto"/>
                                <w:right w:val="none" w:sz="0" w:space="0" w:color="auto"/>
                              </w:divBdr>
                              <w:divsChild>
                                <w:div w:id="1824352134">
                                  <w:marLeft w:val="0"/>
                                  <w:marRight w:val="0"/>
                                  <w:marTop w:val="0"/>
                                  <w:marBottom w:val="0"/>
                                  <w:divBdr>
                                    <w:top w:val="none" w:sz="0" w:space="0" w:color="auto"/>
                                    <w:left w:val="none" w:sz="0" w:space="0" w:color="auto"/>
                                    <w:bottom w:val="none" w:sz="0" w:space="0" w:color="auto"/>
                                    <w:right w:val="none" w:sz="0" w:space="0" w:color="auto"/>
                                  </w:divBdr>
                                  <w:divsChild>
                                    <w:div w:id="1205370398">
                                      <w:marLeft w:val="0"/>
                                      <w:marRight w:val="0"/>
                                      <w:marTop w:val="0"/>
                                      <w:marBottom w:val="0"/>
                                      <w:divBdr>
                                        <w:top w:val="none" w:sz="0" w:space="0" w:color="auto"/>
                                        <w:left w:val="none" w:sz="0" w:space="0" w:color="auto"/>
                                        <w:bottom w:val="none" w:sz="0" w:space="0" w:color="auto"/>
                                        <w:right w:val="none" w:sz="0" w:space="0" w:color="auto"/>
                                      </w:divBdr>
                                      <w:divsChild>
                                        <w:div w:id="1890149111">
                                          <w:marLeft w:val="0"/>
                                          <w:marRight w:val="0"/>
                                          <w:marTop w:val="0"/>
                                          <w:marBottom w:val="0"/>
                                          <w:divBdr>
                                            <w:top w:val="none" w:sz="0" w:space="0" w:color="auto"/>
                                            <w:left w:val="none" w:sz="0" w:space="0" w:color="auto"/>
                                            <w:bottom w:val="none" w:sz="0" w:space="0" w:color="auto"/>
                                            <w:right w:val="none" w:sz="0" w:space="0" w:color="auto"/>
                                          </w:divBdr>
                                          <w:divsChild>
                                            <w:div w:id="1368289144">
                                              <w:marLeft w:val="0"/>
                                              <w:marRight w:val="0"/>
                                              <w:marTop w:val="0"/>
                                              <w:marBottom w:val="0"/>
                                              <w:divBdr>
                                                <w:top w:val="none" w:sz="0" w:space="0" w:color="auto"/>
                                                <w:left w:val="none" w:sz="0" w:space="0" w:color="auto"/>
                                                <w:bottom w:val="none" w:sz="0" w:space="0" w:color="auto"/>
                                                <w:right w:val="none" w:sz="0" w:space="0" w:color="auto"/>
                                              </w:divBdr>
                                              <w:divsChild>
                                                <w:div w:id="148985707">
                                                  <w:marLeft w:val="0"/>
                                                  <w:marRight w:val="0"/>
                                                  <w:marTop w:val="0"/>
                                                  <w:marBottom w:val="0"/>
                                                  <w:divBdr>
                                                    <w:top w:val="none" w:sz="0" w:space="0" w:color="auto"/>
                                                    <w:left w:val="none" w:sz="0" w:space="0" w:color="auto"/>
                                                    <w:bottom w:val="none" w:sz="0" w:space="0" w:color="auto"/>
                                                    <w:right w:val="none" w:sz="0" w:space="0" w:color="auto"/>
                                                  </w:divBdr>
                                                  <w:divsChild>
                                                    <w:div w:id="1240408286">
                                                      <w:marLeft w:val="0"/>
                                                      <w:marRight w:val="0"/>
                                                      <w:marTop w:val="0"/>
                                                      <w:marBottom w:val="0"/>
                                                      <w:divBdr>
                                                        <w:top w:val="none" w:sz="0" w:space="0" w:color="auto"/>
                                                        <w:left w:val="none" w:sz="0" w:space="0" w:color="auto"/>
                                                        <w:bottom w:val="none" w:sz="0" w:space="0" w:color="auto"/>
                                                        <w:right w:val="none" w:sz="0" w:space="0" w:color="auto"/>
                                                      </w:divBdr>
                                                      <w:divsChild>
                                                        <w:div w:id="1175532726">
                                                          <w:marLeft w:val="0"/>
                                                          <w:marRight w:val="0"/>
                                                          <w:marTop w:val="0"/>
                                                          <w:marBottom w:val="0"/>
                                                          <w:divBdr>
                                                            <w:top w:val="none" w:sz="0" w:space="0" w:color="auto"/>
                                                            <w:left w:val="none" w:sz="0" w:space="0" w:color="auto"/>
                                                            <w:bottom w:val="none" w:sz="0" w:space="0" w:color="auto"/>
                                                            <w:right w:val="none" w:sz="0" w:space="0" w:color="auto"/>
                                                          </w:divBdr>
                                                          <w:divsChild>
                                                            <w:div w:id="402535202">
                                                              <w:marLeft w:val="0"/>
                                                              <w:marRight w:val="0"/>
                                                              <w:marTop w:val="0"/>
                                                              <w:marBottom w:val="0"/>
                                                              <w:divBdr>
                                                                <w:top w:val="none" w:sz="0" w:space="0" w:color="auto"/>
                                                                <w:left w:val="none" w:sz="0" w:space="0" w:color="auto"/>
                                                                <w:bottom w:val="none" w:sz="0" w:space="0" w:color="auto"/>
                                                                <w:right w:val="none" w:sz="0" w:space="0" w:color="auto"/>
                                                              </w:divBdr>
                                                              <w:divsChild>
                                                                <w:div w:id="2044288931">
                                                                  <w:marLeft w:val="0"/>
                                                                  <w:marRight w:val="0"/>
                                                                  <w:marTop w:val="0"/>
                                                                  <w:marBottom w:val="0"/>
                                                                  <w:divBdr>
                                                                    <w:top w:val="none" w:sz="0" w:space="0" w:color="auto"/>
                                                                    <w:left w:val="none" w:sz="0" w:space="0" w:color="auto"/>
                                                                    <w:bottom w:val="none" w:sz="0" w:space="0" w:color="auto"/>
                                                                    <w:right w:val="none" w:sz="0" w:space="0" w:color="auto"/>
                                                                  </w:divBdr>
                                                                  <w:divsChild>
                                                                    <w:div w:id="996034385">
                                                                      <w:marLeft w:val="0"/>
                                                                      <w:marRight w:val="0"/>
                                                                      <w:marTop w:val="0"/>
                                                                      <w:marBottom w:val="0"/>
                                                                      <w:divBdr>
                                                                        <w:top w:val="none" w:sz="0" w:space="0" w:color="auto"/>
                                                                        <w:left w:val="none" w:sz="0" w:space="0" w:color="auto"/>
                                                                        <w:bottom w:val="none" w:sz="0" w:space="0" w:color="auto"/>
                                                                        <w:right w:val="none" w:sz="0" w:space="0" w:color="auto"/>
                                                                      </w:divBdr>
                                                                      <w:divsChild>
                                                                        <w:div w:id="978805972">
                                                                          <w:marLeft w:val="0"/>
                                                                          <w:marRight w:val="0"/>
                                                                          <w:marTop w:val="0"/>
                                                                          <w:marBottom w:val="0"/>
                                                                          <w:divBdr>
                                                                            <w:top w:val="none" w:sz="0" w:space="0" w:color="auto"/>
                                                                            <w:left w:val="none" w:sz="0" w:space="0" w:color="auto"/>
                                                                            <w:bottom w:val="none" w:sz="0" w:space="0" w:color="auto"/>
                                                                            <w:right w:val="none" w:sz="0" w:space="0" w:color="auto"/>
                                                                          </w:divBdr>
                                                                          <w:divsChild>
                                                                            <w:div w:id="2105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629041">
      <w:bodyDiv w:val="1"/>
      <w:marLeft w:val="0"/>
      <w:marRight w:val="0"/>
      <w:marTop w:val="0"/>
      <w:marBottom w:val="0"/>
      <w:divBdr>
        <w:top w:val="none" w:sz="0" w:space="0" w:color="auto"/>
        <w:left w:val="none" w:sz="0" w:space="0" w:color="auto"/>
        <w:bottom w:val="none" w:sz="0" w:space="0" w:color="auto"/>
        <w:right w:val="none" w:sz="0" w:space="0" w:color="auto"/>
      </w:divBdr>
    </w:div>
    <w:div w:id="1864394339">
      <w:bodyDiv w:val="1"/>
      <w:marLeft w:val="0"/>
      <w:marRight w:val="0"/>
      <w:marTop w:val="0"/>
      <w:marBottom w:val="0"/>
      <w:divBdr>
        <w:top w:val="none" w:sz="0" w:space="0" w:color="auto"/>
        <w:left w:val="none" w:sz="0" w:space="0" w:color="auto"/>
        <w:bottom w:val="none" w:sz="0" w:space="0" w:color="auto"/>
        <w:right w:val="none" w:sz="0" w:space="0" w:color="auto"/>
      </w:divBdr>
    </w:div>
    <w:div w:id="1880821740">
      <w:bodyDiv w:val="1"/>
      <w:marLeft w:val="0"/>
      <w:marRight w:val="0"/>
      <w:marTop w:val="0"/>
      <w:marBottom w:val="0"/>
      <w:divBdr>
        <w:top w:val="none" w:sz="0" w:space="0" w:color="auto"/>
        <w:left w:val="none" w:sz="0" w:space="0" w:color="auto"/>
        <w:bottom w:val="none" w:sz="0" w:space="0" w:color="auto"/>
        <w:right w:val="none" w:sz="0" w:space="0" w:color="auto"/>
      </w:divBdr>
    </w:div>
    <w:div w:id="1901399643">
      <w:bodyDiv w:val="1"/>
      <w:marLeft w:val="0"/>
      <w:marRight w:val="0"/>
      <w:marTop w:val="0"/>
      <w:marBottom w:val="0"/>
      <w:divBdr>
        <w:top w:val="none" w:sz="0" w:space="0" w:color="auto"/>
        <w:left w:val="none" w:sz="0" w:space="0" w:color="auto"/>
        <w:bottom w:val="none" w:sz="0" w:space="0" w:color="auto"/>
        <w:right w:val="none" w:sz="0" w:space="0" w:color="auto"/>
      </w:divBdr>
    </w:div>
    <w:div w:id="1934168307">
      <w:bodyDiv w:val="1"/>
      <w:marLeft w:val="0"/>
      <w:marRight w:val="0"/>
      <w:marTop w:val="0"/>
      <w:marBottom w:val="0"/>
      <w:divBdr>
        <w:top w:val="none" w:sz="0" w:space="0" w:color="auto"/>
        <w:left w:val="none" w:sz="0" w:space="0" w:color="auto"/>
        <w:bottom w:val="none" w:sz="0" w:space="0" w:color="auto"/>
        <w:right w:val="none" w:sz="0" w:space="0" w:color="auto"/>
      </w:divBdr>
    </w:div>
    <w:div w:id="212595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079E1-0EBF-4B49-864E-1D13E075B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75</TotalTime>
  <Pages>74</Pages>
  <Words>22302</Words>
  <Characters>127182</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Health sector overview</vt:lpstr>
    </vt:vector>
  </TitlesOfParts>
  <Company>Productivity Commission</Company>
  <LinksUpToDate>false</LinksUpToDate>
  <CharactersWithSpaces>149186</CharactersWithSpaces>
  <SharedDoc>false</SharedDoc>
  <HLinks>
    <vt:vector size="66" baseType="variant">
      <vt:variant>
        <vt:i4>7798900</vt:i4>
      </vt:variant>
      <vt:variant>
        <vt:i4>429</vt:i4>
      </vt:variant>
      <vt:variant>
        <vt:i4>0</vt:i4>
      </vt:variant>
      <vt:variant>
        <vt:i4>5</vt:i4>
      </vt:variant>
      <vt:variant>
        <vt:lpwstr>www.pc.gov.au/gsp/reports/rogs/2011</vt:lpwstr>
      </vt:variant>
      <vt:variant>
        <vt:lpwstr/>
      </vt:variant>
      <vt:variant>
        <vt:i4>7798900</vt:i4>
      </vt:variant>
      <vt:variant>
        <vt:i4>405</vt:i4>
      </vt:variant>
      <vt:variant>
        <vt:i4>0</vt:i4>
      </vt:variant>
      <vt:variant>
        <vt:i4>5</vt:i4>
      </vt:variant>
      <vt:variant>
        <vt:lpwstr>www.pc.gov.au/gsp/reports/rogs/2011</vt:lpwstr>
      </vt:variant>
      <vt:variant>
        <vt:lpwstr/>
      </vt:variant>
      <vt:variant>
        <vt:i4>7798900</vt:i4>
      </vt:variant>
      <vt:variant>
        <vt:i4>375</vt:i4>
      </vt:variant>
      <vt:variant>
        <vt:i4>0</vt:i4>
      </vt:variant>
      <vt:variant>
        <vt:i4>5</vt:i4>
      </vt:variant>
      <vt:variant>
        <vt:lpwstr>www.pc.gov.au/gsp/reports/rogs/2011</vt:lpwstr>
      </vt:variant>
      <vt:variant>
        <vt:lpwstr/>
      </vt:variant>
      <vt:variant>
        <vt:i4>7798900</vt:i4>
      </vt:variant>
      <vt:variant>
        <vt:i4>207</vt:i4>
      </vt:variant>
      <vt:variant>
        <vt:i4>0</vt:i4>
      </vt:variant>
      <vt:variant>
        <vt:i4>5</vt:i4>
      </vt:variant>
      <vt:variant>
        <vt:lpwstr>www.pc.gov.au/gsp/reports/rogs/2011</vt:lpwstr>
      </vt:variant>
      <vt:variant>
        <vt:lpwstr/>
      </vt:variant>
      <vt:variant>
        <vt:i4>1179696</vt:i4>
      </vt:variant>
      <vt:variant>
        <vt:i4>38</vt:i4>
      </vt:variant>
      <vt:variant>
        <vt:i4>0</vt:i4>
      </vt:variant>
      <vt:variant>
        <vt:i4>5</vt:i4>
      </vt:variant>
      <vt:variant>
        <vt:lpwstr/>
      </vt:variant>
      <vt:variant>
        <vt:lpwstr>_Toc313526278</vt:lpwstr>
      </vt:variant>
      <vt:variant>
        <vt:i4>1179696</vt:i4>
      </vt:variant>
      <vt:variant>
        <vt:i4>32</vt:i4>
      </vt:variant>
      <vt:variant>
        <vt:i4>0</vt:i4>
      </vt:variant>
      <vt:variant>
        <vt:i4>5</vt:i4>
      </vt:variant>
      <vt:variant>
        <vt:lpwstr/>
      </vt:variant>
      <vt:variant>
        <vt:lpwstr>_Toc313526277</vt:lpwstr>
      </vt:variant>
      <vt:variant>
        <vt:i4>1179696</vt:i4>
      </vt:variant>
      <vt:variant>
        <vt:i4>26</vt:i4>
      </vt:variant>
      <vt:variant>
        <vt:i4>0</vt:i4>
      </vt:variant>
      <vt:variant>
        <vt:i4>5</vt:i4>
      </vt:variant>
      <vt:variant>
        <vt:lpwstr/>
      </vt:variant>
      <vt:variant>
        <vt:lpwstr>_Toc313526276</vt:lpwstr>
      </vt:variant>
      <vt:variant>
        <vt:i4>1179696</vt:i4>
      </vt:variant>
      <vt:variant>
        <vt:i4>20</vt:i4>
      </vt:variant>
      <vt:variant>
        <vt:i4>0</vt:i4>
      </vt:variant>
      <vt:variant>
        <vt:i4>5</vt:i4>
      </vt:variant>
      <vt:variant>
        <vt:lpwstr/>
      </vt:variant>
      <vt:variant>
        <vt:lpwstr>_Toc313526275</vt:lpwstr>
      </vt:variant>
      <vt:variant>
        <vt:i4>1179696</vt:i4>
      </vt:variant>
      <vt:variant>
        <vt:i4>14</vt:i4>
      </vt:variant>
      <vt:variant>
        <vt:i4>0</vt:i4>
      </vt:variant>
      <vt:variant>
        <vt:i4>5</vt:i4>
      </vt:variant>
      <vt:variant>
        <vt:lpwstr/>
      </vt:variant>
      <vt:variant>
        <vt:lpwstr>_Toc313526274</vt:lpwstr>
      </vt:variant>
      <vt:variant>
        <vt:i4>1179696</vt:i4>
      </vt:variant>
      <vt:variant>
        <vt:i4>8</vt:i4>
      </vt:variant>
      <vt:variant>
        <vt:i4>0</vt:i4>
      </vt:variant>
      <vt:variant>
        <vt:i4>5</vt:i4>
      </vt:variant>
      <vt:variant>
        <vt:lpwstr/>
      </vt:variant>
      <vt:variant>
        <vt:lpwstr>_Toc313526273</vt:lpwstr>
      </vt:variant>
      <vt:variant>
        <vt:i4>1179696</vt:i4>
      </vt:variant>
      <vt:variant>
        <vt:i4>2</vt:i4>
      </vt:variant>
      <vt:variant>
        <vt:i4>0</vt:i4>
      </vt:variant>
      <vt:variant>
        <vt:i4>5</vt:i4>
      </vt:variant>
      <vt:variant>
        <vt:lpwstr/>
      </vt:variant>
      <vt:variant>
        <vt:lpwstr>_Toc313526272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sector overview</dc:title>
  <dc:subject>Report on Government Services 2014</dc:subject>
  <dc:creator>Steering Committee for the Review of Government Service Provision</dc:creator>
  <dc:description>E.</dc:description>
  <cp:lastModifiedBy>Frech, Tanya</cp:lastModifiedBy>
  <cp:revision>19</cp:revision>
  <cp:lastPrinted>2014-01-14T02:13:00Z</cp:lastPrinted>
  <dcterms:created xsi:type="dcterms:W3CDTF">2014-01-14T02:54:00Z</dcterms:created>
  <dcterms:modified xsi:type="dcterms:W3CDTF">2014-01-21T01:50:00Z</dcterms:modified>
</cp:coreProperties>
</file>