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60A" w:rsidRPr="00765309" w:rsidRDefault="0058260A" w:rsidP="00765309">
      <w:pPr>
        <w:pStyle w:val="Heading2"/>
        <w:keepLines/>
        <w:tabs>
          <w:tab w:val="left" w:pos="794"/>
          <w:tab w:val="left" w:pos="1191"/>
          <w:tab w:val="left" w:pos="2778"/>
        </w:tabs>
        <w:spacing w:before="300" w:after="120" w:line="440" w:lineRule="atLeast"/>
        <w:ind w:left="0" w:firstLine="0"/>
        <w:rPr>
          <w:color w:val="000000"/>
          <w:szCs w:val="32"/>
          <w:lang w:eastAsia="en-US"/>
        </w:rPr>
      </w:pPr>
      <w:bookmarkStart w:id="0" w:name="_Toc305682228"/>
      <w:bookmarkStart w:id="1" w:name="_Toc305682340"/>
      <w:bookmarkStart w:id="2" w:name="_Toc306801992"/>
      <w:bookmarkStart w:id="3" w:name="_Toc333301105"/>
      <w:bookmarkStart w:id="4" w:name="_Toc333302091"/>
      <w:bookmarkStart w:id="5" w:name="_Toc341111261"/>
      <w:bookmarkStart w:id="6" w:name="_Toc341861583"/>
      <w:bookmarkStart w:id="7" w:name="_Toc365283828"/>
      <w:bookmarkStart w:id="8" w:name="_Toc370404001"/>
      <w:bookmarkStart w:id="9" w:name="_Toc373422518"/>
      <w:bookmarkStart w:id="10" w:name="_Toc377113100"/>
      <w:bookmarkStart w:id="11" w:name="_Toc377116135"/>
      <w:bookmarkStart w:id="12" w:name="_Toc377383319"/>
      <w:bookmarkStart w:id="13" w:name="ChapterNumber"/>
      <w:bookmarkStart w:id="14" w:name="_Toc278287349"/>
      <w:r w:rsidRPr="00765309">
        <w:rPr>
          <w:color w:val="000000"/>
          <w:szCs w:val="32"/>
          <w:lang w:eastAsia="en-US"/>
        </w:rPr>
        <w:t>Data quality information — Aged care services, chapter 13</w:t>
      </w:r>
      <w:bookmarkStart w:id="15" w:name="_GoBack"/>
      <w:bookmarkEnd w:id="0"/>
      <w:bookmarkEnd w:id="1"/>
      <w:bookmarkEnd w:id="2"/>
      <w:bookmarkEnd w:id="3"/>
      <w:bookmarkEnd w:id="4"/>
      <w:bookmarkEnd w:id="5"/>
      <w:bookmarkEnd w:id="6"/>
      <w:bookmarkEnd w:id="7"/>
      <w:bookmarkEnd w:id="8"/>
      <w:bookmarkEnd w:id="9"/>
      <w:bookmarkEnd w:id="10"/>
      <w:bookmarkEnd w:id="11"/>
      <w:bookmarkEnd w:id="12"/>
      <w:bookmarkEnd w:id="15"/>
    </w:p>
    <w:p w:rsidR="0058260A" w:rsidRDefault="0058260A" w:rsidP="00BE5B08">
      <w:pPr>
        <w:pStyle w:val="BoxSpace"/>
        <w:jc w:val="both"/>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8260A" w:rsidTr="0058260A">
        <w:tc>
          <w:tcPr>
            <w:tcW w:w="8771" w:type="dxa"/>
            <w:tcBorders>
              <w:top w:val="single" w:sz="6" w:space="0" w:color="auto"/>
              <w:bottom w:val="nil"/>
            </w:tcBorders>
          </w:tcPr>
          <w:p w:rsidR="0058260A" w:rsidRDefault="0058260A" w:rsidP="00BE5B08">
            <w:pPr>
              <w:pStyle w:val="BoxTitle"/>
              <w:jc w:val="both"/>
            </w:pPr>
            <w:r>
              <w:t>Data Quality Information</w:t>
            </w:r>
          </w:p>
        </w:tc>
      </w:tr>
      <w:tr w:rsidR="0058260A" w:rsidTr="0058260A">
        <w:trPr>
          <w:cantSplit/>
        </w:trPr>
        <w:tc>
          <w:tcPr>
            <w:tcW w:w="8771" w:type="dxa"/>
            <w:tcBorders>
              <w:top w:val="nil"/>
              <w:left w:val="single" w:sz="6" w:space="0" w:color="auto"/>
              <w:bottom w:val="nil"/>
              <w:right w:val="single" w:sz="6" w:space="0" w:color="auto"/>
            </w:tcBorders>
          </w:tcPr>
          <w:p w:rsidR="0058260A" w:rsidRDefault="0058260A" w:rsidP="00BE5B08">
            <w:pPr>
              <w:pStyle w:val="Box"/>
            </w:pPr>
            <w:r w:rsidRPr="004D76A9">
              <w:t>Data quality information (</w:t>
            </w:r>
            <w:proofErr w:type="spellStart"/>
            <w:r w:rsidRPr="004D76A9">
              <w:t>DQI</w:t>
            </w:r>
            <w:proofErr w:type="spellEnd"/>
            <w:r w:rsidRPr="004D76A9">
              <w:t xml:space="preserve">) </w:t>
            </w:r>
            <w:r>
              <w:t xml:space="preserve">provides information against the seven ABS data quality framework dimensions, for a selection of performance indicators in the Aged care services chapter. </w:t>
            </w:r>
            <w:proofErr w:type="spellStart"/>
            <w:r>
              <w:t>DQI</w:t>
            </w:r>
            <w:proofErr w:type="spellEnd"/>
            <w:r>
              <w:t xml:space="preserve"> for additional indicators will be progressively introduced in future reports.</w:t>
            </w:r>
          </w:p>
          <w:p w:rsidR="0058260A" w:rsidRPr="00B27429" w:rsidRDefault="0058260A" w:rsidP="00BE5B08">
            <w:pPr>
              <w:pStyle w:val="Box"/>
            </w:pPr>
            <w:r w:rsidRPr="00B27429">
              <w:t xml:space="preserve">Where </w:t>
            </w:r>
            <w:r>
              <w:t xml:space="preserve">the </w:t>
            </w:r>
            <w:r w:rsidRPr="00B27429">
              <w:t>R</w:t>
            </w:r>
            <w:r>
              <w:t xml:space="preserve">eport on </w:t>
            </w:r>
            <w:r w:rsidRPr="00B27429">
              <w:t>G</w:t>
            </w:r>
            <w:r>
              <w:t xml:space="preserve">overnment </w:t>
            </w:r>
            <w:r w:rsidRPr="00B27429">
              <w:t>S</w:t>
            </w:r>
            <w:r>
              <w:t>ervices (</w:t>
            </w:r>
            <w:proofErr w:type="spellStart"/>
            <w:r>
              <w:t>RoGS</w:t>
            </w:r>
            <w:proofErr w:type="spellEnd"/>
            <w:r>
              <w:t>)</w:t>
            </w:r>
            <w:r w:rsidRPr="00B27429">
              <w:t xml:space="preserve"> indicators align with National Agreement indicators, </w:t>
            </w:r>
            <w:proofErr w:type="spellStart"/>
            <w:r w:rsidRPr="00B27429">
              <w:t>DQI</w:t>
            </w:r>
            <w:proofErr w:type="spellEnd"/>
            <w:r w:rsidRPr="00B27429">
              <w:t xml:space="preserve"> has been sourced from the Steering Committee’s reports on National Agreements to the C</w:t>
            </w:r>
            <w:r w:rsidR="00104B60">
              <w:t xml:space="preserve">ouncil of </w:t>
            </w:r>
            <w:r w:rsidRPr="00B27429">
              <w:t>A</w:t>
            </w:r>
            <w:r w:rsidR="00104B60">
              <w:t xml:space="preserve">ustralian </w:t>
            </w:r>
            <w:r w:rsidRPr="00B27429">
              <w:t>G</w:t>
            </w:r>
            <w:r w:rsidR="00104B60">
              <w:t>overnments (COAG)</w:t>
            </w:r>
            <w:r w:rsidRPr="00B27429">
              <w:t xml:space="preserve"> Reform Council.</w:t>
            </w:r>
          </w:p>
          <w:p w:rsidR="0058260A" w:rsidRDefault="0058260A" w:rsidP="00BE5B08">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58260A" w:rsidTr="0058260A">
        <w:trPr>
          <w:cantSplit/>
        </w:trPr>
        <w:tc>
          <w:tcPr>
            <w:tcW w:w="8771" w:type="dxa"/>
            <w:tcBorders>
              <w:top w:val="nil"/>
              <w:left w:val="single" w:sz="6" w:space="0" w:color="auto"/>
              <w:bottom w:val="single" w:sz="6" w:space="0" w:color="auto"/>
              <w:right w:val="single" w:sz="6" w:space="0" w:color="auto"/>
            </w:tcBorders>
          </w:tcPr>
          <w:p w:rsidR="0058260A" w:rsidRDefault="0058260A" w:rsidP="00BE5B08">
            <w:pPr>
              <w:pStyle w:val="Box"/>
              <w:spacing w:before="0" w:line="120" w:lineRule="exact"/>
            </w:pPr>
          </w:p>
        </w:tc>
      </w:tr>
      <w:tr w:rsidR="0058260A" w:rsidTr="0058260A">
        <w:tc>
          <w:tcPr>
            <w:tcW w:w="8771" w:type="dxa"/>
            <w:tcBorders>
              <w:top w:val="nil"/>
              <w:left w:val="nil"/>
              <w:bottom w:val="nil"/>
              <w:right w:val="nil"/>
            </w:tcBorders>
          </w:tcPr>
          <w:p w:rsidR="0058260A" w:rsidRDefault="0058260A" w:rsidP="00BE5B08">
            <w:pPr>
              <w:pStyle w:val="Box"/>
              <w:keepNext w:val="0"/>
              <w:spacing w:before="60" w:after="60" w:line="80" w:lineRule="exact"/>
              <w:rPr>
                <w:b/>
                <w:color w:val="FF00FF"/>
                <w:sz w:val="14"/>
              </w:rPr>
            </w:pPr>
          </w:p>
        </w:tc>
      </w:tr>
    </w:tbl>
    <w:p w:rsidR="003F284B" w:rsidRDefault="0058260A" w:rsidP="00345AD7">
      <w:pPr>
        <w:pStyle w:val="BodyText"/>
        <w:rPr>
          <w:noProof/>
        </w:rPr>
      </w:pPr>
      <w:proofErr w:type="spellStart"/>
      <w:r w:rsidRPr="007D6C3A">
        <w:t>DQI</w:t>
      </w:r>
      <w:proofErr w:type="spellEnd"/>
      <w:r w:rsidRPr="007D6C3A">
        <w:t xml:space="preserve"> are available for the following performance indicators:</w:t>
      </w:r>
    </w:p>
    <w:p w:rsidR="003F284B" w:rsidRDefault="003F284B">
      <w:pPr>
        <w:pStyle w:val="TOC3"/>
        <w:rPr>
          <w:rFonts w:asciiTheme="minorHAnsi" w:eastAsiaTheme="minorEastAsia" w:hAnsiTheme="minorHAnsi" w:cstheme="minorBidi"/>
          <w:noProof/>
          <w:sz w:val="22"/>
          <w:szCs w:val="22"/>
        </w:rPr>
      </w:pPr>
      <w:r w:rsidRPr="00E2356A">
        <w:rPr>
          <w:noProof/>
        </w:rPr>
        <w:t>Use by different groups — access to residential aged care services by Indigenous people and people born in a mainly non</w:t>
      </w:r>
      <w:r w:rsidRPr="00E2356A">
        <w:rPr>
          <w:noProof/>
        </w:rPr>
        <w:noBreakHyphen/>
        <w:t>English speaking country</w:t>
      </w:r>
      <w:r>
        <w:rPr>
          <w:noProof/>
          <w:webHidden/>
        </w:rPr>
        <w:tab/>
        <w:t>3</w:t>
      </w:r>
    </w:p>
    <w:p w:rsidR="003F284B" w:rsidRDefault="003F284B">
      <w:pPr>
        <w:pStyle w:val="TOC3"/>
        <w:rPr>
          <w:rFonts w:asciiTheme="minorHAnsi" w:eastAsiaTheme="minorEastAsia" w:hAnsiTheme="minorHAnsi" w:cstheme="minorBidi"/>
          <w:noProof/>
          <w:sz w:val="22"/>
          <w:szCs w:val="22"/>
        </w:rPr>
      </w:pPr>
      <w:r w:rsidRPr="00E2356A">
        <w:rPr>
          <w:noProof/>
        </w:rPr>
        <w:t>Use by different groups — access to Community Aged Care Packages (CACP) by Indigenous people and people born in a mainly non</w:t>
      </w:r>
      <w:r w:rsidRPr="00E2356A">
        <w:rPr>
          <w:noProof/>
        </w:rPr>
        <w:noBreakHyphen/>
        <w:t>English speaking country</w:t>
      </w:r>
      <w:r>
        <w:rPr>
          <w:noProof/>
          <w:webHidden/>
        </w:rPr>
        <w:tab/>
        <w:t>6</w:t>
      </w:r>
    </w:p>
    <w:p w:rsidR="003F284B" w:rsidRDefault="003F284B">
      <w:pPr>
        <w:pStyle w:val="TOC3"/>
        <w:rPr>
          <w:rFonts w:asciiTheme="minorHAnsi" w:eastAsiaTheme="minorEastAsia" w:hAnsiTheme="minorHAnsi" w:cstheme="minorBidi"/>
          <w:noProof/>
          <w:sz w:val="22"/>
          <w:szCs w:val="22"/>
        </w:rPr>
      </w:pPr>
      <w:r w:rsidRPr="00E2356A">
        <w:rPr>
          <w:noProof/>
        </w:rPr>
        <w:t>Use by different groups — access to Home and Community Care (HACC) services, by remoteness</w:t>
      </w:r>
      <w:r>
        <w:rPr>
          <w:noProof/>
          <w:webHidden/>
        </w:rPr>
        <w:tab/>
        <w:t>9</w:t>
      </w:r>
    </w:p>
    <w:p w:rsidR="003F284B" w:rsidRDefault="003F284B">
      <w:pPr>
        <w:pStyle w:val="TOC3"/>
        <w:rPr>
          <w:rFonts w:asciiTheme="minorHAnsi" w:eastAsiaTheme="minorEastAsia" w:hAnsiTheme="minorHAnsi" w:cstheme="minorBidi"/>
          <w:noProof/>
          <w:sz w:val="22"/>
          <w:szCs w:val="22"/>
        </w:rPr>
      </w:pPr>
      <w:r w:rsidRPr="00E2356A">
        <w:rPr>
          <w:noProof/>
        </w:rPr>
        <w:t>Use by different groups — the rate of contacts with Commonwealth Respite and Carelink Centres for Indigenous Australians benchmarked against the rate for all people.</w:t>
      </w:r>
      <w:r>
        <w:rPr>
          <w:noProof/>
          <w:webHidden/>
        </w:rPr>
        <w:tab/>
        <w:t>12</w:t>
      </w:r>
    </w:p>
    <w:p w:rsidR="003F284B" w:rsidRDefault="003F284B">
      <w:pPr>
        <w:pStyle w:val="TOC3"/>
        <w:rPr>
          <w:rFonts w:asciiTheme="minorHAnsi" w:eastAsiaTheme="minorEastAsia" w:hAnsiTheme="minorHAnsi" w:cstheme="minorBidi"/>
          <w:noProof/>
          <w:sz w:val="22"/>
          <w:szCs w:val="22"/>
        </w:rPr>
      </w:pPr>
      <w:r w:rsidRPr="00E2356A">
        <w:rPr>
          <w:noProof/>
        </w:rPr>
        <w:t>Use by different groups — the proportion of new residents classified as concessional, assisted or supported residents</w:t>
      </w:r>
      <w:r>
        <w:rPr>
          <w:noProof/>
          <w:webHidden/>
        </w:rPr>
        <w:tab/>
        <w:t>15</w:t>
      </w:r>
    </w:p>
    <w:p w:rsidR="003F284B" w:rsidRDefault="003F284B">
      <w:pPr>
        <w:pStyle w:val="TOC3"/>
        <w:rPr>
          <w:rFonts w:asciiTheme="minorHAnsi" w:eastAsiaTheme="minorEastAsia" w:hAnsiTheme="minorHAnsi" w:cstheme="minorBidi"/>
          <w:noProof/>
          <w:sz w:val="22"/>
          <w:szCs w:val="22"/>
        </w:rPr>
      </w:pPr>
      <w:r w:rsidRPr="00E2356A">
        <w:rPr>
          <w:noProof/>
        </w:rPr>
        <w:t>Operational aged care places</w:t>
      </w:r>
      <w:r>
        <w:rPr>
          <w:noProof/>
          <w:webHidden/>
        </w:rPr>
        <w:tab/>
        <w:t>18</w:t>
      </w:r>
    </w:p>
    <w:p w:rsidR="003F284B" w:rsidRDefault="003F284B">
      <w:pPr>
        <w:pStyle w:val="TOC3"/>
        <w:rPr>
          <w:rFonts w:asciiTheme="minorHAnsi" w:eastAsiaTheme="minorEastAsia" w:hAnsiTheme="minorHAnsi" w:cstheme="minorBidi"/>
          <w:noProof/>
          <w:sz w:val="22"/>
          <w:szCs w:val="22"/>
        </w:rPr>
      </w:pPr>
      <w:r w:rsidRPr="00E2356A">
        <w:rPr>
          <w:noProof/>
        </w:rPr>
        <w:t>Elapsed times for aged care services</w:t>
      </w:r>
      <w:r>
        <w:rPr>
          <w:noProof/>
          <w:webHidden/>
        </w:rPr>
        <w:tab/>
        <w:t>21</w:t>
      </w:r>
    </w:p>
    <w:p w:rsidR="003F284B" w:rsidRDefault="003F284B">
      <w:pPr>
        <w:pStyle w:val="TOC3"/>
        <w:rPr>
          <w:rFonts w:asciiTheme="minorHAnsi" w:eastAsiaTheme="minorEastAsia" w:hAnsiTheme="minorHAnsi" w:cstheme="minorBidi"/>
          <w:noProof/>
          <w:sz w:val="22"/>
          <w:szCs w:val="22"/>
        </w:rPr>
      </w:pPr>
      <w:r w:rsidRPr="00E2356A">
        <w:rPr>
          <w:noProof/>
        </w:rPr>
        <w:t>Hospital patient days used by those eligible and waiting for residential aged care</w:t>
      </w:r>
      <w:r>
        <w:rPr>
          <w:noProof/>
          <w:webHidden/>
        </w:rPr>
        <w:tab/>
        <w:t>24</w:t>
      </w:r>
    </w:p>
    <w:p w:rsidR="003F284B" w:rsidRDefault="003F284B">
      <w:pPr>
        <w:pStyle w:val="TOC3"/>
        <w:rPr>
          <w:rFonts w:asciiTheme="minorHAnsi" w:eastAsiaTheme="minorEastAsia" w:hAnsiTheme="minorHAnsi" w:cstheme="minorBidi"/>
          <w:noProof/>
          <w:sz w:val="22"/>
          <w:szCs w:val="22"/>
        </w:rPr>
      </w:pPr>
      <w:r w:rsidRPr="00E2356A">
        <w:rPr>
          <w:noProof/>
        </w:rPr>
        <w:t xml:space="preserve">Compliance with service standards for residential care </w:t>
      </w:r>
      <w:r w:rsidRPr="00E2356A">
        <w:rPr>
          <w:rFonts w:cs="Arial"/>
          <w:noProof/>
        </w:rPr>
        <w:t>— proportion of residential aged care services that are three year re</w:t>
      </w:r>
      <w:r w:rsidRPr="00E2356A">
        <w:rPr>
          <w:rFonts w:cs="Arial"/>
          <w:noProof/>
        </w:rPr>
        <w:noBreakHyphen/>
        <w:t>accredited</w:t>
      </w:r>
      <w:r>
        <w:rPr>
          <w:noProof/>
          <w:webHidden/>
        </w:rPr>
        <w:tab/>
        <w:t>29</w:t>
      </w:r>
    </w:p>
    <w:p w:rsidR="003F284B" w:rsidRDefault="003F284B">
      <w:pPr>
        <w:pStyle w:val="TOC3"/>
        <w:rPr>
          <w:rFonts w:asciiTheme="minorHAnsi" w:eastAsiaTheme="minorEastAsia" w:hAnsiTheme="minorHAnsi" w:cstheme="minorBidi"/>
          <w:noProof/>
          <w:sz w:val="22"/>
          <w:szCs w:val="22"/>
        </w:rPr>
      </w:pPr>
      <w:r w:rsidRPr="00E2356A">
        <w:rPr>
          <w:noProof/>
        </w:rPr>
        <w:lastRenderedPageBreak/>
        <w:t xml:space="preserve">Compliance with service standards for residential care </w:t>
      </w:r>
      <w:r w:rsidRPr="00E2356A">
        <w:rPr>
          <w:rFonts w:cs="Arial"/>
          <w:noProof/>
        </w:rPr>
        <w:t xml:space="preserve">— </w:t>
      </w:r>
      <w:r w:rsidRPr="00E2356A">
        <w:rPr>
          <w:noProof/>
        </w:rPr>
        <w:t>compliance with building certification, fire safety and privacy and space requirements</w:t>
      </w:r>
      <w:r>
        <w:rPr>
          <w:noProof/>
          <w:webHidden/>
        </w:rPr>
        <w:tab/>
        <w:t>32</w:t>
      </w:r>
    </w:p>
    <w:p w:rsidR="003F284B" w:rsidRDefault="003F284B">
      <w:pPr>
        <w:pStyle w:val="TOC3"/>
        <w:rPr>
          <w:rFonts w:asciiTheme="minorHAnsi" w:eastAsiaTheme="minorEastAsia" w:hAnsiTheme="minorHAnsi" w:cstheme="minorBidi"/>
          <w:noProof/>
          <w:sz w:val="22"/>
          <w:szCs w:val="22"/>
        </w:rPr>
      </w:pPr>
      <w:r w:rsidRPr="00E2356A">
        <w:rPr>
          <w:noProof/>
        </w:rPr>
        <w:t>Cost per output unit — government funding per hour of HACC service</w:t>
      </w:r>
      <w:r>
        <w:rPr>
          <w:noProof/>
          <w:webHidden/>
        </w:rPr>
        <w:tab/>
        <w:t>34</w:t>
      </w:r>
    </w:p>
    <w:p w:rsidR="003F284B" w:rsidRDefault="003F284B">
      <w:pPr>
        <w:pStyle w:val="TOC3"/>
        <w:rPr>
          <w:rFonts w:asciiTheme="minorHAnsi" w:eastAsiaTheme="minorEastAsia" w:hAnsiTheme="minorHAnsi" w:cstheme="minorBidi"/>
          <w:noProof/>
          <w:sz w:val="22"/>
          <w:szCs w:val="22"/>
        </w:rPr>
      </w:pPr>
      <w:r w:rsidRPr="00E2356A">
        <w:rPr>
          <w:noProof/>
        </w:rPr>
        <w:t>Expenditure per head of aged care target population — HACC</w:t>
      </w:r>
      <w:r>
        <w:rPr>
          <w:noProof/>
          <w:webHidden/>
        </w:rPr>
        <w:tab/>
        <w:t>36</w:t>
      </w:r>
    </w:p>
    <w:p w:rsidR="003F284B" w:rsidRDefault="003F284B">
      <w:pPr>
        <w:pStyle w:val="TOC3"/>
        <w:rPr>
          <w:rFonts w:asciiTheme="minorHAnsi" w:eastAsiaTheme="minorEastAsia" w:hAnsiTheme="minorHAnsi" w:cstheme="minorBidi"/>
          <w:noProof/>
          <w:sz w:val="22"/>
          <w:szCs w:val="22"/>
        </w:rPr>
      </w:pPr>
      <w:r w:rsidRPr="00E2356A">
        <w:rPr>
          <w:noProof/>
        </w:rPr>
        <w:t>Maintenance of individual physical function</w:t>
      </w:r>
      <w:r>
        <w:rPr>
          <w:noProof/>
          <w:webHidden/>
        </w:rPr>
        <w:tab/>
        <w:t>39</w:t>
      </w:r>
    </w:p>
    <w:p w:rsidR="00C41CA2" w:rsidRDefault="00C41CA2" w:rsidP="00BE5B08">
      <w:pPr>
        <w:pStyle w:val="BodyText"/>
      </w:pPr>
    </w:p>
    <w:p w:rsidR="006978F2" w:rsidRDefault="00C41CA2">
      <w:pPr>
        <w:rPr>
          <w:szCs w:val="20"/>
        </w:rPr>
      </w:pPr>
      <w:r>
        <w:br w:type="page"/>
      </w:r>
    </w:p>
    <w:p w:rsidR="0058260A" w:rsidRPr="00FB3F50" w:rsidRDefault="0058260A" w:rsidP="00FB3F50">
      <w:pPr>
        <w:pStyle w:val="Heading3"/>
        <w:spacing w:before="120"/>
        <w:jc w:val="both"/>
      </w:pPr>
      <w:bookmarkStart w:id="16" w:name="_Toc278287351"/>
      <w:bookmarkStart w:id="17" w:name="_Toc282015335"/>
      <w:bookmarkStart w:id="18" w:name="_Toc377383320"/>
      <w:r w:rsidRPr="00FB3F50">
        <w:lastRenderedPageBreak/>
        <w:t>Use by different groups — access to residential aged care services by Indigenous people and people born in a mainly non</w:t>
      </w:r>
      <w:r w:rsidR="00104B60">
        <w:noBreakHyphen/>
      </w:r>
      <w:r w:rsidRPr="00FB3F50">
        <w:t>English speaking country</w:t>
      </w:r>
      <w:bookmarkEnd w:id="16"/>
      <w:bookmarkEnd w:id="17"/>
      <w:bookmarkEnd w:id="18"/>
    </w:p>
    <w:p w:rsidR="00524E16" w:rsidRDefault="00161E4C" w:rsidP="00E119DD">
      <w:pPr>
        <w:keepNext/>
        <w:spacing w:before="100" w:beforeAutospacing="1" w:line="280" w:lineRule="atLeast"/>
        <w:jc w:val="both"/>
        <w:rPr>
          <w:rFonts w:ascii="Arial" w:hAnsi="Arial" w:cs="Arial"/>
          <w:szCs w:val="22"/>
        </w:rPr>
      </w:pPr>
      <w:proofErr w:type="spellStart"/>
      <w:r w:rsidRPr="00EA5574">
        <w:rPr>
          <w:rFonts w:ascii="Arial" w:hAnsi="Arial"/>
          <w:szCs w:val="20"/>
        </w:rPr>
        <w:t>DQI</w:t>
      </w:r>
      <w:proofErr w:type="spellEnd"/>
      <w:r w:rsidR="0058260A" w:rsidRPr="00EA5574">
        <w:rPr>
          <w:rFonts w:ascii="Arial" w:hAnsi="Arial"/>
          <w:szCs w:val="20"/>
        </w:rPr>
        <w:t xml:space="preserve"> for this indicator has been drafted by the Australian Government Department of </w:t>
      </w:r>
      <w:r w:rsidR="00DC4C91" w:rsidRPr="00EA5574">
        <w:rPr>
          <w:rFonts w:ascii="Arial" w:hAnsi="Arial"/>
          <w:szCs w:val="20"/>
        </w:rPr>
        <w:t>Social Services</w:t>
      </w:r>
      <w:r w:rsidR="008D5EFE" w:rsidRPr="00EA5574">
        <w:rPr>
          <w:rFonts w:ascii="Arial" w:hAnsi="Arial"/>
          <w:szCs w:val="20"/>
        </w:rPr>
        <w:t xml:space="preserve"> (D</w:t>
      </w:r>
      <w:r w:rsidR="00DC4C91" w:rsidRPr="00EA5574">
        <w:rPr>
          <w:rFonts w:ascii="Arial" w:hAnsi="Arial"/>
          <w:szCs w:val="20"/>
        </w:rPr>
        <w:t>SS</w:t>
      </w:r>
      <w:r w:rsidR="008D5EFE" w:rsidRPr="00EA5574">
        <w:rPr>
          <w:rFonts w:ascii="Arial" w:hAnsi="Arial"/>
          <w:szCs w:val="20"/>
        </w:rPr>
        <w:t>)</w:t>
      </w:r>
      <w:r w:rsidR="0058260A" w:rsidRPr="00EA5574">
        <w:rPr>
          <w:rFonts w:ascii="Arial" w:hAnsi="Arial"/>
          <w:szCs w:val="20"/>
        </w:rPr>
        <w:t>, with additional Steering Committee comments.</w:t>
      </w:r>
    </w:p>
    <w:p w:rsidR="00345AD7" w:rsidRDefault="00345AD7" w:rsidP="007D7B1A">
      <w:pPr>
        <w:pStyle w:val="BodyText"/>
        <w:keepNext/>
        <w:keepLines/>
        <w:spacing w:before="120"/>
        <w:rPr>
          <w:rFonts w:ascii="Arial" w:hAnsi="Arial" w:cs="Arial"/>
          <w:sz w:val="22"/>
          <w:szCs w:val="22"/>
        </w:rPr>
      </w:pPr>
    </w:p>
    <w:tbl>
      <w:tblPr>
        <w:tblW w:w="5000" w:type="pct"/>
        <w:tblCellMar>
          <w:left w:w="0" w:type="dxa"/>
          <w:right w:w="0" w:type="dxa"/>
        </w:tblCellMar>
        <w:tblLook w:val="0000" w:firstRow="0" w:lastRow="0" w:firstColumn="0" w:lastColumn="0" w:noHBand="0" w:noVBand="0"/>
      </w:tblPr>
      <w:tblGrid>
        <w:gridCol w:w="1791"/>
        <w:gridCol w:w="6929"/>
        <w:gridCol w:w="69"/>
      </w:tblGrid>
      <w:tr w:rsidR="0058260A" w:rsidTr="0058260A">
        <w:tc>
          <w:tcPr>
            <w:tcW w:w="5000" w:type="pct"/>
            <w:gridSpan w:val="3"/>
          </w:tcPr>
          <w:p w:rsidR="007D7B1A" w:rsidRDefault="007D7B1A" w:rsidP="00BE5B08">
            <w:pPr>
              <w:pStyle w:val="TableBodyText"/>
              <w:jc w:val="both"/>
              <w:rPr>
                <w:b/>
                <w:u w:val="single"/>
              </w:rPr>
            </w:pPr>
          </w:p>
          <w:p w:rsidR="0058260A" w:rsidRDefault="0058260A" w:rsidP="00BE5B08">
            <w:pPr>
              <w:pStyle w:val="TableBodyText"/>
              <w:jc w:val="both"/>
            </w:pPr>
            <w:r w:rsidRPr="007D0BFD">
              <w:rPr>
                <w:b/>
                <w:u w:val="single"/>
              </w:rPr>
              <w:t>Indicator definition and description</w:t>
            </w:r>
            <w:r>
              <w:rPr>
                <w:rFonts w:cs="Arial"/>
                <w:b/>
                <w:sz w:val="22"/>
                <w:szCs w:val="22"/>
                <w:u w:val="single"/>
              </w:rPr>
              <w:t xml:space="preserve"> </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Element</w:t>
            </w:r>
          </w:p>
        </w:tc>
        <w:tc>
          <w:tcPr>
            <w:tcW w:w="7020" w:type="dxa"/>
            <w:tcBorders>
              <w:top w:val="nil"/>
              <w:left w:val="nil"/>
              <w:bottom w:val="nil"/>
              <w:right w:val="nil"/>
            </w:tcBorders>
          </w:tcPr>
          <w:p w:rsidR="0058260A" w:rsidRPr="003324BE" w:rsidRDefault="0058260A" w:rsidP="00F06A16">
            <w:pPr>
              <w:pStyle w:val="TableBodyText"/>
              <w:spacing w:after="120"/>
              <w:jc w:val="left"/>
              <w:rPr>
                <w:rFonts w:cs="Arial"/>
              </w:rPr>
            </w:pPr>
            <w:r w:rsidRPr="003324BE">
              <w:rPr>
                <w:rFonts w:cs="Arial"/>
              </w:rPr>
              <w:t>Equity — Access</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 xml:space="preserve">Indicator </w:t>
            </w:r>
          </w:p>
        </w:tc>
        <w:tc>
          <w:tcPr>
            <w:tcW w:w="7020" w:type="dxa"/>
            <w:tcBorders>
              <w:top w:val="nil"/>
              <w:left w:val="nil"/>
              <w:bottom w:val="nil"/>
              <w:right w:val="nil"/>
            </w:tcBorders>
          </w:tcPr>
          <w:p w:rsidR="00BE5B08" w:rsidRPr="003324BE" w:rsidRDefault="0058260A" w:rsidP="00F06A16">
            <w:pPr>
              <w:pStyle w:val="TableBodyText"/>
              <w:spacing w:after="120"/>
              <w:jc w:val="both"/>
              <w:rPr>
                <w:rFonts w:cs="Arial"/>
              </w:rPr>
            </w:pPr>
            <w:r w:rsidRPr="003324BE">
              <w:rPr>
                <w:rFonts w:cs="Arial"/>
              </w:rPr>
              <w:t xml:space="preserve">Use by different groups — </w:t>
            </w:r>
            <w:r>
              <w:rPr>
                <w:rFonts w:cs="Arial"/>
              </w:rPr>
              <w:t>a</w:t>
            </w:r>
            <w:r w:rsidRPr="003324BE">
              <w:rPr>
                <w:rFonts w:cs="Arial"/>
              </w:rPr>
              <w:t>ccess to residential aged care services by Indigenous people and people born in a mainly non</w:t>
            </w:r>
            <w:r w:rsidR="00104B60">
              <w:rPr>
                <w:rFonts w:cs="Arial"/>
              </w:rPr>
              <w:noBreakHyphen/>
            </w:r>
            <w:r w:rsidRPr="003324BE">
              <w:rPr>
                <w:rFonts w:cs="Arial"/>
              </w:rPr>
              <w:t>English speaking country</w:t>
            </w:r>
            <w:r>
              <w:rPr>
                <w:rFonts w:cs="Arial"/>
              </w:rPr>
              <w:t>.</w:t>
            </w:r>
            <w:r w:rsidR="00BE5B08">
              <w:rPr>
                <w:rFonts w:cs="Arial"/>
              </w:rPr>
              <w:t xml:space="preserve"> </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Measure (computation)</w:t>
            </w:r>
          </w:p>
        </w:tc>
        <w:tc>
          <w:tcPr>
            <w:tcW w:w="7020" w:type="dxa"/>
            <w:tcBorders>
              <w:top w:val="nil"/>
              <w:left w:val="nil"/>
              <w:bottom w:val="nil"/>
              <w:right w:val="nil"/>
            </w:tcBorders>
          </w:tcPr>
          <w:p w:rsidR="0058260A" w:rsidRPr="003324BE" w:rsidRDefault="0058260A" w:rsidP="00BE5B08">
            <w:pPr>
              <w:pStyle w:val="TableBodyText"/>
              <w:spacing w:after="60"/>
              <w:jc w:val="both"/>
              <w:rPr>
                <w:rFonts w:cs="Arial"/>
                <w:u w:val="single"/>
              </w:rPr>
            </w:pPr>
            <w:r w:rsidRPr="003324BE">
              <w:rPr>
                <w:rFonts w:cs="Arial"/>
                <w:u w:val="single"/>
              </w:rPr>
              <w:t>Definition</w:t>
            </w:r>
          </w:p>
          <w:p w:rsidR="0058260A" w:rsidRPr="003324BE" w:rsidRDefault="0058260A" w:rsidP="00BE5B08">
            <w:pPr>
              <w:pStyle w:val="TableBodyText"/>
              <w:jc w:val="both"/>
              <w:rPr>
                <w:rFonts w:cs="Arial"/>
              </w:rPr>
            </w:pPr>
            <w:r w:rsidRPr="003324BE">
              <w:rPr>
                <w:rFonts w:cs="Arial"/>
              </w:rPr>
              <w:t>Number of Indigenous people and people born in a mainly non</w:t>
            </w:r>
            <w:r w:rsidR="00104B60">
              <w:rPr>
                <w:rFonts w:cs="Arial"/>
              </w:rPr>
              <w:noBreakHyphen/>
            </w:r>
            <w:r w:rsidRPr="003324BE">
              <w:rPr>
                <w:rFonts w:cs="Arial"/>
              </w:rPr>
              <w:t>English speaking country who access residential aged care services per 1000 people.</w:t>
            </w:r>
          </w:p>
          <w:p w:rsidR="0058260A" w:rsidRPr="003324BE" w:rsidRDefault="0058260A" w:rsidP="00BE5B08">
            <w:pPr>
              <w:spacing w:before="120" w:after="60"/>
              <w:jc w:val="both"/>
              <w:rPr>
                <w:rFonts w:ascii="Arial" w:hAnsi="Arial" w:cs="Arial"/>
                <w:sz w:val="20"/>
              </w:rPr>
            </w:pPr>
            <w:r w:rsidRPr="003324BE">
              <w:rPr>
                <w:rFonts w:ascii="Arial" w:hAnsi="Arial" w:cs="Arial"/>
                <w:sz w:val="20"/>
                <w:u w:val="single"/>
              </w:rPr>
              <w:t>Numerators</w:t>
            </w:r>
            <w:r w:rsidRPr="003324BE">
              <w:rPr>
                <w:rFonts w:ascii="Arial" w:hAnsi="Arial" w:cs="Arial"/>
                <w:sz w:val="20"/>
              </w:rPr>
              <w:t xml:space="preserve">: </w:t>
            </w:r>
          </w:p>
          <w:p w:rsidR="0058260A" w:rsidRPr="003324BE" w:rsidRDefault="0058260A" w:rsidP="00BE5B08">
            <w:pPr>
              <w:pStyle w:val="TableBodyText"/>
              <w:jc w:val="both"/>
              <w:rPr>
                <w:rFonts w:cs="Arial"/>
              </w:rPr>
            </w:pPr>
            <w:r w:rsidRPr="003324BE">
              <w:rPr>
                <w:rFonts w:cs="Arial"/>
              </w:rPr>
              <w:t xml:space="preserve">(1) the number of people of all ages using residential aged care services </w:t>
            </w:r>
          </w:p>
          <w:p w:rsidR="0058260A" w:rsidRPr="003324BE" w:rsidRDefault="0058260A" w:rsidP="00BE5B08">
            <w:pPr>
              <w:pStyle w:val="TableBodyText"/>
              <w:jc w:val="both"/>
              <w:rPr>
                <w:rFonts w:cs="Arial"/>
              </w:rPr>
            </w:pPr>
            <w:r>
              <w:rPr>
                <w:rFonts w:cs="Arial"/>
              </w:rPr>
              <w:t xml:space="preserve">(2) </w:t>
            </w:r>
            <w:r w:rsidRPr="003324BE">
              <w:rPr>
                <w:rFonts w:cs="Arial"/>
              </w:rPr>
              <w:t xml:space="preserve">the number of Indigenous people of all ages using residential aged care services </w:t>
            </w:r>
          </w:p>
          <w:p w:rsidR="0058260A" w:rsidRPr="003324BE" w:rsidRDefault="0058260A" w:rsidP="00BE5B08">
            <w:pPr>
              <w:pStyle w:val="TableBodyText"/>
              <w:jc w:val="both"/>
              <w:rPr>
                <w:rFonts w:cs="Arial"/>
              </w:rPr>
            </w:pPr>
            <w:r w:rsidRPr="003324BE">
              <w:rPr>
                <w:rFonts w:cs="Arial"/>
              </w:rPr>
              <w:t>(3) the number of people of all ages born in a non</w:t>
            </w:r>
            <w:r w:rsidR="00104B60">
              <w:rPr>
                <w:rFonts w:cs="Arial"/>
              </w:rPr>
              <w:noBreakHyphen/>
            </w:r>
            <w:r w:rsidRPr="003324BE">
              <w:rPr>
                <w:rFonts w:cs="Arial"/>
              </w:rPr>
              <w:t>English speaking country</w:t>
            </w:r>
            <w:r w:rsidRPr="003324BE">
              <w:rPr>
                <w:rStyle w:val="NoteLabel"/>
                <w:rFonts w:cs="Arial"/>
              </w:rPr>
              <w:t>a</w:t>
            </w:r>
            <w:r w:rsidRPr="003324BE">
              <w:rPr>
                <w:rFonts w:cs="Arial"/>
              </w:rPr>
              <w:t xml:space="preserve"> using residential aged care services. </w:t>
            </w:r>
          </w:p>
          <w:p w:rsidR="0058260A" w:rsidRPr="003324BE" w:rsidRDefault="0058260A" w:rsidP="00BE5B08">
            <w:pPr>
              <w:spacing w:before="120" w:after="60"/>
              <w:jc w:val="both"/>
              <w:rPr>
                <w:rFonts w:ascii="Arial" w:hAnsi="Arial" w:cs="Arial"/>
                <w:sz w:val="20"/>
                <w:u w:val="single"/>
              </w:rPr>
            </w:pPr>
            <w:r w:rsidRPr="003324BE">
              <w:rPr>
                <w:rFonts w:ascii="Arial" w:hAnsi="Arial" w:cs="Arial"/>
                <w:sz w:val="20"/>
                <w:u w:val="single"/>
              </w:rPr>
              <w:t xml:space="preserve">Denominators: </w:t>
            </w:r>
          </w:p>
          <w:p w:rsidR="0058260A" w:rsidRPr="003324BE" w:rsidRDefault="0058260A" w:rsidP="00BE5B08">
            <w:pPr>
              <w:pStyle w:val="TableBodyText"/>
              <w:jc w:val="both"/>
              <w:rPr>
                <w:rFonts w:cs="Arial"/>
              </w:rPr>
            </w:pPr>
            <w:r w:rsidRPr="003324BE">
              <w:rPr>
                <w:rFonts w:cs="Arial"/>
              </w:rPr>
              <w:t xml:space="preserve">(1) estimated resident population aged </w:t>
            </w:r>
            <w:r w:rsidR="004B1330">
              <w:rPr>
                <w:rFonts w:cs="Arial"/>
              </w:rPr>
              <w:t>65</w:t>
            </w:r>
            <w:r w:rsidRPr="003324BE">
              <w:rPr>
                <w:rFonts w:cs="Arial"/>
              </w:rPr>
              <w:t xml:space="preserve"> years or over </w:t>
            </w:r>
            <w:r w:rsidR="00524E16">
              <w:rPr>
                <w:rFonts w:cs="Arial"/>
              </w:rPr>
              <w:t>and</w:t>
            </w:r>
            <w:r w:rsidRPr="003324BE">
              <w:rPr>
                <w:rFonts w:cs="Arial"/>
              </w:rPr>
              <w:t xml:space="preserve"> Indigenous population aged 50</w:t>
            </w:r>
            <w:r w:rsidR="00524E16">
              <w:rPr>
                <w:rFonts w:cs="Arial"/>
              </w:rPr>
              <w:t>–</w:t>
            </w:r>
            <w:r w:rsidR="004B1330">
              <w:rPr>
                <w:rFonts w:cs="Arial"/>
              </w:rPr>
              <w:t>65</w:t>
            </w:r>
            <w:r w:rsidRPr="003324BE">
              <w:rPr>
                <w:rFonts w:cs="Arial"/>
              </w:rPr>
              <w:t xml:space="preserve"> years </w:t>
            </w:r>
          </w:p>
          <w:p w:rsidR="0058260A" w:rsidRPr="003324BE" w:rsidRDefault="0058260A" w:rsidP="00BE5B08">
            <w:pPr>
              <w:pStyle w:val="TableBodyText"/>
              <w:jc w:val="both"/>
              <w:rPr>
                <w:rFonts w:cs="Arial"/>
              </w:rPr>
            </w:pPr>
            <w:r w:rsidRPr="003324BE">
              <w:rPr>
                <w:rFonts w:cs="Arial"/>
              </w:rPr>
              <w:t xml:space="preserve">(2) estimated resident Indigenous population aged 50 years or over </w:t>
            </w:r>
          </w:p>
          <w:p w:rsidR="0058260A" w:rsidRPr="003324BE" w:rsidRDefault="0058260A" w:rsidP="00BE5B08">
            <w:pPr>
              <w:pStyle w:val="TableBodyText"/>
              <w:jc w:val="both"/>
              <w:rPr>
                <w:rFonts w:cs="Arial"/>
              </w:rPr>
            </w:pPr>
            <w:r w:rsidRPr="003324BE">
              <w:rPr>
                <w:rFonts w:cs="Arial"/>
              </w:rPr>
              <w:t>(3) estimated resident population born in non</w:t>
            </w:r>
            <w:r w:rsidR="00104B60">
              <w:rPr>
                <w:rFonts w:cs="Arial"/>
              </w:rPr>
              <w:noBreakHyphen/>
            </w:r>
            <w:r w:rsidRPr="003324BE">
              <w:rPr>
                <w:rFonts w:cs="Arial"/>
              </w:rPr>
              <w:t>English speaking countries</w:t>
            </w:r>
            <w:proofErr w:type="spellStart"/>
            <w:r w:rsidRPr="003324BE">
              <w:rPr>
                <w:rStyle w:val="NoteLabel"/>
                <w:rFonts w:cs="Arial"/>
              </w:rPr>
              <w:t>a</w:t>
            </w:r>
            <w:proofErr w:type="spellEnd"/>
            <w:r w:rsidRPr="003324BE">
              <w:rPr>
                <w:rFonts w:cs="Arial"/>
              </w:rPr>
              <w:t xml:space="preserve"> aged </w:t>
            </w:r>
            <w:r w:rsidR="004B1330">
              <w:rPr>
                <w:rFonts w:cs="Arial"/>
              </w:rPr>
              <w:t xml:space="preserve">65 </w:t>
            </w:r>
            <w:r w:rsidRPr="003324BE">
              <w:rPr>
                <w:rFonts w:cs="Arial"/>
              </w:rPr>
              <w:t xml:space="preserve">years or over. </w:t>
            </w:r>
          </w:p>
          <w:p w:rsidR="0058260A" w:rsidRPr="003324BE" w:rsidRDefault="0058260A" w:rsidP="00BE5B08">
            <w:pPr>
              <w:spacing w:before="120" w:after="60"/>
              <w:jc w:val="both"/>
              <w:rPr>
                <w:rFonts w:ascii="Arial" w:hAnsi="Arial" w:cs="Arial"/>
                <w:sz w:val="20"/>
                <w:u w:val="single"/>
              </w:rPr>
            </w:pPr>
            <w:r w:rsidRPr="003324BE">
              <w:rPr>
                <w:rFonts w:ascii="Arial" w:hAnsi="Arial" w:cs="Arial"/>
                <w:sz w:val="20"/>
                <w:u w:val="single"/>
              </w:rPr>
              <w:t>Computation:</w:t>
            </w:r>
          </w:p>
          <w:p w:rsidR="0058260A" w:rsidRPr="003324BE" w:rsidRDefault="0058260A" w:rsidP="00BE5B08">
            <w:pPr>
              <w:pStyle w:val="TableBodyText"/>
              <w:jc w:val="both"/>
              <w:rPr>
                <w:rFonts w:cs="Arial"/>
              </w:rPr>
            </w:pPr>
            <w:r w:rsidRPr="003324BE">
              <w:rPr>
                <w:rFonts w:cs="Arial"/>
              </w:rPr>
              <w:t xml:space="preserve">Expressed as a rate. Calculation is: (Numerator </w:t>
            </w:r>
            <w:r w:rsidRPr="003324BE">
              <w:rPr>
                <w:rFonts w:cs="Arial"/>
              </w:rPr>
              <w:sym w:font="Symbol" w:char="F0B8"/>
            </w:r>
            <w:r w:rsidRPr="003324BE">
              <w:rPr>
                <w:rFonts w:cs="Arial"/>
              </w:rPr>
              <w:t xml:space="preserve"> Denominator) x 1000.</w:t>
            </w:r>
          </w:p>
          <w:p w:rsidR="0058260A" w:rsidRPr="003324BE" w:rsidRDefault="0058260A" w:rsidP="00BE5B08">
            <w:pPr>
              <w:spacing w:before="120" w:after="60"/>
              <w:jc w:val="both"/>
              <w:rPr>
                <w:rFonts w:ascii="Arial" w:hAnsi="Arial" w:cs="Arial"/>
                <w:sz w:val="20"/>
                <w:u w:val="single"/>
              </w:rPr>
            </w:pPr>
            <w:r w:rsidRPr="003324BE">
              <w:rPr>
                <w:rFonts w:ascii="Arial" w:hAnsi="Arial" w:cs="Arial"/>
                <w:sz w:val="20"/>
                <w:u w:val="single"/>
              </w:rPr>
              <w:t>Notes:</w:t>
            </w:r>
          </w:p>
          <w:p w:rsidR="0058260A" w:rsidRPr="003324BE" w:rsidRDefault="0058260A" w:rsidP="00F06A16">
            <w:pPr>
              <w:pStyle w:val="TableBodyText"/>
              <w:spacing w:after="120"/>
              <w:jc w:val="both"/>
              <w:rPr>
                <w:rFonts w:cs="Arial"/>
              </w:rPr>
            </w:pPr>
            <w:r w:rsidRPr="003324BE">
              <w:rPr>
                <w:rStyle w:val="NoteLabel"/>
                <w:rFonts w:cs="Arial"/>
              </w:rPr>
              <w:t xml:space="preserve">a </w:t>
            </w:r>
            <w:r w:rsidRPr="00BE5B08">
              <w:rPr>
                <w:rStyle w:val="NoteChar"/>
              </w:rPr>
              <w:t>People born in a non</w:t>
            </w:r>
            <w:r w:rsidR="00104B60">
              <w:rPr>
                <w:rStyle w:val="NoteChar"/>
              </w:rPr>
              <w:noBreakHyphen/>
            </w:r>
            <w:r w:rsidRPr="00BE5B08">
              <w:rPr>
                <w:rStyle w:val="NoteChar"/>
              </w:rPr>
              <w:t>English speaking country refers to those born overseas in countries other than UK, Ireland, NZ, Canada, South Africa and USA.</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Data source/s</w:t>
            </w:r>
          </w:p>
        </w:tc>
        <w:tc>
          <w:tcPr>
            <w:tcW w:w="7020" w:type="dxa"/>
            <w:tcBorders>
              <w:top w:val="nil"/>
              <w:left w:val="nil"/>
              <w:bottom w:val="nil"/>
              <w:right w:val="nil"/>
            </w:tcBorders>
          </w:tcPr>
          <w:p w:rsidR="0058260A" w:rsidRPr="003324BE" w:rsidRDefault="0058260A" w:rsidP="00BE5B08">
            <w:pPr>
              <w:pStyle w:val="TableBodyText"/>
              <w:spacing w:after="60"/>
              <w:jc w:val="both"/>
              <w:rPr>
                <w:rFonts w:cs="Arial"/>
                <w:u w:val="single"/>
              </w:rPr>
            </w:pPr>
            <w:r w:rsidRPr="003324BE">
              <w:rPr>
                <w:rFonts w:cs="Arial"/>
                <w:u w:val="single"/>
              </w:rPr>
              <w:t xml:space="preserve">Numerators: </w:t>
            </w:r>
          </w:p>
          <w:p w:rsidR="0058260A" w:rsidRPr="003324BE" w:rsidRDefault="0058260A" w:rsidP="00BE5B08">
            <w:pPr>
              <w:pStyle w:val="TableBodyText"/>
              <w:jc w:val="both"/>
              <w:rPr>
                <w:rFonts w:cs="Arial"/>
              </w:rPr>
            </w:pPr>
            <w:r w:rsidRPr="003324BE">
              <w:rPr>
                <w:rFonts w:cs="Arial"/>
              </w:rPr>
              <w:t xml:space="preserve">Australian Government </w:t>
            </w:r>
            <w:proofErr w:type="spellStart"/>
            <w:r w:rsidR="00DC4C91">
              <w:rPr>
                <w:rFonts w:cs="Arial"/>
              </w:rPr>
              <w:t>DSS</w:t>
            </w:r>
            <w:r>
              <w:rPr>
                <w:rFonts w:cs="Arial"/>
              </w:rPr>
              <w:t>’s</w:t>
            </w:r>
            <w:proofErr w:type="spellEnd"/>
            <w:r>
              <w:rPr>
                <w:rFonts w:cs="Arial"/>
              </w:rPr>
              <w:t xml:space="preserve"> </w:t>
            </w:r>
            <w:r w:rsidRPr="003324BE">
              <w:rPr>
                <w:rFonts w:cs="Arial"/>
              </w:rPr>
              <w:t xml:space="preserve">Ageing </w:t>
            </w:r>
            <w:r>
              <w:rPr>
                <w:rFonts w:cs="Arial"/>
              </w:rPr>
              <w:t>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are data warehouse.</w:t>
            </w:r>
            <w:r>
              <w:rPr>
                <w:rFonts w:cs="Arial"/>
              </w:rPr>
              <w:t xml:space="preserve"> </w:t>
            </w:r>
            <w:r w:rsidRPr="003324BE">
              <w:rPr>
                <w:rFonts w:cs="Arial"/>
              </w:rPr>
              <w:t xml:space="preserve">The </w:t>
            </w:r>
            <w:r>
              <w:rPr>
                <w:rFonts w:cs="Arial"/>
              </w:rPr>
              <w:t>Ageing 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 xml:space="preserve">are data warehouse is a consolidated data warehouse of service provider and service recipient data held by the Ageing and Aged Care Division and the Office of Aged Care Quality and Compliance of the </w:t>
            </w:r>
            <w:r w:rsidR="00DC4C91">
              <w:rPr>
                <w:rFonts w:cs="Arial"/>
              </w:rPr>
              <w:t>DSS</w:t>
            </w:r>
            <w:r w:rsidRPr="003324BE">
              <w:rPr>
                <w:rFonts w:cs="Arial"/>
              </w:rPr>
              <w:t>.</w:t>
            </w:r>
          </w:p>
          <w:p w:rsidR="0058260A" w:rsidRPr="003324BE" w:rsidRDefault="0058260A" w:rsidP="00BE5B08">
            <w:pPr>
              <w:spacing w:before="120" w:after="60"/>
              <w:jc w:val="both"/>
              <w:rPr>
                <w:rFonts w:ascii="Arial" w:hAnsi="Arial" w:cs="Arial"/>
                <w:sz w:val="20"/>
                <w:u w:val="single"/>
              </w:rPr>
            </w:pPr>
            <w:r w:rsidRPr="003324BE">
              <w:rPr>
                <w:rFonts w:ascii="Arial" w:hAnsi="Arial" w:cs="Arial"/>
                <w:sz w:val="20"/>
                <w:u w:val="single"/>
              </w:rPr>
              <w:t xml:space="preserve">Denominators: </w:t>
            </w:r>
          </w:p>
          <w:p w:rsidR="0045554E" w:rsidRPr="0045554E" w:rsidRDefault="0045554E" w:rsidP="0045554E">
            <w:pPr>
              <w:pStyle w:val="TableBodyText"/>
              <w:jc w:val="both"/>
              <w:rPr>
                <w:rFonts w:cs="Arial"/>
              </w:rPr>
            </w:pPr>
            <w:r w:rsidRPr="0045554E">
              <w:rPr>
                <w:rFonts w:cs="Arial"/>
              </w:rPr>
              <w:t>Total population projections 65 years or over</w:t>
            </w:r>
          </w:p>
          <w:p w:rsidR="0045554E" w:rsidRPr="0045554E" w:rsidRDefault="0045554E" w:rsidP="00D87CB1">
            <w:pPr>
              <w:pStyle w:val="TableBullet"/>
              <w:spacing w:after="120"/>
              <w:rPr>
                <w:rFonts w:cs="Arial"/>
              </w:rPr>
            </w:pPr>
            <w:r w:rsidRPr="0045554E">
              <w:rPr>
                <w:rFonts w:cs="Arial"/>
              </w:rPr>
              <w:t xml:space="preserve">From June 2013 ― projections based on the 2011 Census as prepared for </w:t>
            </w:r>
            <w:r w:rsidR="00DC4C91">
              <w:rPr>
                <w:rFonts w:cs="Arial"/>
              </w:rPr>
              <w:t>DSS</w:t>
            </w:r>
            <w:r w:rsidRPr="0045554E">
              <w:rPr>
                <w:rFonts w:cs="Arial"/>
              </w:rPr>
              <w:t xml:space="preserve"> by the ABS according to the assumptions agreed to by </w:t>
            </w:r>
            <w:r w:rsidR="00DC4C91">
              <w:rPr>
                <w:rFonts w:cs="Arial"/>
              </w:rPr>
              <w:t>DSS</w:t>
            </w:r>
            <w:r w:rsidRPr="0045554E">
              <w:rPr>
                <w:rFonts w:cs="Arial"/>
              </w:rPr>
              <w:t>.</w:t>
            </w:r>
          </w:p>
          <w:p w:rsidR="0045554E" w:rsidRPr="0045554E" w:rsidRDefault="0045554E" w:rsidP="00D87CB1">
            <w:pPr>
              <w:pStyle w:val="TableBullet"/>
              <w:spacing w:after="120"/>
              <w:rPr>
                <w:rFonts w:cs="Arial"/>
              </w:rPr>
            </w:pPr>
            <w:r w:rsidRPr="0045554E">
              <w:rPr>
                <w:rFonts w:cs="Arial"/>
              </w:rPr>
              <w:t xml:space="preserve">June 2008–June 2012 ― projections based on the 2006 Census as </w:t>
            </w:r>
            <w:r w:rsidRPr="0045554E">
              <w:rPr>
                <w:rFonts w:cs="Arial"/>
              </w:rPr>
              <w:lastRenderedPageBreak/>
              <w:t xml:space="preserve">prepared for </w:t>
            </w:r>
            <w:r w:rsidR="00DC4C91">
              <w:rPr>
                <w:rFonts w:cs="Arial"/>
              </w:rPr>
              <w:t>DSS</w:t>
            </w:r>
            <w:r w:rsidRPr="0045554E">
              <w:rPr>
                <w:rFonts w:cs="Arial"/>
              </w:rPr>
              <w:t xml:space="preserve"> by the ABS according to the assumptions agreed to by </w:t>
            </w:r>
            <w:r w:rsidR="00DC4C91">
              <w:rPr>
                <w:rFonts w:cs="Arial"/>
              </w:rPr>
              <w:t>DSS</w:t>
            </w:r>
            <w:r w:rsidRPr="0045554E">
              <w:rPr>
                <w:rFonts w:cs="Arial"/>
              </w:rPr>
              <w:t>.</w:t>
            </w:r>
          </w:p>
          <w:p w:rsidR="0045554E" w:rsidRPr="0045554E" w:rsidRDefault="0045554E" w:rsidP="00D87CB1">
            <w:pPr>
              <w:pStyle w:val="TableBullet"/>
              <w:spacing w:after="120"/>
              <w:rPr>
                <w:rFonts w:cs="Arial"/>
              </w:rPr>
            </w:pPr>
            <w:r w:rsidRPr="0045554E">
              <w:rPr>
                <w:rFonts w:cs="Arial"/>
              </w:rPr>
              <w:t xml:space="preserve">Before June 2008 ― projections based on the 2001 Census as prepared for </w:t>
            </w:r>
            <w:r w:rsidR="00DC4C91">
              <w:rPr>
                <w:rFonts w:cs="Arial"/>
              </w:rPr>
              <w:t>DSS</w:t>
            </w:r>
            <w:r w:rsidRPr="0045554E">
              <w:rPr>
                <w:rFonts w:cs="Arial"/>
              </w:rPr>
              <w:t xml:space="preserve"> by the ABS according to the assumptions agreed to by </w:t>
            </w:r>
            <w:r w:rsidR="00DC4C91">
              <w:rPr>
                <w:rFonts w:cs="Arial"/>
              </w:rPr>
              <w:t>DSS</w:t>
            </w:r>
            <w:r w:rsidRPr="0045554E">
              <w:rPr>
                <w:rFonts w:cs="Arial"/>
              </w:rPr>
              <w:t>.</w:t>
            </w:r>
          </w:p>
          <w:p w:rsidR="0045554E" w:rsidRPr="0045554E" w:rsidRDefault="0045554E" w:rsidP="00D87CB1">
            <w:pPr>
              <w:pStyle w:val="TableBodyText"/>
              <w:spacing w:after="120"/>
              <w:jc w:val="both"/>
              <w:rPr>
                <w:rFonts w:cs="Arial"/>
              </w:rPr>
            </w:pPr>
            <w:r w:rsidRPr="0045554E">
              <w:rPr>
                <w:rFonts w:cs="Arial"/>
              </w:rPr>
              <w:t>Indigenous population projections 50–64 year olds</w:t>
            </w:r>
            <w:r>
              <w:rPr>
                <w:rFonts w:cs="Arial"/>
              </w:rPr>
              <w:t xml:space="preserve"> or aged 50 years or over</w:t>
            </w:r>
          </w:p>
          <w:p w:rsidR="0058260A" w:rsidRPr="00104B60" w:rsidRDefault="00DA4435" w:rsidP="00D87CB1">
            <w:pPr>
              <w:pStyle w:val="TableBullet"/>
              <w:spacing w:after="120"/>
              <w:rPr>
                <w:rFonts w:cs="Arial"/>
              </w:rPr>
            </w:pPr>
            <w:r w:rsidRPr="00104B60">
              <w:rPr>
                <w:rFonts w:cs="Arial"/>
              </w:rPr>
              <w:t>June 2008–June 2013 ― based on ABS Indigenous Experimental 2006 E</w:t>
            </w:r>
            <w:r w:rsidR="00104B60" w:rsidRPr="00104B60">
              <w:rPr>
                <w:rFonts w:cs="Arial"/>
              </w:rPr>
              <w:t xml:space="preserve">stimated </w:t>
            </w:r>
            <w:r w:rsidRPr="00104B60">
              <w:rPr>
                <w:rFonts w:cs="Arial"/>
              </w:rPr>
              <w:t>R</w:t>
            </w:r>
            <w:r w:rsidR="00104B60" w:rsidRPr="00104B60">
              <w:rPr>
                <w:rFonts w:cs="Arial"/>
              </w:rPr>
              <w:t xml:space="preserve">esident </w:t>
            </w:r>
            <w:r w:rsidRPr="00104B60">
              <w:rPr>
                <w:rFonts w:cs="Arial"/>
              </w:rPr>
              <w:t>P</w:t>
            </w:r>
            <w:r w:rsidR="00104B60" w:rsidRPr="00104B60">
              <w:rPr>
                <w:rFonts w:cs="Arial"/>
              </w:rPr>
              <w:t>opulation (ERP)</w:t>
            </w:r>
            <w:r w:rsidRPr="00104B60">
              <w:rPr>
                <w:rFonts w:cs="Arial"/>
              </w:rPr>
              <w:t xml:space="preserve"> data at </w:t>
            </w:r>
            <w:r w:rsidR="00365743">
              <w:rPr>
                <w:rFonts w:cs="Arial"/>
              </w:rPr>
              <w:t>s</w:t>
            </w:r>
            <w:r w:rsidR="00104B60" w:rsidRPr="00104B60">
              <w:rPr>
                <w:rFonts w:cs="Arial"/>
              </w:rPr>
              <w:t xml:space="preserve">tatistical </w:t>
            </w:r>
            <w:r w:rsidR="00365743">
              <w:rPr>
                <w:rFonts w:cs="Arial"/>
              </w:rPr>
              <w:t>l</w:t>
            </w:r>
            <w:r w:rsidR="00104B60" w:rsidRPr="00104B60">
              <w:rPr>
                <w:rFonts w:cs="Arial"/>
              </w:rPr>
              <w:t xml:space="preserve">ocal </w:t>
            </w:r>
            <w:r w:rsidR="00365743">
              <w:rPr>
                <w:rFonts w:cs="Arial"/>
              </w:rPr>
              <w:t>a</w:t>
            </w:r>
            <w:r w:rsidR="00104B60" w:rsidRPr="00104B60">
              <w:rPr>
                <w:rFonts w:cs="Arial"/>
              </w:rPr>
              <w:t>rea (SLA)</w:t>
            </w:r>
            <w:r w:rsidRPr="00104B60">
              <w:rPr>
                <w:rFonts w:cs="Arial"/>
              </w:rPr>
              <w:t xml:space="preserve"> level and aligned to published ABS Indigenous data </w:t>
            </w:r>
            <w:r w:rsidR="00104B60" w:rsidRPr="00104B60">
              <w:rPr>
                <w:rFonts w:cs="Arial"/>
              </w:rPr>
              <w:t xml:space="preserve">in </w:t>
            </w:r>
            <w:r w:rsidRPr="00104B60">
              <w:rPr>
                <w:rFonts w:cs="Arial"/>
              </w:rPr>
              <w:t>Experimental Estimates and Projections (ABS Cat. no. 3238.0, series</w:t>
            </w:r>
            <w:r w:rsidR="00104B60">
              <w:rPr>
                <w:rFonts w:cs="Arial"/>
              </w:rPr>
              <w:t> </w:t>
            </w:r>
            <w:r w:rsidRPr="00104B60">
              <w:rPr>
                <w:rFonts w:cs="Arial"/>
              </w:rPr>
              <w:t>B).</w:t>
            </w:r>
          </w:p>
          <w:p w:rsidR="008F3FD4" w:rsidRDefault="00104B60" w:rsidP="008F3FD4">
            <w:pPr>
              <w:pStyle w:val="TableBodyText"/>
              <w:jc w:val="both"/>
              <w:rPr>
                <w:rFonts w:cs="Arial"/>
              </w:rPr>
            </w:pPr>
            <w:r>
              <w:rPr>
                <w:rFonts w:cs="Arial"/>
              </w:rPr>
              <w:t>Population</w:t>
            </w:r>
            <w:r w:rsidR="008F3FD4" w:rsidRPr="008F3FD4">
              <w:rPr>
                <w:rFonts w:cs="Arial"/>
              </w:rPr>
              <w:t xml:space="preserve"> born in non</w:t>
            </w:r>
            <w:r>
              <w:rPr>
                <w:rFonts w:cs="Arial"/>
              </w:rPr>
              <w:noBreakHyphen/>
            </w:r>
            <w:r w:rsidR="008F3FD4" w:rsidRPr="008F3FD4">
              <w:rPr>
                <w:rFonts w:cs="Arial"/>
              </w:rPr>
              <w:t>English speaking countries aged 65 years or over.</w:t>
            </w:r>
          </w:p>
          <w:p w:rsidR="008F3FD4" w:rsidRDefault="008F3FD4" w:rsidP="00D87CB1">
            <w:pPr>
              <w:pStyle w:val="TableBullet"/>
              <w:spacing w:after="120"/>
            </w:pPr>
            <w:r w:rsidRPr="008F3FD4">
              <w:rPr>
                <w:rFonts w:cs="Arial"/>
              </w:rPr>
              <w:t xml:space="preserve">Before June 2008 ― </w:t>
            </w:r>
            <w:r w:rsidRPr="008F3FD4">
              <w:t xml:space="preserve">based on ratios from ABS 2001 </w:t>
            </w:r>
            <w:r>
              <w:t>Census</w:t>
            </w:r>
            <w:r w:rsidRPr="008F3FD4">
              <w:t xml:space="preserve"> applied to ABS population projections by SLA 2002–2022 (unpublished</w:t>
            </w:r>
            <w:r>
              <w:t>).</w:t>
            </w:r>
          </w:p>
          <w:p w:rsidR="003F48D9" w:rsidRDefault="003F48D9" w:rsidP="00D87CB1">
            <w:pPr>
              <w:pStyle w:val="TableBullet"/>
              <w:spacing w:after="120"/>
            </w:pPr>
            <w:r w:rsidRPr="003F48D9">
              <w:t>June 2008</w:t>
            </w:r>
            <w:r>
              <w:t xml:space="preserve"> </w:t>
            </w:r>
            <w:r w:rsidRPr="008F3FD4">
              <w:rPr>
                <w:rFonts w:cs="Arial"/>
              </w:rPr>
              <w:t>―</w:t>
            </w:r>
            <w:r>
              <w:rPr>
                <w:rFonts w:cs="Arial"/>
              </w:rPr>
              <w:t xml:space="preserve"> c</w:t>
            </w:r>
            <w:r w:rsidR="008F3FD4" w:rsidRPr="008F3FD4">
              <w:t>ensus count of people born overseas in countries other than main English</w:t>
            </w:r>
            <w:r w:rsidR="00104B60">
              <w:noBreakHyphen/>
            </w:r>
            <w:r w:rsidR="008F3FD4" w:rsidRPr="008F3FD4">
              <w:t>speaking countries increased by ratio (projected population 200</w:t>
            </w:r>
            <w:r>
              <w:t>8</w:t>
            </w:r>
            <w:r w:rsidR="008F3FD4" w:rsidRPr="008F3FD4">
              <w:t xml:space="preserve">) / (census count 2006) </w:t>
            </w:r>
          </w:p>
          <w:p w:rsidR="003F48D9" w:rsidRDefault="003F48D9" w:rsidP="00D87CB1">
            <w:pPr>
              <w:pStyle w:val="TableBullet"/>
              <w:spacing w:after="120"/>
            </w:pPr>
            <w:r w:rsidRPr="003F48D9">
              <w:t>June 200</w:t>
            </w:r>
            <w:r>
              <w:t>9</w:t>
            </w:r>
            <w:r w:rsidRPr="003F48D9">
              <w:t>–June 2012 ―</w:t>
            </w:r>
            <w:r>
              <w:t xml:space="preserve"> </w:t>
            </w:r>
            <w:r w:rsidR="008F3FD4" w:rsidRPr="008F3FD4">
              <w:t xml:space="preserve">based on ratios from ABS 2006 Census data applied to population projections by SLA 2007–2027 (unpublished, produced for </w:t>
            </w:r>
            <w:r w:rsidR="00DC4C91">
              <w:t>DSS</w:t>
            </w:r>
            <w:r w:rsidR="008F3FD4" w:rsidRPr="008F3FD4">
              <w:t xml:space="preserve"> by ABS).</w:t>
            </w:r>
          </w:p>
          <w:p w:rsidR="008F3FD4" w:rsidRPr="003324BE" w:rsidRDefault="003F48D9" w:rsidP="00D87CB1">
            <w:pPr>
              <w:pStyle w:val="TableBullet"/>
              <w:spacing w:after="120"/>
            </w:pPr>
            <w:r>
              <w:t xml:space="preserve">From </w:t>
            </w:r>
            <w:r w:rsidR="008F3FD4" w:rsidRPr="008F3FD4">
              <w:t xml:space="preserve">June 2013 </w:t>
            </w:r>
            <w:r w:rsidRPr="003F48D9">
              <w:t>―</w:t>
            </w:r>
            <w:r w:rsidR="008F3FD4" w:rsidRPr="008F3FD4">
              <w:t xml:space="preserve"> based on ratios from ABS 2011 Census data applied to preliminary population projections by SLA 2011–2026.</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7D7B1A" w:rsidRDefault="007D7B1A" w:rsidP="00BE5B08">
            <w:pPr>
              <w:pStyle w:val="TableBodyText"/>
              <w:jc w:val="both"/>
              <w:rPr>
                <w:b/>
                <w:u w:val="single"/>
              </w:rPr>
            </w:pPr>
          </w:p>
          <w:p w:rsidR="0058260A" w:rsidRPr="003324BE" w:rsidRDefault="0058260A" w:rsidP="00BE5B08">
            <w:pPr>
              <w:pStyle w:val="TableBodyText"/>
              <w:jc w:val="both"/>
              <w:rPr>
                <w:rFonts w:cs="Arial"/>
                <w:b/>
                <w:u w:val="single"/>
              </w:rPr>
            </w:pPr>
            <w:r w:rsidRPr="00B11A04">
              <w:rPr>
                <w:b/>
                <w:u w:val="single"/>
              </w:rPr>
              <w:t>Data Quality Framework Dimensions</w:t>
            </w:r>
            <w:r w:rsidRPr="003324BE">
              <w:rPr>
                <w:rFonts w:cs="Arial"/>
                <w:b/>
                <w:u w:val="single"/>
              </w:rPr>
              <w:t xml:space="preserve"> </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 xml:space="preserve">Institutional environment </w:t>
            </w:r>
          </w:p>
        </w:tc>
        <w:tc>
          <w:tcPr>
            <w:tcW w:w="7020" w:type="dxa"/>
            <w:tcBorders>
              <w:top w:val="nil"/>
              <w:left w:val="nil"/>
              <w:bottom w:val="nil"/>
              <w:right w:val="nil"/>
            </w:tcBorders>
          </w:tcPr>
          <w:p w:rsidR="0058260A" w:rsidRDefault="0058260A" w:rsidP="00D87CB1">
            <w:pPr>
              <w:pStyle w:val="TableBodyText"/>
              <w:spacing w:after="120"/>
              <w:jc w:val="both"/>
              <w:rPr>
                <w:rFonts w:cs="Arial"/>
              </w:rPr>
            </w:pPr>
            <w:r w:rsidRPr="003324BE">
              <w:rPr>
                <w:rFonts w:cs="Arial"/>
              </w:rPr>
              <w:t>Approved</w:t>
            </w:r>
            <w:r>
              <w:rPr>
                <w:rFonts w:cs="Arial"/>
              </w:rPr>
              <w:t xml:space="preserve"> service</w:t>
            </w:r>
            <w:r w:rsidRPr="003324BE">
              <w:rPr>
                <w:rFonts w:cs="Arial"/>
              </w:rPr>
              <w:t xml:space="preserve"> providers submit data to Medicare Australia to claim subsidies from the Australian Government for services delivered under the </w:t>
            </w:r>
            <w:r w:rsidRPr="003324BE">
              <w:rPr>
                <w:rFonts w:cs="Arial"/>
                <w:i/>
                <w:iCs/>
              </w:rPr>
              <w:t>Aged Care Act 1997</w:t>
            </w:r>
            <w:r w:rsidRPr="003324BE">
              <w:rPr>
                <w:rFonts w:cs="Arial"/>
              </w:rPr>
              <w:t xml:space="preserve"> (the Act) and </w:t>
            </w:r>
            <w:r w:rsidRPr="003324BE">
              <w:rPr>
                <w:rFonts w:cs="Arial"/>
                <w:i/>
                <w:iCs/>
              </w:rPr>
              <w:t xml:space="preserve">Aged Care Principles </w:t>
            </w:r>
            <w:r w:rsidRPr="003324BE">
              <w:rPr>
                <w:rFonts w:cs="Arial"/>
              </w:rPr>
              <w:t>(the Principles)</w:t>
            </w:r>
            <w:r w:rsidRPr="008629BD">
              <w:rPr>
                <w:rStyle w:val="FootnoteReference"/>
                <w:rFonts w:cs="Arial"/>
                <w:i/>
                <w:iCs/>
                <w:sz w:val="16"/>
                <w:szCs w:val="16"/>
              </w:rPr>
              <w:footnoteReference w:id="1"/>
            </w:r>
            <w:r w:rsidRPr="008629BD">
              <w:rPr>
                <w:rFonts w:cs="Arial"/>
                <w:sz w:val="16"/>
                <w:szCs w:val="16"/>
              </w:rPr>
              <w:t>.</w:t>
            </w:r>
            <w:r w:rsidR="00104B60">
              <w:rPr>
                <w:rFonts w:cs="Arial"/>
              </w:rPr>
              <w:t xml:space="preserve"> </w:t>
            </w:r>
            <w:r w:rsidRPr="003324BE">
              <w:rPr>
                <w:rFonts w:cs="Arial"/>
              </w:rPr>
              <w:t xml:space="preserve">These data are provided to the </w:t>
            </w:r>
            <w:r w:rsidR="00DC4C91">
              <w:rPr>
                <w:rFonts w:cs="Arial"/>
              </w:rPr>
              <w:t>DSS</w:t>
            </w:r>
            <w:r w:rsidRPr="003324BE">
              <w:rPr>
                <w:rFonts w:cs="Arial"/>
              </w:rPr>
              <w:t xml:space="preserve"> and are stored in the </w:t>
            </w:r>
            <w:r>
              <w:rPr>
                <w:rFonts w:cs="Arial"/>
              </w:rPr>
              <w:t>Ageing and</w:t>
            </w:r>
            <w:r w:rsidRPr="003324BE">
              <w:rPr>
                <w:rFonts w:cs="Arial"/>
              </w:rPr>
              <w:t xml:space="preserve"> Aged Care data warehouse. </w:t>
            </w:r>
          </w:p>
          <w:p w:rsidR="0058260A" w:rsidRPr="003324BE" w:rsidRDefault="0058260A" w:rsidP="00D87CB1">
            <w:pPr>
              <w:pStyle w:val="TableBodyText"/>
              <w:spacing w:after="120"/>
              <w:jc w:val="both"/>
              <w:rPr>
                <w:rFonts w:cs="Arial"/>
                <w:i/>
                <w:iCs/>
              </w:rPr>
            </w:pPr>
            <w:r>
              <w:rPr>
                <w:rFonts w:cs="Arial"/>
              </w:rPr>
              <w:t>Information relating to the recipient details is provided by Medicare Australia to provide context around the claims.</w:t>
            </w:r>
          </w:p>
          <w:p w:rsidR="00130093" w:rsidRPr="003324BE" w:rsidRDefault="0058260A" w:rsidP="00F06A16">
            <w:pPr>
              <w:pStyle w:val="TableBodyText"/>
              <w:spacing w:after="120"/>
              <w:jc w:val="both"/>
              <w:rPr>
                <w:rFonts w:cs="Arial"/>
              </w:rPr>
            </w:pPr>
            <w:r w:rsidRPr="003324BE">
              <w:rPr>
                <w:rFonts w:cs="Arial"/>
              </w:rPr>
              <w:t xml:space="preserve">The tables for this indicator </w:t>
            </w:r>
            <w:r>
              <w:rPr>
                <w:rFonts w:cs="Arial"/>
              </w:rPr>
              <w:t>a</w:t>
            </w:r>
            <w:r w:rsidRPr="003324BE">
              <w:rPr>
                <w:rFonts w:cs="Arial"/>
              </w:rPr>
              <w:t xml:space="preserve">re prepared by the </w:t>
            </w:r>
            <w:r w:rsidR="00DC4C91">
              <w:rPr>
                <w:rFonts w:cs="Arial"/>
              </w:rPr>
              <w:t>DSS</w:t>
            </w:r>
            <w:r w:rsidRPr="003324BE">
              <w:rPr>
                <w:rFonts w:cs="Arial"/>
              </w:rPr>
              <w:t xml:space="preserve">. </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 xml:space="preserve">Relevance </w:t>
            </w:r>
          </w:p>
        </w:tc>
        <w:tc>
          <w:tcPr>
            <w:tcW w:w="7020" w:type="dxa"/>
            <w:tcBorders>
              <w:top w:val="nil"/>
              <w:left w:val="nil"/>
              <w:bottom w:val="nil"/>
              <w:right w:val="nil"/>
            </w:tcBorders>
          </w:tcPr>
          <w:p w:rsidR="0058260A" w:rsidRPr="003324BE" w:rsidRDefault="0058260A" w:rsidP="00F06A16">
            <w:pPr>
              <w:pStyle w:val="TableBodyText"/>
              <w:spacing w:after="120"/>
              <w:jc w:val="both"/>
              <w:rPr>
                <w:rFonts w:cs="Arial"/>
              </w:rPr>
            </w:pPr>
            <w:r>
              <w:rPr>
                <w:rFonts w:cs="Arial"/>
              </w:rPr>
              <w:t xml:space="preserve">The data </w:t>
            </w:r>
            <w:r w:rsidRPr="008D5EFE">
              <w:rPr>
                <w:rFonts w:cs="Arial"/>
              </w:rPr>
              <w:t>are</w:t>
            </w:r>
            <w:r>
              <w:rPr>
                <w:rFonts w:cs="Arial"/>
              </w:rPr>
              <w:t xml:space="preserve"> reported by state / territory and provide information on the ratios of recipients in aged care based on characteristics of age, country of birth and Indigenous status to the relevant populations </w:t>
            </w:r>
            <w:r w:rsidR="00524E16">
              <w:rPr>
                <w:rFonts w:cs="Arial"/>
              </w:rPr>
              <w:t xml:space="preserve">aged </w:t>
            </w:r>
            <w:r>
              <w:rPr>
                <w:rFonts w:cs="Arial"/>
              </w:rPr>
              <w:t xml:space="preserve">70 </w:t>
            </w:r>
            <w:r w:rsidR="00524E16">
              <w:rPr>
                <w:rFonts w:cs="Arial"/>
              </w:rPr>
              <w:t>years or over</w:t>
            </w:r>
            <w:r>
              <w:rPr>
                <w:rFonts w:cs="Arial"/>
              </w:rPr>
              <w:t>, non</w:t>
            </w:r>
            <w:r w:rsidR="00104B60">
              <w:rPr>
                <w:rFonts w:cs="Arial"/>
              </w:rPr>
              <w:noBreakHyphen/>
            </w:r>
            <w:r>
              <w:rPr>
                <w:rFonts w:cs="Arial"/>
              </w:rPr>
              <w:t>English speaking background and Indigenous populations.</w:t>
            </w:r>
            <w:r w:rsidR="00104B60">
              <w:rPr>
                <w:rFonts w:cs="Arial"/>
                <w:color w:val="FF0000"/>
              </w:rPr>
              <w:t xml:space="preserve"> </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t>Timeliness</w:t>
            </w:r>
            <w:r w:rsidRPr="003324BE">
              <w:rPr>
                <w:rFonts w:cs="Arial"/>
                <w:lang w:val="en-US" w:eastAsia="en-US"/>
              </w:rPr>
              <w:t xml:space="preserve"> </w:t>
            </w:r>
          </w:p>
        </w:tc>
        <w:tc>
          <w:tcPr>
            <w:tcW w:w="7020" w:type="dxa"/>
            <w:tcBorders>
              <w:top w:val="nil"/>
              <w:left w:val="nil"/>
              <w:bottom w:val="nil"/>
              <w:right w:val="nil"/>
            </w:tcBorders>
          </w:tcPr>
          <w:p w:rsidR="0058260A" w:rsidRDefault="0058260A" w:rsidP="00D87CB1">
            <w:pPr>
              <w:pStyle w:val="TableBodyText"/>
              <w:spacing w:after="120"/>
              <w:jc w:val="both"/>
              <w:rPr>
                <w:rFonts w:cs="Arial"/>
              </w:rPr>
            </w:pPr>
            <w:r>
              <w:rPr>
                <w:rFonts w:cs="Arial"/>
              </w:rPr>
              <w:t xml:space="preserve">Medicare Australia provides recipient data weekly to </w:t>
            </w:r>
            <w:r w:rsidR="00DC4C91">
              <w:rPr>
                <w:rFonts w:cs="Arial"/>
              </w:rPr>
              <w:t>DSS</w:t>
            </w:r>
            <w:r>
              <w:rPr>
                <w:rFonts w:cs="Arial"/>
              </w:rPr>
              <w:t xml:space="preserve"> and numbers are considered complete in the month after the period in question.</w:t>
            </w:r>
            <w:r w:rsidR="00104B60">
              <w:rPr>
                <w:rFonts w:cs="Arial"/>
              </w:rPr>
              <w:t xml:space="preserve"> </w:t>
            </w:r>
          </w:p>
          <w:p w:rsidR="0058260A" w:rsidRDefault="0058260A" w:rsidP="00D87CB1">
            <w:pPr>
              <w:pStyle w:val="TableBodyText"/>
              <w:spacing w:after="120"/>
              <w:jc w:val="both"/>
              <w:rPr>
                <w:rFonts w:cs="Arial"/>
              </w:rPr>
            </w:pPr>
            <w:r>
              <w:rPr>
                <w:rFonts w:cs="Arial"/>
              </w:rPr>
              <w:t xml:space="preserve">On occasion a small percentage of late </w:t>
            </w:r>
            <w:r w:rsidR="001B68CA">
              <w:rPr>
                <w:rFonts w:cs="Arial"/>
              </w:rPr>
              <w:t>data are</w:t>
            </w:r>
            <w:r>
              <w:rPr>
                <w:rFonts w:cs="Arial"/>
              </w:rPr>
              <w:t xml:space="preserve"> received from Medicare Australia.</w:t>
            </w:r>
          </w:p>
          <w:p w:rsidR="0058260A" w:rsidRDefault="0058260A" w:rsidP="00D87CB1">
            <w:pPr>
              <w:pStyle w:val="TableBodyText"/>
              <w:spacing w:after="120"/>
              <w:jc w:val="both"/>
              <w:rPr>
                <w:rFonts w:cs="Arial"/>
              </w:rPr>
            </w:pPr>
            <w:r w:rsidRPr="003324BE">
              <w:rPr>
                <w:rFonts w:cs="Arial"/>
              </w:rPr>
              <w:t xml:space="preserve">Data </w:t>
            </w:r>
            <w:r>
              <w:rPr>
                <w:rFonts w:cs="Arial"/>
              </w:rPr>
              <w:t xml:space="preserve">collected in September </w:t>
            </w:r>
            <w:r w:rsidRPr="003324BE">
              <w:rPr>
                <w:rFonts w:cs="Arial"/>
              </w:rPr>
              <w:t xml:space="preserve">for the previous financial year </w:t>
            </w:r>
            <w:r>
              <w:rPr>
                <w:rFonts w:cs="Arial"/>
              </w:rPr>
              <w:t>are</w:t>
            </w:r>
            <w:r w:rsidRPr="003324BE">
              <w:rPr>
                <w:rFonts w:cs="Arial"/>
              </w:rPr>
              <w:t xml:space="preserve"> </w:t>
            </w:r>
            <w:r>
              <w:rPr>
                <w:rFonts w:cs="Arial"/>
              </w:rPr>
              <w:t>considered complete for publishing purposes.</w:t>
            </w:r>
          </w:p>
          <w:p w:rsidR="0058260A" w:rsidRPr="003324BE" w:rsidRDefault="0058260A" w:rsidP="00D87CB1">
            <w:pPr>
              <w:pStyle w:val="TableBodyText"/>
              <w:spacing w:after="120"/>
              <w:jc w:val="both"/>
              <w:rPr>
                <w:rFonts w:cs="Arial"/>
              </w:rPr>
            </w:pPr>
            <w:r>
              <w:rPr>
                <w:rFonts w:cs="Arial"/>
              </w:rPr>
              <w:t xml:space="preserve">Population data are based on the </w:t>
            </w:r>
            <w:r w:rsidR="0045554E">
              <w:rPr>
                <w:rFonts w:cs="Arial"/>
              </w:rPr>
              <w:t xml:space="preserve">ABS data from the 2006 census. </w:t>
            </w:r>
            <w:r>
              <w:rPr>
                <w:rFonts w:cs="Arial"/>
              </w:rPr>
              <w:t>Future census data for population projections (denominator) may be used to provide updates to the current ratios if significantly different</w:t>
            </w:r>
            <w:r w:rsidRPr="003324BE">
              <w:rPr>
                <w:rFonts w:cs="Arial"/>
              </w:rPr>
              <w:t>.</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0"/>
              <w:jc w:val="both"/>
              <w:rPr>
                <w:rFonts w:cs="Arial"/>
                <w:b/>
              </w:rPr>
            </w:pPr>
            <w:r w:rsidRPr="003324BE">
              <w:rPr>
                <w:rFonts w:cs="Arial"/>
                <w:b/>
              </w:rPr>
              <w:lastRenderedPageBreak/>
              <w:t xml:space="preserve">Accuracy </w:t>
            </w:r>
          </w:p>
        </w:tc>
        <w:tc>
          <w:tcPr>
            <w:tcW w:w="7020" w:type="dxa"/>
            <w:tcBorders>
              <w:top w:val="nil"/>
              <w:left w:val="nil"/>
              <w:bottom w:val="nil"/>
              <w:right w:val="nil"/>
            </w:tcBorders>
          </w:tcPr>
          <w:p w:rsidR="0058260A" w:rsidRPr="003324BE" w:rsidRDefault="0058260A" w:rsidP="00D87CB1">
            <w:pPr>
              <w:pStyle w:val="TableBodyText"/>
              <w:spacing w:after="120"/>
              <w:jc w:val="both"/>
              <w:rPr>
                <w:rFonts w:cs="Arial"/>
              </w:rPr>
            </w:pPr>
            <w:r w:rsidRPr="003324BE">
              <w:rPr>
                <w:rFonts w:cs="Arial"/>
              </w:rPr>
              <w:t>Funding to service providers of Aged Care under the Act and the Principles is contingent on their submitting claims to Medicare Australia. Service providers’ claims are audited annually.</w:t>
            </w:r>
          </w:p>
          <w:p w:rsidR="0058260A" w:rsidRPr="003324BE" w:rsidRDefault="0058260A" w:rsidP="00D87CB1">
            <w:pPr>
              <w:pStyle w:val="TableBodyText"/>
              <w:spacing w:after="120"/>
              <w:jc w:val="both"/>
              <w:rPr>
                <w:rFonts w:cs="Arial"/>
              </w:rPr>
            </w:pPr>
            <w:r w:rsidRPr="003324BE">
              <w:rPr>
                <w:rFonts w:cs="Arial"/>
              </w:rPr>
              <w:t xml:space="preserve">The data presented against this indicator </w:t>
            </w:r>
            <w:r>
              <w:rPr>
                <w:rFonts w:cs="Arial"/>
              </w:rPr>
              <w:t>relate to</w:t>
            </w:r>
            <w:r w:rsidRPr="003324BE">
              <w:rPr>
                <w:rFonts w:cs="Arial"/>
              </w:rPr>
              <w:t xml:space="preserve"> people who </w:t>
            </w:r>
            <w:r>
              <w:rPr>
                <w:rFonts w:cs="Arial"/>
              </w:rPr>
              <w:t xml:space="preserve">are in </w:t>
            </w:r>
            <w:r w:rsidRPr="003324BE">
              <w:rPr>
                <w:rFonts w:cs="Arial"/>
              </w:rPr>
              <w:t xml:space="preserve">a residential care service </w:t>
            </w:r>
            <w:r>
              <w:rPr>
                <w:rFonts w:cs="Arial"/>
              </w:rPr>
              <w:t>as at 30 June</w:t>
            </w:r>
            <w:r w:rsidRPr="003324BE">
              <w:rPr>
                <w:rFonts w:cs="Arial"/>
              </w:rPr>
              <w:t>.</w:t>
            </w:r>
            <w:r w:rsidR="00104B60">
              <w:rPr>
                <w:rFonts w:cs="Arial"/>
              </w:rPr>
              <w:t xml:space="preserve"> </w:t>
            </w:r>
          </w:p>
          <w:p w:rsidR="0058260A" w:rsidRPr="003324BE" w:rsidRDefault="0058260A" w:rsidP="00D87CB1">
            <w:pPr>
              <w:pStyle w:val="TableBodyText"/>
              <w:spacing w:after="120"/>
              <w:jc w:val="both"/>
              <w:rPr>
                <w:rFonts w:cs="Arial"/>
              </w:rPr>
            </w:pPr>
            <w:r w:rsidRPr="003324BE">
              <w:rPr>
                <w:rFonts w:cs="Arial"/>
              </w:rPr>
              <w:t>Approximately one per cent of all residential aged care recipients ha</w:t>
            </w:r>
            <w:r>
              <w:rPr>
                <w:rFonts w:cs="Arial"/>
              </w:rPr>
              <w:t>s</w:t>
            </w:r>
            <w:r w:rsidRPr="003324BE">
              <w:rPr>
                <w:rFonts w:cs="Arial"/>
              </w:rPr>
              <w:t xml:space="preserve"> an unspecified Indigenous status. These unspecified responses are </w:t>
            </w:r>
            <w:r w:rsidR="004B1330">
              <w:rPr>
                <w:rFonts w:cs="Arial"/>
              </w:rPr>
              <w:t>excluded</w:t>
            </w:r>
            <w:r w:rsidRPr="003324BE">
              <w:rPr>
                <w:rFonts w:cs="Arial"/>
              </w:rPr>
              <w:t>.</w:t>
            </w:r>
          </w:p>
          <w:p w:rsidR="0058260A" w:rsidRDefault="0058260A" w:rsidP="00D87CB1">
            <w:pPr>
              <w:pStyle w:val="TableBodyText"/>
              <w:spacing w:after="120"/>
              <w:jc w:val="both"/>
              <w:rPr>
                <w:rFonts w:cs="Arial"/>
                <w:i/>
              </w:rPr>
            </w:pPr>
            <w:r w:rsidRPr="003324BE">
              <w:rPr>
                <w:rFonts w:cs="Arial"/>
              </w:rPr>
              <w:t>Approximately one half of one per cent of all residential aged care recipients ha</w:t>
            </w:r>
            <w:r>
              <w:rPr>
                <w:rFonts w:cs="Arial"/>
              </w:rPr>
              <w:t>s</w:t>
            </w:r>
            <w:r w:rsidRPr="003324BE">
              <w:rPr>
                <w:rFonts w:cs="Arial"/>
              </w:rPr>
              <w:t xml:space="preserve"> an unspecified country of birth. These unspecified responses are </w:t>
            </w:r>
            <w:r w:rsidR="004B1330">
              <w:rPr>
                <w:rFonts w:cs="Arial"/>
              </w:rPr>
              <w:t>excluded</w:t>
            </w:r>
            <w:r w:rsidRPr="003324BE">
              <w:rPr>
                <w:rFonts w:cs="Arial"/>
                <w:i/>
              </w:rPr>
              <w:t>.</w:t>
            </w:r>
          </w:p>
          <w:p w:rsidR="0058260A" w:rsidRPr="003324BE" w:rsidRDefault="0058260A" w:rsidP="00D87CB1">
            <w:pPr>
              <w:pStyle w:val="TableBodyText"/>
              <w:spacing w:after="120"/>
              <w:jc w:val="both"/>
              <w:rPr>
                <w:rFonts w:cs="Arial"/>
              </w:rPr>
            </w:pPr>
            <w:r>
              <w:rPr>
                <w:rFonts w:cs="Arial"/>
              </w:rPr>
              <w:t>The age of the recipie</w:t>
            </w:r>
            <w:r w:rsidR="00524E16">
              <w:rPr>
                <w:rFonts w:cs="Arial"/>
              </w:rPr>
              <w:t>nt is calculated as at 30 June.</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72"/>
              <w:jc w:val="both"/>
              <w:rPr>
                <w:rFonts w:cs="Arial"/>
                <w:b/>
              </w:rPr>
            </w:pPr>
            <w:r w:rsidRPr="00C51260">
              <w:rPr>
                <w:rFonts w:cs="Arial"/>
                <w:b/>
              </w:rPr>
              <w:t>Coherence</w:t>
            </w:r>
            <w:r w:rsidRPr="003324BE">
              <w:rPr>
                <w:rFonts w:cs="Arial"/>
                <w:b/>
              </w:rPr>
              <w:t xml:space="preserve"> </w:t>
            </w:r>
          </w:p>
        </w:tc>
        <w:tc>
          <w:tcPr>
            <w:tcW w:w="7020" w:type="dxa"/>
            <w:tcBorders>
              <w:top w:val="nil"/>
              <w:left w:val="nil"/>
              <w:bottom w:val="nil"/>
              <w:right w:val="nil"/>
            </w:tcBorders>
          </w:tcPr>
          <w:p w:rsidR="0058260A" w:rsidRDefault="0058260A" w:rsidP="00130093">
            <w:pPr>
              <w:pStyle w:val="TableBodyText"/>
              <w:jc w:val="both"/>
              <w:rPr>
                <w:rFonts w:cs="Arial"/>
              </w:rPr>
            </w:pPr>
            <w:r w:rsidRPr="003324BE">
              <w:rPr>
                <w:rFonts w:cs="Arial"/>
              </w:rPr>
              <w:t>The data items used to construct this performance indicator will be consistent and comparable over time.</w:t>
            </w:r>
          </w:p>
          <w:p w:rsidR="00130093" w:rsidRDefault="0058260A" w:rsidP="00F06A16">
            <w:pPr>
              <w:pStyle w:val="TableBodyText"/>
              <w:spacing w:after="120"/>
              <w:jc w:val="both"/>
              <w:rPr>
                <w:rFonts w:cs="Arial"/>
              </w:rPr>
            </w:pPr>
            <w:r>
              <w:rPr>
                <w:rFonts w:cs="Arial"/>
              </w:rPr>
              <w:t>The recipient data are also set to 30 June and a</w:t>
            </w:r>
            <w:r w:rsidR="00524E16">
              <w:rPr>
                <w:rFonts w:cs="Arial"/>
              </w:rPr>
              <w:t xml:space="preserve">re available as a time series. </w:t>
            </w:r>
            <w:r>
              <w:rPr>
                <w:rFonts w:cs="Arial"/>
              </w:rPr>
              <w:t>The time series is broken down into months.</w:t>
            </w:r>
          </w:p>
          <w:p w:rsidR="00B064B4" w:rsidRPr="003324BE" w:rsidRDefault="00B064B4" w:rsidP="00B064B4">
            <w:pPr>
              <w:pStyle w:val="TableBodyText"/>
              <w:spacing w:after="120"/>
              <w:jc w:val="both"/>
              <w:rPr>
                <w:rFonts w:cs="Arial"/>
              </w:rPr>
            </w:pPr>
            <w:r>
              <w:rPr>
                <w:rFonts w:cs="Arial"/>
              </w:rPr>
              <w:t>Rates derived using population data based on different Censuses are not comparable.</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72"/>
              <w:jc w:val="both"/>
              <w:rPr>
                <w:rFonts w:cs="Arial"/>
                <w:b/>
              </w:rPr>
            </w:pPr>
            <w:r w:rsidRPr="003324BE">
              <w:rPr>
                <w:rFonts w:cs="Arial"/>
                <w:b/>
              </w:rPr>
              <w:t xml:space="preserve">Accessibility </w:t>
            </w:r>
          </w:p>
        </w:tc>
        <w:tc>
          <w:tcPr>
            <w:tcW w:w="7020" w:type="dxa"/>
            <w:tcBorders>
              <w:top w:val="nil"/>
              <w:left w:val="nil"/>
              <w:bottom w:val="nil"/>
              <w:right w:val="nil"/>
            </w:tcBorders>
          </w:tcPr>
          <w:p w:rsidR="00130093" w:rsidRPr="00F06A16" w:rsidRDefault="0058260A" w:rsidP="00F06A16">
            <w:pPr>
              <w:pStyle w:val="TableBodyText"/>
              <w:spacing w:after="120"/>
              <w:jc w:val="both"/>
              <w:rPr>
                <w:iCs/>
              </w:rPr>
            </w:pPr>
            <w:r w:rsidRPr="003324BE">
              <w:t xml:space="preserve">Data are published in the </w:t>
            </w:r>
            <w:r>
              <w:t xml:space="preserve">Steering Committee for the Review of Government </w:t>
            </w:r>
            <w:r w:rsidRPr="00F06A16">
              <w:rPr>
                <w:rFonts w:cs="Arial"/>
              </w:rPr>
              <w:t>Service</w:t>
            </w:r>
            <w:r>
              <w:t xml:space="preserve"> Provision’s </w:t>
            </w:r>
            <w:r w:rsidRPr="003324BE">
              <w:t>Report on Government Services</w:t>
            </w:r>
            <w:r>
              <w:rPr>
                <w:iCs/>
              </w:rPr>
              <w:t>.</w:t>
            </w:r>
          </w:p>
        </w:tc>
      </w:tr>
      <w:tr w:rsidR="0058260A" w:rsidRPr="003324BE"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3324BE" w:rsidRDefault="0058260A" w:rsidP="00BE5B08">
            <w:pPr>
              <w:pStyle w:val="TableBodyText"/>
              <w:ind w:left="72"/>
              <w:jc w:val="both"/>
              <w:rPr>
                <w:rFonts w:cs="Arial"/>
                <w:b/>
              </w:rPr>
            </w:pPr>
            <w:r w:rsidRPr="003324BE">
              <w:rPr>
                <w:rFonts w:cs="Arial"/>
                <w:b/>
              </w:rPr>
              <w:t xml:space="preserve">Interpretability </w:t>
            </w:r>
          </w:p>
        </w:tc>
        <w:tc>
          <w:tcPr>
            <w:tcW w:w="7020" w:type="dxa"/>
            <w:tcBorders>
              <w:top w:val="nil"/>
              <w:left w:val="nil"/>
              <w:bottom w:val="nil"/>
              <w:right w:val="nil"/>
            </w:tcBorders>
          </w:tcPr>
          <w:p w:rsidR="0058260A" w:rsidRPr="003324BE" w:rsidRDefault="0058260A" w:rsidP="00F06A16">
            <w:pPr>
              <w:pStyle w:val="TableBodyText"/>
              <w:spacing w:after="120"/>
              <w:jc w:val="both"/>
              <w:rPr>
                <w:rFonts w:cs="Arial"/>
              </w:rPr>
            </w:pPr>
            <w:r w:rsidRPr="003324BE">
              <w:rPr>
                <w:rFonts w:cs="Arial"/>
              </w:rPr>
              <w:t xml:space="preserve">Further information on definitions is available in the: </w:t>
            </w:r>
            <w:r w:rsidRPr="003324BE">
              <w:rPr>
                <w:rFonts w:cs="Arial"/>
                <w:i/>
                <w:iCs/>
              </w:rPr>
              <w:t>Aged Care Act 1997</w:t>
            </w:r>
            <w:r w:rsidRPr="003324BE">
              <w:rPr>
                <w:rFonts w:cs="Arial"/>
              </w:rPr>
              <w:t xml:space="preserve"> and </w:t>
            </w:r>
            <w:r w:rsidRPr="003324BE">
              <w:rPr>
                <w:rFonts w:cs="Arial"/>
                <w:i/>
                <w:iCs/>
              </w:rPr>
              <w:t>Aged Care Principles;</w:t>
            </w:r>
            <w:r w:rsidRPr="003324BE">
              <w:rPr>
                <w:rFonts w:cs="Arial"/>
              </w:rPr>
              <w:t xml:space="preserve"> the Residential Aged Care Manual 2009; Residential Respite Care Manual; </w:t>
            </w:r>
            <w:r>
              <w:rPr>
                <w:rFonts w:cs="Arial"/>
              </w:rPr>
              <w:t xml:space="preserve">Steering Committee for the Review of Government Service Provision’s </w:t>
            </w:r>
            <w:r w:rsidRPr="00703E6F">
              <w:rPr>
                <w:rFonts w:cs="Arial"/>
              </w:rPr>
              <w:t xml:space="preserve">Report on Government Services </w:t>
            </w:r>
            <w:r w:rsidRPr="00932ADD">
              <w:rPr>
                <w:rFonts w:cs="Arial"/>
              </w:rPr>
              <w:t>Aged Care Services Data Manual.</w:t>
            </w:r>
          </w:p>
        </w:tc>
      </w:tr>
      <w:tr w:rsidR="0058260A" w:rsidRPr="00FE389D" w:rsidTr="0058260A">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7D7B1A" w:rsidRDefault="007D7B1A" w:rsidP="00BE5B08">
            <w:pPr>
              <w:pStyle w:val="TableBodyText"/>
              <w:jc w:val="both"/>
              <w:rPr>
                <w:b/>
                <w:u w:val="single"/>
              </w:rPr>
            </w:pPr>
          </w:p>
          <w:p w:rsidR="0058260A" w:rsidRPr="00C51260" w:rsidRDefault="0058260A" w:rsidP="00BE5B08">
            <w:pPr>
              <w:pStyle w:val="TableBodyText"/>
              <w:jc w:val="both"/>
              <w:rPr>
                <w:b/>
              </w:rPr>
            </w:pPr>
            <w:r w:rsidRPr="00B11A04">
              <w:rPr>
                <w:b/>
                <w:u w:val="single"/>
              </w:rPr>
              <w:t>Data Gaps/Issues Analysis</w:t>
            </w:r>
          </w:p>
        </w:tc>
      </w:tr>
      <w:tr w:rsidR="0058260A" w:rsidRPr="00FE389D" w:rsidTr="0058260A">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58260A" w:rsidRPr="00C51260" w:rsidRDefault="0058260A" w:rsidP="00BE5B08">
            <w:pPr>
              <w:pStyle w:val="TableBodyText"/>
              <w:spacing w:before="120"/>
              <w:ind w:left="0"/>
              <w:jc w:val="both"/>
              <w:rPr>
                <w:rFonts w:cs="Arial"/>
                <w:b/>
                <w:szCs w:val="22"/>
              </w:rPr>
            </w:pPr>
            <w:r w:rsidRPr="00C51260">
              <w:rPr>
                <w:rFonts w:cs="Arial"/>
                <w:b/>
                <w:szCs w:val="22"/>
              </w:rPr>
              <w:t>Key data gaps/issues</w:t>
            </w:r>
          </w:p>
        </w:tc>
        <w:tc>
          <w:tcPr>
            <w:tcW w:w="7020" w:type="dxa"/>
            <w:tcBorders>
              <w:top w:val="nil"/>
              <w:left w:val="nil"/>
              <w:bottom w:val="nil"/>
              <w:right w:val="nil"/>
            </w:tcBorders>
          </w:tcPr>
          <w:p w:rsidR="0058260A" w:rsidRPr="00B479F5" w:rsidRDefault="0058260A" w:rsidP="00BE5B08">
            <w:pPr>
              <w:pStyle w:val="TableBodyText"/>
              <w:spacing w:after="60"/>
              <w:jc w:val="both"/>
              <w:rPr>
                <w:rFonts w:cs="Arial"/>
              </w:rPr>
            </w:pPr>
            <w:r>
              <w:rPr>
                <w:rFonts w:cs="Arial"/>
              </w:rPr>
              <w:t>The Steering Committee notes the following issues;</w:t>
            </w:r>
            <w:r w:rsidRPr="00B479F5">
              <w:rPr>
                <w:rFonts w:cs="Arial"/>
              </w:rPr>
              <w:t xml:space="preserve"> </w:t>
            </w:r>
          </w:p>
          <w:p w:rsidR="0058260A" w:rsidRPr="002C59E1" w:rsidRDefault="0058260A" w:rsidP="00BE5B08">
            <w:pPr>
              <w:pStyle w:val="TableBullet"/>
              <w:jc w:val="both"/>
            </w:pPr>
            <w:r w:rsidRPr="002C59E1">
              <w:t>The data provide relevant and accurate information</w:t>
            </w:r>
            <w:r>
              <w:t xml:space="preserve"> on </w:t>
            </w:r>
            <w:r w:rsidRPr="002C59E1">
              <w:t xml:space="preserve">recipients </w:t>
            </w:r>
            <w:r>
              <w:t xml:space="preserve">of residential aged care services </w:t>
            </w:r>
            <w:r w:rsidRPr="002C59E1">
              <w:t>by Indigenous and non</w:t>
            </w:r>
            <w:r w:rsidR="00104B60">
              <w:noBreakHyphen/>
            </w:r>
            <w:r w:rsidRPr="002C59E1">
              <w:t xml:space="preserve">English speaking country of birth status. </w:t>
            </w:r>
          </w:p>
          <w:p w:rsidR="0058260A" w:rsidRPr="002C59E1" w:rsidRDefault="0058260A" w:rsidP="00BE5B08">
            <w:pPr>
              <w:pStyle w:val="TableBullet"/>
              <w:jc w:val="both"/>
            </w:pPr>
            <w:r w:rsidRPr="002C59E1">
              <w:t>Annual data are available. The most recent data available are for 20</w:t>
            </w:r>
            <w:r>
              <w:t>1</w:t>
            </w:r>
            <w:r w:rsidR="00462ABE">
              <w:t>2</w:t>
            </w:r>
            <w:r>
              <w:noBreakHyphen/>
              <w:t>1</w:t>
            </w:r>
            <w:r w:rsidR="00462ABE">
              <w:t>3</w:t>
            </w:r>
            <w:r w:rsidRPr="002C59E1">
              <w:t xml:space="preserve">. </w:t>
            </w:r>
          </w:p>
          <w:p w:rsidR="0058260A" w:rsidRPr="002C59E1" w:rsidRDefault="0058260A" w:rsidP="00BE5B08">
            <w:pPr>
              <w:pStyle w:val="TableBullet"/>
              <w:jc w:val="both"/>
            </w:pPr>
            <w:r w:rsidRPr="002C59E1">
              <w:t xml:space="preserve">The data are consistent and comparable over time. </w:t>
            </w:r>
          </w:p>
          <w:p w:rsidR="0058260A" w:rsidRPr="00B479F5" w:rsidRDefault="0058260A" w:rsidP="00BE5B08">
            <w:pPr>
              <w:pStyle w:val="TableBullet"/>
              <w:jc w:val="both"/>
            </w:pPr>
            <w:r w:rsidRPr="002C59E1">
              <w:t>No significant data gaps or issues are identified.</w:t>
            </w:r>
          </w:p>
        </w:tc>
      </w:tr>
    </w:tbl>
    <w:p w:rsidR="0058260A" w:rsidRDefault="0058260A" w:rsidP="00BE5B08">
      <w:pPr>
        <w:pStyle w:val="Heading3"/>
        <w:spacing w:before="120"/>
        <w:jc w:val="both"/>
      </w:pPr>
      <w:r>
        <w:br w:type="page"/>
      </w:r>
      <w:bookmarkStart w:id="19" w:name="OLE_LINK14"/>
      <w:bookmarkStart w:id="20" w:name="OLE_LINK17"/>
      <w:bookmarkStart w:id="21" w:name="_Toc278287352"/>
      <w:bookmarkStart w:id="22" w:name="_Toc282015336"/>
      <w:bookmarkStart w:id="23" w:name="_Toc377383321"/>
      <w:r w:rsidRPr="00A57E46">
        <w:rPr>
          <w:szCs w:val="24"/>
        </w:rPr>
        <w:lastRenderedPageBreak/>
        <w:t>Use by different groups — access to C</w:t>
      </w:r>
      <w:r w:rsidR="00BE5B08">
        <w:rPr>
          <w:szCs w:val="24"/>
        </w:rPr>
        <w:t xml:space="preserve">ommunity </w:t>
      </w:r>
      <w:r w:rsidRPr="00A57E46">
        <w:rPr>
          <w:szCs w:val="24"/>
        </w:rPr>
        <w:t>A</w:t>
      </w:r>
      <w:r w:rsidR="00BE5B08">
        <w:rPr>
          <w:szCs w:val="24"/>
        </w:rPr>
        <w:t xml:space="preserve">ged </w:t>
      </w:r>
      <w:r w:rsidRPr="00A57E46">
        <w:rPr>
          <w:szCs w:val="24"/>
        </w:rPr>
        <w:t>C</w:t>
      </w:r>
      <w:r w:rsidR="00BE5B08">
        <w:rPr>
          <w:szCs w:val="24"/>
        </w:rPr>
        <w:t xml:space="preserve">are </w:t>
      </w:r>
      <w:r w:rsidR="00BE5B08" w:rsidRPr="00A57E46">
        <w:rPr>
          <w:szCs w:val="24"/>
        </w:rPr>
        <w:t>P</w:t>
      </w:r>
      <w:r w:rsidR="00BE5B08">
        <w:rPr>
          <w:szCs w:val="24"/>
        </w:rPr>
        <w:t>ackages (CACP)</w:t>
      </w:r>
      <w:r w:rsidRPr="00A57E46">
        <w:rPr>
          <w:szCs w:val="24"/>
        </w:rPr>
        <w:t xml:space="preserve"> by Indigenous people and people born in a mainly non</w:t>
      </w:r>
      <w:r w:rsidR="00BE5B08">
        <w:rPr>
          <w:szCs w:val="24"/>
        </w:rPr>
        <w:noBreakHyphen/>
      </w:r>
      <w:r w:rsidRPr="00A57E46">
        <w:rPr>
          <w:szCs w:val="24"/>
        </w:rPr>
        <w:t>English speaking country</w:t>
      </w:r>
      <w:bookmarkEnd w:id="19"/>
      <w:bookmarkEnd w:id="20"/>
      <w:bookmarkEnd w:id="21"/>
      <w:bookmarkEnd w:id="22"/>
      <w:bookmarkEnd w:id="23"/>
    </w:p>
    <w:p w:rsidR="00CB4624" w:rsidRPr="00EA5574" w:rsidRDefault="00EA5574" w:rsidP="00EA5574">
      <w:pPr>
        <w:widowControl w:val="0"/>
        <w:spacing w:before="100" w:beforeAutospacing="1" w:line="280" w:lineRule="atLeast"/>
        <w:jc w:val="both"/>
        <w:rPr>
          <w:rFonts w:ascii="Arial" w:hAnsi="Arial"/>
          <w:szCs w:val="20"/>
        </w:rPr>
      </w:pPr>
      <w:proofErr w:type="spellStart"/>
      <w:r w:rsidRPr="00EA5574">
        <w:rPr>
          <w:rFonts w:ascii="Arial" w:hAnsi="Arial"/>
          <w:szCs w:val="20"/>
        </w:rPr>
        <w:t>DQI</w:t>
      </w:r>
      <w:proofErr w:type="spellEnd"/>
      <w:r w:rsidR="0058260A" w:rsidRPr="00EA5574">
        <w:rPr>
          <w:rFonts w:ascii="Arial" w:hAnsi="Arial"/>
          <w:szCs w:val="20"/>
        </w:rPr>
        <w:t xml:space="preserve"> for this indicator has been drafted by the Australian Government </w:t>
      </w:r>
      <w:r w:rsidR="00DC4C91" w:rsidRPr="00EA5574">
        <w:rPr>
          <w:rFonts w:ascii="Arial" w:hAnsi="Arial"/>
          <w:szCs w:val="20"/>
        </w:rPr>
        <w:t>DSS</w:t>
      </w:r>
      <w:r w:rsidR="0058260A" w:rsidRPr="00EA5574">
        <w:rPr>
          <w:rFonts w:ascii="Arial" w:hAnsi="Arial"/>
          <w:szCs w:val="20"/>
        </w:rPr>
        <w:t>, with additional Steering Committee comments.</w:t>
      </w:r>
    </w:p>
    <w:p w:rsidR="00345AD7" w:rsidRPr="00EA5574" w:rsidRDefault="00345AD7" w:rsidP="00EA5574">
      <w:pPr>
        <w:widowControl w:val="0"/>
        <w:spacing w:before="100" w:beforeAutospacing="1" w:line="280" w:lineRule="atLeast"/>
        <w:jc w:val="both"/>
        <w:rPr>
          <w:rFonts w:ascii="Arial" w:hAnsi="Arial"/>
          <w:szCs w:val="20"/>
        </w:rPr>
      </w:pPr>
    </w:p>
    <w:tbl>
      <w:tblPr>
        <w:tblW w:w="4880" w:type="pct"/>
        <w:tblInd w:w="108" w:type="dxa"/>
        <w:tblLook w:val="01E0" w:firstRow="1" w:lastRow="1" w:firstColumn="1" w:lastColumn="1" w:noHBand="0" w:noVBand="0"/>
      </w:tblPr>
      <w:tblGrid>
        <w:gridCol w:w="1795"/>
        <w:gridCol w:w="6994"/>
      </w:tblGrid>
      <w:tr w:rsidR="00F06A16" w:rsidRPr="00E876DF" w:rsidTr="00F06A16">
        <w:tc>
          <w:tcPr>
            <w:tcW w:w="5000" w:type="pct"/>
            <w:gridSpan w:val="2"/>
          </w:tcPr>
          <w:p w:rsidR="00F06A16" w:rsidRDefault="00F06A16" w:rsidP="00BE5B08">
            <w:pPr>
              <w:pStyle w:val="TableBodyText"/>
              <w:keepNext w:val="0"/>
              <w:jc w:val="both"/>
              <w:rPr>
                <w:b/>
                <w:u w:val="single"/>
              </w:rPr>
            </w:pPr>
          </w:p>
          <w:p w:rsidR="00F06A16" w:rsidRDefault="00F06A16" w:rsidP="00BE5B08">
            <w:pPr>
              <w:pStyle w:val="TableBodyText"/>
              <w:keepNext w:val="0"/>
              <w:jc w:val="both"/>
            </w:pPr>
            <w:r w:rsidRPr="007D0BFD">
              <w:rPr>
                <w:b/>
                <w:u w:val="single"/>
              </w:rPr>
              <w:t>Indicator definition and description</w:t>
            </w:r>
          </w:p>
        </w:tc>
      </w:tr>
      <w:tr w:rsidR="0058260A" w:rsidRPr="00E876DF" w:rsidTr="00F06A16">
        <w:tc>
          <w:tcPr>
            <w:tcW w:w="1021" w:type="pct"/>
          </w:tcPr>
          <w:p w:rsidR="0058260A" w:rsidRPr="00EC4031" w:rsidRDefault="0058260A" w:rsidP="00BE5B08">
            <w:pPr>
              <w:pStyle w:val="TableBodyText"/>
              <w:keepNext w:val="0"/>
              <w:ind w:left="0"/>
              <w:jc w:val="both"/>
              <w:rPr>
                <w:b/>
              </w:rPr>
            </w:pPr>
            <w:r w:rsidRPr="00EC4031">
              <w:rPr>
                <w:b/>
              </w:rPr>
              <w:t>Element</w:t>
            </w:r>
          </w:p>
        </w:tc>
        <w:tc>
          <w:tcPr>
            <w:tcW w:w="3979" w:type="pct"/>
          </w:tcPr>
          <w:p w:rsidR="00130093" w:rsidRPr="00E876DF" w:rsidRDefault="0058260A" w:rsidP="00F06A16">
            <w:pPr>
              <w:pStyle w:val="TableBodyText"/>
              <w:keepNext w:val="0"/>
              <w:spacing w:after="120"/>
              <w:jc w:val="both"/>
            </w:pPr>
            <w:r>
              <w:t>Equity — Access</w:t>
            </w:r>
          </w:p>
        </w:tc>
      </w:tr>
      <w:tr w:rsidR="0058260A" w:rsidRPr="00E876DF" w:rsidTr="00F06A16">
        <w:tc>
          <w:tcPr>
            <w:tcW w:w="1021" w:type="pct"/>
          </w:tcPr>
          <w:p w:rsidR="0058260A" w:rsidRPr="00EC4031" w:rsidRDefault="0058260A" w:rsidP="00BE5B08">
            <w:pPr>
              <w:pStyle w:val="TableBodyText"/>
              <w:keepNext w:val="0"/>
              <w:ind w:left="0"/>
              <w:jc w:val="both"/>
              <w:rPr>
                <w:b/>
              </w:rPr>
            </w:pPr>
            <w:r w:rsidRPr="00EC4031">
              <w:rPr>
                <w:b/>
              </w:rPr>
              <w:t xml:space="preserve">Indicator </w:t>
            </w:r>
          </w:p>
        </w:tc>
        <w:tc>
          <w:tcPr>
            <w:tcW w:w="3979" w:type="pct"/>
          </w:tcPr>
          <w:p w:rsidR="00130093" w:rsidRPr="008A4041" w:rsidRDefault="0058260A" w:rsidP="00F06A16">
            <w:pPr>
              <w:pStyle w:val="TableBodyText"/>
              <w:keepNext w:val="0"/>
              <w:spacing w:after="120"/>
              <w:jc w:val="both"/>
            </w:pPr>
            <w:r>
              <w:t xml:space="preserve">Use by different groups </w:t>
            </w:r>
            <w:r>
              <w:rPr>
                <w:rFonts w:cs="Arial"/>
              </w:rPr>
              <w:t>—</w:t>
            </w:r>
            <w:r>
              <w:t xml:space="preserve"> access to </w:t>
            </w:r>
            <w:r w:rsidRPr="008A4041">
              <w:t>CACP by Indigenous people and people born in a mainly non</w:t>
            </w:r>
            <w:r w:rsidR="00104B60">
              <w:noBreakHyphen/>
            </w:r>
            <w:r w:rsidRPr="008A4041">
              <w:t>English speaking country</w:t>
            </w:r>
            <w:r w:rsidR="00F06A16">
              <w:t>.</w:t>
            </w:r>
          </w:p>
        </w:tc>
      </w:tr>
      <w:tr w:rsidR="0058260A" w:rsidRPr="00E876DF" w:rsidTr="00F06A16">
        <w:tc>
          <w:tcPr>
            <w:tcW w:w="1021" w:type="pct"/>
          </w:tcPr>
          <w:p w:rsidR="0058260A" w:rsidRPr="00EC4031" w:rsidRDefault="0058260A" w:rsidP="00BE5B08">
            <w:pPr>
              <w:pStyle w:val="TableBodyText"/>
              <w:keepNext w:val="0"/>
              <w:ind w:left="0"/>
              <w:jc w:val="both"/>
              <w:rPr>
                <w:b/>
              </w:rPr>
            </w:pPr>
            <w:r w:rsidRPr="00EC4031">
              <w:rPr>
                <w:b/>
              </w:rPr>
              <w:t xml:space="preserve">Measure </w:t>
            </w:r>
            <w:r w:rsidRPr="00A60677">
              <w:rPr>
                <w:b/>
                <w:sz w:val="18"/>
              </w:rPr>
              <w:t>(computation)</w:t>
            </w:r>
          </w:p>
        </w:tc>
        <w:tc>
          <w:tcPr>
            <w:tcW w:w="3979" w:type="pct"/>
          </w:tcPr>
          <w:p w:rsidR="0058260A" w:rsidRDefault="0058260A" w:rsidP="00BE5B08">
            <w:pPr>
              <w:pStyle w:val="TableBodyText"/>
              <w:spacing w:after="60"/>
              <w:jc w:val="both"/>
              <w:rPr>
                <w:u w:val="single"/>
              </w:rPr>
            </w:pPr>
            <w:r>
              <w:rPr>
                <w:u w:val="single"/>
              </w:rPr>
              <w:t>Definition</w:t>
            </w:r>
          </w:p>
          <w:p w:rsidR="0058260A" w:rsidRPr="00CB5F88" w:rsidRDefault="0058260A" w:rsidP="00BE5B08">
            <w:pPr>
              <w:pStyle w:val="TableBodyText"/>
              <w:keepNext w:val="0"/>
              <w:jc w:val="both"/>
            </w:pPr>
            <w:r w:rsidRPr="00CB5F88">
              <w:t xml:space="preserve">Number of </w:t>
            </w:r>
            <w:r>
              <w:t>Indigenous people and people born in a mainly non</w:t>
            </w:r>
            <w:r w:rsidR="00104B60">
              <w:noBreakHyphen/>
            </w:r>
            <w:r>
              <w:t>English speaking country who access community aged care services per 1000 people.</w:t>
            </w:r>
          </w:p>
          <w:p w:rsidR="0058260A" w:rsidRPr="004176C6" w:rsidRDefault="0058260A" w:rsidP="00BE5B08">
            <w:pPr>
              <w:pStyle w:val="TableBodyText"/>
              <w:spacing w:before="120" w:after="60"/>
              <w:jc w:val="both"/>
            </w:pPr>
            <w:r w:rsidRPr="00E876DF">
              <w:rPr>
                <w:u w:val="single"/>
              </w:rPr>
              <w:t>Numerator</w:t>
            </w:r>
            <w:r>
              <w:rPr>
                <w:u w:val="single"/>
              </w:rPr>
              <w:t>s</w:t>
            </w:r>
            <w:r w:rsidRPr="00E876DF">
              <w:t xml:space="preserve">: </w:t>
            </w:r>
          </w:p>
          <w:p w:rsidR="0058260A" w:rsidRPr="00DF749F" w:rsidRDefault="0058260A" w:rsidP="00BE5B08">
            <w:pPr>
              <w:pStyle w:val="TableBodyText"/>
              <w:jc w:val="both"/>
            </w:pPr>
            <w:r>
              <w:t xml:space="preserve">(1) number of people of </w:t>
            </w:r>
            <w:r w:rsidRPr="00C40D20">
              <w:t>all ages</w:t>
            </w:r>
            <w:r>
              <w:t xml:space="preserve"> using CACP services </w:t>
            </w:r>
          </w:p>
          <w:p w:rsidR="0058260A" w:rsidRPr="00DF749F" w:rsidRDefault="0058260A" w:rsidP="00BE5B08">
            <w:pPr>
              <w:pStyle w:val="TableBodyText"/>
              <w:keepNext w:val="0"/>
              <w:jc w:val="both"/>
            </w:pPr>
            <w:r w:rsidRPr="005D3DB3">
              <w:t>(</w:t>
            </w:r>
            <w:r>
              <w:t>2)</w:t>
            </w:r>
            <w:r w:rsidRPr="00DB7064">
              <w:t xml:space="preserve"> </w:t>
            </w:r>
            <w:r>
              <w:t xml:space="preserve">number of Indigenous people of </w:t>
            </w:r>
            <w:r w:rsidRPr="00C40D20">
              <w:t>all ages</w:t>
            </w:r>
            <w:r>
              <w:t xml:space="preserve"> using CACP services </w:t>
            </w:r>
          </w:p>
          <w:p w:rsidR="0058260A" w:rsidRPr="00DF749F" w:rsidRDefault="0058260A" w:rsidP="00BE5B08">
            <w:pPr>
              <w:pStyle w:val="TableBodyText"/>
              <w:keepNext w:val="0"/>
              <w:jc w:val="both"/>
            </w:pPr>
            <w:r>
              <w:t>(3) number of people of</w:t>
            </w:r>
            <w:r w:rsidRPr="00C40D20">
              <w:t xml:space="preserve"> all ages</w:t>
            </w:r>
            <w:r>
              <w:t xml:space="preserve"> born in a non</w:t>
            </w:r>
            <w:r w:rsidR="00104B60">
              <w:noBreakHyphen/>
            </w:r>
            <w:r>
              <w:t>English speaking country</w:t>
            </w:r>
            <w:r w:rsidRPr="007559BE">
              <w:rPr>
                <w:rStyle w:val="NoteLabel"/>
              </w:rPr>
              <w:t>a</w:t>
            </w:r>
            <w:r>
              <w:t xml:space="preserve"> using CACP services. </w:t>
            </w:r>
          </w:p>
          <w:p w:rsidR="0058260A" w:rsidRPr="00DF749F" w:rsidRDefault="0058260A" w:rsidP="00BE5B08">
            <w:pPr>
              <w:spacing w:before="120" w:after="60"/>
              <w:jc w:val="both"/>
              <w:rPr>
                <w:rFonts w:ascii="Arial" w:hAnsi="Arial" w:cs="Arial"/>
                <w:sz w:val="20"/>
                <w:u w:val="single"/>
              </w:rPr>
            </w:pPr>
            <w:r w:rsidRPr="00DF749F">
              <w:rPr>
                <w:rFonts w:ascii="Arial" w:hAnsi="Arial" w:cs="Arial"/>
                <w:sz w:val="20"/>
                <w:u w:val="single"/>
              </w:rPr>
              <w:t xml:space="preserve">Denominators: </w:t>
            </w:r>
          </w:p>
          <w:p w:rsidR="0058260A" w:rsidRDefault="0058260A" w:rsidP="00BE5B08">
            <w:pPr>
              <w:pStyle w:val="TableBodyText"/>
              <w:keepNext w:val="0"/>
              <w:jc w:val="both"/>
            </w:pPr>
            <w:r>
              <w:t xml:space="preserve">(1) </w:t>
            </w:r>
            <w:r w:rsidRPr="00E876DF">
              <w:t xml:space="preserve">estimated resident population aged </w:t>
            </w:r>
            <w:r w:rsidR="004B1330">
              <w:t>65</w:t>
            </w:r>
            <w:r>
              <w:t xml:space="preserve"> years or over plus Indigenous</w:t>
            </w:r>
            <w:r w:rsidRPr="00E876DF">
              <w:t xml:space="preserve"> population aged </w:t>
            </w:r>
            <w:r>
              <w:t>50</w:t>
            </w:r>
            <w:r w:rsidR="00104B60">
              <w:noBreakHyphen/>
            </w:r>
            <w:r>
              <w:t>6</w:t>
            </w:r>
            <w:r w:rsidR="004B1330">
              <w:t>4</w:t>
            </w:r>
            <w:r w:rsidRPr="00E876DF">
              <w:t xml:space="preserve"> years </w:t>
            </w:r>
          </w:p>
          <w:p w:rsidR="0058260A" w:rsidRDefault="0058260A" w:rsidP="00BE5B08">
            <w:pPr>
              <w:pStyle w:val="TableBodyText"/>
              <w:keepNext w:val="0"/>
              <w:jc w:val="both"/>
            </w:pPr>
            <w:r>
              <w:t xml:space="preserve">(2) </w:t>
            </w:r>
            <w:r w:rsidRPr="00E876DF">
              <w:t xml:space="preserve">estimated resident </w:t>
            </w:r>
            <w:r>
              <w:t>Indigenous</w:t>
            </w:r>
            <w:r w:rsidRPr="00E876DF">
              <w:t xml:space="preserve"> population aged </w:t>
            </w:r>
            <w:r>
              <w:t>50</w:t>
            </w:r>
            <w:r w:rsidRPr="00E876DF">
              <w:t xml:space="preserve"> years </w:t>
            </w:r>
            <w:r>
              <w:t>or</w:t>
            </w:r>
            <w:r w:rsidRPr="00E876DF">
              <w:t xml:space="preserve"> over </w:t>
            </w:r>
          </w:p>
          <w:p w:rsidR="0058260A" w:rsidRDefault="0058260A" w:rsidP="00BE5B08">
            <w:pPr>
              <w:pStyle w:val="TableBodyText"/>
              <w:keepNext w:val="0"/>
              <w:jc w:val="both"/>
            </w:pPr>
            <w:r>
              <w:t xml:space="preserve">(3) </w:t>
            </w:r>
            <w:r w:rsidRPr="00E876DF">
              <w:t xml:space="preserve">estimated resident </w:t>
            </w:r>
            <w:r>
              <w:t>population born in non</w:t>
            </w:r>
            <w:r w:rsidR="00104B60">
              <w:noBreakHyphen/>
            </w:r>
            <w:r>
              <w:t>English speaking countries</w:t>
            </w:r>
            <w:proofErr w:type="spellStart"/>
            <w:r w:rsidRPr="007559BE">
              <w:rPr>
                <w:rStyle w:val="NoteLabel"/>
              </w:rPr>
              <w:t>a</w:t>
            </w:r>
            <w:proofErr w:type="spellEnd"/>
            <w:r>
              <w:t xml:space="preserve"> aged </w:t>
            </w:r>
            <w:r w:rsidR="004B1330">
              <w:t>65</w:t>
            </w:r>
            <w:r>
              <w:t xml:space="preserve"> years or over.</w:t>
            </w:r>
            <w:r w:rsidRPr="00E876DF">
              <w:t xml:space="preserve"> </w:t>
            </w:r>
          </w:p>
          <w:p w:rsidR="0058260A" w:rsidRPr="00BC1E14" w:rsidRDefault="0058260A" w:rsidP="00BE5B08">
            <w:pPr>
              <w:spacing w:before="120" w:after="60"/>
              <w:jc w:val="both"/>
              <w:rPr>
                <w:rFonts w:ascii="Arial" w:hAnsi="Arial" w:cs="Arial"/>
                <w:sz w:val="20"/>
                <w:u w:val="single"/>
              </w:rPr>
            </w:pPr>
            <w:r w:rsidRPr="00BC1E14">
              <w:rPr>
                <w:rFonts w:ascii="Arial" w:hAnsi="Arial" w:cs="Arial"/>
                <w:sz w:val="20"/>
                <w:u w:val="single"/>
              </w:rPr>
              <w:t>Computation:</w:t>
            </w:r>
          </w:p>
          <w:p w:rsidR="0058260A" w:rsidRDefault="0058260A" w:rsidP="00BE5B08">
            <w:pPr>
              <w:pStyle w:val="TableBodyText"/>
              <w:keepNext w:val="0"/>
              <w:jc w:val="both"/>
            </w:pPr>
            <w:r>
              <w:t>Expressed as a rate</w:t>
            </w:r>
            <w:r>
              <w:rPr>
                <w:rFonts w:cs="Arial"/>
              </w:rPr>
              <w:t>. C</w:t>
            </w:r>
            <w:r w:rsidRPr="00BC1E14">
              <w:rPr>
                <w:rFonts w:cs="Arial"/>
              </w:rPr>
              <w:t>alculation is</w:t>
            </w:r>
            <w:r>
              <w:rPr>
                <w:rFonts w:cs="Arial"/>
              </w:rPr>
              <w:t xml:space="preserve">: </w:t>
            </w:r>
            <w:r w:rsidRPr="00FE1A76">
              <w:t xml:space="preserve">(Numerator </w:t>
            </w:r>
            <w:r w:rsidRPr="00FE1A76">
              <w:sym w:font="Symbol" w:char="F0B8"/>
            </w:r>
            <w:r w:rsidRPr="00FE1A76">
              <w:t xml:space="preserve"> Denominator)</w:t>
            </w:r>
            <w:r>
              <w:t xml:space="preserve"> x 1000</w:t>
            </w:r>
            <w:r w:rsidRPr="00FE1A76">
              <w:t>.</w:t>
            </w:r>
          </w:p>
          <w:p w:rsidR="0058260A" w:rsidRPr="007559BE" w:rsidRDefault="0058260A" w:rsidP="00BE5B08">
            <w:pPr>
              <w:spacing w:before="120" w:after="60"/>
              <w:jc w:val="both"/>
              <w:rPr>
                <w:rFonts w:ascii="Arial" w:hAnsi="Arial" w:cs="Arial"/>
                <w:sz w:val="20"/>
                <w:u w:val="single"/>
              </w:rPr>
            </w:pPr>
            <w:r w:rsidRPr="007559BE">
              <w:rPr>
                <w:rFonts w:ascii="Arial" w:hAnsi="Arial" w:cs="Arial"/>
                <w:sz w:val="20"/>
                <w:u w:val="single"/>
              </w:rPr>
              <w:t>Notes:</w:t>
            </w:r>
          </w:p>
          <w:p w:rsidR="0058260A" w:rsidRPr="00E876DF" w:rsidRDefault="0058260A" w:rsidP="00F06A16">
            <w:pPr>
              <w:pStyle w:val="TableBodyText"/>
              <w:keepNext w:val="0"/>
              <w:spacing w:after="120"/>
              <w:jc w:val="both"/>
            </w:pPr>
            <w:r>
              <w:rPr>
                <w:rStyle w:val="NoteLabel"/>
              </w:rPr>
              <w:t>a </w:t>
            </w:r>
            <w:r w:rsidRPr="00BC1E14">
              <w:rPr>
                <w:rFonts w:cs="Arial"/>
              </w:rPr>
              <w:t>People born in a non</w:t>
            </w:r>
            <w:r w:rsidR="00104B60">
              <w:rPr>
                <w:rFonts w:cs="Arial"/>
              </w:rPr>
              <w:noBreakHyphen/>
            </w:r>
            <w:r w:rsidRPr="00BC1E14">
              <w:rPr>
                <w:rFonts w:cs="Arial"/>
              </w:rPr>
              <w:t>English speaking country refers to those born overseas in countries other than UK, Ireland, NZ, Canada, South Africa and USA.</w:t>
            </w:r>
          </w:p>
        </w:tc>
      </w:tr>
      <w:tr w:rsidR="0058260A" w:rsidRPr="00E876DF" w:rsidTr="00F06A16">
        <w:tc>
          <w:tcPr>
            <w:tcW w:w="1021" w:type="pct"/>
          </w:tcPr>
          <w:p w:rsidR="0058260A" w:rsidRPr="00EC4031" w:rsidRDefault="0058260A" w:rsidP="00BE5B08">
            <w:pPr>
              <w:pStyle w:val="TableBodyText"/>
              <w:keepNext w:val="0"/>
              <w:keepLines w:val="0"/>
              <w:ind w:left="0"/>
              <w:jc w:val="both"/>
              <w:rPr>
                <w:b/>
              </w:rPr>
            </w:pPr>
            <w:r w:rsidRPr="00EC4031">
              <w:rPr>
                <w:b/>
              </w:rPr>
              <w:t>Data source/s</w:t>
            </w:r>
          </w:p>
        </w:tc>
        <w:tc>
          <w:tcPr>
            <w:tcW w:w="3979" w:type="pct"/>
          </w:tcPr>
          <w:p w:rsidR="0058260A" w:rsidRPr="00DF749F" w:rsidRDefault="0058260A" w:rsidP="00BE5B08">
            <w:pPr>
              <w:pStyle w:val="TableBodyText"/>
              <w:keepNext w:val="0"/>
              <w:keepLines w:val="0"/>
              <w:spacing w:after="60"/>
              <w:jc w:val="both"/>
              <w:rPr>
                <w:u w:val="single"/>
              </w:rPr>
            </w:pPr>
            <w:r w:rsidRPr="00DF749F">
              <w:rPr>
                <w:u w:val="single"/>
              </w:rPr>
              <w:t xml:space="preserve">Numerators: </w:t>
            </w:r>
          </w:p>
          <w:p w:rsidR="0058260A" w:rsidRPr="00E876DF" w:rsidRDefault="0058260A" w:rsidP="00BE5B08">
            <w:pPr>
              <w:pStyle w:val="TableBodyText"/>
              <w:keepNext w:val="0"/>
              <w:keepLines w:val="0"/>
              <w:jc w:val="both"/>
            </w:pPr>
            <w:r w:rsidRPr="00E876DF">
              <w:t xml:space="preserve">Australian Government </w:t>
            </w:r>
            <w:proofErr w:type="spellStart"/>
            <w:r w:rsidR="00DC4C91">
              <w:t>DSS</w:t>
            </w:r>
            <w:r>
              <w:t>’s</w:t>
            </w:r>
            <w:proofErr w:type="spellEnd"/>
            <w:r w:rsidRPr="00E876DF">
              <w:t xml:space="preserve"> </w:t>
            </w:r>
            <w:r>
              <w:rPr>
                <w:rFonts w:cs="Arial"/>
              </w:rPr>
              <w:t>Ageing 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are</w:t>
            </w:r>
            <w:r w:rsidRPr="00E876DF">
              <w:t xml:space="preserve"> data warehouse.</w:t>
            </w:r>
            <w:r>
              <w:t xml:space="preserve"> </w:t>
            </w:r>
            <w:r w:rsidRPr="00E876DF">
              <w:t xml:space="preserve">The </w:t>
            </w:r>
            <w:r>
              <w:rPr>
                <w:rFonts w:cs="Arial"/>
              </w:rPr>
              <w:t>Ageing 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are</w:t>
            </w:r>
            <w:r w:rsidRPr="00E876DF">
              <w:t xml:space="preserve"> data warehouse is a consolidated data warehouse of service provider and service recipient data held by the Ageing and Aged Care Division and the Office of Aged Care Quality and Compliance of the </w:t>
            </w:r>
            <w:r w:rsidR="00DC4C91">
              <w:t>DSS</w:t>
            </w:r>
            <w:r w:rsidRPr="00E876DF">
              <w:t>.</w:t>
            </w:r>
          </w:p>
          <w:p w:rsidR="001037C0" w:rsidRPr="003324BE" w:rsidRDefault="001037C0" w:rsidP="001037C0">
            <w:pPr>
              <w:spacing w:before="120" w:after="60"/>
              <w:jc w:val="both"/>
              <w:rPr>
                <w:rFonts w:ascii="Arial" w:hAnsi="Arial" w:cs="Arial"/>
                <w:sz w:val="20"/>
                <w:u w:val="single"/>
              </w:rPr>
            </w:pPr>
            <w:r w:rsidRPr="003324BE">
              <w:rPr>
                <w:rFonts w:ascii="Arial" w:hAnsi="Arial" w:cs="Arial"/>
                <w:sz w:val="20"/>
                <w:u w:val="single"/>
              </w:rPr>
              <w:t xml:space="preserve">Denominators: </w:t>
            </w:r>
          </w:p>
          <w:p w:rsidR="001037C0" w:rsidRPr="0045554E" w:rsidRDefault="001037C0" w:rsidP="001037C0">
            <w:pPr>
              <w:pStyle w:val="TableBodyText"/>
              <w:jc w:val="both"/>
              <w:rPr>
                <w:rFonts w:cs="Arial"/>
              </w:rPr>
            </w:pPr>
            <w:r w:rsidRPr="0045554E">
              <w:rPr>
                <w:rFonts w:cs="Arial"/>
              </w:rPr>
              <w:t>Total population projections 65 years or over</w:t>
            </w:r>
          </w:p>
          <w:p w:rsidR="001037C0" w:rsidRPr="0045554E" w:rsidRDefault="001037C0" w:rsidP="001037C0">
            <w:pPr>
              <w:pStyle w:val="TableBullet"/>
              <w:rPr>
                <w:rFonts w:cs="Arial"/>
              </w:rPr>
            </w:pPr>
            <w:r w:rsidRPr="0045554E">
              <w:rPr>
                <w:rFonts w:cs="Arial"/>
              </w:rPr>
              <w:t xml:space="preserve">From June 2013 ― projections based on the 2011 Census as prepared for </w:t>
            </w:r>
            <w:r w:rsidR="00DC4C91">
              <w:rPr>
                <w:rFonts w:cs="Arial"/>
              </w:rPr>
              <w:t>DSS</w:t>
            </w:r>
            <w:r w:rsidRPr="0045554E">
              <w:rPr>
                <w:rFonts w:cs="Arial"/>
              </w:rPr>
              <w:t xml:space="preserve"> by the ABS according to the assumptions agreed to by </w:t>
            </w:r>
            <w:r w:rsidR="00DC4C91">
              <w:rPr>
                <w:rFonts w:cs="Arial"/>
              </w:rPr>
              <w:t>DSS</w:t>
            </w:r>
            <w:r w:rsidRPr="0045554E">
              <w:rPr>
                <w:rFonts w:cs="Arial"/>
              </w:rPr>
              <w:t>.</w:t>
            </w:r>
          </w:p>
          <w:p w:rsidR="001037C0" w:rsidRPr="0045554E" w:rsidRDefault="001037C0" w:rsidP="001037C0">
            <w:pPr>
              <w:pStyle w:val="TableBullet"/>
              <w:rPr>
                <w:rFonts w:cs="Arial"/>
              </w:rPr>
            </w:pPr>
            <w:r w:rsidRPr="0045554E">
              <w:rPr>
                <w:rFonts w:cs="Arial"/>
              </w:rPr>
              <w:t xml:space="preserve">June 2008–June 2012 ― projections based on the 2006 Census as prepared for </w:t>
            </w:r>
            <w:r w:rsidR="00DC4C91">
              <w:rPr>
                <w:rFonts w:cs="Arial"/>
              </w:rPr>
              <w:t>DSS</w:t>
            </w:r>
            <w:r w:rsidRPr="0045554E">
              <w:rPr>
                <w:rFonts w:cs="Arial"/>
              </w:rPr>
              <w:t xml:space="preserve"> by the ABS according to the assumptions agreed to by </w:t>
            </w:r>
            <w:r w:rsidR="00DC4C91">
              <w:rPr>
                <w:rFonts w:cs="Arial"/>
              </w:rPr>
              <w:lastRenderedPageBreak/>
              <w:t>DSS</w:t>
            </w:r>
            <w:r w:rsidRPr="0045554E">
              <w:rPr>
                <w:rFonts w:cs="Arial"/>
              </w:rPr>
              <w:t>.</w:t>
            </w:r>
          </w:p>
          <w:p w:rsidR="001037C0" w:rsidRPr="0045554E" w:rsidRDefault="001037C0" w:rsidP="001037C0">
            <w:pPr>
              <w:pStyle w:val="TableBullet"/>
              <w:rPr>
                <w:rFonts w:cs="Arial"/>
              </w:rPr>
            </w:pPr>
            <w:r w:rsidRPr="0045554E">
              <w:rPr>
                <w:rFonts w:cs="Arial"/>
              </w:rPr>
              <w:t xml:space="preserve">Before June 2008 ― projections based on the 2001 Census as prepared for </w:t>
            </w:r>
            <w:r w:rsidR="00DC4C91">
              <w:rPr>
                <w:rFonts w:cs="Arial"/>
              </w:rPr>
              <w:t>DSS</w:t>
            </w:r>
            <w:r w:rsidRPr="0045554E">
              <w:rPr>
                <w:rFonts w:cs="Arial"/>
              </w:rPr>
              <w:t xml:space="preserve"> by the ABS according to the assumptions agreed to by </w:t>
            </w:r>
            <w:r w:rsidR="00DC4C91">
              <w:rPr>
                <w:rFonts w:cs="Arial"/>
              </w:rPr>
              <w:t>DSS</w:t>
            </w:r>
            <w:r w:rsidRPr="0045554E">
              <w:rPr>
                <w:rFonts w:cs="Arial"/>
              </w:rPr>
              <w:t>.</w:t>
            </w:r>
          </w:p>
          <w:p w:rsidR="001037C0" w:rsidRPr="0045554E" w:rsidRDefault="001037C0" w:rsidP="001037C0">
            <w:pPr>
              <w:pStyle w:val="TableBodyText"/>
              <w:jc w:val="both"/>
              <w:rPr>
                <w:rFonts w:cs="Arial"/>
              </w:rPr>
            </w:pPr>
            <w:r w:rsidRPr="0045554E">
              <w:rPr>
                <w:rFonts w:cs="Arial"/>
              </w:rPr>
              <w:t>Indigenous population projections 50–64 year olds</w:t>
            </w:r>
            <w:r>
              <w:rPr>
                <w:rFonts w:cs="Arial"/>
              </w:rPr>
              <w:t xml:space="preserve"> or aged 50 years or over</w:t>
            </w:r>
          </w:p>
          <w:p w:rsidR="001037C0" w:rsidRDefault="001037C0" w:rsidP="001037C0">
            <w:pPr>
              <w:pStyle w:val="TableBullet"/>
              <w:rPr>
                <w:rFonts w:cs="Arial"/>
              </w:rPr>
            </w:pPr>
            <w:r w:rsidRPr="00DA4435">
              <w:rPr>
                <w:rFonts w:cs="Arial"/>
              </w:rPr>
              <w:t xml:space="preserve">June 2008–June 2013 ― based on ABS Indigenous Experimental 2006 ERP data at SLA level and aligned to published ABS Indigenous data Experimental Estimates and Projections (ABS Cat. no. 3238.0, </w:t>
            </w:r>
            <w:r>
              <w:rPr>
                <w:rFonts w:cs="Arial"/>
              </w:rPr>
              <w:br/>
            </w:r>
            <w:r w:rsidRPr="00DA4435">
              <w:rPr>
                <w:rFonts w:cs="Arial"/>
              </w:rPr>
              <w:t>series B).</w:t>
            </w:r>
          </w:p>
          <w:p w:rsidR="001037C0" w:rsidRDefault="001037C0" w:rsidP="001037C0">
            <w:pPr>
              <w:pStyle w:val="TableBodyText"/>
              <w:jc w:val="both"/>
              <w:rPr>
                <w:rFonts w:cs="Arial"/>
              </w:rPr>
            </w:pPr>
            <w:r>
              <w:rPr>
                <w:rFonts w:cs="Arial"/>
              </w:rPr>
              <w:t>E</w:t>
            </w:r>
            <w:r w:rsidRPr="008F3FD4">
              <w:rPr>
                <w:rFonts w:cs="Arial"/>
              </w:rPr>
              <w:t>stimated resident population born in non</w:t>
            </w:r>
            <w:r w:rsidR="00104B60">
              <w:rPr>
                <w:rFonts w:cs="Arial"/>
              </w:rPr>
              <w:noBreakHyphen/>
            </w:r>
            <w:r w:rsidRPr="008F3FD4">
              <w:rPr>
                <w:rFonts w:cs="Arial"/>
              </w:rPr>
              <w:t>English speaking countries aged 65 years or over.</w:t>
            </w:r>
          </w:p>
          <w:p w:rsidR="001037C0" w:rsidRDefault="001037C0" w:rsidP="001037C0">
            <w:pPr>
              <w:pStyle w:val="TableBullet"/>
            </w:pPr>
            <w:r w:rsidRPr="008F3FD4">
              <w:rPr>
                <w:rFonts w:cs="Arial"/>
              </w:rPr>
              <w:t xml:space="preserve">Before June 2008 ― </w:t>
            </w:r>
            <w:r w:rsidRPr="008F3FD4">
              <w:t xml:space="preserve">based on ratios from ABS 2001 </w:t>
            </w:r>
            <w:r>
              <w:t>Census</w:t>
            </w:r>
            <w:r w:rsidRPr="008F3FD4">
              <w:t xml:space="preserve"> applied to ABS population projections by SLA 2002–2022 (unpublished</w:t>
            </w:r>
            <w:r>
              <w:t>).</w:t>
            </w:r>
          </w:p>
          <w:p w:rsidR="001037C0" w:rsidRDefault="001037C0" w:rsidP="001037C0">
            <w:pPr>
              <w:pStyle w:val="TableBullet"/>
            </w:pPr>
            <w:r w:rsidRPr="003F48D9">
              <w:t>June 2008</w:t>
            </w:r>
            <w:r>
              <w:t xml:space="preserve"> </w:t>
            </w:r>
            <w:r w:rsidRPr="008F3FD4">
              <w:rPr>
                <w:rFonts w:cs="Arial"/>
              </w:rPr>
              <w:t>―</w:t>
            </w:r>
            <w:r>
              <w:rPr>
                <w:rFonts w:cs="Arial"/>
              </w:rPr>
              <w:t xml:space="preserve"> c</w:t>
            </w:r>
            <w:r w:rsidRPr="008F3FD4">
              <w:t>ensus count of people born overseas in countries other than main English</w:t>
            </w:r>
            <w:r w:rsidR="00104B60">
              <w:noBreakHyphen/>
            </w:r>
            <w:r w:rsidRPr="008F3FD4">
              <w:t>speaking countries increased by ratio (projected population 200</w:t>
            </w:r>
            <w:r>
              <w:t>8</w:t>
            </w:r>
            <w:r w:rsidRPr="008F3FD4">
              <w:t xml:space="preserve">) / (census count 2006) </w:t>
            </w:r>
          </w:p>
          <w:p w:rsidR="001037C0" w:rsidRDefault="001037C0" w:rsidP="001037C0">
            <w:pPr>
              <w:pStyle w:val="TableBullet"/>
            </w:pPr>
            <w:r w:rsidRPr="003F48D9">
              <w:t>June 200</w:t>
            </w:r>
            <w:r>
              <w:t>9</w:t>
            </w:r>
            <w:r w:rsidRPr="003F48D9">
              <w:t>–June 2012 ―</w:t>
            </w:r>
            <w:r>
              <w:t xml:space="preserve"> </w:t>
            </w:r>
            <w:r w:rsidRPr="008F3FD4">
              <w:t xml:space="preserve">based on ratios from ABS 2006 Census data applied to population projections by SLA 2007–2027 (unpublished, produced for </w:t>
            </w:r>
            <w:r w:rsidR="00DC4C91">
              <w:t>DSS</w:t>
            </w:r>
            <w:r w:rsidRPr="008F3FD4">
              <w:t xml:space="preserve"> by ABS).</w:t>
            </w:r>
          </w:p>
          <w:p w:rsidR="0058260A" w:rsidRPr="00F06A16" w:rsidRDefault="001037C0" w:rsidP="001037C0">
            <w:pPr>
              <w:pStyle w:val="TableBullet"/>
              <w:rPr>
                <w:rFonts w:cs="Arial"/>
              </w:rPr>
            </w:pPr>
            <w:r>
              <w:t xml:space="preserve">From </w:t>
            </w:r>
            <w:r w:rsidRPr="008F3FD4">
              <w:t xml:space="preserve">June 2013 </w:t>
            </w:r>
            <w:r w:rsidRPr="003F48D9">
              <w:t>―</w:t>
            </w:r>
            <w:r w:rsidRPr="008F3FD4">
              <w:t xml:space="preserve"> based on ratios from ABS 2011 Census data applied to preliminary population projections by SLA 2011–2026.</w:t>
            </w:r>
          </w:p>
        </w:tc>
      </w:tr>
      <w:tr w:rsidR="0058260A" w:rsidRPr="00703E6F" w:rsidTr="00F06A16">
        <w:tc>
          <w:tcPr>
            <w:tcW w:w="5000" w:type="pct"/>
            <w:gridSpan w:val="2"/>
          </w:tcPr>
          <w:p w:rsidR="00F06A16" w:rsidRDefault="00F06A16" w:rsidP="00BE5B08">
            <w:pPr>
              <w:pStyle w:val="TableBodyText"/>
              <w:jc w:val="both"/>
              <w:rPr>
                <w:b/>
                <w:u w:val="single"/>
              </w:rPr>
            </w:pPr>
          </w:p>
          <w:p w:rsidR="0058260A" w:rsidRPr="00703E6F" w:rsidRDefault="0058260A" w:rsidP="00BE5B08">
            <w:pPr>
              <w:pStyle w:val="TableBodyText"/>
              <w:jc w:val="both"/>
              <w:rPr>
                <w:rFonts w:cs="Arial"/>
              </w:rPr>
            </w:pPr>
            <w:r w:rsidRPr="00B11A04">
              <w:rPr>
                <w:b/>
                <w:u w:val="single"/>
              </w:rPr>
              <w:t>Data Quality Framework Dimensions</w:t>
            </w:r>
          </w:p>
        </w:tc>
      </w:tr>
      <w:tr w:rsidR="0058260A" w:rsidRPr="00703E6F" w:rsidTr="00F06A16">
        <w:tc>
          <w:tcPr>
            <w:tcW w:w="1021" w:type="pct"/>
          </w:tcPr>
          <w:p w:rsidR="0058260A" w:rsidRPr="00EC4031" w:rsidRDefault="0058260A" w:rsidP="00BE5B08">
            <w:pPr>
              <w:pStyle w:val="TableBodyText"/>
              <w:keepNext w:val="0"/>
              <w:keepLines w:val="0"/>
              <w:ind w:left="0"/>
              <w:jc w:val="both"/>
              <w:rPr>
                <w:rFonts w:cs="Arial"/>
                <w:lang w:val="en-US" w:eastAsia="en-US"/>
              </w:rPr>
            </w:pPr>
            <w:r w:rsidRPr="00C35432">
              <w:rPr>
                <w:rFonts w:cs="Arial"/>
                <w:b/>
                <w:lang w:val="en-US" w:eastAsia="en-US"/>
              </w:rPr>
              <w:t>Institutional environment</w:t>
            </w:r>
            <w:r>
              <w:rPr>
                <w:rFonts w:cs="Arial"/>
                <w:lang w:val="en-US" w:eastAsia="en-US"/>
              </w:rPr>
              <w:t xml:space="preserve"> </w:t>
            </w:r>
          </w:p>
        </w:tc>
        <w:tc>
          <w:tcPr>
            <w:tcW w:w="3979" w:type="pct"/>
          </w:tcPr>
          <w:p w:rsidR="0058260A" w:rsidRDefault="0058260A" w:rsidP="007D7B1A">
            <w:pPr>
              <w:pStyle w:val="TableBodyText"/>
              <w:keepNext w:val="0"/>
              <w:keepLines w:val="0"/>
              <w:widowControl w:val="0"/>
              <w:ind w:left="0"/>
              <w:jc w:val="both"/>
              <w:rPr>
                <w:rFonts w:cs="Arial"/>
              </w:rPr>
            </w:pPr>
            <w:r w:rsidRPr="00703E6F">
              <w:rPr>
                <w:rFonts w:cs="Arial"/>
              </w:rPr>
              <w:t xml:space="preserve">Approved </w:t>
            </w:r>
            <w:r>
              <w:rPr>
                <w:rFonts w:cs="Arial"/>
              </w:rPr>
              <w:t xml:space="preserve">service </w:t>
            </w:r>
            <w:r w:rsidRPr="00703E6F">
              <w:rPr>
                <w:rFonts w:cs="Arial"/>
              </w:rPr>
              <w:t xml:space="preserve">providers submit data to Medicare Australia to claim subsidies from the Australian Government for services delivered under the </w:t>
            </w:r>
            <w:r w:rsidRPr="00E844E8">
              <w:rPr>
                <w:rFonts w:cs="Arial"/>
                <w:i/>
              </w:rPr>
              <w:t>Aged Care Act 1997</w:t>
            </w:r>
            <w:r w:rsidRPr="00703E6F">
              <w:rPr>
                <w:rFonts w:cs="Arial"/>
              </w:rPr>
              <w:t xml:space="preserve"> and </w:t>
            </w:r>
            <w:r w:rsidRPr="00E844E8">
              <w:rPr>
                <w:rFonts w:cs="Arial"/>
                <w:i/>
              </w:rPr>
              <w:t>Aged Care Principles</w:t>
            </w:r>
            <w:r w:rsidRPr="00E844E8">
              <w:rPr>
                <w:rFonts w:cs="Arial"/>
              </w:rPr>
              <w:t xml:space="preserve"> </w:t>
            </w:r>
            <w:r w:rsidRPr="00703E6F">
              <w:rPr>
                <w:rFonts w:cs="Arial"/>
              </w:rPr>
              <w:t>(the Principles)</w:t>
            </w:r>
            <w:r w:rsidRPr="008629BD">
              <w:rPr>
                <w:rStyle w:val="FootnoteReference"/>
                <w:rFonts w:ascii="Arial" w:hAnsi="Arial"/>
                <w:i/>
                <w:iCs/>
                <w:sz w:val="16"/>
                <w:szCs w:val="16"/>
              </w:rPr>
              <w:footnoteReference w:id="2"/>
            </w:r>
            <w:r w:rsidRPr="008629BD">
              <w:rPr>
                <w:rFonts w:cs="Arial"/>
                <w:sz w:val="16"/>
                <w:szCs w:val="16"/>
              </w:rPr>
              <w:t>.</w:t>
            </w:r>
            <w:r w:rsidR="00104B60">
              <w:rPr>
                <w:rFonts w:cs="Arial"/>
              </w:rPr>
              <w:t xml:space="preserve"> </w:t>
            </w:r>
            <w:r w:rsidRPr="00703E6F">
              <w:rPr>
                <w:rFonts w:cs="Arial"/>
              </w:rPr>
              <w:t xml:space="preserve">These data are provided to the </w:t>
            </w:r>
            <w:r w:rsidR="00DC4C91">
              <w:rPr>
                <w:rFonts w:cs="Arial"/>
              </w:rPr>
              <w:t>DSS</w:t>
            </w:r>
            <w:r w:rsidRPr="00703E6F">
              <w:rPr>
                <w:rFonts w:cs="Arial"/>
              </w:rPr>
              <w:t xml:space="preserve"> and are stored in the</w:t>
            </w:r>
            <w:r>
              <w:rPr>
                <w:rFonts w:cs="Arial"/>
              </w:rPr>
              <w:t xml:space="preserve"> Ageing and</w:t>
            </w:r>
            <w:r w:rsidRPr="00703E6F">
              <w:rPr>
                <w:rFonts w:cs="Arial"/>
              </w:rPr>
              <w:t xml:space="preserve"> </w:t>
            </w:r>
            <w:r w:rsidRPr="00E844E8">
              <w:rPr>
                <w:rFonts w:cs="Arial"/>
              </w:rPr>
              <w:t xml:space="preserve">Aged Care </w:t>
            </w:r>
            <w:r w:rsidRPr="00703E6F">
              <w:rPr>
                <w:rFonts w:cs="Arial"/>
              </w:rPr>
              <w:t xml:space="preserve">data warehouse. </w:t>
            </w:r>
          </w:p>
          <w:p w:rsidR="0058260A" w:rsidRPr="00FE389D" w:rsidRDefault="0058260A" w:rsidP="007D7B1A">
            <w:pPr>
              <w:pStyle w:val="TableBodyText"/>
              <w:keepNext w:val="0"/>
              <w:keepLines w:val="0"/>
              <w:widowControl w:val="0"/>
              <w:ind w:left="0"/>
              <w:jc w:val="both"/>
              <w:rPr>
                <w:rFonts w:cs="Arial"/>
                <w:i/>
                <w:iCs/>
              </w:rPr>
            </w:pPr>
            <w:r>
              <w:t xml:space="preserve">Information </w:t>
            </w:r>
            <w:r w:rsidRPr="007D7B1A">
              <w:rPr>
                <w:rFonts w:cs="Arial"/>
              </w:rPr>
              <w:t>relating</w:t>
            </w:r>
            <w:r>
              <w:t xml:space="preserve"> </w:t>
            </w:r>
            <w:r w:rsidRPr="007D7B1A">
              <w:rPr>
                <w:rFonts w:cs="Arial"/>
              </w:rPr>
              <w:t>to</w:t>
            </w:r>
            <w:r>
              <w:t xml:space="preserve"> the recipient details is provided by Medicare Australia to provide context around the claims.</w:t>
            </w:r>
          </w:p>
          <w:p w:rsidR="0058260A" w:rsidRPr="00E50FB4" w:rsidRDefault="0058260A" w:rsidP="00F06A16">
            <w:pPr>
              <w:pStyle w:val="TableBodyText"/>
              <w:keepNext w:val="0"/>
              <w:keepLines w:val="0"/>
              <w:spacing w:after="120"/>
              <w:jc w:val="both"/>
              <w:rPr>
                <w:rFonts w:cs="Arial"/>
              </w:rPr>
            </w:pPr>
            <w:r w:rsidRPr="00703E6F">
              <w:rPr>
                <w:rFonts w:cs="Arial"/>
              </w:rPr>
              <w:t xml:space="preserve">The tables for this indicator </w:t>
            </w:r>
            <w:r>
              <w:rPr>
                <w:rFonts w:cs="Arial"/>
              </w:rPr>
              <w:t>a</w:t>
            </w:r>
            <w:r w:rsidRPr="00703E6F">
              <w:rPr>
                <w:rFonts w:cs="Arial"/>
              </w:rPr>
              <w:t xml:space="preserve">re prepared by the </w:t>
            </w:r>
            <w:r w:rsidR="00DC4C91">
              <w:rPr>
                <w:rFonts w:cs="Arial"/>
              </w:rPr>
              <w:t>DSS</w:t>
            </w:r>
            <w:r w:rsidRPr="00703E6F">
              <w:rPr>
                <w:rFonts w:cs="Arial"/>
              </w:rPr>
              <w:t xml:space="preserve">. </w:t>
            </w:r>
          </w:p>
        </w:tc>
      </w:tr>
      <w:tr w:rsidR="0058260A" w:rsidRPr="00703E6F" w:rsidTr="00F06A16">
        <w:tc>
          <w:tcPr>
            <w:tcW w:w="1021" w:type="pct"/>
          </w:tcPr>
          <w:p w:rsidR="0058260A" w:rsidRPr="00EC4031" w:rsidRDefault="0058260A" w:rsidP="00BE5B08">
            <w:pPr>
              <w:pStyle w:val="TableBodyText"/>
              <w:keepNext w:val="0"/>
              <w:keepLines w:val="0"/>
              <w:ind w:left="0"/>
              <w:jc w:val="both"/>
              <w:rPr>
                <w:rFonts w:cs="Arial"/>
                <w:lang w:val="en-US" w:eastAsia="en-US"/>
              </w:rPr>
            </w:pPr>
            <w:r w:rsidRPr="00E6684A">
              <w:rPr>
                <w:rFonts w:cs="Arial"/>
                <w:b/>
                <w:lang w:val="en-US" w:eastAsia="en-US"/>
              </w:rPr>
              <w:t>Relevance</w:t>
            </w:r>
            <w:r w:rsidRPr="00EC4031">
              <w:rPr>
                <w:rFonts w:cs="Arial"/>
                <w:lang w:val="en-US" w:eastAsia="en-US"/>
              </w:rPr>
              <w:t xml:space="preserve"> </w:t>
            </w:r>
          </w:p>
        </w:tc>
        <w:tc>
          <w:tcPr>
            <w:tcW w:w="3979" w:type="pct"/>
          </w:tcPr>
          <w:p w:rsidR="0058260A" w:rsidRPr="00F06A16" w:rsidRDefault="0058260A" w:rsidP="00F06A16">
            <w:pPr>
              <w:pStyle w:val="TableBodyText"/>
              <w:keepNext w:val="0"/>
              <w:keepLines w:val="0"/>
              <w:spacing w:after="120"/>
              <w:jc w:val="both"/>
              <w:rPr>
                <w:rFonts w:cs="Arial"/>
              </w:rPr>
            </w:pPr>
            <w:r>
              <w:rPr>
                <w:rFonts w:cs="Arial"/>
              </w:rPr>
              <w:t xml:space="preserve">The data are reported by state / territory and provide information on the ratios of recipients in aged care based on characteristics of age, country of birth and Indigenous status to the relevant populations of </w:t>
            </w:r>
            <w:r w:rsidR="004B1330">
              <w:rPr>
                <w:rFonts w:cs="Arial"/>
              </w:rPr>
              <w:t>65</w:t>
            </w:r>
            <w:r>
              <w:rPr>
                <w:rFonts w:cs="Arial"/>
              </w:rPr>
              <w:t xml:space="preserve"> plus, </w:t>
            </w:r>
            <w:r>
              <w:rPr>
                <w:rFonts w:cs="Arial"/>
              </w:rPr>
              <w:br/>
              <w:t>non</w:t>
            </w:r>
            <w:r w:rsidR="00104B60">
              <w:rPr>
                <w:rFonts w:cs="Arial"/>
              </w:rPr>
              <w:noBreakHyphen/>
            </w:r>
            <w:r>
              <w:rPr>
                <w:rFonts w:cs="Arial"/>
              </w:rPr>
              <w:t>English speaking background and Indigenous populations.</w:t>
            </w:r>
          </w:p>
        </w:tc>
      </w:tr>
      <w:tr w:rsidR="0058260A" w:rsidRPr="00EA5574" w:rsidTr="00F06A16">
        <w:tc>
          <w:tcPr>
            <w:tcW w:w="1021" w:type="pct"/>
          </w:tcPr>
          <w:p w:rsidR="0058260A" w:rsidRPr="00EC4031" w:rsidRDefault="0058260A" w:rsidP="00BE5B08">
            <w:pPr>
              <w:pStyle w:val="TableBodyText"/>
              <w:keepNext w:val="0"/>
              <w:keepLines w:val="0"/>
              <w:ind w:left="0"/>
              <w:jc w:val="both"/>
              <w:rPr>
                <w:rFonts w:cs="Arial"/>
                <w:lang w:val="en-US" w:eastAsia="en-US"/>
              </w:rPr>
            </w:pPr>
            <w:r w:rsidRPr="00E6684A">
              <w:rPr>
                <w:rFonts w:cs="Arial"/>
                <w:b/>
                <w:lang w:val="en-US" w:eastAsia="en-US"/>
              </w:rPr>
              <w:t>Timeliness</w:t>
            </w:r>
            <w:r w:rsidRPr="00EC4031">
              <w:rPr>
                <w:rFonts w:cs="Arial"/>
                <w:lang w:val="en-US" w:eastAsia="en-US"/>
              </w:rPr>
              <w:t xml:space="preserve"> </w:t>
            </w:r>
          </w:p>
        </w:tc>
        <w:tc>
          <w:tcPr>
            <w:tcW w:w="3979" w:type="pct"/>
          </w:tcPr>
          <w:p w:rsidR="0058260A" w:rsidRDefault="0058260A" w:rsidP="00BE5B08">
            <w:pPr>
              <w:pStyle w:val="TableBodyText"/>
              <w:keepNext w:val="0"/>
              <w:keepLines w:val="0"/>
              <w:spacing w:after="0"/>
              <w:jc w:val="both"/>
              <w:rPr>
                <w:rFonts w:cs="Arial"/>
              </w:rPr>
            </w:pPr>
            <w:r>
              <w:rPr>
                <w:rFonts w:cs="Arial"/>
              </w:rPr>
              <w:t xml:space="preserve">Medicare Australia provides recipient data to </w:t>
            </w:r>
            <w:r w:rsidR="00DC4C91">
              <w:rPr>
                <w:rFonts w:cs="Arial"/>
              </w:rPr>
              <w:t>DSS</w:t>
            </w:r>
            <w:r>
              <w:rPr>
                <w:rFonts w:cs="Arial"/>
              </w:rPr>
              <w:t xml:space="preserve"> weekly and numbers are considered complete in the month after the period in question.</w:t>
            </w:r>
            <w:r w:rsidR="00104B60">
              <w:rPr>
                <w:rFonts w:cs="Arial"/>
              </w:rPr>
              <w:t xml:space="preserve"> </w:t>
            </w:r>
          </w:p>
          <w:p w:rsidR="0058260A" w:rsidRDefault="0058260A" w:rsidP="00130093">
            <w:pPr>
              <w:pStyle w:val="TableBodyText"/>
              <w:jc w:val="both"/>
              <w:rPr>
                <w:rFonts w:cs="Arial"/>
              </w:rPr>
            </w:pPr>
            <w:r>
              <w:rPr>
                <w:rFonts w:cs="Arial"/>
              </w:rPr>
              <w:t>On occasion a small percentage of late data are received from Medicare Australia.</w:t>
            </w:r>
          </w:p>
          <w:p w:rsidR="0058260A" w:rsidRPr="00703E6F" w:rsidRDefault="0058260A" w:rsidP="00130093">
            <w:pPr>
              <w:pStyle w:val="TableBodyText"/>
              <w:jc w:val="both"/>
              <w:rPr>
                <w:rFonts w:cs="Arial"/>
              </w:rPr>
            </w:pPr>
            <w:r w:rsidRPr="00703E6F">
              <w:rPr>
                <w:rFonts w:cs="Arial"/>
              </w:rPr>
              <w:t xml:space="preserve">Data </w:t>
            </w:r>
            <w:r>
              <w:rPr>
                <w:rFonts w:cs="Arial"/>
              </w:rPr>
              <w:t xml:space="preserve">collected in September </w:t>
            </w:r>
            <w:r w:rsidRPr="00703E6F">
              <w:rPr>
                <w:rFonts w:cs="Arial"/>
              </w:rPr>
              <w:t xml:space="preserve">for the previous financial year is </w:t>
            </w:r>
            <w:r>
              <w:rPr>
                <w:rFonts w:cs="Arial"/>
              </w:rPr>
              <w:t>considered complete for publishing purposes</w:t>
            </w:r>
            <w:r w:rsidRPr="00703E6F">
              <w:rPr>
                <w:rFonts w:cs="Arial"/>
              </w:rPr>
              <w:t>.</w:t>
            </w:r>
          </w:p>
          <w:p w:rsidR="0058260A" w:rsidRPr="00703E6F" w:rsidRDefault="0058260A" w:rsidP="00F06A16">
            <w:pPr>
              <w:pStyle w:val="TableBodyText"/>
              <w:keepNext w:val="0"/>
              <w:keepLines w:val="0"/>
              <w:spacing w:after="120"/>
              <w:jc w:val="both"/>
              <w:rPr>
                <w:rFonts w:cs="Arial"/>
              </w:rPr>
            </w:pPr>
            <w:r>
              <w:rPr>
                <w:rFonts w:cs="Arial"/>
              </w:rPr>
              <w:t>Population data are based on the ABS data from the 2006 census. Future census data for population projections (denominator) may be used to provide updates to the current ratios if significantly different.</w:t>
            </w:r>
          </w:p>
        </w:tc>
      </w:tr>
      <w:tr w:rsidR="0058260A" w:rsidRPr="00EA5574" w:rsidTr="00F06A16">
        <w:tc>
          <w:tcPr>
            <w:tcW w:w="1021" w:type="pct"/>
          </w:tcPr>
          <w:p w:rsidR="0058260A" w:rsidRPr="00EC4031" w:rsidRDefault="0058260A" w:rsidP="00BE5B08">
            <w:pPr>
              <w:pStyle w:val="TableBodyText"/>
              <w:keepNext w:val="0"/>
              <w:keepLines w:val="0"/>
              <w:ind w:left="0"/>
              <w:jc w:val="both"/>
              <w:rPr>
                <w:rFonts w:cs="Arial"/>
                <w:lang w:val="en-US" w:eastAsia="en-US"/>
              </w:rPr>
            </w:pPr>
            <w:r w:rsidRPr="00E6684A">
              <w:rPr>
                <w:rFonts w:cs="Arial"/>
                <w:b/>
                <w:lang w:val="en-US" w:eastAsia="en-US"/>
              </w:rPr>
              <w:t>Accuracy</w:t>
            </w:r>
            <w:r w:rsidRPr="00EC4031">
              <w:rPr>
                <w:rFonts w:cs="Arial"/>
                <w:lang w:val="en-US" w:eastAsia="en-US"/>
              </w:rPr>
              <w:t xml:space="preserve"> </w:t>
            </w:r>
          </w:p>
        </w:tc>
        <w:tc>
          <w:tcPr>
            <w:tcW w:w="3979" w:type="pct"/>
          </w:tcPr>
          <w:p w:rsidR="0058260A" w:rsidRPr="00703E6F" w:rsidRDefault="0058260A" w:rsidP="007D7B1A">
            <w:pPr>
              <w:pStyle w:val="TableBodyText"/>
              <w:keepNext w:val="0"/>
              <w:keepLines w:val="0"/>
              <w:widowControl w:val="0"/>
              <w:ind w:left="0"/>
              <w:jc w:val="both"/>
              <w:rPr>
                <w:rFonts w:cs="Arial"/>
              </w:rPr>
            </w:pPr>
            <w:r w:rsidRPr="00703E6F">
              <w:rPr>
                <w:rFonts w:cs="Arial"/>
              </w:rPr>
              <w:t>Funding to service providers of Aged Care under the Act and the Principles is contingent on their submitting claims to Medicare Australia. Service providers’ claims are audited annually.</w:t>
            </w:r>
          </w:p>
          <w:p w:rsidR="0058260A" w:rsidRPr="00703E6F" w:rsidRDefault="0058260A" w:rsidP="007D7B1A">
            <w:pPr>
              <w:pStyle w:val="TableBodyText"/>
              <w:keepNext w:val="0"/>
              <w:keepLines w:val="0"/>
              <w:widowControl w:val="0"/>
              <w:ind w:left="0"/>
              <w:jc w:val="both"/>
              <w:rPr>
                <w:rFonts w:cs="Arial"/>
              </w:rPr>
            </w:pPr>
            <w:r w:rsidRPr="00703E6F">
              <w:rPr>
                <w:rFonts w:cs="Arial"/>
              </w:rPr>
              <w:t xml:space="preserve">The data presented against this indicator </w:t>
            </w:r>
            <w:r>
              <w:rPr>
                <w:rFonts w:cs="Arial"/>
              </w:rPr>
              <w:t>relate to</w:t>
            </w:r>
            <w:r w:rsidRPr="00703E6F">
              <w:rPr>
                <w:rFonts w:cs="Arial"/>
              </w:rPr>
              <w:t xml:space="preserve"> people who have accessed a Community Aged Care Package in the relevant financial year.</w:t>
            </w:r>
            <w:r w:rsidR="00104B60">
              <w:rPr>
                <w:rFonts w:cs="Arial"/>
              </w:rPr>
              <w:t xml:space="preserve"> </w:t>
            </w:r>
          </w:p>
          <w:p w:rsidR="0058260A" w:rsidRPr="00703E6F" w:rsidRDefault="0058260A" w:rsidP="00130093">
            <w:pPr>
              <w:pStyle w:val="TableBodyText"/>
              <w:jc w:val="both"/>
              <w:rPr>
                <w:rFonts w:cs="Arial"/>
              </w:rPr>
            </w:pPr>
            <w:r w:rsidRPr="00703E6F">
              <w:rPr>
                <w:rFonts w:cs="Arial"/>
              </w:rPr>
              <w:lastRenderedPageBreak/>
              <w:t xml:space="preserve">Approximately one tenth of one per cent of all Community Aged Care Package recipients has an unspecified Indigenous status. </w:t>
            </w:r>
            <w:r w:rsidR="004B1330" w:rsidRPr="004B1330">
              <w:rPr>
                <w:rFonts w:cs="Arial"/>
              </w:rPr>
              <w:t>These unspecified responses are excluded.</w:t>
            </w:r>
          </w:p>
          <w:p w:rsidR="0058260A" w:rsidRDefault="0058260A" w:rsidP="007D7B1A">
            <w:pPr>
              <w:pStyle w:val="TableBodyText"/>
              <w:keepNext w:val="0"/>
              <w:keepLines w:val="0"/>
              <w:widowControl w:val="0"/>
              <w:ind w:left="0"/>
              <w:jc w:val="both"/>
              <w:rPr>
                <w:rFonts w:cs="Arial"/>
                <w:i/>
              </w:rPr>
            </w:pPr>
            <w:r w:rsidRPr="00703E6F">
              <w:rPr>
                <w:rFonts w:cs="Arial"/>
              </w:rPr>
              <w:t>Approximately one per cent of all Community Aged Care Package recipients ha</w:t>
            </w:r>
            <w:r>
              <w:rPr>
                <w:rFonts w:cs="Arial"/>
              </w:rPr>
              <w:t>s</w:t>
            </w:r>
            <w:r w:rsidRPr="00703E6F">
              <w:rPr>
                <w:rFonts w:cs="Arial"/>
              </w:rPr>
              <w:t xml:space="preserve"> an unspecified country of birth. </w:t>
            </w:r>
            <w:r w:rsidR="004B1330" w:rsidRPr="004B1330">
              <w:rPr>
                <w:rFonts w:cs="Arial"/>
              </w:rPr>
              <w:t>These unspecified responses are excluded.</w:t>
            </w:r>
          </w:p>
          <w:p w:rsidR="0058260A" w:rsidRPr="00703E6F" w:rsidRDefault="0058260A" w:rsidP="00F06A16">
            <w:pPr>
              <w:pStyle w:val="TableBodyText"/>
              <w:keepNext w:val="0"/>
              <w:keepLines w:val="0"/>
              <w:spacing w:after="120"/>
              <w:jc w:val="both"/>
              <w:rPr>
                <w:rFonts w:cs="Arial"/>
              </w:rPr>
            </w:pPr>
            <w:r>
              <w:rPr>
                <w:rFonts w:cs="Arial"/>
              </w:rPr>
              <w:t>The age of the recipient is calculated as at 30 June.</w:t>
            </w:r>
          </w:p>
        </w:tc>
      </w:tr>
      <w:tr w:rsidR="0058260A" w:rsidRPr="00703E6F" w:rsidTr="00F06A16">
        <w:tc>
          <w:tcPr>
            <w:tcW w:w="1021" w:type="pct"/>
          </w:tcPr>
          <w:p w:rsidR="0058260A" w:rsidRPr="00AB3ADA" w:rsidRDefault="0058260A" w:rsidP="00BE5B08">
            <w:pPr>
              <w:pStyle w:val="TableBodyText"/>
              <w:keepNext w:val="0"/>
              <w:keepLines w:val="0"/>
              <w:ind w:left="0"/>
              <w:jc w:val="both"/>
              <w:rPr>
                <w:rFonts w:cs="Arial"/>
                <w:lang w:val="en-US" w:eastAsia="en-US"/>
              </w:rPr>
            </w:pPr>
            <w:r w:rsidRPr="00AB3ADA">
              <w:rPr>
                <w:rFonts w:cs="Arial"/>
                <w:b/>
                <w:lang w:val="en-US" w:eastAsia="en-US"/>
              </w:rPr>
              <w:lastRenderedPageBreak/>
              <w:t>Coherence</w:t>
            </w:r>
            <w:r w:rsidRPr="00AB3ADA">
              <w:rPr>
                <w:rFonts w:cs="Arial"/>
                <w:lang w:val="en-US" w:eastAsia="en-US"/>
              </w:rPr>
              <w:t xml:space="preserve"> </w:t>
            </w:r>
          </w:p>
        </w:tc>
        <w:tc>
          <w:tcPr>
            <w:tcW w:w="3979" w:type="pct"/>
          </w:tcPr>
          <w:p w:rsidR="001037C0" w:rsidRPr="001037C0" w:rsidRDefault="001037C0" w:rsidP="001037C0">
            <w:pPr>
              <w:pStyle w:val="TableBodyText"/>
              <w:jc w:val="both"/>
              <w:rPr>
                <w:rFonts w:cs="Arial"/>
              </w:rPr>
            </w:pPr>
            <w:r w:rsidRPr="001037C0">
              <w:rPr>
                <w:rFonts w:cs="Arial"/>
              </w:rPr>
              <w:t>The data items used to construct this performance indicator will be consistent and comparable over time.</w:t>
            </w:r>
          </w:p>
          <w:p w:rsidR="001037C0" w:rsidRPr="001037C0" w:rsidRDefault="001037C0" w:rsidP="001037C0">
            <w:pPr>
              <w:pStyle w:val="TableBodyText"/>
              <w:jc w:val="both"/>
              <w:rPr>
                <w:rFonts w:cs="Arial"/>
              </w:rPr>
            </w:pPr>
            <w:r w:rsidRPr="001037C0">
              <w:rPr>
                <w:rFonts w:cs="Arial"/>
              </w:rPr>
              <w:t>The recipient data are also set to 30 June and are available as a time series. The time series is broken down into months.</w:t>
            </w:r>
          </w:p>
          <w:p w:rsidR="0058260A" w:rsidRPr="00703E6F" w:rsidRDefault="001037C0" w:rsidP="001037C0">
            <w:pPr>
              <w:pStyle w:val="TableBodyText"/>
              <w:keepNext w:val="0"/>
              <w:keepLines w:val="0"/>
              <w:spacing w:after="120"/>
              <w:jc w:val="both"/>
              <w:rPr>
                <w:rFonts w:cs="Arial"/>
              </w:rPr>
            </w:pPr>
            <w:r w:rsidRPr="001037C0">
              <w:rPr>
                <w:rFonts w:cs="Arial"/>
              </w:rPr>
              <w:t>Rates derived using population data based on different Censuses are not comparable.</w:t>
            </w:r>
          </w:p>
        </w:tc>
      </w:tr>
      <w:tr w:rsidR="0058260A" w:rsidRPr="00703E6F" w:rsidTr="00F06A16">
        <w:tc>
          <w:tcPr>
            <w:tcW w:w="1021" w:type="pct"/>
          </w:tcPr>
          <w:p w:rsidR="0058260A" w:rsidRPr="00AB3ADA" w:rsidRDefault="0058260A" w:rsidP="00BE5B08">
            <w:pPr>
              <w:pStyle w:val="TableBodyText"/>
              <w:keepNext w:val="0"/>
              <w:keepLines w:val="0"/>
              <w:ind w:left="0"/>
              <w:jc w:val="both"/>
              <w:rPr>
                <w:rFonts w:cs="Arial"/>
                <w:lang w:val="en-US" w:eastAsia="en-US"/>
              </w:rPr>
            </w:pPr>
            <w:r w:rsidRPr="00AB3ADA">
              <w:rPr>
                <w:rFonts w:cs="Arial"/>
                <w:b/>
                <w:lang w:val="en-US" w:eastAsia="en-US"/>
              </w:rPr>
              <w:t>Accessibility</w:t>
            </w:r>
          </w:p>
        </w:tc>
        <w:tc>
          <w:tcPr>
            <w:tcW w:w="3979" w:type="pct"/>
          </w:tcPr>
          <w:p w:rsidR="00130093" w:rsidRPr="00B11A04" w:rsidRDefault="0058260A" w:rsidP="00F06A16">
            <w:pPr>
              <w:pStyle w:val="TableBodyText"/>
              <w:keepNext w:val="0"/>
              <w:keepLines w:val="0"/>
              <w:spacing w:after="120"/>
              <w:jc w:val="both"/>
              <w:rPr>
                <w:rFonts w:cs="Arial"/>
                <w:iCs/>
              </w:rPr>
            </w:pPr>
            <w:r w:rsidRPr="00703E6F">
              <w:rPr>
                <w:rFonts w:cs="Arial"/>
              </w:rPr>
              <w:t xml:space="preserve">Data are published in the </w:t>
            </w:r>
            <w:r>
              <w:t>Steering Committee for the Review of Government Service Provision</w:t>
            </w:r>
            <w:r>
              <w:rPr>
                <w:rFonts w:cs="Arial"/>
              </w:rPr>
              <w:t>’s</w:t>
            </w:r>
            <w:r>
              <w:t xml:space="preserve"> </w:t>
            </w:r>
            <w:r w:rsidR="00104B60">
              <w:t>(</w:t>
            </w:r>
            <w:proofErr w:type="spellStart"/>
            <w:r w:rsidR="00104B60">
              <w:t>SCRGSP</w:t>
            </w:r>
            <w:proofErr w:type="spellEnd"/>
            <w:r w:rsidR="00104B60">
              <w:t xml:space="preserve">) </w:t>
            </w:r>
            <w:r w:rsidRPr="0052331A">
              <w:rPr>
                <w:rFonts w:cs="Arial"/>
              </w:rPr>
              <w:t>Report on Government Services</w:t>
            </w:r>
            <w:r>
              <w:rPr>
                <w:rFonts w:cs="Arial"/>
                <w:iCs/>
              </w:rPr>
              <w:t>.</w:t>
            </w:r>
          </w:p>
        </w:tc>
      </w:tr>
      <w:tr w:rsidR="0058260A" w:rsidRPr="00703E6F" w:rsidTr="00F06A16">
        <w:tc>
          <w:tcPr>
            <w:tcW w:w="1021" w:type="pct"/>
          </w:tcPr>
          <w:p w:rsidR="0058260A" w:rsidRPr="00AB3ADA" w:rsidRDefault="0058260A" w:rsidP="00BE5B08">
            <w:pPr>
              <w:pStyle w:val="TableBodyText"/>
              <w:keepNext w:val="0"/>
              <w:keepLines w:val="0"/>
              <w:ind w:left="0"/>
              <w:jc w:val="both"/>
              <w:rPr>
                <w:rFonts w:cs="Arial"/>
                <w:szCs w:val="18"/>
              </w:rPr>
            </w:pPr>
            <w:r w:rsidRPr="00672B5F">
              <w:rPr>
                <w:rFonts w:cs="Arial"/>
                <w:b/>
                <w:lang w:val="en-US" w:eastAsia="en-US"/>
              </w:rPr>
              <w:t>Interpretability</w:t>
            </w:r>
          </w:p>
        </w:tc>
        <w:tc>
          <w:tcPr>
            <w:tcW w:w="3979" w:type="pct"/>
          </w:tcPr>
          <w:p w:rsidR="0058260A" w:rsidRPr="00703E6F" w:rsidRDefault="0058260A" w:rsidP="00F06A16">
            <w:pPr>
              <w:pStyle w:val="TableBodyText"/>
              <w:keepNext w:val="0"/>
              <w:keepLines w:val="0"/>
              <w:spacing w:after="120"/>
              <w:jc w:val="both"/>
              <w:rPr>
                <w:rFonts w:cs="Arial"/>
              </w:rPr>
            </w:pPr>
            <w:r w:rsidRPr="00703E6F">
              <w:rPr>
                <w:rFonts w:cs="Arial"/>
              </w:rPr>
              <w:t xml:space="preserve">Further information on definitions is available in the: </w:t>
            </w:r>
            <w:r w:rsidRPr="00703E6F">
              <w:rPr>
                <w:rFonts w:cs="Arial"/>
                <w:i/>
                <w:iCs/>
              </w:rPr>
              <w:t>Aged Care Act 1997</w:t>
            </w:r>
            <w:r w:rsidRPr="00703E6F">
              <w:rPr>
                <w:rFonts w:cs="Arial"/>
              </w:rPr>
              <w:t xml:space="preserve"> and </w:t>
            </w:r>
            <w:r w:rsidRPr="00703E6F">
              <w:rPr>
                <w:rFonts w:cs="Arial"/>
                <w:i/>
                <w:iCs/>
              </w:rPr>
              <w:t>Aged Care Principles;</w:t>
            </w:r>
            <w:r w:rsidRPr="00703E6F">
              <w:rPr>
                <w:rFonts w:cs="Arial"/>
              </w:rPr>
              <w:t xml:space="preserve"> the draft Community Package Care Guidelines 2007; and the </w:t>
            </w:r>
            <w:r>
              <w:rPr>
                <w:szCs w:val="24"/>
              </w:rPr>
              <w:t>Steering Committee for the Review of Government Service Provision</w:t>
            </w:r>
            <w:r>
              <w:rPr>
                <w:rFonts w:cs="Arial"/>
              </w:rPr>
              <w:t xml:space="preserve">’s </w:t>
            </w:r>
            <w:r w:rsidRPr="00703E6F">
              <w:rPr>
                <w:rFonts w:cs="Arial"/>
              </w:rPr>
              <w:t xml:space="preserve">Report on </w:t>
            </w:r>
            <w:r w:rsidRPr="00F06A16">
              <w:t>Government</w:t>
            </w:r>
            <w:r w:rsidRPr="00703E6F">
              <w:rPr>
                <w:rFonts w:cs="Arial"/>
              </w:rPr>
              <w:t xml:space="preserve"> Services </w:t>
            </w:r>
            <w:r w:rsidRPr="00E822FC">
              <w:rPr>
                <w:rFonts w:cs="Arial"/>
              </w:rPr>
              <w:t xml:space="preserve">Aged Care Services Data Manual. </w:t>
            </w:r>
          </w:p>
        </w:tc>
      </w:tr>
      <w:tr w:rsidR="0058260A" w:rsidRPr="00E6684A" w:rsidTr="00F06A16">
        <w:tc>
          <w:tcPr>
            <w:tcW w:w="5000" w:type="pct"/>
            <w:gridSpan w:val="2"/>
          </w:tcPr>
          <w:p w:rsidR="007D7B1A" w:rsidRDefault="007D7B1A" w:rsidP="00BE5B08">
            <w:pPr>
              <w:pStyle w:val="TableBodyText"/>
              <w:keepNext w:val="0"/>
              <w:keepLines w:val="0"/>
              <w:spacing w:after="60"/>
              <w:jc w:val="both"/>
              <w:rPr>
                <w:b/>
                <w:u w:val="single"/>
              </w:rPr>
            </w:pPr>
          </w:p>
          <w:p w:rsidR="0058260A" w:rsidRDefault="0058260A" w:rsidP="00BE5B08">
            <w:pPr>
              <w:pStyle w:val="TableBodyText"/>
              <w:keepNext w:val="0"/>
              <w:keepLines w:val="0"/>
              <w:spacing w:after="60"/>
              <w:jc w:val="both"/>
              <w:rPr>
                <w:rFonts w:cs="Arial"/>
              </w:rPr>
            </w:pPr>
            <w:r w:rsidRPr="00C744E0">
              <w:rPr>
                <w:b/>
                <w:u w:val="single"/>
              </w:rPr>
              <w:t>Data Gaps/Issues Analysis</w:t>
            </w:r>
          </w:p>
        </w:tc>
      </w:tr>
      <w:tr w:rsidR="0058260A" w:rsidRPr="00E6684A" w:rsidTr="00F06A16">
        <w:tc>
          <w:tcPr>
            <w:tcW w:w="1021" w:type="pct"/>
          </w:tcPr>
          <w:p w:rsidR="0058260A" w:rsidRPr="00672B5F" w:rsidRDefault="0058260A" w:rsidP="00BE5B08">
            <w:pPr>
              <w:pStyle w:val="TableBodyText"/>
              <w:keepNext w:val="0"/>
              <w:keepLines w:val="0"/>
              <w:spacing w:before="120"/>
              <w:ind w:left="0"/>
              <w:jc w:val="both"/>
              <w:rPr>
                <w:rFonts w:cs="Arial"/>
                <w:b/>
                <w:szCs w:val="22"/>
              </w:rPr>
            </w:pPr>
            <w:r w:rsidRPr="00672B5F">
              <w:rPr>
                <w:rFonts w:cs="Arial"/>
                <w:b/>
                <w:szCs w:val="22"/>
              </w:rPr>
              <w:t>Key data gaps/issues</w:t>
            </w:r>
          </w:p>
        </w:tc>
        <w:tc>
          <w:tcPr>
            <w:tcW w:w="3979" w:type="pct"/>
          </w:tcPr>
          <w:p w:rsidR="0058260A" w:rsidRPr="00B479F5" w:rsidRDefault="0058260A" w:rsidP="00BE5B08">
            <w:pPr>
              <w:pStyle w:val="TableBodyText"/>
              <w:keepNext w:val="0"/>
              <w:keepLines w:val="0"/>
              <w:spacing w:after="60"/>
              <w:jc w:val="both"/>
              <w:rPr>
                <w:rFonts w:cs="Arial"/>
              </w:rPr>
            </w:pPr>
            <w:r>
              <w:rPr>
                <w:rFonts w:cs="Arial"/>
              </w:rPr>
              <w:t>The Steering Committee notes the following issues:</w:t>
            </w:r>
            <w:r w:rsidRPr="00B479F5">
              <w:rPr>
                <w:rFonts w:cs="Arial"/>
              </w:rPr>
              <w:t xml:space="preserve"> </w:t>
            </w:r>
          </w:p>
          <w:p w:rsidR="0058260A" w:rsidRPr="002C59E1" w:rsidRDefault="0058260A" w:rsidP="00BE5B08">
            <w:pPr>
              <w:pStyle w:val="TableBullet"/>
              <w:keepNext w:val="0"/>
              <w:keepLines w:val="0"/>
              <w:jc w:val="both"/>
            </w:pPr>
            <w:r w:rsidRPr="002C59E1">
              <w:t>The data provide relevant and accurate information</w:t>
            </w:r>
            <w:r>
              <w:t xml:space="preserve"> on community aged care package</w:t>
            </w:r>
            <w:r w:rsidRPr="002C59E1">
              <w:t xml:space="preserve"> recipients by Indigenous and non</w:t>
            </w:r>
            <w:r w:rsidR="00104B60">
              <w:noBreakHyphen/>
            </w:r>
            <w:r w:rsidRPr="002C59E1">
              <w:t xml:space="preserve">English speaking country of birth status. </w:t>
            </w:r>
          </w:p>
          <w:p w:rsidR="0058260A" w:rsidRPr="002C59E1" w:rsidRDefault="0058260A" w:rsidP="00BE5B08">
            <w:pPr>
              <w:pStyle w:val="TableBullet"/>
              <w:keepNext w:val="0"/>
              <w:keepLines w:val="0"/>
              <w:jc w:val="both"/>
            </w:pPr>
            <w:r w:rsidRPr="002C59E1">
              <w:t xml:space="preserve">Annual data are available. The most recent data available are for </w:t>
            </w:r>
            <w:r>
              <w:br/>
              <w:t>201</w:t>
            </w:r>
            <w:r w:rsidR="00462ABE">
              <w:t>2</w:t>
            </w:r>
            <w:r w:rsidR="00104B60">
              <w:noBreakHyphen/>
            </w:r>
            <w:r>
              <w:t>1</w:t>
            </w:r>
            <w:r w:rsidR="00462ABE">
              <w:t>3</w:t>
            </w:r>
            <w:r>
              <w:t>.</w:t>
            </w:r>
            <w:r w:rsidRPr="002C59E1">
              <w:t xml:space="preserve"> </w:t>
            </w:r>
          </w:p>
          <w:p w:rsidR="0058260A" w:rsidRPr="002C59E1" w:rsidRDefault="0058260A" w:rsidP="00BE5B08">
            <w:pPr>
              <w:pStyle w:val="TableBullet"/>
              <w:keepNext w:val="0"/>
              <w:keepLines w:val="0"/>
              <w:jc w:val="both"/>
            </w:pPr>
            <w:r w:rsidRPr="002C59E1">
              <w:t xml:space="preserve">The data are consistent and comparable over time. </w:t>
            </w:r>
          </w:p>
          <w:p w:rsidR="0058260A" w:rsidRPr="00B479F5" w:rsidRDefault="0058260A" w:rsidP="00BE5B08">
            <w:pPr>
              <w:pStyle w:val="TableBullet"/>
              <w:keepNext w:val="0"/>
              <w:keepLines w:val="0"/>
              <w:jc w:val="both"/>
            </w:pPr>
            <w:r w:rsidRPr="002C59E1">
              <w:t>No significant data gaps or issues are identified.</w:t>
            </w:r>
          </w:p>
        </w:tc>
      </w:tr>
    </w:tbl>
    <w:p w:rsidR="00E119DD" w:rsidRDefault="00E119DD" w:rsidP="006D6087">
      <w:pPr>
        <w:pStyle w:val="Heading3"/>
        <w:spacing w:before="120"/>
        <w:jc w:val="both"/>
      </w:pPr>
      <w:bookmarkStart w:id="24" w:name="_Toc373422520"/>
    </w:p>
    <w:p w:rsidR="00E119DD" w:rsidRDefault="00E119DD" w:rsidP="00E119DD">
      <w:pPr>
        <w:pStyle w:val="BodyText"/>
        <w:rPr>
          <w:rFonts w:ascii="Arial" w:hAnsi="Arial"/>
        </w:rPr>
      </w:pPr>
      <w:r>
        <w:br w:type="page"/>
      </w:r>
    </w:p>
    <w:p w:rsidR="006D6087" w:rsidRPr="00FB3F50" w:rsidRDefault="006D6087" w:rsidP="006D6087">
      <w:pPr>
        <w:pStyle w:val="Heading3"/>
        <w:spacing w:before="120"/>
        <w:jc w:val="both"/>
      </w:pPr>
      <w:bookmarkStart w:id="25" w:name="_Toc377383322"/>
      <w:r w:rsidRPr="00FB3F50">
        <w:lastRenderedPageBreak/>
        <w:t>Use by different groups — access to H</w:t>
      </w:r>
      <w:r w:rsidR="00104B60">
        <w:t xml:space="preserve">ome and </w:t>
      </w:r>
      <w:r w:rsidRPr="00FB3F50">
        <w:t>C</w:t>
      </w:r>
      <w:r w:rsidR="00104B60">
        <w:t xml:space="preserve">ommunity </w:t>
      </w:r>
      <w:r w:rsidRPr="00FB3F50">
        <w:t>C</w:t>
      </w:r>
      <w:r w:rsidR="00104B60">
        <w:t>are (HACC)</w:t>
      </w:r>
      <w:r w:rsidRPr="00FB3F50">
        <w:t xml:space="preserve"> services, by remoteness</w:t>
      </w:r>
      <w:bookmarkEnd w:id="24"/>
      <w:bookmarkEnd w:id="25"/>
    </w:p>
    <w:p w:rsidR="006D6087" w:rsidRPr="00EA5574" w:rsidRDefault="00EA5574" w:rsidP="00E119DD">
      <w:pPr>
        <w:keepNext/>
        <w:spacing w:before="100" w:beforeAutospacing="1" w:line="280" w:lineRule="atLeast"/>
        <w:jc w:val="both"/>
        <w:rPr>
          <w:rFonts w:ascii="Arial" w:hAnsi="Arial"/>
          <w:szCs w:val="20"/>
        </w:rPr>
      </w:pPr>
      <w:proofErr w:type="spellStart"/>
      <w:r w:rsidRPr="00EA5574">
        <w:rPr>
          <w:rFonts w:ascii="Arial" w:hAnsi="Arial"/>
          <w:szCs w:val="20"/>
        </w:rPr>
        <w:t>DQI</w:t>
      </w:r>
      <w:proofErr w:type="spellEnd"/>
      <w:r w:rsidR="006D6087" w:rsidRPr="00EA5574">
        <w:rPr>
          <w:rFonts w:ascii="Arial" w:hAnsi="Arial"/>
          <w:szCs w:val="20"/>
        </w:rPr>
        <w:t xml:space="preserve"> for this indicator has been drafted by the Australian Government </w:t>
      </w:r>
      <w:r w:rsidR="00E119DD">
        <w:rPr>
          <w:rFonts w:ascii="Arial" w:hAnsi="Arial"/>
          <w:szCs w:val="20"/>
        </w:rPr>
        <w:t>DSS</w:t>
      </w:r>
      <w:r w:rsidR="006D6087" w:rsidRPr="00EA5574">
        <w:rPr>
          <w:rFonts w:ascii="Arial" w:hAnsi="Arial"/>
          <w:szCs w:val="20"/>
        </w:rPr>
        <w:t xml:space="preserve"> Victorian and WA governments with additional Steering Committee comments.</w:t>
      </w:r>
    </w:p>
    <w:p w:rsidR="006D6087" w:rsidRPr="006978F2" w:rsidRDefault="006D6087" w:rsidP="006D6087">
      <w:pPr>
        <w:keepNext/>
        <w:keepLines/>
        <w:spacing w:before="120" w:line="320" w:lineRule="atLeast"/>
        <w:jc w:val="both"/>
        <w:rPr>
          <w:rFonts w:ascii="Arial" w:hAnsi="Arial" w:cs="Arial"/>
          <w:szCs w:val="22"/>
        </w:rPr>
      </w:pPr>
    </w:p>
    <w:tbl>
      <w:tblPr>
        <w:tblW w:w="5000" w:type="pct"/>
        <w:tblCellMar>
          <w:left w:w="0" w:type="dxa"/>
          <w:right w:w="0" w:type="dxa"/>
        </w:tblCellMar>
        <w:tblLook w:val="0000" w:firstRow="0" w:lastRow="0" w:firstColumn="0" w:lastColumn="0" w:noHBand="0" w:noVBand="0"/>
      </w:tblPr>
      <w:tblGrid>
        <w:gridCol w:w="1777"/>
        <w:gridCol w:w="6936"/>
        <w:gridCol w:w="76"/>
      </w:tblGrid>
      <w:tr w:rsidR="006D6087" w:rsidRPr="006978F2" w:rsidTr="00E87B88">
        <w:tc>
          <w:tcPr>
            <w:tcW w:w="5000" w:type="pct"/>
            <w:gridSpan w:val="3"/>
          </w:tcPr>
          <w:p w:rsidR="006D6087" w:rsidRPr="006978F2" w:rsidRDefault="006D6087" w:rsidP="00E87B88">
            <w:pPr>
              <w:keepNext/>
              <w:keepLines/>
              <w:spacing w:line="220" w:lineRule="atLeast"/>
              <w:ind w:left="6" w:right="113"/>
              <w:jc w:val="both"/>
              <w:rPr>
                <w:rFonts w:ascii="Arial" w:hAnsi="Arial"/>
                <w:b/>
                <w:sz w:val="20"/>
                <w:szCs w:val="20"/>
                <w:u w:val="single"/>
              </w:rPr>
            </w:pPr>
          </w:p>
          <w:p w:rsidR="006D6087" w:rsidRPr="006978F2" w:rsidRDefault="006D6087" w:rsidP="00E87B88">
            <w:pPr>
              <w:keepNext/>
              <w:keepLines/>
              <w:spacing w:line="220" w:lineRule="atLeast"/>
              <w:ind w:left="6" w:right="113"/>
              <w:jc w:val="both"/>
              <w:rPr>
                <w:rFonts w:ascii="Arial" w:hAnsi="Arial"/>
                <w:sz w:val="20"/>
                <w:szCs w:val="20"/>
              </w:rPr>
            </w:pPr>
            <w:r w:rsidRPr="006978F2">
              <w:rPr>
                <w:rFonts w:ascii="Arial" w:hAnsi="Arial"/>
                <w:b/>
                <w:sz w:val="20"/>
                <w:szCs w:val="20"/>
                <w:u w:val="single"/>
              </w:rPr>
              <w:t>Indicator definition and description</w:t>
            </w:r>
            <w:r w:rsidRPr="006978F2">
              <w:rPr>
                <w:rFonts w:ascii="Arial" w:hAnsi="Arial" w:cs="Arial"/>
                <w:b/>
                <w:szCs w:val="22"/>
                <w:u w:val="single"/>
              </w:rPr>
              <w:t xml:space="preserve"> </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Element</w:t>
            </w:r>
          </w:p>
        </w:tc>
        <w:tc>
          <w:tcPr>
            <w:tcW w:w="7020" w:type="dxa"/>
            <w:tcBorders>
              <w:top w:val="nil"/>
              <w:left w:val="nil"/>
              <w:bottom w:val="nil"/>
              <w:right w:val="nil"/>
            </w:tcBorders>
          </w:tcPr>
          <w:p w:rsidR="006D6087" w:rsidRPr="006978F2" w:rsidRDefault="006D6087" w:rsidP="00E87B88">
            <w:pPr>
              <w:keepNext/>
              <w:keepLines/>
              <w:spacing w:after="120" w:line="220" w:lineRule="atLeast"/>
              <w:ind w:left="6" w:right="113"/>
              <w:rPr>
                <w:rFonts w:ascii="Arial" w:hAnsi="Arial" w:cs="Arial"/>
                <w:sz w:val="20"/>
                <w:szCs w:val="20"/>
              </w:rPr>
            </w:pPr>
            <w:r w:rsidRPr="006978F2">
              <w:rPr>
                <w:rFonts w:ascii="Arial" w:hAnsi="Arial" w:cs="Arial"/>
                <w:sz w:val="20"/>
                <w:szCs w:val="20"/>
              </w:rPr>
              <w:t>Equity — Access</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Indicator </w:t>
            </w:r>
          </w:p>
        </w:tc>
        <w:tc>
          <w:tcPr>
            <w:tcW w:w="7020" w:type="dxa"/>
            <w:tcBorders>
              <w:top w:val="nil"/>
              <w:left w:val="nil"/>
              <w:bottom w:val="nil"/>
              <w:right w:val="nil"/>
            </w:tcBorders>
          </w:tcPr>
          <w:p w:rsidR="006D6087" w:rsidRPr="006978F2" w:rsidRDefault="006D6087" w:rsidP="00E87B88">
            <w:pPr>
              <w:keepNext/>
              <w:keepLines/>
              <w:spacing w:after="120" w:line="220" w:lineRule="atLeast"/>
              <w:ind w:left="6" w:right="113"/>
              <w:jc w:val="both"/>
              <w:rPr>
                <w:rFonts w:ascii="Arial" w:hAnsi="Arial" w:cs="Arial"/>
                <w:sz w:val="20"/>
                <w:szCs w:val="20"/>
              </w:rPr>
            </w:pPr>
            <w:r w:rsidRPr="006978F2">
              <w:rPr>
                <w:rFonts w:ascii="Arial" w:hAnsi="Arial" w:cs="Arial"/>
                <w:sz w:val="20"/>
                <w:szCs w:val="20"/>
              </w:rPr>
              <w:t xml:space="preserve">Use by different groups — </w:t>
            </w:r>
            <w:r w:rsidRPr="00B45CF2">
              <w:rPr>
                <w:rFonts w:ascii="Arial" w:hAnsi="Arial" w:cs="Arial"/>
                <w:sz w:val="20"/>
                <w:szCs w:val="20"/>
              </w:rPr>
              <w:t>access to HACC services, by remoteness</w:t>
            </w:r>
            <w:r w:rsidRPr="006978F2">
              <w:rPr>
                <w:rFonts w:ascii="Arial" w:hAnsi="Arial" w:cs="Arial"/>
                <w:sz w:val="20"/>
                <w:szCs w:val="20"/>
              </w:rPr>
              <w:t xml:space="preserve">. </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Measure (computation)</w:t>
            </w:r>
          </w:p>
        </w:tc>
        <w:tc>
          <w:tcPr>
            <w:tcW w:w="7020" w:type="dxa"/>
            <w:tcBorders>
              <w:top w:val="nil"/>
              <w:left w:val="nil"/>
              <w:bottom w:val="nil"/>
              <w:right w:val="nil"/>
            </w:tcBorders>
          </w:tcPr>
          <w:p w:rsidR="006D6087" w:rsidRPr="006978F2" w:rsidRDefault="006D6087" w:rsidP="00E87B88">
            <w:pPr>
              <w:keepNext/>
              <w:keepLines/>
              <w:spacing w:after="60" w:line="220" w:lineRule="atLeast"/>
              <w:ind w:left="6" w:right="113"/>
              <w:jc w:val="both"/>
              <w:rPr>
                <w:rFonts w:ascii="Arial" w:hAnsi="Arial" w:cs="Arial"/>
                <w:sz w:val="20"/>
                <w:szCs w:val="20"/>
                <w:u w:val="single"/>
              </w:rPr>
            </w:pPr>
            <w:r w:rsidRPr="006978F2">
              <w:rPr>
                <w:rFonts w:ascii="Arial" w:hAnsi="Arial" w:cs="Arial"/>
                <w:sz w:val="20"/>
                <w:szCs w:val="20"/>
                <w:u w:val="single"/>
              </w:rPr>
              <w:t>Definition</w:t>
            </w:r>
          </w:p>
          <w:p w:rsidR="006D6087" w:rsidRPr="006978F2" w:rsidRDefault="006D6087" w:rsidP="00E87B88">
            <w:pPr>
              <w:keepNext/>
              <w:keepLines/>
              <w:spacing w:line="220" w:lineRule="atLeast"/>
              <w:ind w:left="6" w:right="113"/>
              <w:jc w:val="both"/>
              <w:rPr>
                <w:rFonts w:ascii="Arial" w:hAnsi="Arial" w:cs="Arial"/>
                <w:sz w:val="20"/>
                <w:szCs w:val="20"/>
              </w:rPr>
            </w:pPr>
            <w:r>
              <w:rPr>
                <w:rFonts w:ascii="Arial" w:hAnsi="Arial" w:cs="Arial"/>
                <w:sz w:val="20"/>
                <w:szCs w:val="20"/>
              </w:rPr>
              <w:t>N</w:t>
            </w:r>
            <w:r w:rsidRPr="0038208F">
              <w:rPr>
                <w:rFonts w:ascii="Arial" w:hAnsi="Arial" w:cs="Arial"/>
                <w:sz w:val="20"/>
                <w:szCs w:val="20"/>
              </w:rPr>
              <w:t>umber of hours of HACC service</w:t>
            </w:r>
            <w:r>
              <w:rPr>
                <w:rFonts w:ascii="Arial" w:hAnsi="Arial" w:cs="Arial"/>
                <w:sz w:val="20"/>
                <w:szCs w:val="20"/>
              </w:rPr>
              <w:t>s</w:t>
            </w:r>
            <w:r w:rsidRPr="0038208F">
              <w:rPr>
                <w:rFonts w:ascii="Arial" w:hAnsi="Arial" w:cs="Arial"/>
                <w:sz w:val="20"/>
                <w:szCs w:val="20"/>
              </w:rPr>
              <w:t xml:space="preserve"> received</w:t>
            </w:r>
            <w:r>
              <w:rPr>
                <w:rFonts w:ascii="Arial" w:hAnsi="Arial" w:cs="Arial"/>
                <w:sz w:val="20"/>
                <w:szCs w:val="20"/>
              </w:rPr>
              <w:t xml:space="preserve"> and</w:t>
            </w:r>
            <w:r w:rsidRPr="0038208F">
              <w:rPr>
                <w:rFonts w:ascii="Arial" w:hAnsi="Arial" w:cs="Arial"/>
                <w:sz w:val="20"/>
                <w:szCs w:val="20"/>
              </w:rPr>
              <w:t xml:space="preserve"> </w:t>
            </w:r>
            <w:r>
              <w:rPr>
                <w:rFonts w:ascii="Arial" w:hAnsi="Arial" w:cs="Arial"/>
                <w:sz w:val="20"/>
                <w:szCs w:val="20"/>
              </w:rPr>
              <w:t>number of</w:t>
            </w:r>
            <w:r w:rsidRPr="0038208F">
              <w:rPr>
                <w:rFonts w:ascii="Arial" w:hAnsi="Arial" w:cs="Arial"/>
                <w:sz w:val="20"/>
                <w:szCs w:val="20"/>
              </w:rPr>
              <w:t xml:space="preserve"> meals provided</w:t>
            </w:r>
            <w:r>
              <w:rPr>
                <w:rFonts w:ascii="Arial" w:hAnsi="Arial" w:cs="Arial"/>
                <w:sz w:val="20"/>
                <w:szCs w:val="20"/>
              </w:rPr>
              <w:t xml:space="preserve"> per</w:t>
            </w:r>
            <w:r w:rsidRPr="0038208F">
              <w:rPr>
                <w:rFonts w:ascii="Arial" w:hAnsi="Arial" w:cs="Arial"/>
                <w:sz w:val="20"/>
                <w:szCs w:val="20"/>
              </w:rPr>
              <w:t xml:space="preserve"> </w:t>
            </w:r>
            <w:r>
              <w:rPr>
                <w:rFonts w:ascii="Arial" w:hAnsi="Arial" w:cs="Arial"/>
                <w:sz w:val="20"/>
                <w:szCs w:val="20"/>
              </w:rPr>
              <w:t xml:space="preserve">person </w:t>
            </w:r>
            <w:r w:rsidRPr="0038208F">
              <w:rPr>
                <w:rFonts w:ascii="Arial" w:hAnsi="Arial" w:cs="Arial"/>
                <w:sz w:val="20"/>
                <w:szCs w:val="20"/>
              </w:rPr>
              <w:t>aged 65 years or over and Indigenous Australians aged 50–64 years</w:t>
            </w:r>
            <w:r>
              <w:rPr>
                <w:rFonts w:ascii="Arial" w:hAnsi="Arial" w:cs="Arial"/>
                <w:sz w:val="20"/>
                <w:szCs w:val="20"/>
              </w:rPr>
              <w:t>, by geographic location (</w:t>
            </w:r>
            <w:r w:rsidRPr="0038208F">
              <w:rPr>
                <w:rFonts w:ascii="Arial" w:hAnsi="Arial" w:cs="Arial"/>
                <w:sz w:val="20"/>
                <w:szCs w:val="20"/>
              </w:rPr>
              <w:t>major cities, inner regional areas, outer regional areas, remote areas and very remote areas</w:t>
            </w:r>
            <w:r>
              <w:rPr>
                <w:rFonts w:ascii="Arial" w:hAnsi="Arial" w:cs="Arial"/>
                <w:sz w:val="20"/>
                <w:szCs w:val="20"/>
              </w:rPr>
              <w:t>)</w:t>
            </w:r>
            <w:r w:rsidRPr="006978F2">
              <w:rPr>
                <w:rFonts w:ascii="Arial" w:hAnsi="Arial" w:cs="Arial"/>
                <w:sz w:val="20"/>
                <w:szCs w:val="20"/>
              </w:rPr>
              <w:t>.</w:t>
            </w:r>
          </w:p>
          <w:p w:rsidR="006D6087" w:rsidRPr="006978F2" w:rsidRDefault="006D6087" w:rsidP="00E87B88">
            <w:pPr>
              <w:spacing w:before="120" w:after="60"/>
              <w:jc w:val="both"/>
              <w:rPr>
                <w:rFonts w:ascii="Arial" w:hAnsi="Arial" w:cs="Arial"/>
                <w:sz w:val="20"/>
              </w:rPr>
            </w:pPr>
            <w:r w:rsidRPr="006978F2">
              <w:rPr>
                <w:rFonts w:ascii="Arial" w:hAnsi="Arial" w:cs="Arial"/>
                <w:sz w:val="20"/>
                <w:u w:val="single"/>
              </w:rPr>
              <w:t>Numerators</w:t>
            </w:r>
            <w:r w:rsidRPr="006978F2">
              <w:rPr>
                <w:rFonts w:ascii="Arial" w:hAnsi="Arial" w:cs="Arial"/>
                <w:sz w:val="20"/>
              </w:rPr>
              <w:t xml:space="preserve">: </w:t>
            </w:r>
          </w:p>
          <w:p w:rsidR="006D6087" w:rsidRDefault="006D6087" w:rsidP="00E87B88">
            <w:pPr>
              <w:keepNext/>
              <w:keepLines/>
              <w:spacing w:line="220" w:lineRule="atLeast"/>
              <w:ind w:left="6" w:right="113"/>
              <w:jc w:val="both"/>
              <w:rPr>
                <w:rFonts w:ascii="Arial" w:hAnsi="Arial" w:cs="Arial"/>
                <w:sz w:val="20"/>
                <w:szCs w:val="20"/>
              </w:rPr>
            </w:pPr>
            <w:r>
              <w:rPr>
                <w:rFonts w:ascii="Arial" w:hAnsi="Arial" w:cs="Arial"/>
                <w:sz w:val="20"/>
                <w:szCs w:val="20"/>
              </w:rPr>
              <w:t xml:space="preserve">1) Number of </w:t>
            </w:r>
            <w:r w:rsidRPr="0038208F">
              <w:rPr>
                <w:rFonts w:ascii="Arial" w:hAnsi="Arial" w:cs="Arial"/>
                <w:sz w:val="20"/>
                <w:szCs w:val="20"/>
              </w:rPr>
              <w:t>hours of HACC service</w:t>
            </w:r>
            <w:r>
              <w:rPr>
                <w:rFonts w:ascii="Arial" w:hAnsi="Arial" w:cs="Arial"/>
                <w:sz w:val="20"/>
                <w:szCs w:val="20"/>
              </w:rPr>
              <w:t>s</w:t>
            </w:r>
            <w:r w:rsidRPr="0038208F">
              <w:rPr>
                <w:rFonts w:ascii="Arial" w:hAnsi="Arial" w:cs="Arial"/>
                <w:sz w:val="20"/>
                <w:szCs w:val="20"/>
              </w:rPr>
              <w:t xml:space="preserve"> received</w:t>
            </w:r>
            <w:r>
              <w:rPr>
                <w:rFonts w:ascii="Arial" w:hAnsi="Arial" w:cs="Arial"/>
                <w:sz w:val="20"/>
                <w:szCs w:val="20"/>
              </w:rPr>
              <w:t xml:space="preserve"> by people aged </w:t>
            </w:r>
            <w:r w:rsidRPr="005716BB">
              <w:rPr>
                <w:rFonts w:ascii="Arial" w:hAnsi="Arial" w:cs="Arial"/>
                <w:sz w:val="20"/>
                <w:szCs w:val="20"/>
              </w:rPr>
              <w:t>65 years or over and Indigenous Australians aged 50–64 years</w:t>
            </w:r>
            <w:r>
              <w:rPr>
                <w:rFonts w:ascii="Arial" w:hAnsi="Arial" w:cs="Arial"/>
                <w:sz w:val="20"/>
                <w:szCs w:val="20"/>
              </w:rPr>
              <w:t>,</w:t>
            </w:r>
            <w:r w:rsidRPr="0038208F">
              <w:rPr>
                <w:rFonts w:ascii="Arial" w:hAnsi="Arial" w:cs="Arial"/>
                <w:sz w:val="20"/>
                <w:szCs w:val="20"/>
              </w:rPr>
              <w:t xml:space="preserve"> </w:t>
            </w:r>
            <w:r>
              <w:rPr>
                <w:rFonts w:ascii="Arial" w:hAnsi="Arial" w:cs="Arial"/>
                <w:sz w:val="20"/>
                <w:szCs w:val="20"/>
              </w:rPr>
              <w:t>by geographic location.</w:t>
            </w:r>
          </w:p>
          <w:p w:rsidR="006D6087" w:rsidRPr="006978F2" w:rsidRDefault="006D6087" w:rsidP="00E87B88">
            <w:pPr>
              <w:keepNext/>
              <w:keepLines/>
              <w:spacing w:line="220" w:lineRule="atLeast"/>
              <w:ind w:left="6" w:right="113"/>
              <w:jc w:val="both"/>
              <w:rPr>
                <w:rFonts w:ascii="Arial" w:hAnsi="Arial" w:cs="Arial"/>
                <w:sz w:val="20"/>
                <w:szCs w:val="20"/>
              </w:rPr>
            </w:pPr>
            <w:r>
              <w:rPr>
                <w:rFonts w:ascii="Arial" w:hAnsi="Arial" w:cs="Arial"/>
                <w:sz w:val="20"/>
                <w:szCs w:val="20"/>
              </w:rPr>
              <w:t>2) Number of meals provided</w:t>
            </w:r>
            <w:r w:rsidRPr="0038208F">
              <w:rPr>
                <w:rFonts w:ascii="Arial" w:hAnsi="Arial" w:cs="Arial"/>
                <w:sz w:val="20"/>
                <w:szCs w:val="20"/>
              </w:rPr>
              <w:t>, by geographic location.</w:t>
            </w:r>
          </w:p>
          <w:p w:rsidR="006D6087" w:rsidRPr="006978F2" w:rsidRDefault="006D6087" w:rsidP="00E87B88">
            <w:pPr>
              <w:spacing w:before="120" w:after="60"/>
              <w:jc w:val="both"/>
              <w:rPr>
                <w:rFonts w:ascii="Arial" w:hAnsi="Arial" w:cs="Arial"/>
                <w:sz w:val="20"/>
                <w:u w:val="single"/>
              </w:rPr>
            </w:pPr>
            <w:r w:rsidRPr="006978F2">
              <w:rPr>
                <w:rFonts w:ascii="Arial" w:hAnsi="Arial" w:cs="Arial"/>
                <w:sz w:val="20"/>
                <w:u w:val="single"/>
              </w:rPr>
              <w:t xml:space="preserve">Denominators: </w:t>
            </w:r>
          </w:p>
          <w:p w:rsidR="006D6087" w:rsidRPr="006978F2" w:rsidRDefault="006D6087" w:rsidP="00E87B88">
            <w:pPr>
              <w:keepNext/>
              <w:keepLines/>
              <w:spacing w:line="220" w:lineRule="atLeast"/>
              <w:ind w:left="6" w:right="113"/>
              <w:jc w:val="both"/>
              <w:rPr>
                <w:rFonts w:ascii="Arial" w:hAnsi="Arial" w:cs="Arial"/>
                <w:sz w:val="20"/>
                <w:szCs w:val="20"/>
              </w:rPr>
            </w:pPr>
            <w:r>
              <w:rPr>
                <w:rFonts w:ascii="Arial" w:hAnsi="Arial" w:cs="Arial"/>
                <w:sz w:val="20"/>
                <w:szCs w:val="20"/>
              </w:rPr>
              <w:t>Population</w:t>
            </w:r>
            <w:r w:rsidRPr="00BB6880">
              <w:rPr>
                <w:rFonts w:ascii="Arial" w:hAnsi="Arial" w:cs="Arial"/>
                <w:sz w:val="20"/>
                <w:szCs w:val="20"/>
              </w:rPr>
              <w:t xml:space="preserve"> aged 65 years or over and Indigenous Australians aged 50–64 years, by geographic location</w:t>
            </w:r>
            <w:r>
              <w:rPr>
                <w:rFonts w:ascii="Arial" w:hAnsi="Arial" w:cs="Arial"/>
                <w:sz w:val="20"/>
                <w:szCs w:val="20"/>
              </w:rPr>
              <w:t>.</w:t>
            </w:r>
          </w:p>
          <w:p w:rsidR="006D6087" w:rsidRPr="006978F2" w:rsidRDefault="006D6087" w:rsidP="00E87B88">
            <w:pPr>
              <w:spacing w:before="120" w:after="60"/>
              <w:jc w:val="both"/>
              <w:rPr>
                <w:rFonts w:ascii="Arial" w:hAnsi="Arial" w:cs="Arial"/>
                <w:sz w:val="20"/>
                <w:u w:val="single"/>
              </w:rPr>
            </w:pPr>
            <w:r w:rsidRPr="006978F2">
              <w:rPr>
                <w:rFonts w:ascii="Arial" w:hAnsi="Arial" w:cs="Arial"/>
                <w:sz w:val="20"/>
                <w:u w:val="single"/>
              </w:rPr>
              <w:t>Computation:</w:t>
            </w:r>
          </w:p>
          <w:p w:rsidR="006D6087" w:rsidRDefault="006D6087" w:rsidP="00E87B88">
            <w:pPr>
              <w:keepNext/>
              <w:keepLines/>
              <w:spacing w:line="220" w:lineRule="atLeast"/>
              <w:ind w:left="6" w:right="113"/>
              <w:jc w:val="both"/>
              <w:rPr>
                <w:rFonts w:ascii="Arial" w:hAnsi="Arial" w:cs="Arial"/>
                <w:sz w:val="20"/>
                <w:szCs w:val="20"/>
              </w:rPr>
            </w:pPr>
            <w:r w:rsidRPr="006978F2">
              <w:rPr>
                <w:rFonts w:ascii="Arial" w:hAnsi="Arial" w:cs="Arial"/>
                <w:sz w:val="20"/>
                <w:szCs w:val="20"/>
              </w:rPr>
              <w:t xml:space="preserve">Expressed as a rate. Calculation is: (Numerator </w:t>
            </w:r>
            <w:r w:rsidRPr="006978F2">
              <w:rPr>
                <w:rFonts w:ascii="Arial" w:hAnsi="Arial" w:cs="Arial"/>
                <w:sz w:val="20"/>
                <w:szCs w:val="20"/>
              </w:rPr>
              <w:sym w:font="Symbol" w:char="F0B8"/>
            </w:r>
            <w:r w:rsidRPr="006978F2">
              <w:rPr>
                <w:rFonts w:ascii="Arial" w:hAnsi="Arial" w:cs="Arial"/>
                <w:sz w:val="20"/>
                <w:szCs w:val="20"/>
              </w:rPr>
              <w:t xml:space="preserve"> Denominator) x 1000.</w:t>
            </w:r>
          </w:p>
          <w:p w:rsidR="006D6087" w:rsidRPr="006978F2" w:rsidRDefault="006D6087" w:rsidP="00E87B88">
            <w:pPr>
              <w:keepNext/>
              <w:keepLines/>
              <w:spacing w:line="220" w:lineRule="atLeast"/>
              <w:ind w:left="6" w:right="113"/>
              <w:jc w:val="both"/>
              <w:rPr>
                <w:rFonts w:ascii="Arial" w:hAnsi="Arial" w:cs="Arial"/>
                <w:sz w:val="20"/>
                <w:szCs w:val="20"/>
              </w:rPr>
            </w:pPr>
            <w:r>
              <w:rPr>
                <w:rFonts w:ascii="Arial" w:hAnsi="Arial" w:cs="Arial"/>
                <w:sz w:val="20"/>
                <w:szCs w:val="20"/>
              </w:rPr>
              <w:t>Calculated separately, by geographic location.</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Data source/s</w:t>
            </w:r>
          </w:p>
        </w:tc>
        <w:tc>
          <w:tcPr>
            <w:tcW w:w="7020" w:type="dxa"/>
            <w:tcBorders>
              <w:top w:val="nil"/>
              <w:left w:val="nil"/>
              <w:bottom w:val="nil"/>
              <w:right w:val="nil"/>
            </w:tcBorders>
          </w:tcPr>
          <w:p w:rsidR="006D6087" w:rsidRPr="006978F2" w:rsidRDefault="006D6087" w:rsidP="00E87B88">
            <w:pPr>
              <w:keepNext/>
              <w:keepLines/>
              <w:spacing w:after="60" w:line="220" w:lineRule="atLeast"/>
              <w:ind w:left="6" w:right="113"/>
              <w:jc w:val="both"/>
              <w:rPr>
                <w:rFonts w:ascii="Arial" w:hAnsi="Arial" w:cs="Arial"/>
                <w:sz w:val="20"/>
                <w:szCs w:val="20"/>
                <w:u w:val="single"/>
              </w:rPr>
            </w:pPr>
            <w:r w:rsidRPr="006978F2">
              <w:rPr>
                <w:rFonts w:ascii="Arial" w:hAnsi="Arial" w:cs="Arial"/>
                <w:sz w:val="20"/>
                <w:szCs w:val="20"/>
                <w:u w:val="single"/>
              </w:rPr>
              <w:t xml:space="preserve">Numerators: </w:t>
            </w:r>
          </w:p>
          <w:p w:rsidR="006D6087" w:rsidRPr="006978F2" w:rsidRDefault="006D6087" w:rsidP="00E87B88">
            <w:pPr>
              <w:keepNext/>
              <w:keepLines/>
              <w:spacing w:line="220" w:lineRule="atLeast"/>
              <w:ind w:left="6" w:right="113"/>
              <w:jc w:val="both"/>
              <w:rPr>
                <w:rFonts w:ascii="Arial" w:hAnsi="Arial" w:cs="Arial"/>
                <w:sz w:val="20"/>
                <w:szCs w:val="20"/>
              </w:rPr>
            </w:pPr>
            <w:r w:rsidRPr="00B45CF2">
              <w:rPr>
                <w:rFonts w:ascii="Arial" w:hAnsi="Arial" w:cs="Arial"/>
                <w:sz w:val="20"/>
                <w:szCs w:val="20"/>
              </w:rPr>
              <w:t>HACC National Data Repository</w:t>
            </w:r>
            <w:r>
              <w:rPr>
                <w:rFonts w:ascii="Arial" w:hAnsi="Arial" w:cs="Arial"/>
                <w:sz w:val="20"/>
                <w:szCs w:val="20"/>
              </w:rPr>
              <w:t xml:space="preserve"> (</w:t>
            </w:r>
            <w:proofErr w:type="spellStart"/>
            <w:r>
              <w:rPr>
                <w:rFonts w:ascii="Arial" w:hAnsi="Arial" w:cs="Arial"/>
                <w:sz w:val="20"/>
                <w:szCs w:val="20"/>
              </w:rPr>
              <w:t>NDR</w:t>
            </w:r>
            <w:proofErr w:type="spellEnd"/>
            <w:r>
              <w:rPr>
                <w:rFonts w:ascii="Arial" w:hAnsi="Arial" w:cs="Arial"/>
                <w:sz w:val="20"/>
                <w:szCs w:val="20"/>
              </w:rPr>
              <w:t>)</w:t>
            </w:r>
            <w:r w:rsidRPr="006978F2">
              <w:rPr>
                <w:rFonts w:ascii="Arial" w:hAnsi="Arial" w:cs="Arial"/>
                <w:sz w:val="20"/>
                <w:szCs w:val="20"/>
              </w:rPr>
              <w:t>.</w:t>
            </w:r>
          </w:p>
          <w:p w:rsidR="006D6087" w:rsidRPr="006978F2" w:rsidRDefault="006D6087" w:rsidP="00E87B88">
            <w:pPr>
              <w:spacing w:before="120" w:after="60"/>
              <w:jc w:val="both"/>
              <w:rPr>
                <w:rFonts w:ascii="Arial" w:hAnsi="Arial" w:cs="Arial"/>
                <w:sz w:val="20"/>
                <w:u w:val="single"/>
              </w:rPr>
            </w:pPr>
            <w:r w:rsidRPr="006978F2">
              <w:rPr>
                <w:rFonts w:ascii="Arial" w:hAnsi="Arial" w:cs="Arial"/>
                <w:sz w:val="20"/>
                <w:u w:val="single"/>
              </w:rPr>
              <w:t xml:space="preserve">Denominators: </w:t>
            </w:r>
          </w:p>
          <w:p w:rsidR="006D6087" w:rsidRDefault="006D6087" w:rsidP="00E87B88">
            <w:pPr>
              <w:keepNext/>
              <w:keepLines/>
              <w:spacing w:line="220" w:lineRule="atLeast"/>
              <w:ind w:left="6" w:right="113"/>
              <w:jc w:val="both"/>
              <w:rPr>
                <w:rFonts w:ascii="Arial" w:hAnsi="Arial" w:cs="Arial"/>
                <w:sz w:val="20"/>
                <w:szCs w:val="20"/>
              </w:rPr>
            </w:pPr>
            <w:r w:rsidRPr="005A5432">
              <w:rPr>
                <w:rFonts w:ascii="Arial" w:hAnsi="Arial" w:cs="Arial"/>
                <w:sz w:val="20"/>
                <w:szCs w:val="20"/>
              </w:rPr>
              <w:t>D</w:t>
            </w:r>
            <w:r>
              <w:rPr>
                <w:rFonts w:ascii="Arial" w:hAnsi="Arial" w:cs="Arial"/>
                <w:sz w:val="20"/>
                <w:szCs w:val="20"/>
              </w:rPr>
              <w:t>SS</w:t>
            </w:r>
            <w:r w:rsidRPr="005A5432">
              <w:rPr>
                <w:rFonts w:ascii="Arial" w:hAnsi="Arial" w:cs="Arial"/>
                <w:sz w:val="20"/>
                <w:szCs w:val="20"/>
              </w:rPr>
              <w:t xml:space="preserve"> population projections. </w:t>
            </w:r>
          </w:p>
          <w:p w:rsidR="006D6087" w:rsidRPr="005A5432" w:rsidRDefault="006D6087" w:rsidP="00E87B88">
            <w:pPr>
              <w:pStyle w:val="TableBullet"/>
              <w:rPr>
                <w:rFonts w:cs="Arial"/>
              </w:rPr>
            </w:pPr>
            <w:r>
              <w:rPr>
                <w:rFonts w:cs="Arial"/>
              </w:rPr>
              <w:t xml:space="preserve">Total </w:t>
            </w:r>
            <w:r w:rsidRPr="005A5432">
              <w:t>population</w:t>
            </w:r>
            <w:r>
              <w:rPr>
                <w:rFonts w:cs="Arial"/>
              </w:rPr>
              <w:t xml:space="preserve"> projections 65</w:t>
            </w:r>
            <w:r w:rsidRPr="00F210D5">
              <w:rPr>
                <w:rFonts w:cs="Arial"/>
              </w:rPr>
              <w:t xml:space="preserve"> year</w:t>
            </w:r>
            <w:r>
              <w:rPr>
                <w:rFonts w:cs="Arial"/>
              </w:rPr>
              <w:t>s</w:t>
            </w:r>
            <w:r w:rsidRPr="00F210D5">
              <w:rPr>
                <w:rFonts w:cs="Arial"/>
              </w:rPr>
              <w:t xml:space="preserve"> </w:t>
            </w:r>
            <w:r>
              <w:rPr>
                <w:rFonts w:cs="Arial"/>
              </w:rPr>
              <w:t>or over</w:t>
            </w:r>
          </w:p>
          <w:p w:rsidR="006D6087" w:rsidRDefault="006D6087" w:rsidP="00E87B88">
            <w:pPr>
              <w:pStyle w:val="BoxListBullet2"/>
              <w:spacing w:before="0" w:line="240" w:lineRule="auto"/>
              <w:ind w:left="568" w:hanging="284"/>
              <w:rPr>
                <w:sz w:val="20"/>
              </w:rPr>
            </w:pPr>
            <w:r w:rsidRPr="00900DE9">
              <w:rPr>
                <w:sz w:val="20"/>
              </w:rPr>
              <w:t xml:space="preserve">From June 2013 ― projections based on </w:t>
            </w:r>
            <w:r>
              <w:rPr>
                <w:sz w:val="20"/>
              </w:rPr>
              <w:t xml:space="preserve">the </w:t>
            </w:r>
            <w:r w:rsidRPr="00900DE9">
              <w:rPr>
                <w:sz w:val="20"/>
              </w:rPr>
              <w:t>2011 Census as prepared for D</w:t>
            </w:r>
            <w:r>
              <w:rPr>
                <w:sz w:val="20"/>
              </w:rPr>
              <w:t>SS</w:t>
            </w:r>
            <w:r w:rsidRPr="00900DE9">
              <w:rPr>
                <w:sz w:val="20"/>
              </w:rPr>
              <w:t xml:space="preserve"> by </w:t>
            </w:r>
            <w:r>
              <w:rPr>
                <w:sz w:val="20"/>
              </w:rPr>
              <w:t xml:space="preserve">the </w:t>
            </w:r>
            <w:r w:rsidRPr="00900DE9">
              <w:rPr>
                <w:sz w:val="20"/>
              </w:rPr>
              <w:t>ABS according to the assumptions agreed to by D</w:t>
            </w:r>
            <w:r>
              <w:rPr>
                <w:sz w:val="20"/>
              </w:rPr>
              <w:t>SS</w:t>
            </w:r>
            <w:r w:rsidRPr="00900DE9">
              <w:rPr>
                <w:sz w:val="20"/>
              </w:rPr>
              <w:t>.</w:t>
            </w:r>
          </w:p>
          <w:p w:rsidR="006D6087" w:rsidRPr="00900DE9" w:rsidRDefault="006D6087" w:rsidP="00E87B88">
            <w:pPr>
              <w:pStyle w:val="BoxListBullet2"/>
              <w:spacing w:before="0" w:line="240" w:lineRule="auto"/>
              <w:ind w:left="568" w:hanging="284"/>
              <w:rPr>
                <w:sz w:val="20"/>
              </w:rPr>
            </w:pPr>
            <w:r w:rsidRPr="00900DE9">
              <w:rPr>
                <w:sz w:val="20"/>
              </w:rPr>
              <w:t xml:space="preserve">June 2008–June 2012 ― projections based on </w:t>
            </w:r>
            <w:r>
              <w:rPr>
                <w:sz w:val="20"/>
              </w:rPr>
              <w:t xml:space="preserve">the </w:t>
            </w:r>
            <w:r w:rsidRPr="00900DE9">
              <w:rPr>
                <w:sz w:val="20"/>
              </w:rPr>
              <w:t>2006 Census as prepared for D</w:t>
            </w:r>
            <w:r>
              <w:rPr>
                <w:sz w:val="20"/>
              </w:rPr>
              <w:t>SS</w:t>
            </w:r>
            <w:r w:rsidRPr="00900DE9">
              <w:rPr>
                <w:sz w:val="20"/>
              </w:rPr>
              <w:t xml:space="preserve"> by </w:t>
            </w:r>
            <w:r>
              <w:rPr>
                <w:sz w:val="20"/>
              </w:rPr>
              <w:t xml:space="preserve">the </w:t>
            </w:r>
            <w:r w:rsidRPr="00900DE9">
              <w:rPr>
                <w:sz w:val="20"/>
              </w:rPr>
              <w:t>ABS according to the assumptions agreed to by D</w:t>
            </w:r>
            <w:r>
              <w:rPr>
                <w:sz w:val="20"/>
              </w:rPr>
              <w:t>SS</w:t>
            </w:r>
            <w:r w:rsidRPr="00900DE9">
              <w:rPr>
                <w:sz w:val="20"/>
              </w:rPr>
              <w:t>.</w:t>
            </w:r>
          </w:p>
          <w:p w:rsidR="006D6087" w:rsidRPr="005A5432" w:rsidRDefault="006D6087" w:rsidP="00E87B88">
            <w:pPr>
              <w:pStyle w:val="BoxListBullet2"/>
              <w:spacing w:before="0" w:line="240" w:lineRule="auto"/>
              <w:ind w:left="568" w:hanging="284"/>
              <w:rPr>
                <w:sz w:val="20"/>
              </w:rPr>
            </w:pPr>
            <w:r w:rsidRPr="005A5432">
              <w:rPr>
                <w:sz w:val="20"/>
              </w:rPr>
              <w:t xml:space="preserve">Before June 2008 ― projections based on </w:t>
            </w:r>
            <w:r>
              <w:rPr>
                <w:sz w:val="20"/>
              </w:rPr>
              <w:t xml:space="preserve">the </w:t>
            </w:r>
            <w:r w:rsidRPr="005A5432">
              <w:rPr>
                <w:sz w:val="20"/>
              </w:rPr>
              <w:t>2001 Census as prepared for D</w:t>
            </w:r>
            <w:r>
              <w:rPr>
                <w:sz w:val="20"/>
              </w:rPr>
              <w:t>SS</w:t>
            </w:r>
            <w:r w:rsidRPr="005A5432">
              <w:rPr>
                <w:sz w:val="20"/>
              </w:rPr>
              <w:t xml:space="preserve"> by</w:t>
            </w:r>
            <w:r>
              <w:rPr>
                <w:sz w:val="20"/>
              </w:rPr>
              <w:t xml:space="preserve"> the</w:t>
            </w:r>
            <w:r w:rsidRPr="005A5432">
              <w:rPr>
                <w:sz w:val="20"/>
              </w:rPr>
              <w:t xml:space="preserve"> ABS according to the assumptions agreed to by D</w:t>
            </w:r>
            <w:r>
              <w:rPr>
                <w:sz w:val="20"/>
              </w:rPr>
              <w:t>SS</w:t>
            </w:r>
            <w:r w:rsidRPr="005A5432">
              <w:rPr>
                <w:sz w:val="20"/>
              </w:rPr>
              <w:t>.</w:t>
            </w:r>
          </w:p>
          <w:p w:rsidR="006D6087" w:rsidRPr="00900DE9" w:rsidRDefault="006D6087" w:rsidP="00E87B88">
            <w:pPr>
              <w:pStyle w:val="TableBullet"/>
              <w:jc w:val="both"/>
              <w:rPr>
                <w:rFonts w:cs="Arial"/>
              </w:rPr>
            </w:pPr>
            <w:r w:rsidRPr="005A5432">
              <w:t>Indigenous population projections</w:t>
            </w:r>
            <w:r w:rsidRPr="00900DE9">
              <w:t xml:space="preserve"> </w:t>
            </w:r>
            <w:r>
              <w:t>50</w:t>
            </w:r>
            <w:r>
              <w:rPr>
                <w:rFonts w:cs="Arial"/>
              </w:rPr>
              <w:t>–</w:t>
            </w:r>
            <w:r>
              <w:t>64 year</w:t>
            </w:r>
            <w:r w:rsidRPr="00900DE9">
              <w:t xml:space="preserve"> olds</w:t>
            </w:r>
          </w:p>
          <w:p w:rsidR="006D6087" w:rsidRPr="00AF24B6" w:rsidRDefault="006D6087" w:rsidP="00E87B88">
            <w:pPr>
              <w:pStyle w:val="BoxListBullet2"/>
              <w:spacing w:before="0" w:line="240" w:lineRule="auto"/>
              <w:ind w:left="568" w:hanging="284"/>
              <w:rPr>
                <w:rFonts w:cs="Arial"/>
              </w:rPr>
            </w:pPr>
            <w:r w:rsidRPr="00900DE9">
              <w:rPr>
                <w:sz w:val="20"/>
              </w:rPr>
              <w:t>June 2008–June 2013 ― based on ABS Indigenous Experimental 2006 ERP data at SLA level and aligned to published ABS Indigenous data Experimental Estimates and Projections (ABS Cat. No. 3238.0 series B)</w:t>
            </w:r>
            <w:r>
              <w:rPr>
                <w:sz w:val="20"/>
              </w:rPr>
              <w:t>.</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6D6087" w:rsidRPr="006978F2" w:rsidRDefault="006D6087" w:rsidP="00E87B88">
            <w:pPr>
              <w:keepNext/>
              <w:keepLines/>
              <w:spacing w:line="220" w:lineRule="atLeast"/>
              <w:ind w:left="6" w:right="113"/>
              <w:jc w:val="both"/>
              <w:rPr>
                <w:rFonts w:ascii="Arial" w:hAnsi="Arial"/>
                <w:b/>
                <w:sz w:val="20"/>
                <w:szCs w:val="20"/>
                <w:u w:val="single"/>
              </w:rPr>
            </w:pPr>
          </w:p>
          <w:p w:rsidR="006D6087" w:rsidRPr="006978F2" w:rsidRDefault="006D6087" w:rsidP="00E87B88">
            <w:pPr>
              <w:keepNext/>
              <w:keepLines/>
              <w:spacing w:line="220" w:lineRule="atLeast"/>
              <w:ind w:left="6" w:right="113"/>
              <w:jc w:val="both"/>
              <w:rPr>
                <w:rFonts w:ascii="Arial" w:hAnsi="Arial" w:cs="Arial"/>
                <w:b/>
                <w:sz w:val="20"/>
                <w:szCs w:val="20"/>
                <w:u w:val="single"/>
              </w:rPr>
            </w:pPr>
            <w:r w:rsidRPr="006978F2">
              <w:rPr>
                <w:rFonts w:ascii="Arial" w:hAnsi="Arial"/>
                <w:b/>
                <w:sz w:val="20"/>
                <w:szCs w:val="20"/>
                <w:u w:val="single"/>
              </w:rPr>
              <w:t>Data Quality Framework Dimensions</w:t>
            </w:r>
            <w:r w:rsidRPr="006978F2">
              <w:rPr>
                <w:rFonts w:ascii="Arial" w:hAnsi="Arial" w:cs="Arial"/>
                <w:b/>
                <w:sz w:val="20"/>
                <w:szCs w:val="20"/>
                <w:u w:val="single"/>
              </w:rPr>
              <w:t xml:space="preserve"> </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Institutional environment </w:t>
            </w:r>
          </w:p>
        </w:tc>
        <w:tc>
          <w:tcPr>
            <w:tcW w:w="7020" w:type="dxa"/>
            <w:tcBorders>
              <w:top w:val="nil"/>
              <w:left w:val="nil"/>
              <w:bottom w:val="nil"/>
              <w:right w:val="nil"/>
            </w:tcBorders>
          </w:tcPr>
          <w:p w:rsidR="006D6087" w:rsidRDefault="006D6087" w:rsidP="00E87B88">
            <w:pPr>
              <w:keepNext/>
              <w:keepLines/>
              <w:spacing w:line="220" w:lineRule="atLeast"/>
              <w:ind w:left="6" w:right="113"/>
              <w:jc w:val="both"/>
              <w:rPr>
                <w:rFonts w:ascii="Arial" w:hAnsi="Arial"/>
                <w:sz w:val="20"/>
                <w:szCs w:val="20"/>
              </w:rPr>
            </w:pPr>
            <w:r w:rsidRPr="003C6594">
              <w:rPr>
                <w:rFonts w:ascii="Arial" w:hAnsi="Arial"/>
                <w:sz w:val="20"/>
                <w:szCs w:val="20"/>
              </w:rPr>
              <w:t xml:space="preserve">The Australian Government </w:t>
            </w:r>
            <w:r w:rsidRPr="006D6087">
              <w:rPr>
                <w:rFonts w:ascii="Arial" w:hAnsi="Arial"/>
                <w:sz w:val="20"/>
                <w:szCs w:val="20"/>
                <w:shd w:val="clear" w:color="auto" w:fill="FFFFFF" w:themeFill="background1"/>
              </w:rPr>
              <w:t>(DSS)</w:t>
            </w:r>
            <w:r w:rsidRPr="003C6594">
              <w:rPr>
                <w:rFonts w:ascii="Arial" w:hAnsi="Arial"/>
                <w:sz w:val="20"/>
                <w:szCs w:val="20"/>
              </w:rPr>
              <w:t xml:space="preserve"> </w:t>
            </w:r>
            <w:r>
              <w:rPr>
                <w:rFonts w:ascii="Arial" w:hAnsi="Arial"/>
                <w:sz w:val="20"/>
                <w:szCs w:val="20"/>
              </w:rPr>
              <w:t>has funding and program responsibility for the Commonwealth HACC program for older people in all jurisdictions</w:t>
            </w:r>
            <w:r w:rsidRPr="003C6594">
              <w:rPr>
                <w:rFonts w:ascii="Arial" w:hAnsi="Arial"/>
                <w:sz w:val="20"/>
                <w:szCs w:val="20"/>
              </w:rPr>
              <w:t xml:space="preserve"> </w:t>
            </w:r>
            <w:r w:rsidRPr="003C6594">
              <w:rPr>
                <w:rFonts w:ascii="Arial" w:hAnsi="Arial"/>
                <w:sz w:val="20"/>
                <w:szCs w:val="20"/>
              </w:rPr>
              <w:lastRenderedPageBreak/>
              <w:t xml:space="preserve">except Victoria and WA where it is a joint Australian Government, and State governments’ initiative administered under the </w:t>
            </w:r>
            <w:r w:rsidRPr="005008D1">
              <w:rPr>
                <w:rFonts w:ascii="Arial" w:hAnsi="Arial"/>
                <w:i/>
                <w:sz w:val="20"/>
                <w:szCs w:val="20"/>
              </w:rPr>
              <w:t>Home and Community Care Review Agreement 2007</w:t>
            </w:r>
            <w:r w:rsidRPr="003C6594">
              <w:rPr>
                <w:rFonts w:ascii="Arial" w:hAnsi="Arial"/>
                <w:sz w:val="20"/>
                <w:szCs w:val="20"/>
              </w:rPr>
              <w:t>. HACC service providers vary from small community</w:t>
            </w:r>
            <w:r w:rsidR="00104B60">
              <w:rPr>
                <w:rFonts w:ascii="Arial" w:hAnsi="Arial"/>
                <w:sz w:val="20"/>
                <w:szCs w:val="20"/>
              </w:rPr>
              <w:noBreakHyphen/>
            </w:r>
            <w:r w:rsidRPr="003C6594">
              <w:rPr>
                <w:rFonts w:ascii="Arial" w:hAnsi="Arial"/>
                <w:sz w:val="20"/>
                <w:szCs w:val="20"/>
              </w:rPr>
              <w:t>based groups to large charitable and public sector organisations.</w:t>
            </w:r>
          </w:p>
          <w:p w:rsidR="006D6087" w:rsidRPr="0038208F" w:rsidRDefault="006D6087" w:rsidP="001A71F1">
            <w:pPr>
              <w:keepNext/>
              <w:keepLines/>
              <w:spacing w:after="120" w:line="220" w:lineRule="atLeast"/>
              <w:ind w:left="6" w:right="113"/>
              <w:jc w:val="both"/>
              <w:rPr>
                <w:rFonts w:ascii="Arial" w:hAnsi="Arial"/>
                <w:sz w:val="20"/>
                <w:szCs w:val="20"/>
              </w:rPr>
            </w:pPr>
            <w:r w:rsidRPr="001965D8">
              <w:rPr>
                <w:rFonts w:ascii="Arial" w:hAnsi="Arial"/>
                <w:sz w:val="20"/>
                <w:szCs w:val="20"/>
              </w:rPr>
              <w:t>Service providers receiving funding under the HACC program</w:t>
            </w:r>
            <w:r>
              <w:rPr>
                <w:rStyle w:val="FootnoteReference"/>
                <w:szCs w:val="20"/>
              </w:rPr>
              <w:footnoteReference w:id="3"/>
            </w:r>
            <w:r w:rsidRPr="001965D8">
              <w:rPr>
                <w:rFonts w:ascii="Arial" w:hAnsi="Arial"/>
                <w:sz w:val="20"/>
                <w:szCs w:val="20"/>
              </w:rPr>
              <w:t xml:space="preserve"> are required to provide data to populate the HACC Minimum Data Set (MDS). </w:t>
            </w:r>
            <w:r w:rsidRPr="002747C6">
              <w:rPr>
                <w:rFonts w:ascii="Arial" w:hAnsi="Arial"/>
                <w:sz w:val="20"/>
                <w:szCs w:val="20"/>
              </w:rPr>
              <w:t xml:space="preserve">HACC </w:t>
            </w:r>
            <w:r>
              <w:rPr>
                <w:rFonts w:ascii="Arial" w:hAnsi="Arial"/>
                <w:sz w:val="20"/>
                <w:szCs w:val="20"/>
              </w:rPr>
              <w:t>providers</w:t>
            </w:r>
            <w:r w:rsidRPr="002747C6">
              <w:rPr>
                <w:rFonts w:ascii="Arial" w:hAnsi="Arial"/>
                <w:sz w:val="20"/>
                <w:szCs w:val="20"/>
              </w:rPr>
              <w:t xml:space="preserve"> in Qld, SA, WA</w:t>
            </w:r>
            <w:r>
              <w:rPr>
                <w:rFonts w:ascii="Arial" w:hAnsi="Arial"/>
                <w:sz w:val="20"/>
                <w:szCs w:val="20"/>
              </w:rPr>
              <w:t>,</w:t>
            </w:r>
            <w:r w:rsidRPr="002747C6">
              <w:rPr>
                <w:rFonts w:ascii="Arial" w:hAnsi="Arial"/>
                <w:sz w:val="20"/>
                <w:szCs w:val="20"/>
              </w:rPr>
              <w:t xml:space="preserve"> the ACT and </w:t>
            </w:r>
            <w:r>
              <w:rPr>
                <w:rFonts w:ascii="Arial" w:hAnsi="Arial"/>
                <w:sz w:val="20"/>
                <w:szCs w:val="20"/>
              </w:rPr>
              <w:t xml:space="preserve">the NT </w:t>
            </w:r>
            <w:r w:rsidRPr="002747C6">
              <w:rPr>
                <w:rFonts w:ascii="Arial" w:hAnsi="Arial"/>
                <w:sz w:val="20"/>
                <w:szCs w:val="20"/>
              </w:rPr>
              <w:t xml:space="preserve">send HACC MDS data directly to the </w:t>
            </w:r>
            <w:proofErr w:type="spellStart"/>
            <w:r w:rsidRPr="002747C6">
              <w:rPr>
                <w:rFonts w:ascii="Arial" w:hAnsi="Arial"/>
                <w:sz w:val="20"/>
                <w:szCs w:val="20"/>
              </w:rPr>
              <w:t>NDR</w:t>
            </w:r>
            <w:proofErr w:type="spellEnd"/>
            <w:r w:rsidRPr="002747C6">
              <w:rPr>
                <w:rFonts w:ascii="Arial" w:hAnsi="Arial"/>
                <w:sz w:val="20"/>
                <w:szCs w:val="20"/>
              </w:rPr>
              <w:t>, which is</w:t>
            </w:r>
            <w:r>
              <w:rPr>
                <w:rFonts w:ascii="Arial" w:hAnsi="Arial"/>
                <w:sz w:val="20"/>
                <w:szCs w:val="20"/>
              </w:rPr>
              <w:t xml:space="preserve"> managed by DSS</w:t>
            </w:r>
            <w:r w:rsidRPr="002747C6">
              <w:rPr>
                <w:rFonts w:ascii="Arial" w:hAnsi="Arial"/>
                <w:sz w:val="20"/>
                <w:szCs w:val="20"/>
              </w:rPr>
              <w:t xml:space="preserve">. </w:t>
            </w:r>
            <w:r w:rsidRPr="001965D8">
              <w:rPr>
                <w:rFonts w:ascii="Arial" w:hAnsi="Arial"/>
                <w:sz w:val="20"/>
                <w:szCs w:val="20"/>
              </w:rPr>
              <w:t>Service providers</w:t>
            </w:r>
            <w:r w:rsidRPr="002747C6">
              <w:rPr>
                <w:rFonts w:ascii="Arial" w:hAnsi="Arial"/>
                <w:sz w:val="20"/>
                <w:szCs w:val="20"/>
              </w:rPr>
              <w:t xml:space="preserve"> in other jurisdictions send their data to the </w:t>
            </w:r>
            <w:proofErr w:type="spellStart"/>
            <w:r w:rsidRPr="002747C6">
              <w:rPr>
                <w:rFonts w:ascii="Arial" w:hAnsi="Arial"/>
                <w:sz w:val="20"/>
                <w:szCs w:val="20"/>
              </w:rPr>
              <w:t>NDR</w:t>
            </w:r>
            <w:proofErr w:type="spellEnd"/>
            <w:r w:rsidRPr="002747C6">
              <w:rPr>
                <w:rFonts w:ascii="Arial" w:hAnsi="Arial"/>
                <w:sz w:val="20"/>
                <w:szCs w:val="20"/>
              </w:rPr>
              <w:t xml:space="preserve"> via a State Data Repository.</w:t>
            </w:r>
            <w:r w:rsidRPr="001965D8">
              <w:rPr>
                <w:rFonts w:ascii="Arial" w:hAnsi="Arial"/>
                <w:sz w:val="20"/>
                <w:szCs w:val="20"/>
              </w:rPr>
              <w:t xml:space="preserve"> </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lastRenderedPageBreak/>
              <w:t xml:space="preserve">Relevance </w:t>
            </w:r>
          </w:p>
        </w:tc>
        <w:tc>
          <w:tcPr>
            <w:tcW w:w="7020" w:type="dxa"/>
            <w:tcBorders>
              <w:top w:val="nil"/>
              <w:left w:val="nil"/>
              <w:bottom w:val="nil"/>
              <w:right w:val="nil"/>
            </w:tcBorders>
          </w:tcPr>
          <w:p w:rsidR="006D6087" w:rsidRPr="00112C7A" w:rsidRDefault="006D6087" w:rsidP="00E87B88">
            <w:pPr>
              <w:keepNext/>
              <w:keepLines/>
              <w:spacing w:after="120" w:line="220" w:lineRule="atLeast"/>
              <w:ind w:left="6" w:right="113"/>
              <w:jc w:val="both"/>
              <w:rPr>
                <w:rFonts w:ascii="Arial" w:hAnsi="Arial" w:cs="Arial"/>
                <w:sz w:val="20"/>
                <w:szCs w:val="20"/>
              </w:rPr>
            </w:pPr>
            <w:r w:rsidRPr="00112C7A">
              <w:rPr>
                <w:rFonts w:ascii="Arial" w:hAnsi="Arial" w:cs="Arial"/>
                <w:sz w:val="20"/>
                <w:szCs w:val="20"/>
              </w:rPr>
              <w:t xml:space="preserve">The </w:t>
            </w:r>
            <w:r>
              <w:rPr>
                <w:rFonts w:ascii="Arial" w:hAnsi="Arial" w:cs="Arial"/>
                <w:sz w:val="20"/>
                <w:szCs w:val="20"/>
              </w:rPr>
              <w:t xml:space="preserve">HACC MDS </w:t>
            </w:r>
            <w:r w:rsidRPr="00112C7A">
              <w:rPr>
                <w:rFonts w:ascii="Arial" w:hAnsi="Arial" w:cs="Arial"/>
                <w:sz w:val="20"/>
                <w:szCs w:val="20"/>
              </w:rPr>
              <w:t xml:space="preserve">collection comprises data about individuals receiving </w:t>
            </w:r>
            <w:r>
              <w:rPr>
                <w:rFonts w:ascii="Arial" w:hAnsi="Arial" w:cs="Arial"/>
                <w:sz w:val="20"/>
                <w:szCs w:val="20"/>
              </w:rPr>
              <w:br/>
            </w:r>
            <w:r w:rsidRPr="00112C7A">
              <w:rPr>
                <w:rFonts w:ascii="Arial" w:hAnsi="Arial" w:cs="Arial"/>
                <w:sz w:val="20"/>
                <w:szCs w:val="20"/>
              </w:rPr>
              <w:t>HACC</w:t>
            </w:r>
            <w:r w:rsidR="00104B60">
              <w:rPr>
                <w:rFonts w:ascii="Arial" w:hAnsi="Arial" w:cs="Arial"/>
                <w:sz w:val="20"/>
                <w:szCs w:val="20"/>
              </w:rPr>
              <w:noBreakHyphen/>
            </w:r>
            <w:r w:rsidRPr="00112C7A">
              <w:rPr>
                <w:rFonts w:ascii="Arial" w:hAnsi="Arial" w:cs="Arial"/>
                <w:sz w:val="20"/>
                <w:szCs w:val="20"/>
              </w:rPr>
              <w:t>funded assistance from service providers. Any service delivered to a client that involves HACC funding is within the scope of the HACC MDS collection. Services that do not involve HACC funding are not reported under the HACC MDS.</w:t>
            </w:r>
            <w:r>
              <w:rPr>
                <w:rFonts w:ascii="Arial" w:hAnsi="Arial" w:cs="Arial"/>
                <w:sz w:val="20"/>
                <w:szCs w:val="20"/>
              </w:rPr>
              <w:t xml:space="preserve"> </w:t>
            </w:r>
            <w:r w:rsidRPr="00112C7A">
              <w:rPr>
                <w:rFonts w:ascii="Arial" w:hAnsi="Arial" w:cs="Arial"/>
                <w:sz w:val="20"/>
                <w:szCs w:val="20"/>
              </w:rPr>
              <w:t xml:space="preserve">Clients are not included in the collection where </w:t>
            </w:r>
            <w:r>
              <w:rPr>
                <w:rFonts w:ascii="Arial" w:hAnsi="Arial" w:cs="Arial"/>
                <w:sz w:val="20"/>
                <w:szCs w:val="20"/>
              </w:rPr>
              <w:t xml:space="preserve">they </w:t>
            </w:r>
            <w:r w:rsidRPr="00112C7A">
              <w:rPr>
                <w:rFonts w:ascii="Arial" w:hAnsi="Arial" w:cs="Arial"/>
                <w:sz w:val="20"/>
                <w:szCs w:val="20"/>
              </w:rPr>
              <w:t xml:space="preserve">are not known to a service provider as individuals, </w:t>
            </w:r>
            <w:r>
              <w:rPr>
                <w:rFonts w:ascii="Arial" w:hAnsi="Arial" w:cs="Arial"/>
                <w:sz w:val="20"/>
                <w:szCs w:val="20"/>
              </w:rPr>
              <w:t>for example,</w:t>
            </w:r>
            <w:r w:rsidRPr="00112C7A">
              <w:rPr>
                <w:rFonts w:ascii="Arial" w:hAnsi="Arial" w:cs="Arial"/>
                <w:sz w:val="20"/>
                <w:szCs w:val="20"/>
              </w:rPr>
              <w:t xml:space="preserve"> clients helped anonymously through general telephone enquiries, or where advocacy work is conducted on behalf of clients in general rather than for specific individuals.</w:t>
            </w:r>
          </w:p>
          <w:p w:rsidR="006D6087" w:rsidRDefault="006D6087" w:rsidP="00E87B88">
            <w:pPr>
              <w:keepNext/>
              <w:keepLines/>
              <w:spacing w:after="120" w:line="220" w:lineRule="atLeast"/>
              <w:ind w:left="6" w:right="113"/>
              <w:jc w:val="both"/>
              <w:rPr>
                <w:rFonts w:ascii="Arial" w:hAnsi="Arial" w:cs="Arial"/>
                <w:sz w:val="20"/>
                <w:szCs w:val="20"/>
              </w:rPr>
            </w:pPr>
            <w:r w:rsidRPr="00EE3F32">
              <w:rPr>
                <w:rFonts w:ascii="Arial" w:hAnsi="Arial" w:cs="Arial"/>
                <w:sz w:val="20"/>
                <w:szCs w:val="20"/>
              </w:rPr>
              <w:t xml:space="preserve">Although all agencies are required to report HACC MDS data, this is not achieved in practice. The proportion of HACC agencies that submitted data varies </w:t>
            </w:r>
            <w:r>
              <w:rPr>
                <w:rFonts w:ascii="Arial" w:hAnsi="Arial" w:cs="Arial"/>
                <w:sz w:val="20"/>
                <w:szCs w:val="20"/>
              </w:rPr>
              <w:t xml:space="preserve">across years and </w:t>
            </w:r>
            <w:r w:rsidRPr="00EE3F32">
              <w:rPr>
                <w:rFonts w:ascii="Arial" w:hAnsi="Arial" w:cs="Arial"/>
                <w:sz w:val="20"/>
                <w:szCs w:val="20"/>
              </w:rPr>
              <w:t xml:space="preserve">between jurisdictions and actual service levels may be higher than stated. </w:t>
            </w:r>
            <w:r w:rsidRPr="00C71C2A">
              <w:rPr>
                <w:rFonts w:ascii="Arial" w:hAnsi="Arial" w:cs="Arial"/>
                <w:sz w:val="20"/>
                <w:szCs w:val="20"/>
              </w:rPr>
              <w:t>There is no information about the characteristics nor quantity of clients of the non</w:t>
            </w:r>
            <w:r w:rsidR="00104B60">
              <w:rPr>
                <w:rFonts w:ascii="Arial" w:hAnsi="Arial" w:cs="Arial"/>
                <w:sz w:val="20"/>
                <w:szCs w:val="20"/>
              </w:rPr>
              <w:noBreakHyphen/>
            </w:r>
            <w:r w:rsidRPr="00C71C2A">
              <w:rPr>
                <w:rFonts w:ascii="Arial" w:hAnsi="Arial" w:cs="Arial"/>
                <w:sz w:val="20"/>
                <w:szCs w:val="20"/>
              </w:rPr>
              <w:t>reporting agencies.</w:t>
            </w:r>
          </w:p>
          <w:p w:rsidR="006D6087" w:rsidRDefault="006D6087" w:rsidP="00E87B88">
            <w:pPr>
              <w:keepNext/>
              <w:keepLines/>
              <w:spacing w:after="120" w:line="220" w:lineRule="atLeast"/>
              <w:ind w:left="6" w:right="113"/>
              <w:jc w:val="both"/>
              <w:rPr>
                <w:rFonts w:ascii="Arial" w:hAnsi="Arial" w:cs="Arial"/>
                <w:sz w:val="20"/>
                <w:szCs w:val="20"/>
              </w:rPr>
            </w:pPr>
            <w:r w:rsidRPr="00EE3F32">
              <w:rPr>
                <w:rFonts w:ascii="Arial" w:hAnsi="Arial" w:cs="Arial"/>
                <w:sz w:val="20"/>
                <w:szCs w:val="20"/>
              </w:rPr>
              <w:t>Location information is reported based on the agency location, not the client residential location.</w:t>
            </w:r>
            <w:r>
              <w:rPr>
                <w:rFonts w:ascii="Arial" w:hAnsi="Arial" w:cs="Arial"/>
                <w:sz w:val="20"/>
                <w:szCs w:val="20"/>
              </w:rPr>
              <w:t xml:space="preserve"> </w:t>
            </w:r>
            <w:r w:rsidRPr="00EE3F32">
              <w:rPr>
                <w:rFonts w:ascii="Arial" w:hAnsi="Arial" w:cs="Arial"/>
                <w:sz w:val="20"/>
                <w:szCs w:val="20"/>
              </w:rPr>
              <w:t>In a small number of cases, a client may receive services in more than one jurisdiction. In such cases, service provision will be reported against one jurisdiction only.</w:t>
            </w:r>
            <w:r w:rsidRPr="00FD025D">
              <w:rPr>
                <w:rFonts w:ascii="Arial" w:hAnsi="Arial" w:cs="Arial"/>
                <w:sz w:val="20"/>
                <w:szCs w:val="20"/>
              </w:rPr>
              <w:t xml:space="preserve"> </w:t>
            </w:r>
          </w:p>
          <w:p w:rsidR="006D6087" w:rsidRPr="006978F2" w:rsidRDefault="006D6087" w:rsidP="00E87B88">
            <w:pPr>
              <w:keepNext/>
              <w:keepLines/>
              <w:spacing w:after="120" w:line="220" w:lineRule="atLeast"/>
              <w:ind w:left="6" w:right="113"/>
              <w:rPr>
                <w:rFonts w:ascii="Arial" w:hAnsi="Arial" w:cs="Arial"/>
                <w:sz w:val="20"/>
                <w:szCs w:val="20"/>
              </w:rPr>
            </w:pPr>
            <w:r w:rsidRPr="00FD025D">
              <w:rPr>
                <w:rFonts w:ascii="Arial" w:hAnsi="Arial" w:cs="Arial"/>
                <w:sz w:val="20"/>
                <w:szCs w:val="20"/>
              </w:rPr>
              <w:t>Allied Health Care includes at home and at centre. Nursing Care includes at home and at centre.</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Timeliness</w:t>
            </w:r>
            <w:r w:rsidRPr="006978F2">
              <w:rPr>
                <w:rFonts w:ascii="Arial" w:hAnsi="Arial" w:cs="Arial"/>
                <w:sz w:val="20"/>
                <w:szCs w:val="20"/>
                <w:lang w:val="en-US" w:eastAsia="en-US"/>
              </w:rPr>
              <w:t xml:space="preserve"> </w:t>
            </w:r>
          </w:p>
        </w:tc>
        <w:tc>
          <w:tcPr>
            <w:tcW w:w="7020" w:type="dxa"/>
            <w:tcBorders>
              <w:top w:val="nil"/>
              <w:left w:val="nil"/>
              <w:bottom w:val="nil"/>
              <w:right w:val="nil"/>
            </w:tcBorders>
          </w:tcPr>
          <w:p w:rsidR="006D6087" w:rsidRPr="006978F2" w:rsidRDefault="006D6087" w:rsidP="00E87B88">
            <w:pPr>
              <w:keepNext/>
              <w:keepLines/>
              <w:spacing w:after="120" w:line="220" w:lineRule="atLeast"/>
              <w:ind w:left="6" w:right="113"/>
              <w:rPr>
                <w:rFonts w:ascii="Arial" w:hAnsi="Arial" w:cs="Arial"/>
                <w:sz w:val="20"/>
                <w:szCs w:val="20"/>
              </w:rPr>
            </w:pPr>
            <w:r w:rsidRPr="007C1E3B">
              <w:rPr>
                <w:rFonts w:ascii="Arial" w:hAnsi="Arial" w:cs="Arial"/>
                <w:sz w:val="20"/>
                <w:szCs w:val="20"/>
              </w:rPr>
              <w:t xml:space="preserve">HACC data is submitted to the </w:t>
            </w:r>
            <w:proofErr w:type="spellStart"/>
            <w:r w:rsidRPr="007C1E3B">
              <w:rPr>
                <w:rFonts w:ascii="Arial" w:hAnsi="Arial" w:cs="Arial"/>
                <w:sz w:val="20"/>
                <w:szCs w:val="20"/>
              </w:rPr>
              <w:t>HACC</w:t>
            </w:r>
            <w:proofErr w:type="spellEnd"/>
            <w:r w:rsidRPr="007C1E3B">
              <w:rPr>
                <w:rFonts w:ascii="Arial" w:hAnsi="Arial" w:cs="Arial"/>
                <w:sz w:val="20"/>
                <w:szCs w:val="20"/>
              </w:rPr>
              <w:t xml:space="preserve"> MDS </w:t>
            </w:r>
            <w:proofErr w:type="spellStart"/>
            <w:r>
              <w:rPr>
                <w:rFonts w:ascii="Arial" w:hAnsi="Arial" w:cs="Arial"/>
                <w:sz w:val="20"/>
                <w:szCs w:val="20"/>
              </w:rPr>
              <w:t>NDR</w:t>
            </w:r>
            <w:proofErr w:type="spellEnd"/>
            <w:r w:rsidRPr="007C1E3B">
              <w:rPr>
                <w:rFonts w:ascii="Arial" w:hAnsi="Arial" w:cs="Arial"/>
                <w:sz w:val="20"/>
                <w:szCs w:val="20"/>
              </w:rPr>
              <w:t xml:space="preserve"> on a quarterly basis. </w:t>
            </w:r>
            <w:r w:rsidRPr="00F67205">
              <w:rPr>
                <w:rFonts w:ascii="Arial" w:hAnsi="Arial" w:cs="Arial"/>
                <w:sz w:val="20"/>
                <w:szCs w:val="20"/>
              </w:rPr>
              <w:t>The reference period for the latest data is 201</w:t>
            </w:r>
            <w:r>
              <w:rPr>
                <w:rFonts w:ascii="Arial" w:hAnsi="Arial" w:cs="Arial"/>
                <w:sz w:val="20"/>
                <w:szCs w:val="20"/>
              </w:rPr>
              <w:t>2</w:t>
            </w:r>
            <w:r w:rsidR="00104B60">
              <w:rPr>
                <w:rFonts w:ascii="Arial" w:hAnsi="Arial" w:cs="Arial"/>
                <w:sz w:val="20"/>
                <w:szCs w:val="20"/>
              </w:rPr>
              <w:noBreakHyphen/>
            </w:r>
            <w:r w:rsidRPr="00F67205">
              <w:rPr>
                <w:rFonts w:ascii="Arial" w:hAnsi="Arial" w:cs="Arial"/>
                <w:sz w:val="20"/>
                <w:szCs w:val="20"/>
              </w:rPr>
              <w:t>1</w:t>
            </w:r>
            <w:r>
              <w:rPr>
                <w:rFonts w:ascii="Arial" w:hAnsi="Arial" w:cs="Arial"/>
                <w:sz w:val="20"/>
                <w:szCs w:val="20"/>
              </w:rPr>
              <w:t>3</w:t>
            </w:r>
            <w:r w:rsidRPr="00F67205">
              <w:rPr>
                <w:rFonts w:ascii="Arial" w:hAnsi="Arial" w:cs="Arial"/>
                <w:sz w:val="20"/>
                <w:szCs w:val="20"/>
              </w:rPr>
              <w:t>.</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Accuracy </w:t>
            </w:r>
          </w:p>
        </w:tc>
        <w:tc>
          <w:tcPr>
            <w:tcW w:w="7020" w:type="dxa"/>
            <w:tcBorders>
              <w:top w:val="nil"/>
              <w:left w:val="nil"/>
              <w:bottom w:val="nil"/>
              <w:right w:val="nil"/>
            </w:tcBorders>
          </w:tcPr>
          <w:p w:rsidR="006D6087" w:rsidRDefault="006D6087" w:rsidP="00E87B88">
            <w:pPr>
              <w:keepNext/>
              <w:keepLines/>
              <w:spacing w:after="120" w:line="220" w:lineRule="atLeast"/>
              <w:ind w:left="6" w:right="113"/>
              <w:jc w:val="both"/>
              <w:rPr>
                <w:rFonts w:ascii="Arial" w:hAnsi="Arial" w:cs="Arial"/>
                <w:sz w:val="20"/>
                <w:szCs w:val="20"/>
              </w:rPr>
            </w:pPr>
            <w:r w:rsidRPr="00D01029">
              <w:rPr>
                <w:rFonts w:ascii="Arial" w:hAnsi="Arial" w:cs="Arial"/>
                <w:sz w:val="20"/>
                <w:szCs w:val="20"/>
              </w:rPr>
              <w:t xml:space="preserve">Data </w:t>
            </w:r>
            <w:r>
              <w:rPr>
                <w:rFonts w:ascii="Arial" w:hAnsi="Arial" w:cs="Arial"/>
                <w:sz w:val="20"/>
                <w:szCs w:val="20"/>
              </w:rPr>
              <w:t>are</w:t>
            </w:r>
            <w:r w:rsidRPr="00D01029">
              <w:rPr>
                <w:rFonts w:ascii="Arial" w:hAnsi="Arial" w:cs="Arial"/>
                <w:sz w:val="20"/>
                <w:szCs w:val="20"/>
              </w:rPr>
              <w:t xml:space="preserve"> collected by service providers either electronically or via paper forms. Data </w:t>
            </w:r>
            <w:r>
              <w:rPr>
                <w:rFonts w:ascii="Arial" w:hAnsi="Arial" w:cs="Arial"/>
                <w:sz w:val="20"/>
                <w:szCs w:val="20"/>
              </w:rPr>
              <w:t>are</w:t>
            </w:r>
            <w:r w:rsidRPr="00D01029">
              <w:rPr>
                <w:rFonts w:ascii="Arial" w:hAnsi="Arial" w:cs="Arial"/>
                <w:sz w:val="20"/>
                <w:szCs w:val="20"/>
              </w:rPr>
              <w:t xml:space="preserve"> collected</w:t>
            </w:r>
            <w:r>
              <w:rPr>
                <w:rFonts w:ascii="Arial" w:hAnsi="Arial" w:cs="Arial"/>
                <w:sz w:val="20"/>
                <w:szCs w:val="20"/>
              </w:rPr>
              <w:t xml:space="preserve"> </w:t>
            </w:r>
            <w:r w:rsidRPr="00D01029">
              <w:rPr>
                <w:rFonts w:ascii="Arial" w:hAnsi="Arial" w:cs="Arial"/>
                <w:sz w:val="20"/>
                <w:szCs w:val="20"/>
              </w:rPr>
              <w:t>progressively and aggregated for transmission in accordance with a quarterly collection cycle.</w:t>
            </w:r>
            <w:r>
              <w:rPr>
                <w:rFonts w:ascii="Arial" w:hAnsi="Arial" w:cs="Arial"/>
                <w:sz w:val="20"/>
                <w:szCs w:val="20"/>
              </w:rPr>
              <w:t xml:space="preserve"> </w:t>
            </w:r>
            <w:r w:rsidRPr="00D01029">
              <w:rPr>
                <w:rFonts w:ascii="Arial" w:hAnsi="Arial" w:cs="Arial"/>
                <w:sz w:val="20"/>
                <w:szCs w:val="20"/>
              </w:rPr>
              <w:t xml:space="preserve">Aggregated data </w:t>
            </w:r>
            <w:r>
              <w:rPr>
                <w:rFonts w:ascii="Arial" w:hAnsi="Arial" w:cs="Arial"/>
                <w:sz w:val="20"/>
                <w:szCs w:val="20"/>
              </w:rPr>
              <w:t>are</w:t>
            </w:r>
            <w:r w:rsidRPr="00D01029">
              <w:rPr>
                <w:rFonts w:ascii="Arial" w:hAnsi="Arial" w:cs="Arial"/>
                <w:sz w:val="20"/>
                <w:szCs w:val="20"/>
              </w:rPr>
              <w:t xml:space="preserve"> transmitted during the collection months immediately following each quarterly</w:t>
            </w:r>
            <w:r>
              <w:rPr>
                <w:rFonts w:ascii="Arial" w:hAnsi="Arial" w:cs="Arial"/>
                <w:sz w:val="20"/>
                <w:szCs w:val="20"/>
              </w:rPr>
              <w:t xml:space="preserve"> </w:t>
            </w:r>
            <w:r w:rsidRPr="00D01029">
              <w:rPr>
                <w:rFonts w:ascii="Arial" w:hAnsi="Arial" w:cs="Arial"/>
                <w:sz w:val="20"/>
                <w:szCs w:val="20"/>
              </w:rPr>
              <w:t>activity period.</w:t>
            </w:r>
          </w:p>
          <w:p w:rsidR="006D6087" w:rsidRDefault="006D6087" w:rsidP="00E87B88">
            <w:pPr>
              <w:keepNext/>
              <w:keepLines/>
              <w:spacing w:after="120" w:line="220" w:lineRule="atLeast"/>
              <w:ind w:left="6" w:right="113"/>
              <w:jc w:val="both"/>
              <w:rPr>
                <w:rFonts w:ascii="Arial" w:hAnsi="Arial" w:cs="Arial"/>
                <w:sz w:val="20"/>
                <w:szCs w:val="20"/>
              </w:rPr>
            </w:pPr>
            <w:r w:rsidRPr="00CA0752">
              <w:rPr>
                <w:rFonts w:ascii="Arial" w:hAnsi="Arial" w:cs="Arial"/>
                <w:sz w:val="20"/>
                <w:szCs w:val="20"/>
              </w:rPr>
              <w:t>The proportion of HACC agencies that submitted data varies across years and between jurisdictions and actual service levels may be higher than stated.</w:t>
            </w:r>
          </w:p>
          <w:p w:rsidR="006D6087" w:rsidRDefault="006D6087" w:rsidP="00E87B88">
            <w:pPr>
              <w:keepNext/>
              <w:keepLines/>
              <w:spacing w:after="120" w:line="220" w:lineRule="atLeast"/>
              <w:ind w:left="6" w:right="113"/>
              <w:jc w:val="both"/>
              <w:rPr>
                <w:rFonts w:ascii="Arial" w:hAnsi="Arial" w:cs="Arial"/>
                <w:sz w:val="20"/>
                <w:szCs w:val="20"/>
              </w:rPr>
            </w:pPr>
            <w:r w:rsidRPr="000820F6">
              <w:rPr>
                <w:rFonts w:ascii="Arial" w:hAnsi="Arial" w:cs="Arial"/>
                <w:sz w:val="20"/>
                <w:szCs w:val="20"/>
              </w:rPr>
              <w:t xml:space="preserve">The proportion of HACC clients with unknown or null Indigenous status differed across jurisdictions and years. </w:t>
            </w:r>
            <w:r w:rsidRPr="00FD025D">
              <w:rPr>
                <w:rFonts w:ascii="Arial" w:hAnsi="Arial" w:cs="Arial"/>
                <w:sz w:val="20"/>
                <w:szCs w:val="20"/>
              </w:rPr>
              <w:t>In 201</w:t>
            </w:r>
            <w:r>
              <w:rPr>
                <w:rFonts w:ascii="Arial" w:hAnsi="Arial" w:cs="Arial"/>
                <w:sz w:val="20"/>
                <w:szCs w:val="20"/>
              </w:rPr>
              <w:t>2</w:t>
            </w:r>
            <w:r w:rsidR="00104B60">
              <w:rPr>
                <w:rFonts w:ascii="Arial" w:hAnsi="Arial" w:cs="Arial"/>
                <w:sz w:val="20"/>
                <w:szCs w:val="20"/>
              </w:rPr>
              <w:noBreakHyphen/>
            </w:r>
            <w:r w:rsidRPr="00FD025D">
              <w:rPr>
                <w:rFonts w:ascii="Arial" w:hAnsi="Arial" w:cs="Arial"/>
                <w:sz w:val="20"/>
                <w:szCs w:val="20"/>
              </w:rPr>
              <w:t>1</w:t>
            </w:r>
            <w:r>
              <w:rPr>
                <w:rFonts w:ascii="Arial" w:hAnsi="Arial" w:cs="Arial"/>
                <w:sz w:val="20"/>
                <w:szCs w:val="20"/>
              </w:rPr>
              <w:t>3</w:t>
            </w:r>
            <w:r w:rsidRPr="00FD025D">
              <w:rPr>
                <w:rFonts w:ascii="Arial" w:hAnsi="Arial" w:cs="Arial"/>
                <w:sz w:val="20"/>
                <w:szCs w:val="20"/>
              </w:rPr>
              <w:t>, the proportion ranged from</w:t>
            </w:r>
            <w:r>
              <w:rPr>
                <w:rFonts w:ascii="Arial" w:hAnsi="Arial" w:cs="Arial"/>
                <w:sz w:val="20"/>
                <w:szCs w:val="20"/>
              </w:rPr>
              <w:t xml:space="preserve"> 3.7 per cent to 7.6 per cent. </w:t>
            </w:r>
            <w:r w:rsidRPr="00FD025D">
              <w:rPr>
                <w:rFonts w:ascii="Arial" w:hAnsi="Arial" w:cs="Arial"/>
                <w:sz w:val="20"/>
                <w:szCs w:val="20"/>
              </w:rPr>
              <w:t xml:space="preserve">Nationally, the proportion of HACC clients with unknown or null Indigenous status was </w:t>
            </w:r>
            <w:r>
              <w:rPr>
                <w:rFonts w:ascii="Arial" w:hAnsi="Arial" w:cs="Arial"/>
                <w:sz w:val="20"/>
                <w:szCs w:val="20"/>
              </w:rPr>
              <w:t>5.9 per cent.</w:t>
            </w:r>
          </w:p>
          <w:p w:rsidR="006D6087" w:rsidRPr="00FD025D" w:rsidRDefault="006D6087" w:rsidP="00E87B88">
            <w:pPr>
              <w:keepNext/>
              <w:keepLines/>
              <w:spacing w:after="120" w:line="220" w:lineRule="atLeast"/>
              <w:ind w:left="6" w:right="113"/>
              <w:jc w:val="both"/>
              <w:rPr>
                <w:rFonts w:ascii="Arial" w:hAnsi="Arial" w:cs="Arial"/>
                <w:sz w:val="20"/>
                <w:szCs w:val="20"/>
              </w:rPr>
            </w:pPr>
            <w:r w:rsidRPr="00FD025D">
              <w:rPr>
                <w:rFonts w:ascii="Arial" w:hAnsi="Arial" w:cs="Arial"/>
                <w:sz w:val="20"/>
                <w:szCs w:val="20"/>
              </w:rPr>
              <w:t>The proportion of HACC clients with unknown or invalid date of birth differed across jurisdictions and years. In 201</w:t>
            </w:r>
            <w:r>
              <w:rPr>
                <w:rFonts w:ascii="Arial" w:hAnsi="Arial" w:cs="Arial"/>
                <w:sz w:val="20"/>
                <w:szCs w:val="20"/>
              </w:rPr>
              <w:t>2</w:t>
            </w:r>
            <w:r w:rsidR="00104B60">
              <w:rPr>
                <w:rFonts w:ascii="Arial" w:hAnsi="Arial" w:cs="Arial"/>
                <w:sz w:val="20"/>
                <w:szCs w:val="20"/>
              </w:rPr>
              <w:noBreakHyphen/>
            </w:r>
            <w:r w:rsidRPr="00FD025D">
              <w:rPr>
                <w:rFonts w:ascii="Arial" w:hAnsi="Arial" w:cs="Arial"/>
                <w:sz w:val="20"/>
                <w:szCs w:val="20"/>
              </w:rPr>
              <w:t>1</w:t>
            </w:r>
            <w:r>
              <w:rPr>
                <w:rFonts w:ascii="Arial" w:hAnsi="Arial" w:cs="Arial"/>
                <w:sz w:val="20"/>
                <w:szCs w:val="20"/>
              </w:rPr>
              <w:t>3</w:t>
            </w:r>
            <w:r w:rsidRPr="00FD025D">
              <w:rPr>
                <w:rFonts w:ascii="Arial" w:hAnsi="Arial" w:cs="Arial"/>
                <w:sz w:val="20"/>
                <w:szCs w:val="20"/>
              </w:rPr>
              <w:t xml:space="preserve">, unknown or invalid date of birth differed across jurisdictions and ranged from </w:t>
            </w:r>
            <w:r>
              <w:rPr>
                <w:rFonts w:ascii="Arial" w:hAnsi="Arial" w:cs="Arial"/>
                <w:sz w:val="20"/>
                <w:szCs w:val="20"/>
              </w:rPr>
              <w:t>0.1</w:t>
            </w:r>
            <w:r w:rsidRPr="00FD025D">
              <w:rPr>
                <w:rFonts w:ascii="Arial" w:hAnsi="Arial" w:cs="Arial"/>
                <w:sz w:val="20"/>
                <w:szCs w:val="20"/>
              </w:rPr>
              <w:t xml:space="preserve"> per cent to </w:t>
            </w:r>
            <w:r>
              <w:rPr>
                <w:rFonts w:ascii="Arial" w:hAnsi="Arial" w:cs="Arial"/>
                <w:sz w:val="20"/>
                <w:szCs w:val="20"/>
              </w:rPr>
              <w:lastRenderedPageBreak/>
              <w:t>1.1</w:t>
            </w:r>
            <w:r w:rsidRPr="00FD025D">
              <w:rPr>
                <w:rFonts w:ascii="Arial" w:hAnsi="Arial" w:cs="Arial"/>
                <w:sz w:val="20"/>
                <w:szCs w:val="20"/>
              </w:rPr>
              <w:t xml:space="preserve"> per cent. Nationally, the proportion of HACC clients with unknown or invalid </w:t>
            </w:r>
            <w:r>
              <w:rPr>
                <w:rFonts w:ascii="Arial" w:hAnsi="Arial" w:cs="Arial"/>
                <w:sz w:val="20"/>
                <w:szCs w:val="20"/>
              </w:rPr>
              <w:t>date of birth was 0.4 per cent.</w:t>
            </w:r>
          </w:p>
          <w:p w:rsidR="006D6087" w:rsidRPr="00FD025D" w:rsidRDefault="006D6087" w:rsidP="00E87B88">
            <w:pPr>
              <w:keepNext/>
              <w:keepLines/>
              <w:spacing w:after="120" w:line="220" w:lineRule="atLeast"/>
              <w:ind w:left="6" w:right="113"/>
              <w:jc w:val="both"/>
              <w:rPr>
                <w:rFonts w:ascii="Arial" w:hAnsi="Arial" w:cs="Arial"/>
                <w:sz w:val="20"/>
                <w:szCs w:val="20"/>
              </w:rPr>
            </w:pPr>
            <w:r w:rsidRPr="00FD025D">
              <w:rPr>
                <w:rFonts w:ascii="Arial" w:hAnsi="Arial" w:cs="Arial"/>
                <w:sz w:val="20"/>
                <w:szCs w:val="20"/>
              </w:rPr>
              <w:t xml:space="preserve">Validation processes for the Victorian Data Repository (VDR) and the HACC MDS differ and actual service levels may be up to 6 per cent higher or lower than stated. </w:t>
            </w:r>
          </w:p>
          <w:p w:rsidR="006D6087" w:rsidRDefault="006D6087" w:rsidP="00E87B88">
            <w:pPr>
              <w:keepNext/>
              <w:keepLines/>
              <w:spacing w:after="120" w:line="220" w:lineRule="atLeast"/>
              <w:ind w:left="6" w:right="113"/>
              <w:jc w:val="both"/>
              <w:rPr>
                <w:rFonts w:ascii="Arial" w:hAnsi="Arial" w:cs="Arial"/>
                <w:sz w:val="20"/>
                <w:szCs w:val="20"/>
              </w:rPr>
            </w:pPr>
            <w:r w:rsidRPr="00FD025D">
              <w:rPr>
                <w:rFonts w:ascii="Arial" w:hAnsi="Arial" w:cs="Arial"/>
                <w:sz w:val="20"/>
                <w:szCs w:val="20"/>
              </w:rPr>
              <w:t>Validation processes for SA can differ from</w:t>
            </w:r>
            <w:r>
              <w:rPr>
                <w:rFonts w:ascii="Arial" w:hAnsi="Arial" w:cs="Arial"/>
                <w:sz w:val="20"/>
                <w:szCs w:val="20"/>
              </w:rPr>
              <w:t xml:space="preserve"> the</w:t>
            </w:r>
            <w:r w:rsidRPr="00FD025D">
              <w:rPr>
                <w:rFonts w:ascii="Arial" w:hAnsi="Arial" w:cs="Arial"/>
                <w:sz w:val="20"/>
                <w:szCs w:val="20"/>
              </w:rPr>
              <w:t xml:space="preserve"> HACC MDS and actual service levels may be up to 5 per cent </w:t>
            </w:r>
            <w:r>
              <w:rPr>
                <w:rFonts w:ascii="Arial" w:hAnsi="Arial" w:cs="Arial"/>
                <w:sz w:val="20"/>
                <w:szCs w:val="20"/>
              </w:rPr>
              <w:t xml:space="preserve">higher or lower than stated. </w:t>
            </w:r>
            <w:r w:rsidRPr="003F37FD">
              <w:rPr>
                <w:rFonts w:ascii="Arial" w:hAnsi="Arial" w:cs="Arial"/>
                <w:sz w:val="20"/>
                <w:szCs w:val="20"/>
              </w:rPr>
              <w:t xml:space="preserve">Some goods and equipment quantities for </w:t>
            </w:r>
            <w:r>
              <w:rPr>
                <w:rFonts w:ascii="Arial" w:hAnsi="Arial" w:cs="Arial"/>
                <w:sz w:val="20"/>
                <w:szCs w:val="20"/>
              </w:rPr>
              <w:t>SA</w:t>
            </w:r>
            <w:r w:rsidRPr="003F37FD">
              <w:rPr>
                <w:rFonts w:ascii="Arial" w:hAnsi="Arial" w:cs="Arial"/>
                <w:sz w:val="20"/>
                <w:szCs w:val="20"/>
              </w:rPr>
              <w:t xml:space="preserve"> have been excluded due to a data error in 2009</w:t>
            </w:r>
            <w:r w:rsidR="00104B60">
              <w:rPr>
                <w:rFonts w:ascii="Arial" w:hAnsi="Arial" w:cs="Arial"/>
                <w:sz w:val="20"/>
                <w:szCs w:val="20"/>
              </w:rPr>
              <w:noBreakHyphen/>
            </w:r>
            <w:r w:rsidRPr="003F37FD">
              <w:rPr>
                <w:rFonts w:ascii="Arial" w:hAnsi="Arial" w:cs="Arial"/>
                <w:sz w:val="20"/>
                <w:szCs w:val="20"/>
              </w:rPr>
              <w:t>10.</w:t>
            </w:r>
          </w:p>
          <w:p w:rsidR="006D6087" w:rsidRDefault="006D6087" w:rsidP="00E87B88">
            <w:pPr>
              <w:keepNext/>
              <w:keepLines/>
              <w:spacing w:after="120" w:line="220" w:lineRule="atLeast"/>
              <w:ind w:left="6" w:right="113"/>
              <w:jc w:val="both"/>
              <w:rPr>
                <w:rFonts w:ascii="Arial" w:hAnsi="Arial" w:cs="Arial"/>
                <w:sz w:val="20"/>
                <w:szCs w:val="20"/>
              </w:rPr>
            </w:pPr>
            <w:r w:rsidRPr="003F37FD">
              <w:rPr>
                <w:rFonts w:ascii="Arial" w:hAnsi="Arial" w:cs="Arial"/>
                <w:sz w:val="20"/>
                <w:szCs w:val="20"/>
              </w:rPr>
              <w:t>For 2009</w:t>
            </w:r>
            <w:r w:rsidR="00104B60">
              <w:rPr>
                <w:rFonts w:ascii="Arial" w:hAnsi="Arial" w:cs="Arial"/>
                <w:sz w:val="20"/>
                <w:szCs w:val="20"/>
              </w:rPr>
              <w:noBreakHyphen/>
            </w:r>
            <w:r w:rsidRPr="003F37FD">
              <w:rPr>
                <w:rFonts w:ascii="Arial" w:hAnsi="Arial" w:cs="Arial"/>
                <w:sz w:val="20"/>
                <w:szCs w:val="20"/>
              </w:rPr>
              <w:t>10 and 2010</w:t>
            </w:r>
            <w:r w:rsidR="00104B60">
              <w:rPr>
                <w:rFonts w:ascii="Arial" w:hAnsi="Arial" w:cs="Arial"/>
                <w:sz w:val="20"/>
                <w:szCs w:val="20"/>
              </w:rPr>
              <w:noBreakHyphen/>
            </w:r>
            <w:r w:rsidRPr="003F37FD">
              <w:rPr>
                <w:rFonts w:ascii="Arial" w:hAnsi="Arial" w:cs="Arial"/>
                <w:sz w:val="20"/>
                <w:szCs w:val="20"/>
              </w:rPr>
              <w:t>11, results for Tasmania exclude HACC services provided under the Multipurpose Services Program. Transport Trips for Tasmania may be significantly under</w:t>
            </w:r>
            <w:r w:rsidR="00104B60">
              <w:rPr>
                <w:rFonts w:ascii="Arial" w:hAnsi="Arial" w:cs="Arial"/>
                <w:sz w:val="20"/>
                <w:szCs w:val="20"/>
              </w:rPr>
              <w:noBreakHyphen/>
            </w:r>
            <w:r w:rsidRPr="003F37FD">
              <w:rPr>
                <w:rFonts w:ascii="Arial" w:hAnsi="Arial" w:cs="Arial"/>
                <w:sz w:val="20"/>
                <w:szCs w:val="20"/>
              </w:rPr>
              <w:t>reported due to a reporting exemption. For 2011</w:t>
            </w:r>
            <w:r w:rsidR="00104B60">
              <w:rPr>
                <w:rFonts w:ascii="Arial" w:hAnsi="Arial" w:cs="Arial"/>
                <w:sz w:val="20"/>
                <w:szCs w:val="20"/>
              </w:rPr>
              <w:noBreakHyphen/>
            </w:r>
            <w:r w:rsidRPr="003F37FD">
              <w:rPr>
                <w:rFonts w:ascii="Arial" w:hAnsi="Arial" w:cs="Arial"/>
                <w:sz w:val="20"/>
                <w:szCs w:val="20"/>
              </w:rPr>
              <w:t xml:space="preserve">12 for Tasmania, partial data </w:t>
            </w:r>
            <w:r>
              <w:rPr>
                <w:rFonts w:ascii="Arial" w:hAnsi="Arial" w:cs="Arial"/>
                <w:sz w:val="20"/>
                <w:szCs w:val="20"/>
              </w:rPr>
              <w:t>were</w:t>
            </w:r>
            <w:r w:rsidRPr="003F37FD">
              <w:rPr>
                <w:rFonts w:ascii="Arial" w:hAnsi="Arial" w:cs="Arial"/>
                <w:sz w:val="20"/>
                <w:szCs w:val="20"/>
              </w:rPr>
              <w:t xml:space="preserve"> received from Multi</w:t>
            </w:r>
            <w:r w:rsidR="00104B60">
              <w:rPr>
                <w:rFonts w:ascii="Arial" w:hAnsi="Arial" w:cs="Arial"/>
                <w:sz w:val="20"/>
                <w:szCs w:val="20"/>
              </w:rPr>
              <w:noBreakHyphen/>
            </w:r>
            <w:r w:rsidRPr="003F37FD">
              <w:rPr>
                <w:rFonts w:ascii="Arial" w:hAnsi="Arial" w:cs="Arial"/>
                <w:sz w:val="20"/>
                <w:szCs w:val="20"/>
              </w:rPr>
              <w:t>Purpose Services</w:t>
            </w:r>
            <w:r>
              <w:rPr>
                <w:rFonts w:ascii="Arial" w:hAnsi="Arial" w:cs="Arial"/>
                <w:sz w:val="20"/>
                <w:szCs w:val="20"/>
              </w:rPr>
              <w:t xml:space="preserve"> and </w:t>
            </w:r>
            <w:r w:rsidRPr="003F37FD">
              <w:rPr>
                <w:rFonts w:ascii="Arial" w:hAnsi="Arial" w:cs="Arial"/>
                <w:sz w:val="20"/>
                <w:szCs w:val="20"/>
              </w:rPr>
              <w:t>HACC funded services are therefore under reported.</w:t>
            </w:r>
          </w:p>
          <w:p w:rsidR="006D6087" w:rsidRPr="006978F2" w:rsidRDefault="006D6087"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T</w:t>
            </w:r>
            <w:r w:rsidRPr="00FD025D">
              <w:rPr>
                <w:rFonts w:ascii="Arial" w:hAnsi="Arial" w:cs="Arial"/>
                <w:sz w:val="20"/>
                <w:szCs w:val="20"/>
              </w:rPr>
              <w:t>he ACT</w:t>
            </w:r>
            <w:r>
              <w:rPr>
                <w:rFonts w:ascii="Arial" w:hAnsi="Arial" w:cs="Arial"/>
                <w:sz w:val="20"/>
                <w:szCs w:val="20"/>
              </w:rPr>
              <w:t>,</w:t>
            </w:r>
            <w:r w:rsidRPr="00FD025D">
              <w:rPr>
                <w:rFonts w:ascii="Arial" w:hAnsi="Arial" w:cs="Arial"/>
                <w:sz w:val="20"/>
                <w:szCs w:val="20"/>
              </w:rPr>
              <w:t xml:space="preserve"> </w:t>
            </w:r>
            <w:r>
              <w:rPr>
                <w:rFonts w:ascii="Arial" w:hAnsi="Arial" w:cs="Arial"/>
                <w:sz w:val="20"/>
                <w:szCs w:val="20"/>
              </w:rPr>
              <w:t>a</w:t>
            </w:r>
            <w:r w:rsidRPr="00FD025D">
              <w:rPr>
                <w:rFonts w:ascii="Arial" w:hAnsi="Arial" w:cs="Arial"/>
                <w:sz w:val="20"/>
                <w:szCs w:val="20"/>
              </w:rPr>
              <w:t xml:space="preserve">llied </w:t>
            </w:r>
            <w:r>
              <w:rPr>
                <w:rFonts w:ascii="Arial" w:hAnsi="Arial" w:cs="Arial"/>
                <w:sz w:val="20"/>
                <w:szCs w:val="20"/>
              </w:rPr>
              <w:t>h</w:t>
            </w:r>
            <w:r w:rsidRPr="00FD025D">
              <w:rPr>
                <w:rFonts w:ascii="Arial" w:hAnsi="Arial" w:cs="Arial"/>
                <w:sz w:val="20"/>
                <w:szCs w:val="20"/>
              </w:rPr>
              <w:t xml:space="preserve">ealth </w:t>
            </w:r>
            <w:r>
              <w:rPr>
                <w:rFonts w:ascii="Arial" w:hAnsi="Arial" w:cs="Arial"/>
                <w:sz w:val="20"/>
                <w:szCs w:val="20"/>
              </w:rPr>
              <w:t xml:space="preserve">and nursing </w:t>
            </w:r>
            <w:r w:rsidRPr="00FD025D">
              <w:rPr>
                <w:rFonts w:ascii="Arial" w:hAnsi="Arial" w:cs="Arial"/>
                <w:sz w:val="20"/>
                <w:szCs w:val="20"/>
              </w:rPr>
              <w:t>hours are under</w:t>
            </w:r>
            <w:r>
              <w:rPr>
                <w:rFonts w:ascii="Arial" w:hAnsi="Arial" w:cs="Arial"/>
                <w:sz w:val="20"/>
                <w:szCs w:val="20"/>
              </w:rPr>
              <w:t xml:space="preserve"> reported in 2008</w:t>
            </w:r>
            <w:r w:rsidR="00104B60">
              <w:rPr>
                <w:rFonts w:ascii="Arial" w:hAnsi="Arial" w:cs="Arial"/>
                <w:sz w:val="20"/>
                <w:szCs w:val="20"/>
              </w:rPr>
              <w:noBreakHyphen/>
            </w:r>
            <w:r>
              <w:rPr>
                <w:rFonts w:ascii="Arial" w:hAnsi="Arial" w:cs="Arial"/>
                <w:sz w:val="20"/>
                <w:szCs w:val="20"/>
              </w:rPr>
              <w:t>09.</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Height w:val="2394"/>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Pr>
                <w:rFonts w:ascii="Arial" w:hAnsi="Arial" w:cs="Arial"/>
                <w:b/>
                <w:sz w:val="20"/>
                <w:szCs w:val="20"/>
              </w:rPr>
              <w:lastRenderedPageBreak/>
              <w:t>Coherence</w:t>
            </w:r>
          </w:p>
        </w:tc>
        <w:tc>
          <w:tcPr>
            <w:tcW w:w="7020" w:type="dxa"/>
            <w:tcBorders>
              <w:top w:val="nil"/>
              <w:left w:val="nil"/>
              <w:bottom w:val="nil"/>
              <w:right w:val="nil"/>
            </w:tcBorders>
          </w:tcPr>
          <w:p w:rsidR="006D6087" w:rsidRDefault="006D6087"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Variations across jurisdictions and years in the missing rates for data may affect the comparability of data across jurisdictions and years.</w:t>
            </w:r>
          </w:p>
          <w:p w:rsidR="006D6087" w:rsidRDefault="006D6087"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The population projections used to calculate this indicator are not comparable overtime when based on different Censuses (2011, 2006 and 2001). Data for June 2013 (based on the 2011 Census) are not comparable to earlier years and data for 2008–2012 (based on the </w:t>
            </w:r>
            <w:r>
              <w:rPr>
                <w:rFonts w:ascii="Arial" w:hAnsi="Arial" w:cs="Arial"/>
                <w:sz w:val="20"/>
                <w:szCs w:val="20"/>
              </w:rPr>
              <w:br/>
              <w:t>2006</w:t>
            </w:r>
            <w:r w:rsidRPr="00711247">
              <w:rPr>
                <w:rFonts w:ascii="Arial" w:hAnsi="Arial" w:cs="Arial"/>
                <w:sz w:val="20"/>
                <w:szCs w:val="20"/>
              </w:rPr>
              <w:t xml:space="preserve"> </w:t>
            </w:r>
            <w:r w:rsidRPr="00AC35C4">
              <w:rPr>
                <w:rFonts w:ascii="Arial" w:hAnsi="Arial" w:cs="Arial"/>
                <w:sz w:val="20"/>
                <w:szCs w:val="20"/>
              </w:rPr>
              <w:t>Census</w:t>
            </w:r>
            <w:r>
              <w:rPr>
                <w:rFonts w:ascii="Arial" w:hAnsi="Arial" w:cs="Arial"/>
                <w:sz w:val="20"/>
                <w:szCs w:val="20"/>
              </w:rPr>
              <w:t xml:space="preserve">) are not comparable to data before 2008 (based on the </w:t>
            </w:r>
            <w:r>
              <w:rPr>
                <w:rFonts w:ascii="Arial" w:hAnsi="Arial" w:cs="Arial"/>
                <w:sz w:val="20"/>
                <w:szCs w:val="20"/>
              </w:rPr>
              <w:br/>
              <w:t xml:space="preserve">2001 Census). </w:t>
            </w:r>
          </w:p>
          <w:p w:rsidR="006D6087" w:rsidRPr="006978F2" w:rsidRDefault="006D6087"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From 2010, </w:t>
            </w:r>
            <w:r w:rsidRPr="007008EA">
              <w:rPr>
                <w:rFonts w:ascii="Arial" w:hAnsi="Arial" w:cs="Arial"/>
                <w:sz w:val="20"/>
                <w:szCs w:val="20"/>
              </w:rPr>
              <w:t xml:space="preserve">Indigenous population projections </w:t>
            </w:r>
            <w:r>
              <w:rPr>
                <w:rFonts w:ascii="Arial" w:hAnsi="Arial" w:cs="Arial"/>
                <w:sz w:val="20"/>
                <w:szCs w:val="20"/>
              </w:rPr>
              <w:t>were</w:t>
            </w:r>
            <w:r w:rsidRPr="007008EA">
              <w:rPr>
                <w:rFonts w:ascii="Arial" w:hAnsi="Arial" w:cs="Arial"/>
                <w:sz w:val="20"/>
                <w:szCs w:val="20"/>
              </w:rPr>
              <w:t xml:space="preserve"> calculated using a different method compared with that used in previous years. This will have a small effect on comparability with results from previous years.</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Accessibility</w:t>
            </w:r>
          </w:p>
        </w:tc>
        <w:tc>
          <w:tcPr>
            <w:tcW w:w="7020" w:type="dxa"/>
            <w:tcBorders>
              <w:top w:val="nil"/>
              <w:left w:val="nil"/>
              <w:bottom w:val="nil"/>
              <w:right w:val="nil"/>
            </w:tcBorders>
          </w:tcPr>
          <w:p w:rsidR="006D6087" w:rsidRPr="006978F2" w:rsidRDefault="006D6087" w:rsidP="00E87B88">
            <w:pPr>
              <w:keepNext/>
              <w:keepLines/>
              <w:spacing w:after="120" w:line="220" w:lineRule="atLeast"/>
              <w:ind w:left="6" w:right="113"/>
              <w:jc w:val="both"/>
              <w:rPr>
                <w:rFonts w:ascii="Arial" w:hAnsi="Arial"/>
                <w:iCs/>
                <w:sz w:val="20"/>
                <w:szCs w:val="20"/>
              </w:rPr>
            </w:pPr>
            <w:r w:rsidRPr="00D53391">
              <w:rPr>
                <w:rFonts w:ascii="Arial" w:hAnsi="Arial"/>
                <w:iCs/>
                <w:sz w:val="20"/>
                <w:szCs w:val="20"/>
              </w:rPr>
              <w:t>Aggregated HACC data are published in the HACC MDS Statistical Bulletin on an annual basis.</w:t>
            </w:r>
            <w:r>
              <w:rPr>
                <w:rFonts w:ascii="Arial" w:hAnsi="Arial"/>
                <w:iCs/>
                <w:sz w:val="20"/>
                <w:szCs w:val="20"/>
              </w:rPr>
              <w:t xml:space="preserve"> The last annual Bulletin contains 2010</w:t>
            </w:r>
            <w:r w:rsidR="00104B60">
              <w:rPr>
                <w:rFonts w:ascii="Arial" w:hAnsi="Arial"/>
                <w:iCs/>
                <w:sz w:val="20"/>
                <w:szCs w:val="20"/>
              </w:rPr>
              <w:noBreakHyphen/>
            </w:r>
            <w:r>
              <w:rPr>
                <w:rFonts w:ascii="Arial" w:hAnsi="Arial"/>
                <w:iCs/>
                <w:sz w:val="20"/>
                <w:szCs w:val="20"/>
              </w:rPr>
              <w:t xml:space="preserve">11 data. </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6D6087" w:rsidRPr="006978F2" w:rsidRDefault="006D6087"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Interpretability</w:t>
            </w:r>
          </w:p>
        </w:tc>
        <w:tc>
          <w:tcPr>
            <w:tcW w:w="7020" w:type="dxa"/>
            <w:tcBorders>
              <w:top w:val="nil"/>
              <w:left w:val="nil"/>
              <w:bottom w:val="nil"/>
              <w:right w:val="nil"/>
            </w:tcBorders>
          </w:tcPr>
          <w:p w:rsidR="006D6087" w:rsidRPr="006978F2" w:rsidRDefault="006D6087" w:rsidP="00E87B88">
            <w:pPr>
              <w:keepNext/>
              <w:keepLines/>
              <w:spacing w:after="120" w:line="220" w:lineRule="atLeast"/>
              <w:ind w:left="6" w:right="113"/>
              <w:jc w:val="both"/>
              <w:rPr>
                <w:rFonts w:ascii="Arial" w:hAnsi="Arial" w:cs="Arial"/>
                <w:sz w:val="20"/>
                <w:szCs w:val="20"/>
              </w:rPr>
            </w:pPr>
            <w:r w:rsidRPr="00D01029">
              <w:rPr>
                <w:rFonts w:ascii="Arial" w:hAnsi="Arial" w:cs="Arial"/>
                <w:sz w:val="20"/>
                <w:szCs w:val="20"/>
              </w:rPr>
              <w:t>Further information on definitions is available in the HACC Data Dictionary</w:t>
            </w:r>
            <w:r>
              <w:rPr>
                <w:rFonts w:ascii="Arial" w:hAnsi="Arial" w:cs="Arial"/>
                <w:sz w:val="20"/>
                <w:szCs w:val="20"/>
              </w:rPr>
              <w:t xml:space="preserve"> and the HACC MDS Statistical Bulletin</w:t>
            </w:r>
            <w:r w:rsidRPr="00D01029">
              <w:rPr>
                <w:rFonts w:ascii="Arial" w:hAnsi="Arial" w:cs="Arial"/>
                <w:sz w:val="20"/>
                <w:szCs w:val="20"/>
              </w:rPr>
              <w:t>.</w:t>
            </w:r>
          </w:p>
        </w:tc>
      </w:tr>
      <w:tr w:rsidR="006D6087" w:rsidRPr="006978F2" w:rsidTr="00E87B88">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6D6087" w:rsidRPr="00801F93" w:rsidRDefault="006D6087" w:rsidP="00E87B88">
            <w:pPr>
              <w:keepNext/>
              <w:keepLines/>
              <w:spacing w:line="220" w:lineRule="atLeast"/>
              <w:ind w:left="6" w:right="113"/>
              <w:jc w:val="both"/>
              <w:rPr>
                <w:rFonts w:ascii="Arial" w:hAnsi="Arial"/>
                <w:b/>
                <w:sz w:val="20"/>
                <w:szCs w:val="20"/>
                <w:u w:val="single"/>
              </w:rPr>
            </w:pPr>
          </w:p>
          <w:p w:rsidR="006D6087" w:rsidRPr="006978F2" w:rsidRDefault="006D6087" w:rsidP="00E87B88">
            <w:pPr>
              <w:keepNext/>
              <w:keepLines/>
              <w:spacing w:line="220" w:lineRule="atLeast"/>
              <w:ind w:left="6" w:right="113"/>
              <w:jc w:val="both"/>
              <w:rPr>
                <w:rFonts w:ascii="Arial" w:hAnsi="Arial"/>
                <w:b/>
                <w:sz w:val="20"/>
                <w:szCs w:val="20"/>
              </w:rPr>
            </w:pPr>
            <w:r w:rsidRPr="00801F93">
              <w:rPr>
                <w:rFonts w:ascii="Arial" w:hAnsi="Arial"/>
                <w:b/>
                <w:sz w:val="20"/>
                <w:szCs w:val="20"/>
                <w:u w:val="single"/>
              </w:rPr>
              <w:t>Data Gaps/Issues Analysis</w:t>
            </w:r>
          </w:p>
        </w:tc>
      </w:tr>
      <w:tr w:rsidR="006D6087" w:rsidRPr="006978F2" w:rsidTr="006D6087">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shd w:val="clear" w:color="auto" w:fill="FFFFFF" w:themeFill="background1"/>
          </w:tcPr>
          <w:p w:rsidR="006D6087" w:rsidRPr="006978F2" w:rsidRDefault="006D6087" w:rsidP="00E87B88">
            <w:pPr>
              <w:keepNext/>
              <w:keepLines/>
              <w:spacing w:before="120" w:line="220" w:lineRule="atLeast"/>
              <w:ind w:right="113"/>
              <w:jc w:val="both"/>
              <w:rPr>
                <w:rFonts w:ascii="Arial" w:hAnsi="Arial" w:cs="Arial"/>
                <w:b/>
                <w:sz w:val="20"/>
                <w:szCs w:val="22"/>
              </w:rPr>
            </w:pPr>
            <w:r w:rsidRPr="006978F2">
              <w:rPr>
                <w:rFonts w:ascii="Arial" w:hAnsi="Arial" w:cs="Arial"/>
                <w:b/>
                <w:sz w:val="20"/>
                <w:szCs w:val="22"/>
              </w:rPr>
              <w:t>Key data gaps/issues</w:t>
            </w:r>
          </w:p>
        </w:tc>
        <w:tc>
          <w:tcPr>
            <w:tcW w:w="7020" w:type="dxa"/>
            <w:tcBorders>
              <w:top w:val="nil"/>
              <w:left w:val="nil"/>
              <w:bottom w:val="nil"/>
              <w:right w:val="nil"/>
            </w:tcBorders>
            <w:shd w:val="clear" w:color="auto" w:fill="FFFFFF" w:themeFill="background1"/>
          </w:tcPr>
          <w:p w:rsidR="006D6087" w:rsidRPr="00B479F5" w:rsidRDefault="006D6087" w:rsidP="00E87B88">
            <w:pPr>
              <w:pStyle w:val="TableBodyText"/>
              <w:spacing w:after="60"/>
              <w:jc w:val="both"/>
              <w:rPr>
                <w:rFonts w:cs="Arial"/>
              </w:rPr>
            </w:pPr>
            <w:r>
              <w:rPr>
                <w:rFonts w:cs="Arial"/>
              </w:rPr>
              <w:t>The Steering Committee notes the following issues;</w:t>
            </w:r>
            <w:r w:rsidRPr="00B479F5">
              <w:rPr>
                <w:rFonts w:cs="Arial"/>
              </w:rPr>
              <w:t xml:space="preserve"> </w:t>
            </w:r>
          </w:p>
          <w:p w:rsidR="006D6087" w:rsidRPr="002C59E1" w:rsidRDefault="006D6087" w:rsidP="006D6087">
            <w:pPr>
              <w:pStyle w:val="TableBullet"/>
              <w:shd w:val="clear" w:color="auto" w:fill="FFFFFF" w:themeFill="background1"/>
              <w:jc w:val="both"/>
            </w:pPr>
            <w:r w:rsidRPr="006D6087">
              <w:rPr>
                <w:shd w:val="clear" w:color="auto" w:fill="FFFFFF" w:themeFill="background1"/>
              </w:rPr>
              <w:t>Annual data are available. The most recent data available are for 2012</w:t>
            </w:r>
            <w:r w:rsidRPr="006D6087">
              <w:rPr>
                <w:shd w:val="clear" w:color="auto" w:fill="FFFFFF" w:themeFill="background1"/>
              </w:rPr>
              <w:noBreakHyphen/>
              <w:t>13.</w:t>
            </w:r>
            <w:r w:rsidRPr="002C59E1">
              <w:t xml:space="preserve"> </w:t>
            </w:r>
          </w:p>
          <w:p w:rsidR="006D6087" w:rsidRPr="00DC4C91" w:rsidRDefault="006D6087" w:rsidP="006D6087">
            <w:pPr>
              <w:pStyle w:val="TableBullet"/>
              <w:shd w:val="clear" w:color="auto" w:fill="FFFFFF" w:themeFill="background1"/>
              <w:jc w:val="both"/>
              <w:rPr>
                <w:rStyle w:val="DraftingNote"/>
                <w:rFonts w:cs="Arial"/>
                <w:b w:val="0"/>
                <w:color w:val="auto"/>
                <w:sz w:val="20"/>
                <w:u w:val="none"/>
              </w:rPr>
            </w:pPr>
            <w:r w:rsidRPr="00CA0752">
              <w:rPr>
                <w:rFonts w:cs="Arial"/>
              </w:rPr>
              <w:t xml:space="preserve">The </w:t>
            </w:r>
            <w:r w:rsidRPr="00DC4C91">
              <w:t>proportion</w:t>
            </w:r>
            <w:r w:rsidRPr="00CA0752">
              <w:rPr>
                <w:rFonts w:cs="Arial"/>
              </w:rPr>
              <w:t xml:space="preserve"> of HACC agencies that submitted data varies across years and between jurisdictions and actual service levels may be higher than stated.</w:t>
            </w:r>
          </w:p>
        </w:tc>
      </w:tr>
    </w:tbl>
    <w:p w:rsidR="006D6087" w:rsidRPr="006978F2" w:rsidRDefault="006D6087" w:rsidP="006D6087">
      <w:pPr>
        <w:pStyle w:val="BodyText"/>
      </w:pPr>
      <w:r w:rsidRPr="006978F2">
        <w:rPr>
          <w:rFonts w:ascii="Book Antiqua" w:hAnsi="Book Antiqua"/>
          <w:color w:val="000000"/>
          <w:sz w:val="22"/>
          <w:szCs w:val="24"/>
        </w:rPr>
        <w:br w:type="page"/>
      </w:r>
    </w:p>
    <w:p w:rsidR="0058260A" w:rsidRPr="009C4419" w:rsidRDefault="0058260A" w:rsidP="00BE5B08">
      <w:pPr>
        <w:pStyle w:val="Heading3"/>
        <w:spacing w:before="120"/>
        <w:jc w:val="both"/>
      </w:pPr>
      <w:bookmarkStart w:id="26" w:name="_Toc377383323"/>
      <w:r w:rsidRPr="009C4419">
        <w:lastRenderedPageBreak/>
        <w:t>Use by different groups —</w:t>
      </w:r>
      <w:r w:rsidR="00104B60">
        <w:t xml:space="preserve"> </w:t>
      </w:r>
      <w:r w:rsidRPr="009C4419">
        <w:t xml:space="preserve">the rate of contacts with Commonwealth Respite and Carelink Centres for </w:t>
      </w:r>
      <w:r>
        <w:t>Indigenous Australians</w:t>
      </w:r>
      <w:r w:rsidRPr="009C4419">
        <w:t xml:space="preserve"> benchmarked against the rate for all people</w:t>
      </w:r>
      <w:r>
        <w:t>.</w:t>
      </w:r>
      <w:bookmarkEnd w:id="26"/>
      <w:r w:rsidRPr="009C4419">
        <w:t xml:space="preserve"> </w:t>
      </w:r>
    </w:p>
    <w:p w:rsidR="00CB4624" w:rsidRPr="00EA5574" w:rsidRDefault="00EA5574" w:rsidP="00E119DD">
      <w:pPr>
        <w:keepNext/>
        <w:spacing w:before="100" w:beforeAutospacing="1" w:line="280" w:lineRule="atLeast"/>
        <w:jc w:val="both"/>
        <w:rPr>
          <w:rFonts w:ascii="Arial" w:hAnsi="Arial"/>
          <w:szCs w:val="20"/>
        </w:rPr>
      </w:pPr>
      <w:proofErr w:type="spellStart"/>
      <w:r w:rsidRPr="00EA5574">
        <w:rPr>
          <w:rFonts w:ascii="Arial" w:hAnsi="Arial"/>
          <w:szCs w:val="20"/>
        </w:rPr>
        <w:t>DQI</w:t>
      </w:r>
      <w:proofErr w:type="spellEnd"/>
      <w:r w:rsidR="0058260A" w:rsidRPr="00EA5574">
        <w:rPr>
          <w:rFonts w:ascii="Arial" w:hAnsi="Arial"/>
          <w:szCs w:val="20"/>
        </w:rPr>
        <w:t xml:space="preserve"> for this indicator has been drafted by the Australian Government </w:t>
      </w:r>
      <w:r w:rsidR="00DC4C91" w:rsidRPr="00EA5574">
        <w:rPr>
          <w:rFonts w:ascii="Arial" w:hAnsi="Arial"/>
          <w:szCs w:val="20"/>
        </w:rPr>
        <w:t>DSS</w:t>
      </w:r>
      <w:r w:rsidR="0058260A" w:rsidRPr="00EA5574">
        <w:rPr>
          <w:rFonts w:ascii="Arial" w:hAnsi="Arial"/>
          <w:szCs w:val="20"/>
        </w:rPr>
        <w:t>, with additional Steering Committee comments.</w:t>
      </w:r>
    </w:p>
    <w:p w:rsidR="006D6087" w:rsidRDefault="006D6087" w:rsidP="00BE5B08">
      <w:pPr>
        <w:pStyle w:val="BodyText"/>
        <w:keepNext/>
        <w:keepLines/>
        <w:spacing w:before="120" w:line="240" w:lineRule="auto"/>
        <w:rPr>
          <w:rFonts w:ascii="Arial" w:hAnsi="Arial" w:cs="Arial"/>
          <w:sz w:val="22"/>
          <w:szCs w:val="22"/>
        </w:rPr>
      </w:pPr>
    </w:p>
    <w:tbl>
      <w:tblPr>
        <w:tblW w:w="5120" w:type="pct"/>
        <w:tblCellMar>
          <w:left w:w="0" w:type="dxa"/>
          <w:right w:w="0" w:type="dxa"/>
        </w:tblCellMar>
        <w:tblLook w:val="0000" w:firstRow="0" w:lastRow="0" w:firstColumn="0" w:lastColumn="0" w:noHBand="0" w:noVBand="0"/>
      </w:tblPr>
      <w:tblGrid>
        <w:gridCol w:w="1802"/>
        <w:gridCol w:w="7092"/>
        <w:gridCol w:w="106"/>
      </w:tblGrid>
      <w:tr w:rsidR="0058260A" w:rsidTr="00B074E3">
        <w:tc>
          <w:tcPr>
            <w:tcW w:w="5000" w:type="pct"/>
            <w:gridSpan w:val="3"/>
            <w:shd w:val="clear" w:color="auto" w:fill="auto"/>
          </w:tcPr>
          <w:p w:rsidR="0058260A" w:rsidRPr="007D0BFD" w:rsidRDefault="0058260A" w:rsidP="00BE5B08">
            <w:pPr>
              <w:pStyle w:val="TableBodyText"/>
              <w:jc w:val="both"/>
              <w:rPr>
                <w:b/>
                <w:u w:val="single"/>
              </w:rPr>
            </w:pPr>
          </w:p>
          <w:p w:rsidR="0058260A" w:rsidRDefault="0058260A" w:rsidP="00BE5B08">
            <w:pPr>
              <w:pStyle w:val="TableBodyText"/>
              <w:jc w:val="both"/>
            </w:pPr>
            <w:r w:rsidRPr="007D0BFD">
              <w:rPr>
                <w:b/>
                <w:u w:val="single"/>
              </w:rPr>
              <w:t>Indicator definition and description</w:t>
            </w:r>
            <w:r>
              <w:rPr>
                <w:rFonts w:cs="Arial"/>
                <w:b/>
                <w:sz w:val="22"/>
                <w:szCs w:val="22"/>
                <w:u w:val="single"/>
              </w:rPr>
              <w:t xml:space="preserve"> </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3324BE" w:rsidRDefault="0058260A" w:rsidP="00BE5B08">
            <w:pPr>
              <w:pStyle w:val="TableBodyText"/>
              <w:ind w:left="0"/>
              <w:jc w:val="both"/>
              <w:rPr>
                <w:rFonts w:cs="Arial"/>
                <w:b/>
              </w:rPr>
            </w:pPr>
            <w:r w:rsidRPr="003324BE">
              <w:rPr>
                <w:rFonts w:cs="Arial"/>
                <w:b/>
              </w:rPr>
              <w:t>Element</w:t>
            </w:r>
          </w:p>
        </w:tc>
        <w:tc>
          <w:tcPr>
            <w:tcW w:w="3999" w:type="pct"/>
            <w:gridSpan w:val="2"/>
            <w:shd w:val="clear" w:color="auto" w:fill="auto"/>
          </w:tcPr>
          <w:p w:rsidR="0058260A" w:rsidRPr="003324BE" w:rsidRDefault="0058260A" w:rsidP="00F06A16">
            <w:pPr>
              <w:pStyle w:val="TableBodyText"/>
              <w:spacing w:after="120"/>
              <w:jc w:val="both"/>
              <w:rPr>
                <w:rFonts w:cs="Arial"/>
              </w:rPr>
            </w:pPr>
            <w:r w:rsidRPr="003324BE">
              <w:rPr>
                <w:rFonts w:cs="Arial"/>
              </w:rPr>
              <w:t>Equity — Access</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ind w:left="0"/>
              <w:jc w:val="both"/>
              <w:rPr>
                <w:rFonts w:cs="Arial"/>
                <w:b/>
              </w:rPr>
            </w:pPr>
            <w:r w:rsidRPr="005E027C">
              <w:rPr>
                <w:rFonts w:cs="Arial"/>
                <w:b/>
              </w:rPr>
              <w:t xml:space="preserve">Indicator </w:t>
            </w:r>
          </w:p>
        </w:tc>
        <w:tc>
          <w:tcPr>
            <w:tcW w:w="3999" w:type="pct"/>
            <w:gridSpan w:val="2"/>
            <w:shd w:val="clear" w:color="auto" w:fill="auto"/>
          </w:tcPr>
          <w:p w:rsidR="0058260A" w:rsidRPr="002E0151" w:rsidRDefault="0058260A" w:rsidP="00F06A16">
            <w:pPr>
              <w:pStyle w:val="TableBodyText"/>
              <w:spacing w:after="120"/>
              <w:jc w:val="both"/>
            </w:pPr>
            <w:r w:rsidRPr="002E0151">
              <w:t>Use by different groups —</w:t>
            </w:r>
            <w:r w:rsidR="00104B60">
              <w:t xml:space="preserve"> </w:t>
            </w:r>
            <w:r w:rsidRPr="002E0151">
              <w:t xml:space="preserve">the rate of contacts with Commonwealth Respite and Carelink Centres for </w:t>
            </w:r>
            <w:r>
              <w:t>Indigenous Australians</w:t>
            </w:r>
            <w:r w:rsidRPr="002E0151">
              <w:t xml:space="preserve"> benchmarked against the rate for all people.</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ind w:left="0"/>
              <w:jc w:val="both"/>
              <w:rPr>
                <w:rFonts w:cs="Arial"/>
                <w:b/>
              </w:rPr>
            </w:pPr>
            <w:r w:rsidRPr="005E027C">
              <w:rPr>
                <w:rFonts w:cs="Arial"/>
                <w:b/>
              </w:rPr>
              <w:t>Measure (computation)</w:t>
            </w:r>
          </w:p>
        </w:tc>
        <w:tc>
          <w:tcPr>
            <w:tcW w:w="3999" w:type="pct"/>
            <w:gridSpan w:val="2"/>
            <w:shd w:val="clear" w:color="auto" w:fill="auto"/>
          </w:tcPr>
          <w:p w:rsidR="0058260A" w:rsidRPr="00A57951" w:rsidRDefault="0058260A" w:rsidP="00BE5B08">
            <w:pPr>
              <w:spacing w:after="120"/>
              <w:jc w:val="both"/>
              <w:rPr>
                <w:rFonts w:ascii="Arial" w:hAnsi="Arial" w:cs="Arial"/>
                <w:sz w:val="20"/>
                <w:u w:val="single"/>
              </w:rPr>
            </w:pPr>
            <w:r w:rsidRPr="00A57951">
              <w:rPr>
                <w:rFonts w:ascii="Arial" w:hAnsi="Arial" w:cs="Arial"/>
                <w:sz w:val="20"/>
                <w:u w:val="single"/>
              </w:rPr>
              <w:t xml:space="preserve">Definition: </w:t>
            </w:r>
          </w:p>
          <w:p w:rsidR="0058260A" w:rsidRPr="00A57951" w:rsidRDefault="0058260A" w:rsidP="00BE5B08">
            <w:pPr>
              <w:pStyle w:val="TableBodyText"/>
              <w:jc w:val="both"/>
              <w:rPr>
                <w:rFonts w:cs="Arial"/>
                <w:u w:val="single"/>
              </w:rPr>
            </w:pPr>
            <w:r>
              <w:t>Rate of contacts</w:t>
            </w:r>
            <w:r w:rsidRPr="00A57951">
              <w:t xml:space="preserve"> with </w:t>
            </w:r>
            <w:r w:rsidRPr="002E0151">
              <w:t>Commonwealth Respite and Carelink Centres</w:t>
            </w:r>
            <w:r w:rsidRPr="00A57951">
              <w:t xml:space="preserve"> for </w:t>
            </w:r>
            <w:r>
              <w:t>Indigenous Australians</w:t>
            </w:r>
            <w:r w:rsidRPr="00A57951">
              <w:t xml:space="preserve"> compared against the rate for all people.</w:t>
            </w:r>
          </w:p>
          <w:p w:rsidR="0058260A" w:rsidRPr="00A57951" w:rsidRDefault="0058260A" w:rsidP="00BE5B08">
            <w:pPr>
              <w:spacing w:before="120" w:after="120"/>
              <w:jc w:val="both"/>
              <w:rPr>
                <w:rFonts w:ascii="Arial" w:hAnsi="Arial" w:cs="Arial"/>
                <w:sz w:val="20"/>
                <w:u w:val="single"/>
              </w:rPr>
            </w:pPr>
            <w:r w:rsidRPr="00A57951">
              <w:rPr>
                <w:rFonts w:ascii="Arial" w:hAnsi="Arial" w:cs="Arial"/>
                <w:sz w:val="20"/>
                <w:u w:val="single"/>
              </w:rPr>
              <w:t>Numerators:</w:t>
            </w:r>
          </w:p>
          <w:p w:rsidR="0058260A" w:rsidRPr="00A57951" w:rsidRDefault="0058260A" w:rsidP="00BE5B08">
            <w:pPr>
              <w:pStyle w:val="TableBodyText"/>
              <w:keepNext w:val="0"/>
              <w:jc w:val="both"/>
              <w:rPr>
                <w:rFonts w:cs="Arial"/>
                <w:u w:val="single"/>
              </w:rPr>
            </w:pPr>
            <w:r w:rsidRPr="00A57951">
              <w:rPr>
                <w:rFonts w:cs="Arial"/>
              </w:rPr>
              <w:t xml:space="preserve">(1) Number of contacts made by </w:t>
            </w:r>
            <w:r>
              <w:rPr>
                <w:rFonts w:cs="Arial"/>
              </w:rPr>
              <w:t>Indigenous Australians</w:t>
            </w:r>
            <w:r>
              <w:t xml:space="preserve"> </w:t>
            </w:r>
            <w:r w:rsidRPr="000D7C60">
              <w:rPr>
                <w:rFonts w:cs="Arial"/>
              </w:rPr>
              <w:t>with Commonwealth Respite and Carelink Centres</w:t>
            </w:r>
            <w:r w:rsidRPr="00A57951">
              <w:rPr>
                <w:rFonts w:cs="Arial"/>
              </w:rPr>
              <w:t>.</w:t>
            </w:r>
            <w:r w:rsidRPr="00A57951">
              <w:rPr>
                <w:rFonts w:cs="Arial"/>
                <w:u w:val="single"/>
              </w:rPr>
              <w:t xml:space="preserve"> </w:t>
            </w:r>
          </w:p>
          <w:p w:rsidR="0058260A" w:rsidRPr="00A57951" w:rsidRDefault="0058260A" w:rsidP="00BE5B08">
            <w:pPr>
              <w:pStyle w:val="TableBodyText"/>
              <w:keepNext w:val="0"/>
              <w:jc w:val="both"/>
              <w:rPr>
                <w:rFonts w:cs="Arial"/>
              </w:rPr>
            </w:pPr>
            <w:r>
              <w:rPr>
                <w:rFonts w:cs="Arial"/>
              </w:rPr>
              <w:t>(</w:t>
            </w:r>
            <w:r w:rsidRPr="00A57951">
              <w:rPr>
                <w:rFonts w:cs="Arial"/>
              </w:rPr>
              <w:t>2) Number of contacts made by all people</w:t>
            </w:r>
            <w:r>
              <w:t xml:space="preserve"> </w:t>
            </w:r>
            <w:r w:rsidRPr="000D7C60">
              <w:rPr>
                <w:rFonts w:cs="Arial"/>
              </w:rPr>
              <w:t>with Commonwealth Respite and Carelink Centres</w:t>
            </w:r>
            <w:r w:rsidRPr="00A57951">
              <w:rPr>
                <w:rFonts w:cs="Arial"/>
              </w:rPr>
              <w:t>.</w:t>
            </w:r>
          </w:p>
          <w:p w:rsidR="0058260A" w:rsidRPr="00A57951" w:rsidRDefault="0058260A" w:rsidP="00BE5B08">
            <w:pPr>
              <w:spacing w:before="120" w:after="120"/>
              <w:jc w:val="both"/>
              <w:rPr>
                <w:rFonts w:ascii="Arial" w:hAnsi="Arial" w:cs="Arial"/>
                <w:sz w:val="20"/>
              </w:rPr>
            </w:pPr>
            <w:r w:rsidRPr="00A57951">
              <w:rPr>
                <w:rFonts w:ascii="Arial" w:hAnsi="Arial" w:cs="Arial"/>
                <w:sz w:val="20"/>
                <w:u w:val="single"/>
              </w:rPr>
              <w:t>Denominators:</w:t>
            </w:r>
            <w:r w:rsidRPr="00A57951">
              <w:rPr>
                <w:rFonts w:ascii="Arial" w:hAnsi="Arial" w:cs="Arial"/>
                <w:sz w:val="20"/>
              </w:rPr>
              <w:t xml:space="preserve"> </w:t>
            </w:r>
          </w:p>
          <w:p w:rsidR="0058260A" w:rsidRPr="00A57951" w:rsidRDefault="0058260A" w:rsidP="00BE5B08">
            <w:pPr>
              <w:pStyle w:val="TableBodyText"/>
              <w:keepNext w:val="0"/>
              <w:jc w:val="both"/>
              <w:rPr>
                <w:rFonts w:cs="Arial"/>
              </w:rPr>
            </w:pPr>
            <w:r w:rsidRPr="00A57951">
              <w:rPr>
                <w:rFonts w:cs="Arial"/>
              </w:rPr>
              <w:t>(1)</w:t>
            </w:r>
            <w:r w:rsidRPr="00A57951">
              <w:t xml:space="preserve"> </w:t>
            </w:r>
            <w:r>
              <w:rPr>
                <w:rFonts w:cs="Arial"/>
              </w:rPr>
              <w:t>Indigenous Australians</w:t>
            </w:r>
            <w:r w:rsidRPr="00A57951">
              <w:rPr>
                <w:rFonts w:cs="Arial"/>
              </w:rPr>
              <w:t xml:space="preserve"> aged 50 years or over.</w:t>
            </w:r>
          </w:p>
          <w:p w:rsidR="0058260A" w:rsidRPr="00A57951" w:rsidRDefault="0058260A" w:rsidP="00BE5B08">
            <w:pPr>
              <w:pStyle w:val="TableBodyText"/>
              <w:keepNext w:val="0"/>
              <w:jc w:val="both"/>
              <w:rPr>
                <w:rFonts w:cs="Arial"/>
              </w:rPr>
            </w:pPr>
            <w:r w:rsidRPr="00A57951">
              <w:rPr>
                <w:rFonts w:cs="Arial"/>
              </w:rPr>
              <w:t xml:space="preserve">(2) People aged </w:t>
            </w:r>
            <w:r w:rsidR="004B1330">
              <w:rPr>
                <w:rFonts w:cs="Arial"/>
              </w:rPr>
              <w:t>65</w:t>
            </w:r>
            <w:r w:rsidRPr="00A57951">
              <w:rPr>
                <w:rFonts w:cs="Arial"/>
              </w:rPr>
              <w:t xml:space="preserve"> years or over plus </w:t>
            </w:r>
            <w:r>
              <w:rPr>
                <w:rFonts w:cs="Arial"/>
              </w:rPr>
              <w:t>Indigenous Australians</w:t>
            </w:r>
            <w:r w:rsidRPr="00A57951">
              <w:rPr>
                <w:rFonts w:cs="Arial"/>
              </w:rPr>
              <w:t xml:space="preserve"> aged 50–6</w:t>
            </w:r>
            <w:r w:rsidR="004B1330">
              <w:rPr>
                <w:rFonts w:cs="Arial"/>
              </w:rPr>
              <w:t>4</w:t>
            </w:r>
            <w:r w:rsidRPr="00A57951">
              <w:rPr>
                <w:rFonts w:cs="Arial"/>
              </w:rPr>
              <w:t xml:space="preserve"> years.</w:t>
            </w:r>
          </w:p>
          <w:p w:rsidR="0058260A" w:rsidRPr="00A57951" w:rsidRDefault="0058260A" w:rsidP="00BE5B08">
            <w:pPr>
              <w:spacing w:before="120" w:after="120"/>
              <w:jc w:val="both"/>
              <w:rPr>
                <w:rFonts w:ascii="Arial" w:hAnsi="Arial" w:cs="Arial"/>
                <w:sz w:val="20"/>
                <w:u w:val="single"/>
              </w:rPr>
            </w:pPr>
            <w:r w:rsidRPr="00A57951">
              <w:rPr>
                <w:rFonts w:ascii="Arial" w:hAnsi="Arial" w:cs="Arial"/>
                <w:sz w:val="20"/>
                <w:u w:val="single"/>
              </w:rPr>
              <w:t>Computation:</w:t>
            </w:r>
          </w:p>
          <w:p w:rsidR="0058260A" w:rsidRPr="00F06A16" w:rsidRDefault="0058260A" w:rsidP="00F06A16">
            <w:pPr>
              <w:pStyle w:val="TableBodyText"/>
              <w:spacing w:after="120"/>
              <w:jc w:val="both"/>
              <w:rPr>
                <w:rFonts w:cs="Arial"/>
              </w:rPr>
            </w:pPr>
            <w:r w:rsidRPr="00A57951">
              <w:rPr>
                <w:rFonts w:cs="Arial"/>
              </w:rPr>
              <w:t xml:space="preserve">Expressed as a rate. Calculation is: (Numerator </w:t>
            </w:r>
            <w:r w:rsidRPr="00A57951">
              <w:sym w:font="Symbol" w:char="F0B8"/>
            </w:r>
            <w:r w:rsidRPr="00A57951">
              <w:rPr>
                <w:rFonts w:cs="Arial"/>
              </w:rPr>
              <w:t xml:space="preserve"> Denominator) x 1000.</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ind w:left="0"/>
              <w:jc w:val="both"/>
              <w:rPr>
                <w:rFonts w:cs="Arial"/>
              </w:rPr>
            </w:pPr>
            <w:r w:rsidRPr="005E027C">
              <w:rPr>
                <w:rFonts w:cs="Arial"/>
                <w:b/>
              </w:rPr>
              <w:t>Data source/s</w:t>
            </w:r>
          </w:p>
        </w:tc>
        <w:tc>
          <w:tcPr>
            <w:tcW w:w="3999" w:type="pct"/>
            <w:gridSpan w:val="2"/>
            <w:shd w:val="clear" w:color="auto" w:fill="auto"/>
          </w:tcPr>
          <w:p w:rsidR="0058260A" w:rsidRDefault="0058260A" w:rsidP="00BE5B08">
            <w:pPr>
              <w:spacing w:after="120"/>
              <w:jc w:val="both"/>
              <w:rPr>
                <w:rFonts w:ascii="Arial" w:hAnsi="Arial" w:cs="Arial"/>
                <w:sz w:val="20"/>
                <w:u w:val="single"/>
              </w:rPr>
            </w:pPr>
            <w:r w:rsidRPr="00A57951">
              <w:rPr>
                <w:rFonts w:ascii="Arial" w:hAnsi="Arial" w:cs="Arial"/>
                <w:sz w:val="20"/>
                <w:u w:val="single"/>
              </w:rPr>
              <w:t xml:space="preserve">Numerators: </w:t>
            </w:r>
          </w:p>
          <w:p w:rsidR="0058260A" w:rsidRPr="000B3E4D" w:rsidRDefault="0058260A" w:rsidP="00BE5B08">
            <w:pPr>
              <w:pStyle w:val="TableBodyText"/>
              <w:jc w:val="both"/>
              <w:rPr>
                <w:rFonts w:cs="Arial"/>
              </w:rPr>
            </w:pPr>
            <w:r w:rsidRPr="000B3E4D">
              <w:rPr>
                <w:rFonts w:cs="Arial"/>
              </w:rPr>
              <w:t>Commonwealth Carelink Centre Information System (</w:t>
            </w:r>
            <w:proofErr w:type="spellStart"/>
            <w:r w:rsidRPr="000B3E4D">
              <w:rPr>
                <w:rFonts w:cs="Arial"/>
              </w:rPr>
              <w:t>CCCIS</w:t>
            </w:r>
            <w:proofErr w:type="spellEnd"/>
            <w:r w:rsidRPr="000B3E4D">
              <w:rPr>
                <w:rFonts w:cs="Arial"/>
              </w:rPr>
              <w:t xml:space="preserve">). The </w:t>
            </w:r>
            <w:proofErr w:type="spellStart"/>
            <w:r w:rsidRPr="000B3E4D">
              <w:rPr>
                <w:rFonts w:cs="Arial"/>
              </w:rPr>
              <w:t>CCCIS</w:t>
            </w:r>
            <w:proofErr w:type="spellEnd"/>
            <w:r w:rsidRPr="000B3E4D">
              <w:rPr>
                <w:rFonts w:cs="Arial"/>
              </w:rPr>
              <w:t xml:space="preserve"> is a database used by Centre staff to provide information to people about residential and community care services for older people and younger people with </w:t>
            </w:r>
            <w:r w:rsidR="008D5EFE">
              <w:rPr>
                <w:rFonts w:cs="Arial"/>
              </w:rPr>
              <w:t xml:space="preserve">disabilities and their </w:t>
            </w:r>
            <w:proofErr w:type="spellStart"/>
            <w:r w:rsidR="008D5EFE">
              <w:rPr>
                <w:rFonts w:cs="Arial"/>
              </w:rPr>
              <w:t>carers</w:t>
            </w:r>
            <w:proofErr w:type="spellEnd"/>
            <w:r w:rsidR="008D5EFE">
              <w:rPr>
                <w:rFonts w:cs="Arial"/>
              </w:rPr>
              <w:t xml:space="preserve">. </w:t>
            </w:r>
            <w:proofErr w:type="spellStart"/>
            <w:r w:rsidRPr="000B3E4D">
              <w:rPr>
                <w:rFonts w:cs="Arial"/>
              </w:rPr>
              <w:t>CCCIS</w:t>
            </w:r>
            <w:proofErr w:type="spellEnd"/>
            <w:r w:rsidRPr="000B3E4D">
              <w:rPr>
                <w:rFonts w:cs="Arial"/>
              </w:rPr>
              <w:t xml:space="preserve"> also captures information on all people that contact the Centres for information and/ or assistance.</w:t>
            </w:r>
            <w:r w:rsidR="00104B60">
              <w:rPr>
                <w:rFonts w:cs="Arial"/>
              </w:rPr>
              <w:t xml:space="preserve"> </w:t>
            </w:r>
            <w:r w:rsidRPr="000B3E4D">
              <w:rPr>
                <w:rFonts w:cs="Arial"/>
              </w:rPr>
              <w:t xml:space="preserve">The </w:t>
            </w:r>
            <w:proofErr w:type="spellStart"/>
            <w:r w:rsidRPr="000B3E4D">
              <w:rPr>
                <w:rFonts w:cs="Arial"/>
              </w:rPr>
              <w:t>CCCIS</w:t>
            </w:r>
            <w:proofErr w:type="spellEnd"/>
            <w:r w:rsidRPr="000B3E4D">
              <w:rPr>
                <w:rFonts w:cs="Arial"/>
              </w:rPr>
              <w:t xml:space="preserve"> is owned and supported by the Australian Government </w:t>
            </w:r>
            <w:r w:rsidR="00DC4C91">
              <w:rPr>
                <w:rFonts w:cs="Arial"/>
              </w:rPr>
              <w:t>DSS</w:t>
            </w:r>
            <w:r w:rsidRPr="000B3E4D">
              <w:rPr>
                <w:rFonts w:cs="Arial"/>
              </w:rPr>
              <w:t xml:space="preserve">. </w:t>
            </w:r>
          </w:p>
          <w:p w:rsidR="0058260A" w:rsidRPr="00A57951" w:rsidRDefault="0058260A" w:rsidP="00BE5B08">
            <w:pPr>
              <w:spacing w:before="120" w:after="120"/>
              <w:jc w:val="both"/>
              <w:rPr>
                <w:rFonts w:ascii="Arial" w:hAnsi="Arial" w:cs="Arial"/>
                <w:sz w:val="20"/>
                <w:u w:val="single"/>
              </w:rPr>
            </w:pPr>
            <w:r w:rsidRPr="00A57951">
              <w:rPr>
                <w:rFonts w:ascii="Arial" w:hAnsi="Arial" w:cs="Arial"/>
                <w:sz w:val="20"/>
                <w:u w:val="single"/>
              </w:rPr>
              <w:t xml:space="preserve">Denominators: </w:t>
            </w:r>
          </w:p>
          <w:p w:rsidR="00A04104" w:rsidRPr="00A04104" w:rsidRDefault="00A04104" w:rsidP="00A04104">
            <w:pPr>
              <w:keepNext/>
              <w:keepLines/>
              <w:spacing w:line="220" w:lineRule="atLeast"/>
              <w:ind w:left="6" w:right="113"/>
              <w:jc w:val="both"/>
              <w:rPr>
                <w:rFonts w:ascii="Arial" w:hAnsi="Arial" w:cs="Arial"/>
                <w:sz w:val="20"/>
                <w:szCs w:val="20"/>
              </w:rPr>
            </w:pPr>
            <w:r w:rsidRPr="00A04104">
              <w:rPr>
                <w:rFonts w:ascii="Arial" w:hAnsi="Arial" w:cs="Arial"/>
                <w:sz w:val="20"/>
                <w:szCs w:val="20"/>
              </w:rPr>
              <w:t>Total population projections 65 years or over</w:t>
            </w:r>
          </w:p>
          <w:p w:rsidR="00A04104" w:rsidRPr="00A04104" w:rsidRDefault="00A04104" w:rsidP="00A04104">
            <w:pPr>
              <w:pStyle w:val="TableBullet"/>
              <w:keepNext w:val="0"/>
              <w:keepLines w:val="0"/>
              <w:jc w:val="both"/>
            </w:pPr>
            <w:r w:rsidRPr="00A04104">
              <w:t xml:space="preserve">From June 2013 ― projections based on the 2011 Census as prepared for </w:t>
            </w:r>
            <w:r w:rsidR="00DC4C91">
              <w:t>DSS</w:t>
            </w:r>
            <w:r w:rsidRPr="00A04104">
              <w:t xml:space="preserve"> by the ABS according to the assumptions agreed to by </w:t>
            </w:r>
            <w:r w:rsidR="00DC4C91">
              <w:t>DSS</w:t>
            </w:r>
            <w:r w:rsidRPr="00A04104">
              <w:t>.</w:t>
            </w:r>
          </w:p>
          <w:p w:rsidR="00A04104" w:rsidRPr="00A04104" w:rsidRDefault="00A04104" w:rsidP="00A04104">
            <w:pPr>
              <w:pStyle w:val="TableBullet"/>
              <w:keepNext w:val="0"/>
              <w:keepLines w:val="0"/>
              <w:jc w:val="both"/>
            </w:pPr>
            <w:r w:rsidRPr="00A04104">
              <w:t xml:space="preserve">June 2008–June 2012 ― projections based on the 2006 Census as prepared for </w:t>
            </w:r>
            <w:r w:rsidR="00DC4C91">
              <w:t>DSS</w:t>
            </w:r>
            <w:r w:rsidRPr="00A04104">
              <w:t xml:space="preserve"> by the ABS according to the assumptions agreed to by </w:t>
            </w:r>
            <w:r w:rsidR="00DC4C91">
              <w:t>DSS</w:t>
            </w:r>
            <w:r w:rsidRPr="00A04104">
              <w:t>.</w:t>
            </w:r>
          </w:p>
          <w:p w:rsidR="00A04104" w:rsidRDefault="00A04104" w:rsidP="00A04104">
            <w:pPr>
              <w:pStyle w:val="TableBullet"/>
              <w:keepNext w:val="0"/>
              <w:keepLines w:val="0"/>
              <w:jc w:val="both"/>
            </w:pPr>
            <w:r w:rsidRPr="00A04104">
              <w:t xml:space="preserve">Before June 2008 ― projections based on the 2001 Census as prepared for </w:t>
            </w:r>
            <w:r w:rsidR="00DC4C91">
              <w:t>DSS</w:t>
            </w:r>
            <w:r w:rsidRPr="00A04104">
              <w:t xml:space="preserve"> by the ABS according to the assumptions agreed to by </w:t>
            </w:r>
            <w:r w:rsidR="00DC4C91">
              <w:t>DSS</w:t>
            </w:r>
            <w:r w:rsidRPr="00A04104">
              <w:t>.</w:t>
            </w:r>
          </w:p>
          <w:p w:rsidR="00A04104" w:rsidRPr="00A04104" w:rsidRDefault="00A04104" w:rsidP="00A04104">
            <w:pPr>
              <w:pStyle w:val="TableBullet"/>
              <w:keepNext w:val="0"/>
              <w:keepLines w:val="0"/>
              <w:numPr>
                <w:ilvl w:val="0"/>
                <w:numId w:val="0"/>
              </w:numPr>
              <w:jc w:val="both"/>
            </w:pPr>
            <w:r w:rsidRPr="00A04104">
              <w:t>I</w:t>
            </w:r>
            <w:r w:rsidRPr="00A04104">
              <w:rPr>
                <w:rFonts w:cs="Arial"/>
              </w:rPr>
              <w:t>n</w:t>
            </w:r>
            <w:r w:rsidRPr="00A04104">
              <w:t>digenous population projections 50–64 year olds or aged 50 years or over</w:t>
            </w:r>
          </w:p>
          <w:p w:rsidR="0058260A" w:rsidRPr="000D7C60" w:rsidRDefault="00A04104" w:rsidP="00A04104">
            <w:pPr>
              <w:pStyle w:val="TableBullet"/>
              <w:keepNext w:val="0"/>
              <w:keepLines w:val="0"/>
              <w:jc w:val="both"/>
              <w:rPr>
                <w:rFonts w:cs="Arial"/>
              </w:rPr>
            </w:pPr>
            <w:r w:rsidRPr="00A04104">
              <w:rPr>
                <w:rFonts w:cs="Arial"/>
              </w:rPr>
              <w:t xml:space="preserve">June 2008–June 2013 ― based on ABS Indigenous Experimental 2006 ERP data at SLA level and aligned to published ABS Indigenous data </w:t>
            </w:r>
            <w:r w:rsidRPr="00A04104">
              <w:rPr>
                <w:rFonts w:cs="Arial"/>
              </w:rPr>
              <w:lastRenderedPageBreak/>
              <w:t xml:space="preserve">Experimental Estimates and Projections (ABS Cat. no. 3238.0, </w:t>
            </w:r>
          </w:p>
        </w:tc>
      </w:tr>
      <w:tr w:rsidR="0058260A" w:rsidRPr="005E027C" w:rsidTr="00B074E3">
        <w:tblPrEx>
          <w:tblCellMar>
            <w:left w:w="108" w:type="dxa"/>
            <w:right w:w="108" w:type="dxa"/>
          </w:tblCellMar>
          <w:tblLook w:val="01E0" w:firstRow="1" w:lastRow="1" w:firstColumn="1" w:lastColumn="1" w:noHBand="0" w:noVBand="0"/>
        </w:tblPrEx>
        <w:trPr>
          <w:trHeight w:val="269"/>
        </w:trPr>
        <w:tc>
          <w:tcPr>
            <w:tcW w:w="5000" w:type="pct"/>
            <w:gridSpan w:val="3"/>
            <w:shd w:val="clear" w:color="auto" w:fill="auto"/>
          </w:tcPr>
          <w:p w:rsidR="007D7B1A" w:rsidRDefault="007D7B1A" w:rsidP="00BE5B08">
            <w:pPr>
              <w:keepNext/>
              <w:keepLines/>
              <w:jc w:val="both"/>
              <w:rPr>
                <w:rFonts w:ascii="Arial" w:hAnsi="Arial" w:cs="Arial"/>
                <w:b/>
                <w:bCs/>
                <w:sz w:val="20"/>
                <w:u w:val="single"/>
              </w:rPr>
            </w:pPr>
          </w:p>
          <w:p w:rsidR="0058260A" w:rsidRPr="00FC28BE" w:rsidRDefault="0058260A" w:rsidP="00BE5B08">
            <w:pPr>
              <w:keepNext/>
              <w:keepLines/>
              <w:jc w:val="both"/>
              <w:rPr>
                <w:rFonts w:ascii="Arial" w:hAnsi="Arial" w:cs="Arial"/>
                <w:sz w:val="20"/>
                <w:u w:val="single"/>
              </w:rPr>
            </w:pPr>
            <w:r w:rsidRPr="00FC28BE">
              <w:rPr>
                <w:rFonts w:ascii="Arial" w:hAnsi="Arial" w:cs="Arial"/>
                <w:b/>
                <w:bCs/>
                <w:sz w:val="20"/>
                <w:u w:val="single"/>
              </w:rPr>
              <w:t>Data Quality Framework Dimensions</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0B3E4D" w:rsidRDefault="0058260A" w:rsidP="00BE5B08">
            <w:pPr>
              <w:pStyle w:val="TableBodyText"/>
              <w:ind w:left="0"/>
              <w:jc w:val="both"/>
              <w:rPr>
                <w:rFonts w:cs="Arial"/>
                <w:b/>
              </w:rPr>
            </w:pPr>
            <w:r w:rsidRPr="000B3E4D">
              <w:rPr>
                <w:rFonts w:cs="Arial"/>
                <w:b/>
              </w:rPr>
              <w:t>Institutional Environment</w:t>
            </w:r>
          </w:p>
        </w:tc>
        <w:tc>
          <w:tcPr>
            <w:tcW w:w="3999" w:type="pct"/>
            <w:gridSpan w:val="2"/>
            <w:shd w:val="clear" w:color="auto" w:fill="auto"/>
          </w:tcPr>
          <w:p w:rsidR="0058260A" w:rsidRPr="00F06A16" w:rsidRDefault="0058260A" w:rsidP="00F06A16">
            <w:pPr>
              <w:pStyle w:val="TableBodyText"/>
              <w:spacing w:after="120"/>
              <w:jc w:val="both"/>
            </w:pPr>
            <w:r w:rsidRPr="000B3E4D">
              <w:rPr>
                <w:rFonts w:cs="Arial"/>
              </w:rPr>
              <w:t xml:space="preserve">Centres are bound by their funding agreement with the Commonwealth to record information about people that contact them for information and assistance. Centres have access to the </w:t>
            </w:r>
            <w:proofErr w:type="spellStart"/>
            <w:r w:rsidR="004909A6" w:rsidRPr="000B3E4D">
              <w:rPr>
                <w:rFonts w:cs="Arial"/>
              </w:rPr>
              <w:t>CCCIS</w:t>
            </w:r>
            <w:proofErr w:type="spellEnd"/>
            <w:r w:rsidRPr="000B3E4D">
              <w:rPr>
                <w:rFonts w:cs="Arial"/>
              </w:rPr>
              <w:t xml:space="preserve"> to capture this data.</w:t>
            </w:r>
            <w:r w:rsidR="00104B60">
              <w:rPr>
                <w:rFonts w:cs="Arial"/>
              </w:rPr>
              <w:t xml:space="preserve"> </w:t>
            </w:r>
            <w:r w:rsidRPr="000B3E4D">
              <w:rPr>
                <w:rFonts w:cs="Arial"/>
              </w:rPr>
              <w:t xml:space="preserve">Centres that do not use the </w:t>
            </w:r>
            <w:proofErr w:type="spellStart"/>
            <w:r w:rsidRPr="000B3E4D">
              <w:rPr>
                <w:rFonts w:cs="Arial"/>
              </w:rPr>
              <w:t>CCCIS</w:t>
            </w:r>
            <w:proofErr w:type="spellEnd"/>
            <w:r w:rsidRPr="000B3E4D">
              <w:rPr>
                <w:rFonts w:cs="Arial"/>
              </w:rPr>
              <w:t xml:space="preserve"> to capture client episodes must upload their data monthly onto the </w:t>
            </w:r>
            <w:proofErr w:type="spellStart"/>
            <w:r w:rsidRPr="000B3E4D">
              <w:rPr>
                <w:rFonts w:cs="Arial"/>
              </w:rPr>
              <w:t>CCCIS</w:t>
            </w:r>
            <w:proofErr w:type="spellEnd"/>
            <w:r w:rsidRPr="000B3E4D">
              <w:rPr>
                <w:rFonts w:cs="Arial"/>
              </w:rPr>
              <w:t xml:space="preserve">. The Department uses the data on the </w:t>
            </w:r>
            <w:proofErr w:type="spellStart"/>
            <w:r w:rsidRPr="000B3E4D">
              <w:rPr>
                <w:rFonts w:cs="Arial"/>
              </w:rPr>
              <w:t>CCCIS</w:t>
            </w:r>
            <w:proofErr w:type="spellEnd"/>
            <w:r w:rsidRPr="000B3E4D">
              <w:rPr>
                <w:rFonts w:cs="Arial"/>
              </w:rPr>
              <w:t xml:space="preserve"> to monitor Centre performance under the funding agreement, and to improve the planning, targeting and delivery of the program</w:t>
            </w:r>
            <w:r>
              <w:t>.</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0B3E4D" w:rsidRDefault="0058260A" w:rsidP="00BE5B08">
            <w:pPr>
              <w:pStyle w:val="TableBodyText"/>
              <w:ind w:left="0"/>
              <w:jc w:val="both"/>
              <w:rPr>
                <w:rFonts w:cs="Arial"/>
                <w:b/>
              </w:rPr>
            </w:pPr>
            <w:r w:rsidRPr="000B3E4D">
              <w:rPr>
                <w:rFonts w:cs="Arial"/>
                <w:b/>
              </w:rPr>
              <w:t>Relevance</w:t>
            </w:r>
          </w:p>
        </w:tc>
        <w:tc>
          <w:tcPr>
            <w:tcW w:w="3999" w:type="pct"/>
            <w:gridSpan w:val="2"/>
            <w:shd w:val="clear" w:color="auto" w:fill="auto"/>
          </w:tcPr>
          <w:p w:rsidR="0058260A" w:rsidRPr="000B3E4D" w:rsidRDefault="0058260A" w:rsidP="00F06A16">
            <w:pPr>
              <w:pStyle w:val="TableBodyText"/>
              <w:spacing w:after="120"/>
              <w:jc w:val="both"/>
            </w:pPr>
            <w:r w:rsidRPr="000B3E4D">
              <w:rPr>
                <w:rFonts w:cs="Arial"/>
              </w:rPr>
              <w:t>The data are reported by state / territory and provide information on the rate of contacts with Commonwealth Respite and Carelink Centres based on Indigenous status compared to rate of contacts with Commonwealth Respite and Carelink Centres for the total population. It is important to note that the provision of demographic data by people contacting Centres for information and as</w:t>
            </w:r>
            <w:r>
              <w:rPr>
                <w:rFonts w:cs="Arial"/>
              </w:rPr>
              <w:t>sistance is voluntary. There is</w:t>
            </w:r>
            <w:r w:rsidRPr="000B3E4D">
              <w:rPr>
                <w:rFonts w:cs="Arial"/>
              </w:rPr>
              <w:t xml:space="preserve"> a high percentage of people that do not give any personal details since this is an information provision service and it is not proportionate, or fit for purpose, for Centres to collect </w:t>
            </w:r>
            <w:r>
              <w:rPr>
                <w:rFonts w:cs="Arial"/>
              </w:rPr>
              <w:t>personal information for every contact</w:t>
            </w:r>
            <w:r w:rsidRPr="000B3E4D">
              <w:rPr>
                <w:rFonts w:cs="Arial"/>
              </w:rPr>
              <w:t>.</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0B3E4D" w:rsidRDefault="0058260A" w:rsidP="00BE5B08">
            <w:pPr>
              <w:pStyle w:val="TableBodyText"/>
              <w:ind w:left="0"/>
              <w:jc w:val="both"/>
              <w:rPr>
                <w:rFonts w:cs="Arial"/>
                <w:b/>
              </w:rPr>
            </w:pPr>
            <w:r w:rsidRPr="000B3E4D">
              <w:rPr>
                <w:rFonts w:cs="Arial"/>
                <w:b/>
              </w:rPr>
              <w:t>Timeliness</w:t>
            </w:r>
          </w:p>
        </w:tc>
        <w:tc>
          <w:tcPr>
            <w:tcW w:w="3999" w:type="pct"/>
            <w:gridSpan w:val="2"/>
            <w:shd w:val="clear" w:color="auto" w:fill="auto"/>
          </w:tcPr>
          <w:p w:rsidR="0058260A" w:rsidRPr="00F06A16" w:rsidRDefault="0058260A" w:rsidP="00F06A16">
            <w:pPr>
              <w:pStyle w:val="TableBodyText"/>
              <w:spacing w:after="120"/>
              <w:jc w:val="both"/>
              <w:rPr>
                <w:rFonts w:cs="Arial"/>
              </w:rPr>
            </w:pPr>
            <w:r w:rsidRPr="000B3E4D">
              <w:rPr>
                <w:rFonts w:cs="Arial"/>
              </w:rPr>
              <w:t xml:space="preserve">Centres that use the </w:t>
            </w:r>
            <w:proofErr w:type="spellStart"/>
            <w:r w:rsidRPr="000B3E4D">
              <w:rPr>
                <w:rFonts w:cs="Arial"/>
              </w:rPr>
              <w:t>CCCIS</w:t>
            </w:r>
            <w:proofErr w:type="spellEnd"/>
            <w:r w:rsidRPr="000B3E4D">
              <w:rPr>
                <w:rFonts w:cs="Arial"/>
              </w:rPr>
              <w:t xml:space="preserve"> database to record personal details and to maintain data on community service providers do not need to send monthly data to the </w:t>
            </w:r>
            <w:r w:rsidR="00DC4C91">
              <w:rPr>
                <w:rFonts w:cs="Arial"/>
              </w:rPr>
              <w:t>DSS</w:t>
            </w:r>
            <w:r w:rsidR="00F06A16">
              <w:rPr>
                <w:rFonts w:cs="Arial"/>
              </w:rPr>
              <w:t xml:space="preserve">. </w:t>
            </w:r>
            <w:r w:rsidRPr="000B3E4D">
              <w:rPr>
                <w:rFonts w:cs="Arial"/>
              </w:rPr>
              <w:t xml:space="preserve">The </w:t>
            </w:r>
            <w:r w:rsidR="001B68CA">
              <w:rPr>
                <w:rFonts w:cs="Arial"/>
              </w:rPr>
              <w:t>data are</w:t>
            </w:r>
            <w:r w:rsidRPr="000B3E4D">
              <w:rPr>
                <w:rFonts w:cs="Arial"/>
              </w:rPr>
              <w:t xml:space="preserve"> accessed centrally for reporting purposes.</w:t>
            </w:r>
            <w:r w:rsidR="00104B60">
              <w:rPr>
                <w:rFonts w:cs="Arial"/>
              </w:rPr>
              <w:t xml:space="preserve"> </w:t>
            </w:r>
            <w:r w:rsidRPr="000B3E4D">
              <w:rPr>
                <w:rFonts w:cs="Arial"/>
              </w:rPr>
              <w:t xml:space="preserve">Centres that do not use </w:t>
            </w:r>
            <w:proofErr w:type="spellStart"/>
            <w:r w:rsidRPr="000B3E4D">
              <w:rPr>
                <w:rFonts w:cs="Arial"/>
              </w:rPr>
              <w:t>CCCIS</w:t>
            </w:r>
            <w:proofErr w:type="spellEnd"/>
            <w:r w:rsidRPr="000B3E4D">
              <w:rPr>
                <w:rFonts w:cs="Arial"/>
              </w:rPr>
              <w:t xml:space="preserve"> are required to submit data to </w:t>
            </w:r>
            <w:r w:rsidR="00DC4C91">
              <w:rPr>
                <w:rFonts w:cs="Arial"/>
              </w:rPr>
              <w:t>DSS</w:t>
            </w:r>
            <w:r w:rsidRPr="000B3E4D">
              <w:rPr>
                <w:rFonts w:cs="Arial"/>
              </w:rPr>
              <w:t xml:space="preserve"> every month, through </w:t>
            </w:r>
            <w:proofErr w:type="spellStart"/>
            <w:r w:rsidRPr="000B3E4D">
              <w:rPr>
                <w:rFonts w:cs="Arial"/>
              </w:rPr>
              <w:t>CCCIS</w:t>
            </w:r>
            <w:proofErr w:type="spellEnd"/>
            <w:r w:rsidRPr="000B3E4D">
              <w:rPr>
                <w:rFonts w:cs="Arial"/>
              </w:rPr>
              <w:t>. Submissions must include the data for a whole calendar month, and must be made in the first week of the following month.</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keepNext w:val="0"/>
              <w:keepLines w:val="0"/>
              <w:widowControl w:val="0"/>
              <w:ind w:left="0"/>
              <w:jc w:val="both"/>
              <w:rPr>
                <w:rFonts w:cs="Arial"/>
                <w:b/>
              </w:rPr>
            </w:pPr>
            <w:r w:rsidRPr="005E027C">
              <w:rPr>
                <w:rFonts w:cs="Arial"/>
                <w:b/>
              </w:rPr>
              <w:t>Accuracy</w:t>
            </w:r>
          </w:p>
        </w:tc>
        <w:tc>
          <w:tcPr>
            <w:tcW w:w="3999" w:type="pct"/>
            <w:gridSpan w:val="2"/>
            <w:shd w:val="clear" w:color="auto" w:fill="auto"/>
          </w:tcPr>
          <w:p w:rsidR="0058260A" w:rsidRPr="000B3E4D" w:rsidRDefault="0058260A" w:rsidP="00F06A16">
            <w:pPr>
              <w:pStyle w:val="TableBodyText"/>
              <w:keepNext w:val="0"/>
              <w:keepLines w:val="0"/>
              <w:widowControl w:val="0"/>
              <w:ind w:left="0"/>
              <w:jc w:val="both"/>
              <w:rPr>
                <w:rFonts w:cs="Arial"/>
              </w:rPr>
            </w:pPr>
            <w:r w:rsidRPr="000B3E4D">
              <w:rPr>
                <w:rFonts w:cs="Arial"/>
              </w:rPr>
              <w:t>Funding to Commonwealth Respite and Carelin</w:t>
            </w:r>
            <w:r>
              <w:rPr>
                <w:rFonts w:cs="Arial"/>
              </w:rPr>
              <w:t xml:space="preserve">k Centre service organisations </w:t>
            </w:r>
            <w:r w:rsidRPr="000B3E4D">
              <w:rPr>
                <w:rFonts w:cs="Arial"/>
              </w:rPr>
              <w:t>is contingent on their meeting the requirements under their funding agreement which include submitting data about people that contact the Centre seeking information and assistance.</w:t>
            </w:r>
          </w:p>
          <w:p w:rsidR="0058260A" w:rsidRPr="000B3E4D" w:rsidRDefault="0058260A" w:rsidP="00F06A16">
            <w:pPr>
              <w:pStyle w:val="TableBodyText"/>
              <w:spacing w:after="120"/>
              <w:jc w:val="both"/>
            </w:pPr>
            <w:r w:rsidRPr="000B3E4D">
              <w:rPr>
                <w:rFonts w:cs="Arial"/>
              </w:rPr>
              <w:t xml:space="preserve">The data presented against this indicator relate to people who have contacted a Commonwealth Respite and Carelink Centre in the relevant financial year. </w:t>
            </w:r>
            <w:r w:rsidRPr="000B3E4D">
              <w:t>Contacts include phone calls, visits, emails and facsimiles. It is not compu</w:t>
            </w:r>
            <w:r>
              <w:t>lsory for Centres to ask about I</w:t>
            </w:r>
            <w:r w:rsidRPr="000B3E4D">
              <w:t xml:space="preserve">ndigenous status. It is also not practical that Centres ask a range of demographic data if the person is seeking only information. However, if the call leads to service delivery e.g. respite provision then it is more likely </w:t>
            </w:r>
            <w:r>
              <w:t>that the Centre will ask about I</w:t>
            </w:r>
            <w:r w:rsidRPr="000B3E4D">
              <w:t xml:space="preserve">ndigenous status or the person will </w:t>
            </w:r>
            <w:r w:rsidR="003306B4" w:rsidRPr="000B3E4D">
              <w:t>self-identify</w:t>
            </w:r>
            <w:r w:rsidRPr="000B3E4D">
              <w:t>. For this reason there is likely to be substantial under</w:t>
            </w:r>
            <w:r w:rsidR="00104B60">
              <w:noBreakHyphen/>
            </w:r>
            <w:r w:rsidRPr="000B3E4D">
              <w:t>reporting of Indigenous status in the overall data collected.</w:t>
            </w:r>
            <w:r w:rsidR="00104B60">
              <w:t xml:space="preserve"> </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keepNext w:val="0"/>
              <w:keepLines w:val="0"/>
              <w:widowControl w:val="0"/>
              <w:ind w:left="0"/>
              <w:jc w:val="both"/>
              <w:rPr>
                <w:rFonts w:cs="Arial"/>
                <w:b/>
              </w:rPr>
            </w:pPr>
            <w:r w:rsidRPr="005E027C">
              <w:rPr>
                <w:rFonts w:cs="Arial"/>
                <w:b/>
              </w:rPr>
              <w:t>Coherence</w:t>
            </w:r>
          </w:p>
        </w:tc>
        <w:tc>
          <w:tcPr>
            <w:tcW w:w="3999" w:type="pct"/>
            <w:gridSpan w:val="2"/>
            <w:shd w:val="clear" w:color="auto" w:fill="auto"/>
          </w:tcPr>
          <w:p w:rsidR="0058260A" w:rsidRPr="000B3E4D" w:rsidRDefault="0058260A" w:rsidP="00F06A16">
            <w:pPr>
              <w:pStyle w:val="TableBodyText"/>
              <w:keepNext w:val="0"/>
              <w:keepLines w:val="0"/>
              <w:widowControl w:val="0"/>
              <w:ind w:left="0"/>
              <w:jc w:val="both"/>
              <w:rPr>
                <w:rFonts w:cs="Arial"/>
              </w:rPr>
            </w:pPr>
            <w:r w:rsidRPr="000B3E4D">
              <w:rPr>
                <w:rFonts w:cs="Arial"/>
              </w:rPr>
              <w:t>The data items used to construct this performance indicator are consistent and comparable across states / territories.</w:t>
            </w:r>
          </w:p>
          <w:p w:rsidR="0058260A" w:rsidRPr="000B3E4D" w:rsidRDefault="0058260A" w:rsidP="00F06A16">
            <w:pPr>
              <w:pStyle w:val="TableBodyText"/>
              <w:spacing w:after="120"/>
              <w:jc w:val="both"/>
              <w:rPr>
                <w:rFonts w:cs="Arial"/>
              </w:rPr>
            </w:pPr>
            <w:r w:rsidRPr="000B3E4D">
              <w:rPr>
                <w:rFonts w:cs="Arial"/>
              </w:rPr>
              <w:t xml:space="preserve">Contacts with Commonwealth Respite and Carelink Centre include those made by people of any age (numerators). Populations used to derive the rates include people aged </w:t>
            </w:r>
            <w:r w:rsidR="004B1330">
              <w:rPr>
                <w:rFonts w:cs="Arial"/>
              </w:rPr>
              <w:t>65</w:t>
            </w:r>
            <w:r w:rsidRPr="000B3E4D">
              <w:rPr>
                <w:rFonts w:cs="Arial"/>
              </w:rPr>
              <w:t xml:space="preserve"> years or over plus Indigenous Australians aged </w:t>
            </w:r>
            <w:r w:rsidRPr="000B3E4D">
              <w:rPr>
                <w:rFonts w:cs="Arial"/>
              </w:rPr>
              <w:br/>
              <w:t>50–6</w:t>
            </w:r>
            <w:r w:rsidR="004B1330">
              <w:rPr>
                <w:rFonts w:cs="Arial"/>
              </w:rPr>
              <w:t>4</w:t>
            </w:r>
            <w:r w:rsidRPr="000B3E4D">
              <w:rPr>
                <w:rFonts w:cs="Arial"/>
              </w:rPr>
              <w:t xml:space="preserve"> years (denominators). </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5E027C" w:rsidRDefault="0058260A" w:rsidP="00BE5B08">
            <w:pPr>
              <w:pStyle w:val="TableBodyText"/>
              <w:keepNext w:val="0"/>
              <w:keepLines w:val="0"/>
              <w:widowControl w:val="0"/>
              <w:ind w:left="0"/>
              <w:jc w:val="both"/>
              <w:rPr>
                <w:rFonts w:cs="Arial"/>
                <w:b/>
              </w:rPr>
            </w:pPr>
            <w:r w:rsidRPr="005E027C">
              <w:rPr>
                <w:rFonts w:cs="Arial"/>
                <w:b/>
              </w:rPr>
              <w:t>Accessibility</w:t>
            </w:r>
          </w:p>
        </w:tc>
        <w:tc>
          <w:tcPr>
            <w:tcW w:w="3999" w:type="pct"/>
            <w:gridSpan w:val="2"/>
            <w:shd w:val="clear" w:color="auto" w:fill="auto"/>
          </w:tcPr>
          <w:p w:rsidR="0058260A" w:rsidRPr="00B11A04" w:rsidRDefault="0058260A" w:rsidP="00F06A16">
            <w:pPr>
              <w:pStyle w:val="TableBodyText"/>
              <w:spacing w:after="120"/>
              <w:jc w:val="both"/>
              <w:rPr>
                <w:rFonts w:cs="Arial"/>
                <w:iCs/>
              </w:rPr>
            </w:pPr>
            <w:r w:rsidRPr="00703E6F">
              <w:rPr>
                <w:rFonts w:cs="Arial"/>
              </w:rPr>
              <w:t xml:space="preserve">Data are published in the </w:t>
            </w:r>
            <w:r>
              <w:t>Steering Committee for the Review of Government Service Provision</w:t>
            </w:r>
            <w:r>
              <w:rPr>
                <w:rFonts w:cs="Arial"/>
              </w:rPr>
              <w:t>’s</w:t>
            </w:r>
            <w:r>
              <w:t xml:space="preserve"> </w:t>
            </w:r>
            <w:r w:rsidRPr="0052331A">
              <w:rPr>
                <w:rFonts w:cs="Arial"/>
              </w:rPr>
              <w:t>Report on Government Services</w:t>
            </w:r>
            <w:r>
              <w:rPr>
                <w:rFonts w:cs="Arial"/>
                <w:iCs/>
              </w:rPr>
              <w:t>.</w:t>
            </w:r>
          </w:p>
        </w:tc>
      </w:tr>
      <w:tr w:rsidR="0058260A" w:rsidRPr="005E027C" w:rsidTr="00B074E3">
        <w:tblPrEx>
          <w:tblCellMar>
            <w:left w:w="108" w:type="dxa"/>
            <w:right w:w="108" w:type="dxa"/>
          </w:tblCellMar>
          <w:tblLook w:val="01E0" w:firstRow="1" w:lastRow="1" w:firstColumn="1" w:lastColumn="1" w:noHBand="0" w:noVBand="0"/>
        </w:tblPrEx>
        <w:tc>
          <w:tcPr>
            <w:tcW w:w="1001" w:type="pct"/>
            <w:shd w:val="clear" w:color="auto" w:fill="auto"/>
          </w:tcPr>
          <w:p w:rsidR="0058260A" w:rsidRPr="000B3E4D" w:rsidRDefault="0058260A" w:rsidP="00BE5B08">
            <w:pPr>
              <w:pStyle w:val="TableBodyText"/>
              <w:keepNext w:val="0"/>
              <w:keepLines w:val="0"/>
              <w:widowControl w:val="0"/>
              <w:ind w:left="0"/>
              <w:jc w:val="both"/>
              <w:rPr>
                <w:rFonts w:cs="Arial"/>
                <w:b/>
              </w:rPr>
            </w:pPr>
            <w:r w:rsidRPr="000B3E4D">
              <w:rPr>
                <w:rFonts w:cs="Arial"/>
                <w:b/>
              </w:rPr>
              <w:t>Interpretability</w:t>
            </w:r>
          </w:p>
        </w:tc>
        <w:tc>
          <w:tcPr>
            <w:tcW w:w="3999" w:type="pct"/>
            <w:gridSpan w:val="2"/>
            <w:shd w:val="clear" w:color="auto" w:fill="auto"/>
          </w:tcPr>
          <w:p w:rsidR="0058260A" w:rsidRPr="00703E6F" w:rsidRDefault="0058260A" w:rsidP="00F06A16">
            <w:pPr>
              <w:pStyle w:val="TableBodyText"/>
              <w:spacing w:after="120"/>
              <w:jc w:val="both"/>
              <w:rPr>
                <w:rFonts w:cs="Arial"/>
              </w:rPr>
            </w:pPr>
            <w:r w:rsidRPr="000B3E4D">
              <w:rPr>
                <w:rFonts w:cs="Arial"/>
              </w:rPr>
              <w:t xml:space="preserve">Further information for Centres is contained in the </w:t>
            </w:r>
            <w:proofErr w:type="spellStart"/>
            <w:r w:rsidRPr="000B3E4D">
              <w:rPr>
                <w:rFonts w:cs="Arial"/>
              </w:rPr>
              <w:t>CCCIS</w:t>
            </w:r>
            <w:proofErr w:type="spellEnd"/>
            <w:r w:rsidRPr="000B3E4D">
              <w:rPr>
                <w:rFonts w:cs="Arial"/>
              </w:rPr>
              <w:t xml:space="preserve"> user manual, the </w:t>
            </w:r>
            <w:proofErr w:type="spellStart"/>
            <w:r w:rsidRPr="000B3E4D">
              <w:rPr>
                <w:rFonts w:cs="Arial"/>
              </w:rPr>
              <w:t>CCCIS</w:t>
            </w:r>
            <w:proofErr w:type="spellEnd"/>
            <w:r w:rsidRPr="000B3E4D">
              <w:rPr>
                <w:rFonts w:cs="Arial"/>
              </w:rPr>
              <w:t xml:space="preserve"> training manual, the Centres operational manual and through the </w:t>
            </w:r>
            <w:proofErr w:type="spellStart"/>
            <w:r w:rsidRPr="000B3E4D">
              <w:rPr>
                <w:rFonts w:cs="Arial"/>
              </w:rPr>
              <w:t>CCCIS</w:t>
            </w:r>
            <w:proofErr w:type="spellEnd"/>
            <w:r w:rsidRPr="000B3E4D">
              <w:rPr>
                <w:rFonts w:cs="Arial"/>
              </w:rPr>
              <w:t xml:space="preserve"> helpdesk within the </w:t>
            </w:r>
            <w:r w:rsidR="00DC4C91">
              <w:rPr>
                <w:rFonts w:cs="Arial"/>
              </w:rPr>
              <w:t>DSS</w:t>
            </w:r>
            <w:r w:rsidRPr="000B3E4D">
              <w:rPr>
                <w:rFonts w:cs="Arial"/>
              </w:rPr>
              <w:t>.</w:t>
            </w:r>
            <w:r>
              <w:rPr>
                <w:rFonts w:cs="Arial"/>
              </w:rPr>
              <w:t xml:space="preserve"> </w:t>
            </w:r>
          </w:p>
        </w:tc>
      </w:tr>
      <w:tr w:rsidR="0058260A" w:rsidRPr="00672B5F" w:rsidTr="0058260A">
        <w:tblPrEx>
          <w:tblCellMar>
            <w:left w:w="108" w:type="dxa"/>
            <w:right w:w="108" w:type="dxa"/>
          </w:tblCellMar>
          <w:tblLook w:val="01E0" w:firstRow="1" w:lastRow="1" w:firstColumn="1" w:lastColumn="1" w:noHBand="0" w:noVBand="0"/>
        </w:tblPrEx>
        <w:trPr>
          <w:gridAfter w:val="1"/>
          <w:wAfter w:w="108" w:type="dxa"/>
          <w:trHeight w:val="225"/>
        </w:trPr>
        <w:tc>
          <w:tcPr>
            <w:tcW w:w="9000" w:type="dxa"/>
            <w:gridSpan w:val="2"/>
          </w:tcPr>
          <w:p w:rsidR="004B1330" w:rsidRDefault="004B1330" w:rsidP="007D7B1A">
            <w:pPr>
              <w:pStyle w:val="TableBodyText"/>
              <w:jc w:val="both"/>
              <w:rPr>
                <w:rFonts w:cs="Arial"/>
                <w:b/>
                <w:szCs w:val="22"/>
                <w:u w:val="single"/>
              </w:rPr>
            </w:pPr>
          </w:p>
          <w:p w:rsidR="0058260A" w:rsidRPr="00FC28BE" w:rsidRDefault="0058260A" w:rsidP="00BE5B08">
            <w:pPr>
              <w:pStyle w:val="TableBodyText"/>
              <w:keepNext w:val="0"/>
              <w:keepLines w:val="0"/>
              <w:widowControl w:val="0"/>
              <w:spacing w:before="120"/>
              <w:ind w:left="0"/>
              <w:jc w:val="both"/>
              <w:rPr>
                <w:rFonts w:cs="Arial"/>
                <w:b/>
                <w:szCs w:val="22"/>
                <w:u w:val="single"/>
              </w:rPr>
            </w:pPr>
            <w:r w:rsidRPr="00FC28BE">
              <w:rPr>
                <w:rFonts w:cs="Arial"/>
                <w:b/>
                <w:szCs w:val="22"/>
                <w:u w:val="single"/>
              </w:rPr>
              <w:t>Data Gaps/Issues Analysis</w:t>
            </w:r>
          </w:p>
        </w:tc>
      </w:tr>
      <w:tr w:rsidR="0058260A" w:rsidRPr="00B479F5" w:rsidTr="0058260A">
        <w:tblPrEx>
          <w:tblCellMar>
            <w:left w:w="108" w:type="dxa"/>
            <w:right w:w="108" w:type="dxa"/>
          </w:tblCellMar>
          <w:tblLook w:val="01E0" w:firstRow="1" w:lastRow="1" w:firstColumn="1" w:lastColumn="1" w:noHBand="0" w:noVBand="0"/>
        </w:tblPrEx>
        <w:trPr>
          <w:gridAfter w:val="1"/>
          <w:wAfter w:w="108" w:type="dxa"/>
        </w:trPr>
        <w:tc>
          <w:tcPr>
            <w:tcW w:w="1800" w:type="dxa"/>
          </w:tcPr>
          <w:p w:rsidR="0058260A" w:rsidRPr="00672B5F" w:rsidRDefault="0058260A" w:rsidP="00BE5B08">
            <w:pPr>
              <w:pStyle w:val="TableBodyText"/>
              <w:keepNext w:val="0"/>
              <w:keepLines w:val="0"/>
              <w:widowControl w:val="0"/>
              <w:ind w:left="0"/>
              <w:jc w:val="both"/>
              <w:rPr>
                <w:rFonts w:cs="Arial"/>
                <w:b/>
                <w:szCs w:val="22"/>
              </w:rPr>
            </w:pPr>
            <w:r w:rsidRPr="00447872">
              <w:rPr>
                <w:rFonts w:cs="Arial"/>
                <w:b/>
              </w:rPr>
              <w:t>Key</w:t>
            </w:r>
            <w:r w:rsidRPr="00672B5F">
              <w:rPr>
                <w:rFonts w:cs="Arial"/>
                <w:b/>
                <w:szCs w:val="22"/>
              </w:rPr>
              <w:t xml:space="preserve"> data gaps/issues</w:t>
            </w:r>
          </w:p>
        </w:tc>
        <w:tc>
          <w:tcPr>
            <w:tcW w:w="7200" w:type="dxa"/>
          </w:tcPr>
          <w:p w:rsidR="0058260A" w:rsidRPr="00B479F5" w:rsidRDefault="0058260A" w:rsidP="00BE5B08">
            <w:pPr>
              <w:pStyle w:val="TableBodyText"/>
              <w:keepNext w:val="0"/>
              <w:keepLines w:val="0"/>
              <w:spacing w:after="60"/>
              <w:jc w:val="both"/>
              <w:rPr>
                <w:rFonts w:cs="Arial"/>
              </w:rPr>
            </w:pPr>
            <w:r>
              <w:rPr>
                <w:rFonts w:cs="Arial"/>
              </w:rPr>
              <w:t>The Steering Committee notes the following issues:</w:t>
            </w:r>
            <w:r w:rsidRPr="00B479F5">
              <w:rPr>
                <w:rFonts w:cs="Arial"/>
              </w:rPr>
              <w:t xml:space="preserve"> </w:t>
            </w:r>
          </w:p>
          <w:p w:rsidR="0058260A" w:rsidRPr="002C59E1" w:rsidRDefault="0058260A" w:rsidP="00BE5B08">
            <w:pPr>
              <w:pStyle w:val="TableBullet"/>
              <w:keepNext w:val="0"/>
              <w:keepLines w:val="0"/>
              <w:jc w:val="both"/>
            </w:pPr>
            <w:r>
              <w:rPr>
                <w:rFonts w:cs="Arial"/>
              </w:rPr>
              <w:t xml:space="preserve">The provision of demographic data, such as Indigenous status and age, </w:t>
            </w:r>
            <w:r w:rsidRPr="000B3E4D">
              <w:rPr>
                <w:rFonts w:cs="Arial"/>
              </w:rPr>
              <w:t>by people contacting Centres for information and as</w:t>
            </w:r>
            <w:r>
              <w:rPr>
                <w:rFonts w:cs="Arial"/>
              </w:rPr>
              <w:t>sistance is voluntary. There is</w:t>
            </w:r>
            <w:r w:rsidRPr="000B3E4D">
              <w:rPr>
                <w:rFonts w:cs="Arial"/>
              </w:rPr>
              <w:t xml:space="preserve"> a </w:t>
            </w:r>
            <w:r>
              <w:rPr>
                <w:rFonts w:cs="Arial"/>
              </w:rPr>
              <w:t>proportion of people who contact a Centre but do not provide demographic information.</w:t>
            </w:r>
          </w:p>
          <w:p w:rsidR="0058260A" w:rsidRPr="000530A7" w:rsidRDefault="0058260A" w:rsidP="00462ABE">
            <w:pPr>
              <w:pStyle w:val="TableBullet"/>
              <w:keepNext w:val="0"/>
              <w:keepLines w:val="0"/>
              <w:jc w:val="both"/>
            </w:pPr>
            <w:r w:rsidRPr="002C59E1">
              <w:t xml:space="preserve">Annual data are available. The most recent data available are for </w:t>
            </w:r>
            <w:r>
              <w:br/>
              <w:t>201</w:t>
            </w:r>
            <w:r w:rsidR="00462ABE">
              <w:t>2</w:t>
            </w:r>
            <w:r w:rsidR="00104B60">
              <w:noBreakHyphen/>
            </w:r>
            <w:r>
              <w:t>1</w:t>
            </w:r>
            <w:r w:rsidR="00462ABE">
              <w:t>3</w:t>
            </w:r>
            <w:r>
              <w:t>.</w:t>
            </w:r>
            <w:r w:rsidRPr="002C59E1">
              <w:t xml:space="preserve"> </w:t>
            </w:r>
          </w:p>
        </w:tc>
      </w:tr>
    </w:tbl>
    <w:p w:rsidR="0058260A" w:rsidRDefault="0058260A" w:rsidP="00BE5B08">
      <w:pPr>
        <w:pStyle w:val="ListBullet"/>
        <w:numPr>
          <w:ilvl w:val="0"/>
          <w:numId w:val="0"/>
        </w:numPr>
      </w:pPr>
    </w:p>
    <w:p w:rsidR="0058260A" w:rsidRDefault="0058260A" w:rsidP="00BE5B08">
      <w:pPr>
        <w:pStyle w:val="Heading3"/>
        <w:spacing w:before="120"/>
        <w:jc w:val="both"/>
        <w:rPr>
          <w:rStyle w:val="NoteLabel"/>
          <w:rFonts w:cs="Arial"/>
        </w:rPr>
      </w:pPr>
      <w:r>
        <w:br w:type="page"/>
      </w:r>
      <w:bookmarkStart w:id="27" w:name="_Toc377383324"/>
      <w:r w:rsidRPr="009C4419">
        <w:lastRenderedPageBreak/>
        <w:t xml:space="preserve">Use by different groups — the </w:t>
      </w:r>
      <w:r>
        <w:t>proportion</w:t>
      </w:r>
      <w:r w:rsidRPr="009C4419">
        <w:t xml:space="preserve"> of new residents classified as </w:t>
      </w:r>
      <w:r>
        <w:t xml:space="preserve">concessional, assisted or </w:t>
      </w:r>
      <w:r w:rsidRPr="009C4419">
        <w:t>supported</w:t>
      </w:r>
      <w:r>
        <w:t xml:space="preserve"> residents</w:t>
      </w:r>
      <w:bookmarkEnd w:id="27"/>
    </w:p>
    <w:p w:rsidR="00CB4624" w:rsidRPr="00EA5574" w:rsidRDefault="00EA5574" w:rsidP="00E119DD">
      <w:pPr>
        <w:keepNext/>
        <w:spacing w:before="100" w:beforeAutospacing="1" w:line="280" w:lineRule="atLeast"/>
        <w:jc w:val="both"/>
        <w:rPr>
          <w:rFonts w:ascii="Arial" w:hAnsi="Arial"/>
          <w:szCs w:val="20"/>
        </w:rPr>
      </w:pPr>
      <w:proofErr w:type="spellStart"/>
      <w:r w:rsidRPr="00EA5574">
        <w:rPr>
          <w:rFonts w:ascii="Arial" w:hAnsi="Arial"/>
          <w:szCs w:val="20"/>
        </w:rPr>
        <w:t>DQI</w:t>
      </w:r>
      <w:proofErr w:type="spellEnd"/>
      <w:r w:rsidR="0058260A" w:rsidRPr="00EA5574">
        <w:rPr>
          <w:rFonts w:ascii="Arial" w:hAnsi="Arial"/>
          <w:szCs w:val="20"/>
        </w:rPr>
        <w:t xml:space="preserve"> for this indicator has been drafted by the Australian Government </w:t>
      </w:r>
      <w:r w:rsidR="00DC4C91" w:rsidRPr="00EA5574">
        <w:rPr>
          <w:rFonts w:ascii="Arial" w:hAnsi="Arial"/>
          <w:szCs w:val="20"/>
        </w:rPr>
        <w:t>DSS</w:t>
      </w:r>
      <w:r w:rsidR="0058260A" w:rsidRPr="00EA5574">
        <w:rPr>
          <w:rFonts w:ascii="Arial" w:hAnsi="Arial"/>
          <w:szCs w:val="20"/>
        </w:rPr>
        <w:t>, with additional Steering Committee comments.</w:t>
      </w:r>
    </w:p>
    <w:p w:rsidR="00E87B88" w:rsidRDefault="00E87B88" w:rsidP="00BE5B08">
      <w:pPr>
        <w:pStyle w:val="BodyText"/>
        <w:keepNext/>
        <w:keepLines/>
        <w:spacing w:before="120" w:line="240" w:lineRule="auto"/>
        <w:rPr>
          <w:rFonts w:ascii="Arial" w:hAnsi="Arial" w:cs="Arial"/>
          <w:sz w:val="22"/>
          <w:szCs w:val="22"/>
        </w:rPr>
      </w:pPr>
    </w:p>
    <w:tbl>
      <w:tblPr>
        <w:tblW w:w="5120" w:type="pct"/>
        <w:tblCellMar>
          <w:left w:w="0" w:type="dxa"/>
          <w:right w:w="0" w:type="dxa"/>
        </w:tblCellMar>
        <w:tblLook w:val="0000" w:firstRow="0" w:lastRow="0" w:firstColumn="0" w:lastColumn="0" w:noHBand="0" w:noVBand="0"/>
      </w:tblPr>
      <w:tblGrid>
        <w:gridCol w:w="1802"/>
        <w:gridCol w:w="7092"/>
        <w:gridCol w:w="106"/>
      </w:tblGrid>
      <w:tr w:rsidR="0058260A" w:rsidTr="0058260A">
        <w:tc>
          <w:tcPr>
            <w:tcW w:w="5000" w:type="pct"/>
            <w:gridSpan w:val="3"/>
          </w:tcPr>
          <w:p w:rsidR="0058260A" w:rsidRPr="007D0BFD" w:rsidRDefault="0058260A" w:rsidP="00BE5B08">
            <w:pPr>
              <w:pStyle w:val="TableBodyText"/>
              <w:jc w:val="both"/>
              <w:rPr>
                <w:b/>
                <w:u w:val="single"/>
              </w:rPr>
            </w:pPr>
          </w:p>
          <w:p w:rsidR="0058260A" w:rsidRDefault="0058260A" w:rsidP="00BE5B08">
            <w:pPr>
              <w:pStyle w:val="TableBodyText"/>
              <w:jc w:val="both"/>
            </w:pPr>
            <w:r w:rsidRPr="007D0BFD">
              <w:rPr>
                <w:b/>
                <w:u w:val="single"/>
              </w:rPr>
              <w:t>Indicator definition and description</w:t>
            </w:r>
            <w:r>
              <w:rPr>
                <w:rFonts w:cs="Arial"/>
                <w:b/>
                <w:sz w:val="22"/>
                <w:szCs w:val="22"/>
                <w:u w:val="single"/>
              </w:rPr>
              <w:t xml:space="preserve"> </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3324BE" w:rsidRDefault="0058260A" w:rsidP="00BE5B08">
            <w:pPr>
              <w:pStyle w:val="TableBodyText"/>
              <w:ind w:left="0"/>
              <w:jc w:val="both"/>
              <w:rPr>
                <w:rFonts w:cs="Arial"/>
                <w:b/>
              </w:rPr>
            </w:pPr>
            <w:r w:rsidRPr="003324BE">
              <w:rPr>
                <w:rFonts w:cs="Arial"/>
                <w:b/>
              </w:rPr>
              <w:t>Element</w:t>
            </w:r>
          </w:p>
        </w:tc>
        <w:tc>
          <w:tcPr>
            <w:tcW w:w="3999" w:type="pct"/>
            <w:gridSpan w:val="2"/>
          </w:tcPr>
          <w:p w:rsidR="0058260A" w:rsidRDefault="0058260A" w:rsidP="00BE5B08">
            <w:pPr>
              <w:pStyle w:val="TableBodyText"/>
              <w:jc w:val="both"/>
              <w:rPr>
                <w:rFonts w:cs="Arial"/>
              </w:rPr>
            </w:pPr>
            <w:r w:rsidRPr="003324BE">
              <w:rPr>
                <w:rFonts w:cs="Arial"/>
              </w:rPr>
              <w:t>Equity — Access</w:t>
            </w:r>
          </w:p>
          <w:p w:rsidR="00130093" w:rsidRPr="003324BE" w:rsidRDefault="00130093" w:rsidP="00BE5B08">
            <w:pPr>
              <w:pStyle w:val="TableBodyText"/>
              <w:jc w:val="both"/>
              <w:rPr>
                <w:rFonts w:cs="Arial"/>
              </w:rPr>
            </w:pP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 xml:space="preserve">Indicator </w:t>
            </w:r>
          </w:p>
        </w:tc>
        <w:tc>
          <w:tcPr>
            <w:tcW w:w="3999" w:type="pct"/>
            <w:gridSpan w:val="2"/>
          </w:tcPr>
          <w:p w:rsidR="0058260A" w:rsidRDefault="0058260A" w:rsidP="00BE5B08">
            <w:pPr>
              <w:pStyle w:val="TableBodyText"/>
              <w:jc w:val="both"/>
            </w:pPr>
            <w:r w:rsidRPr="00B01CB8">
              <w:t xml:space="preserve">Use by different groups — the number of new residents classified as </w:t>
            </w:r>
            <w:r>
              <w:t xml:space="preserve">concessional, assisted or </w:t>
            </w:r>
            <w:r w:rsidRPr="00B01CB8">
              <w:t>supported</w:t>
            </w:r>
            <w:r>
              <w:t xml:space="preserve"> residents</w:t>
            </w:r>
            <w:r w:rsidRPr="00B01CB8">
              <w:t>, divided by the number of new residents.</w:t>
            </w:r>
          </w:p>
          <w:p w:rsidR="0058260A" w:rsidRPr="00B01CB8" w:rsidRDefault="0058260A" w:rsidP="00BE5B08">
            <w:pPr>
              <w:pStyle w:val="TableBodyText"/>
              <w:jc w:val="both"/>
            </w:pP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Measure (computation)</w:t>
            </w:r>
          </w:p>
        </w:tc>
        <w:tc>
          <w:tcPr>
            <w:tcW w:w="3999" w:type="pct"/>
            <w:gridSpan w:val="2"/>
          </w:tcPr>
          <w:p w:rsidR="0058260A" w:rsidRDefault="0058260A" w:rsidP="00BE5B08">
            <w:pPr>
              <w:keepNext/>
              <w:keepLines/>
              <w:spacing w:after="120"/>
              <w:jc w:val="both"/>
              <w:rPr>
                <w:rFonts w:ascii="Arial" w:hAnsi="Arial" w:cs="Arial"/>
                <w:sz w:val="20"/>
                <w:u w:val="single"/>
              </w:rPr>
            </w:pPr>
            <w:r w:rsidRPr="003C61A6">
              <w:rPr>
                <w:rFonts w:ascii="Arial" w:hAnsi="Arial" w:cs="Arial"/>
                <w:sz w:val="20"/>
                <w:u w:val="single"/>
              </w:rPr>
              <w:t xml:space="preserve">Definition: </w:t>
            </w:r>
          </w:p>
          <w:p w:rsidR="0058260A" w:rsidRPr="00D94E6A" w:rsidRDefault="0058260A" w:rsidP="00BE5B08">
            <w:pPr>
              <w:pStyle w:val="TableBodyText"/>
              <w:jc w:val="both"/>
              <w:rPr>
                <w:rFonts w:cs="Arial"/>
              </w:rPr>
            </w:pPr>
            <w:r w:rsidRPr="00D94E6A">
              <w:rPr>
                <w:rFonts w:cs="Arial"/>
              </w:rPr>
              <w:t>Proportion of new residents classified as supported</w:t>
            </w:r>
            <w:proofErr w:type="spellStart"/>
            <w:r>
              <w:rPr>
                <w:rStyle w:val="NoteLabel"/>
                <w:rFonts w:cs="Arial"/>
              </w:rPr>
              <w:t>b</w:t>
            </w:r>
            <w:proofErr w:type="spellEnd"/>
            <w:r w:rsidRPr="00D94E6A">
              <w:rPr>
                <w:rFonts w:cs="Arial"/>
              </w:rPr>
              <w:t xml:space="preserve"> residents, by high care, low care and all residents</w:t>
            </w:r>
          </w:p>
          <w:p w:rsidR="0058260A" w:rsidRPr="00D94E6A" w:rsidRDefault="0058260A" w:rsidP="00BE5B08">
            <w:pPr>
              <w:keepNext/>
              <w:keepLines/>
              <w:spacing w:after="120"/>
              <w:jc w:val="both"/>
              <w:rPr>
                <w:rFonts w:ascii="Arial" w:hAnsi="Arial" w:cs="Arial"/>
                <w:sz w:val="20"/>
                <w:u w:val="single"/>
              </w:rPr>
            </w:pPr>
            <w:r w:rsidRPr="00D94E6A">
              <w:rPr>
                <w:rFonts w:ascii="Arial" w:hAnsi="Arial" w:cs="Arial"/>
                <w:sz w:val="20"/>
                <w:u w:val="single"/>
              </w:rPr>
              <w:t>Numerators:</w:t>
            </w:r>
          </w:p>
          <w:p w:rsidR="0058260A" w:rsidRPr="00D94E6A" w:rsidRDefault="0058260A" w:rsidP="00BE5B08">
            <w:pPr>
              <w:pStyle w:val="TableBodyText"/>
              <w:jc w:val="both"/>
              <w:rPr>
                <w:rFonts w:cs="Arial"/>
              </w:rPr>
            </w:pPr>
            <w:r w:rsidRPr="00D94E6A">
              <w:rPr>
                <w:rFonts w:cs="Arial"/>
              </w:rPr>
              <w:t xml:space="preserve">(1) Number of new high care residents classified as </w:t>
            </w:r>
            <w:r>
              <w:rPr>
                <w:rFonts w:cs="Arial"/>
              </w:rPr>
              <w:t xml:space="preserve">concessional, assisted or </w:t>
            </w:r>
            <w:r w:rsidRPr="00D94E6A">
              <w:rPr>
                <w:rFonts w:cs="Arial"/>
              </w:rPr>
              <w:t>supported</w:t>
            </w:r>
            <w:r>
              <w:rPr>
                <w:rStyle w:val="NoteLabel"/>
                <w:rFonts w:cs="Arial"/>
              </w:rPr>
              <w:t>b</w:t>
            </w:r>
            <w:r w:rsidRPr="007F6461">
              <w:rPr>
                <w:rFonts w:cs="Arial"/>
              </w:rPr>
              <w:t xml:space="preserve">. </w:t>
            </w:r>
          </w:p>
          <w:p w:rsidR="0058260A" w:rsidRPr="00D94E6A" w:rsidRDefault="0058260A" w:rsidP="00BE5B08">
            <w:pPr>
              <w:pStyle w:val="TableBodyText"/>
              <w:jc w:val="both"/>
              <w:rPr>
                <w:rFonts w:cs="Arial"/>
              </w:rPr>
            </w:pPr>
            <w:r w:rsidRPr="00D94E6A">
              <w:rPr>
                <w:rFonts w:cs="Arial"/>
              </w:rPr>
              <w:t>(2) Number of new low care residents classified as</w:t>
            </w:r>
            <w:r>
              <w:rPr>
                <w:rFonts w:cs="Arial"/>
              </w:rPr>
              <w:t xml:space="preserve"> concessional, assisted or</w:t>
            </w:r>
            <w:r w:rsidRPr="00D94E6A">
              <w:rPr>
                <w:rFonts w:cs="Arial"/>
              </w:rPr>
              <w:t xml:space="preserve"> supported</w:t>
            </w:r>
            <w:r>
              <w:rPr>
                <w:rStyle w:val="NoteLabel"/>
              </w:rPr>
              <w:t>b</w:t>
            </w:r>
            <w:r w:rsidRPr="007F6461">
              <w:rPr>
                <w:rFonts w:cs="Arial"/>
              </w:rPr>
              <w:t xml:space="preserve">. </w:t>
            </w:r>
          </w:p>
          <w:p w:rsidR="0058260A" w:rsidRPr="00D94E6A" w:rsidRDefault="0058260A" w:rsidP="00BE5B08">
            <w:pPr>
              <w:pStyle w:val="TableBodyText"/>
              <w:jc w:val="both"/>
              <w:rPr>
                <w:rFonts w:cs="Arial"/>
              </w:rPr>
            </w:pPr>
            <w:r w:rsidRPr="00D94E6A">
              <w:rPr>
                <w:rFonts w:cs="Arial"/>
              </w:rPr>
              <w:t xml:space="preserve">(3) Number of new residents (high and low care) classified as </w:t>
            </w:r>
            <w:r>
              <w:rPr>
                <w:rFonts w:cs="Arial"/>
              </w:rPr>
              <w:t xml:space="preserve">concessional, assisted or </w:t>
            </w:r>
            <w:r w:rsidRPr="00D94E6A">
              <w:rPr>
                <w:rFonts w:cs="Arial"/>
              </w:rPr>
              <w:t>supported</w:t>
            </w:r>
            <w:r>
              <w:rPr>
                <w:rStyle w:val="NoteLabel"/>
                <w:rFonts w:cs="Arial"/>
              </w:rPr>
              <w:t>b</w:t>
            </w:r>
            <w:r w:rsidRPr="007F6461">
              <w:rPr>
                <w:rFonts w:cs="Arial"/>
              </w:rPr>
              <w:t xml:space="preserve">. </w:t>
            </w:r>
          </w:p>
          <w:p w:rsidR="0058260A" w:rsidRPr="003C61A6" w:rsidRDefault="0058260A" w:rsidP="00BE5B08">
            <w:pPr>
              <w:keepNext/>
              <w:keepLines/>
              <w:spacing w:before="120" w:after="120"/>
              <w:jc w:val="both"/>
              <w:rPr>
                <w:rFonts w:ascii="Arial" w:hAnsi="Arial" w:cs="Arial"/>
                <w:sz w:val="20"/>
              </w:rPr>
            </w:pPr>
            <w:r>
              <w:rPr>
                <w:rFonts w:ascii="Arial" w:hAnsi="Arial" w:cs="Arial"/>
                <w:sz w:val="20"/>
                <w:u w:val="single"/>
              </w:rPr>
              <w:t>Denominators</w:t>
            </w:r>
            <w:r w:rsidRPr="003C61A6">
              <w:rPr>
                <w:rFonts w:ascii="Arial" w:hAnsi="Arial" w:cs="Arial"/>
                <w:sz w:val="20"/>
                <w:u w:val="single"/>
              </w:rPr>
              <w:t>:</w:t>
            </w:r>
            <w:r w:rsidRPr="003C61A6">
              <w:rPr>
                <w:rFonts w:ascii="Arial" w:hAnsi="Arial" w:cs="Arial"/>
                <w:sz w:val="20"/>
              </w:rPr>
              <w:t xml:space="preserve"> </w:t>
            </w:r>
          </w:p>
          <w:p w:rsidR="0058260A" w:rsidRPr="00D94E6A" w:rsidRDefault="0058260A" w:rsidP="00BE5B08">
            <w:pPr>
              <w:pStyle w:val="TableBodyText"/>
              <w:jc w:val="both"/>
              <w:rPr>
                <w:rFonts w:cs="Arial"/>
              </w:rPr>
            </w:pPr>
            <w:r w:rsidRPr="00D94E6A">
              <w:rPr>
                <w:rFonts w:cs="Arial"/>
              </w:rPr>
              <w:t xml:space="preserve">(1) Number of new high care residents </w:t>
            </w:r>
          </w:p>
          <w:p w:rsidR="0058260A" w:rsidRPr="00D94E6A" w:rsidRDefault="0058260A" w:rsidP="00BE5B08">
            <w:pPr>
              <w:pStyle w:val="TableBodyText"/>
              <w:jc w:val="both"/>
              <w:rPr>
                <w:rFonts w:cs="Arial"/>
              </w:rPr>
            </w:pPr>
            <w:r w:rsidRPr="00D94E6A">
              <w:rPr>
                <w:rFonts w:cs="Arial"/>
              </w:rPr>
              <w:t xml:space="preserve">(2) Number of new low care residents </w:t>
            </w:r>
          </w:p>
          <w:p w:rsidR="0058260A" w:rsidRPr="00D94E6A" w:rsidRDefault="0058260A" w:rsidP="00BE5B08">
            <w:pPr>
              <w:pStyle w:val="TableBodyText"/>
              <w:jc w:val="both"/>
              <w:rPr>
                <w:rFonts w:cs="Arial"/>
              </w:rPr>
            </w:pPr>
            <w:r w:rsidRPr="00D94E6A">
              <w:rPr>
                <w:rFonts w:cs="Arial"/>
              </w:rPr>
              <w:t>(3) Number of new residents (high and low care)</w:t>
            </w:r>
            <w:r>
              <w:rPr>
                <w:rFonts w:cs="Arial"/>
              </w:rPr>
              <w:t>.</w:t>
            </w:r>
            <w:r w:rsidRPr="00D94E6A">
              <w:rPr>
                <w:rFonts w:cs="Arial"/>
              </w:rPr>
              <w:t xml:space="preserve"> </w:t>
            </w:r>
          </w:p>
          <w:p w:rsidR="0058260A" w:rsidRPr="003C61A6" w:rsidRDefault="0058260A" w:rsidP="00BE5B08">
            <w:pPr>
              <w:keepNext/>
              <w:keepLines/>
              <w:spacing w:before="120" w:after="120"/>
              <w:jc w:val="both"/>
              <w:rPr>
                <w:rFonts w:ascii="Arial" w:hAnsi="Arial" w:cs="Arial"/>
                <w:sz w:val="20"/>
                <w:u w:val="single"/>
              </w:rPr>
            </w:pPr>
            <w:r w:rsidRPr="003C61A6">
              <w:rPr>
                <w:rFonts w:ascii="Arial" w:hAnsi="Arial" w:cs="Arial"/>
                <w:sz w:val="20"/>
                <w:u w:val="single"/>
              </w:rPr>
              <w:t>Computation:</w:t>
            </w:r>
          </w:p>
          <w:p w:rsidR="0058260A" w:rsidRDefault="0058260A" w:rsidP="00BE5B08">
            <w:pPr>
              <w:pStyle w:val="TableBodyText"/>
              <w:jc w:val="both"/>
              <w:rPr>
                <w:rFonts w:cs="Arial"/>
              </w:rPr>
            </w:pPr>
            <w:r w:rsidRPr="003C61A6">
              <w:rPr>
                <w:rFonts w:cs="Arial"/>
              </w:rPr>
              <w:t xml:space="preserve">Expressed as a </w:t>
            </w:r>
            <w:r>
              <w:rPr>
                <w:rFonts w:cs="Arial"/>
              </w:rPr>
              <w:t xml:space="preserve">proportion. Calculation is: (Numerator </w:t>
            </w:r>
            <w:r w:rsidRPr="00BE5B08">
              <w:rPr>
                <w:rFonts w:cs="Arial"/>
              </w:rPr>
              <w:sym w:font="Symbol" w:char="F0B8"/>
            </w:r>
            <w:r w:rsidRPr="003C61A6">
              <w:rPr>
                <w:rFonts w:cs="Arial"/>
              </w:rPr>
              <w:t xml:space="preserve"> Denominator) x 100.</w:t>
            </w:r>
          </w:p>
          <w:p w:rsidR="0058260A" w:rsidRDefault="0058260A" w:rsidP="00BE5B08">
            <w:pPr>
              <w:keepNext/>
              <w:keepLines/>
              <w:spacing w:before="120" w:after="120"/>
              <w:jc w:val="both"/>
              <w:rPr>
                <w:rFonts w:ascii="Arial" w:hAnsi="Arial" w:cs="Arial"/>
                <w:b/>
                <w:sz w:val="20"/>
              </w:rPr>
            </w:pPr>
            <w:r w:rsidRPr="00974A5F">
              <w:rPr>
                <w:rFonts w:ascii="Arial" w:hAnsi="Arial" w:cs="Arial"/>
                <w:b/>
                <w:sz w:val="20"/>
              </w:rPr>
              <w:t>Notes:</w:t>
            </w:r>
          </w:p>
          <w:p w:rsidR="0058260A" w:rsidRPr="009E68D2" w:rsidRDefault="0058260A" w:rsidP="00BE5B08">
            <w:pPr>
              <w:pStyle w:val="Note"/>
              <w:keepNext/>
            </w:pPr>
            <w:r w:rsidRPr="00D94E6A">
              <w:rPr>
                <w:rStyle w:val="NoteLabel"/>
                <w:rFonts w:cs="Arial"/>
              </w:rPr>
              <w:t>a</w:t>
            </w:r>
            <w:r w:rsidRPr="009E68D2">
              <w:t>For 2005</w:t>
            </w:r>
            <w:r w:rsidR="00104B60">
              <w:noBreakHyphen/>
            </w:r>
            <w:r w:rsidRPr="009E68D2">
              <w:t>06 and 2006</w:t>
            </w:r>
            <w:r w:rsidR="00104B60">
              <w:noBreakHyphen/>
            </w:r>
            <w:r w:rsidRPr="009E68D2">
              <w:t>07, data include concessional or assisted residents. Data for 2007</w:t>
            </w:r>
            <w:r w:rsidR="00104B60">
              <w:noBreakHyphen/>
            </w:r>
            <w:r w:rsidRPr="009E68D2">
              <w:t>08 include concessional, assisted or supported residents. Data from 2008</w:t>
            </w:r>
            <w:r w:rsidR="00104B60">
              <w:noBreakHyphen/>
            </w:r>
            <w:r w:rsidRPr="009E68D2">
              <w:t>09 include supported residents only.</w:t>
            </w:r>
            <w:r>
              <w:t xml:space="preserve"> These data only refer to permanent residents only, at their first admission.</w:t>
            </w:r>
          </w:p>
          <w:p w:rsidR="0058260A" w:rsidRDefault="0058260A" w:rsidP="00BE5B08">
            <w:pPr>
              <w:pStyle w:val="Note"/>
              <w:keepNext/>
            </w:pPr>
            <w:bookmarkStart w:id="28" w:name="OLE_LINK15"/>
            <w:bookmarkStart w:id="29" w:name="OLE_LINK16"/>
            <w:r>
              <w:rPr>
                <w:rStyle w:val="NoteLabel"/>
              </w:rPr>
              <w:t>b</w:t>
            </w:r>
            <w:r w:rsidRPr="0042509D">
              <w:rPr>
                <w:i/>
                <w:sz w:val="22"/>
                <w:szCs w:val="22"/>
              </w:rPr>
              <w:t xml:space="preserve"> </w:t>
            </w:r>
            <w:r w:rsidRPr="00FC394B">
              <w:t>Concessional residents are those who receive an income support payment and have not owned a home for the last two or more years (or whose home is occupied by a ‘protected’ person, for example, the care recipient’s partner), and have assets of less than 2.5 times the annual single basic age pension.</w:t>
            </w:r>
            <w:r>
              <w:t xml:space="preserve"> For residents who enter care from 20</w:t>
            </w:r>
            <w:r w:rsidR="00104B60">
              <w:t> </w:t>
            </w:r>
            <w:r>
              <w:t xml:space="preserve">Sept 2009 onwards the threshold is 2.25 times </w:t>
            </w:r>
            <w:r w:rsidRPr="00FC394B">
              <w:t>the annual single basic age pension</w:t>
            </w:r>
            <w:r>
              <w:t>.</w:t>
            </w:r>
          </w:p>
          <w:p w:rsidR="0058260A" w:rsidRPr="009F5FA1" w:rsidRDefault="0058260A" w:rsidP="00BE5B08">
            <w:pPr>
              <w:pStyle w:val="Note"/>
              <w:keepNext/>
            </w:pPr>
            <w:r w:rsidRPr="00FC394B">
              <w:t xml:space="preserve">Assisted residents are those meeting the above criteria, but with assets between </w:t>
            </w:r>
            <w:r>
              <w:br/>
            </w:r>
            <w:r w:rsidRPr="00FC394B">
              <w:t>2.5 and 4.0 times the annual single basic age pension.</w:t>
            </w:r>
            <w:r>
              <w:t xml:space="preserve"> For residents who enter care from 20</w:t>
            </w:r>
            <w:r w:rsidR="00104B60">
              <w:t> </w:t>
            </w:r>
            <w:r>
              <w:t xml:space="preserve">Sept 2009 onwards the range is from 2.25 to 3.61 times </w:t>
            </w:r>
            <w:r w:rsidRPr="00FC394B">
              <w:t>the annual single basic age pension</w:t>
            </w:r>
            <w:r>
              <w:t>.</w:t>
            </w:r>
          </w:p>
          <w:p w:rsidR="0058260A" w:rsidRPr="00B074E3" w:rsidRDefault="0058260A" w:rsidP="00BE5B08">
            <w:pPr>
              <w:pStyle w:val="Note"/>
              <w:keepNext/>
              <w:rPr>
                <w:rFonts w:cs="Arial"/>
                <w:szCs w:val="22"/>
              </w:rPr>
            </w:pPr>
            <w:r w:rsidRPr="00FC394B">
              <w:t>Supported residents are those who have entered permanent residential care on or after 20</w:t>
            </w:r>
            <w:r w:rsidR="00104B60">
              <w:t> </w:t>
            </w:r>
            <w:r w:rsidRPr="00FC394B">
              <w:t>March 2008 (or who re</w:t>
            </w:r>
            <w:r w:rsidR="00104B60">
              <w:noBreakHyphen/>
            </w:r>
            <w:r w:rsidRPr="00FC394B">
              <w:t>enter care on or after 20</w:t>
            </w:r>
            <w:r w:rsidR="00104B60">
              <w:t> </w:t>
            </w:r>
            <w:r w:rsidRPr="00FC394B">
              <w:t xml:space="preserve">March 2008 after a break in care of more than 28 days) and have assets of up to a set value </w:t>
            </w:r>
            <w:bookmarkEnd w:id="28"/>
            <w:bookmarkEnd w:id="29"/>
            <w:r>
              <w:rPr>
                <w:rFonts w:cs="Arial"/>
                <w:szCs w:val="22"/>
              </w:rPr>
              <w:t xml:space="preserve">($102,544 as at March 2011). This threshold is indexed in March and September each year in line with pension </w:t>
            </w:r>
            <w:r>
              <w:rPr>
                <w:rFonts w:cs="Arial"/>
                <w:szCs w:val="22"/>
              </w:rPr>
              <w:lastRenderedPageBreak/>
              <w:t>increases.</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rPr>
            </w:pPr>
            <w:r w:rsidRPr="005E027C">
              <w:rPr>
                <w:rFonts w:cs="Arial"/>
                <w:b/>
              </w:rPr>
              <w:lastRenderedPageBreak/>
              <w:t>Data source/s</w:t>
            </w:r>
          </w:p>
        </w:tc>
        <w:tc>
          <w:tcPr>
            <w:tcW w:w="3999" w:type="pct"/>
            <w:gridSpan w:val="2"/>
          </w:tcPr>
          <w:p w:rsidR="0058260A" w:rsidRDefault="0058260A" w:rsidP="00BE5B08">
            <w:pPr>
              <w:pStyle w:val="TableBodyText"/>
              <w:jc w:val="both"/>
            </w:pPr>
            <w:r w:rsidRPr="00E876DF">
              <w:t xml:space="preserve">Australian Government </w:t>
            </w:r>
            <w:proofErr w:type="spellStart"/>
            <w:r w:rsidR="00DC4C91">
              <w:t>DSS</w:t>
            </w:r>
            <w:r>
              <w:t>’s</w:t>
            </w:r>
            <w:proofErr w:type="spellEnd"/>
            <w:r w:rsidRPr="00E876DF">
              <w:t xml:space="preserve"> </w:t>
            </w:r>
            <w:r>
              <w:rPr>
                <w:rFonts w:cs="Arial"/>
              </w:rPr>
              <w:t>Ageing 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are</w:t>
            </w:r>
            <w:r w:rsidRPr="00E876DF">
              <w:t xml:space="preserve"> data warehouse.</w:t>
            </w:r>
            <w:r>
              <w:t xml:space="preserve"> </w:t>
            </w:r>
            <w:r w:rsidRPr="00E876DF">
              <w:t xml:space="preserve">The </w:t>
            </w:r>
            <w:r>
              <w:rPr>
                <w:rFonts w:cs="Arial"/>
              </w:rPr>
              <w:t>Ageing and</w:t>
            </w:r>
            <w:r w:rsidRPr="003324BE">
              <w:rPr>
                <w:rFonts w:cs="Arial"/>
              </w:rPr>
              <w:t xml:space="preserve"> </w:t>
            </w:r>
            <w:r>
              <w:rPr>
                <w:rFonts w:cs="Arial"/>
              </w:rPr>
              <w:t>A</w:t>
            </w:r>
            <w:r w:rsidRPr="003324BE">
              <w:rPr>
                <w:rFonts w:cs="Arial"/>
              </w:rPr>
              <w:t xml:space="preserve">ged </w:t>
            </w:r>
            <w:r>
              <w:rPr>
                <w:rFonts w:cs="Arial"/>
              </w:rPr>
              <w:t>C</w:t>
            </w:r>
            <w:r w:rsidRPr="003324BE">
              <w:rPr>
                <w:rFonts w:cs="Arial"/>
              </w:rPr>
              <w:t>are</w:t>
            </w:r>
            <w:r w:rsidRPr="00E876DF">
              <w:t xml:space="preserve"> data warehouse is a consolidated data warehouse of service provider and service recipient data held by the Ageing and Aged Care Division and the Office of Aged Care Quality and Compliance of the </w:t>
            </w:r>
            <w:r w:rsidR="00DC4C91">
              <w:t>DSS</w:t>
            </w:r>
            <w:r w:rsidRPr="00E876DF">
              <w:t>.</w:t>
            </w:r>
          </w:p>
          <w:p w:rsidR="0058260A" w:rsidRPr="002B1286" w:rsidRDefault="0058260A" w:rsidP="00BE5B08">
            <w:pPr>
              <w:pStyle w:val="TableBodyText"/>
              <w:jc w:val="both"/>
            </w:pPr>
          </w:p>
        </w:tc>
      </w:tr>
      <w:tr w:rsidR="0058260A" w:rsidRPr="005E027C" w:rsidTr="0058260A">
        <w:tblPrEx>
          <w:tblCellMar>
            <w:left w:w="108" w:type="dxa"/>
            <w:right w:w="108" w:type="dxa"/>
          </w:tblCellMar>
          <w:tblLook w:val="01E0" w:firstRow="1" w:lastRow="1" w:firstColumn="1" w:lastColumn="1" w:noHBand="0" w:noVBand="0"/>
        </w:tblPrEx>
        <w:trPr>
          <w:trHeight w:val="269"/>
        </w:trPr>
        <w:tc>
          <w:tcPr>
            <w:tcW w:w="5000" w:type="pct"/>
            <w:gridSpan w:val="3"/>
          </w:tcPr>
          <w:p w:rsidR="007D7B1A" w:rsidRDefault="007D7B1A" w:rsidP="007D7B1A">
            <w:pPr>
              <w:pStyle w:val="TableBodyText"/>
              <w:jc w:val="both"/>
              <w:rPr>
                <w:rFonts w:cs="Arial"/>
                <w:b/>
                <w:bCs/>
                <w:u w:val="single"/>
              </w:rPr>
            </w:pPr>
          </w:p>
          <w:p w:rsidR="0058260A" w:rsidRPr="00FC28BE" w:rsidRDefault="0058260A" w:rsidP="00BE5B08">
            <w:pPr>
              <w:keepNext/>
              <w:keepLines/>
              <w:jc w:val="both"/>
              <w:rPr>
                <w:rFonts w:ascii="Arial" w:hAnsi="Arial" w:cs="Arial"/>
                <w:sz w:val="20"/>
                <w:u w:val="single"/>
              </w:rPr>
            </w:pPr>
            <w:r w:rsidRPr="00FC28BE">
              <w:rPr>
                <w:rFonts w:ascii="Arial" w:hAnsi="Arial" w:cs="Arial"/>
                <w:b/>
                <w:bCs/>
                <w:sz w:val="20"/>
                <w:u w:val="single"/>
              </w:rPr>
              <w:t>Data Quality Framework Dimensions</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Institutional Environment</w:t>
            </w:r>
          </w:p>
        </w:tc>
        <w:tc>
          <w:tcPr>
            <w:tcW w:w="3999" w:type="pct"/>
            <w:gridSpan w:val="2"/>
          </w:tcPr>
          <w:p w:rsidR="0058260A" w:rsidRDefault="0058260A" w:rsidP="007D7B1A">
            <w:pPr>
              <w:keepNext/>
              <w:keepLines/>
              <w:spacing w:line="220" w:lineRule="atLeast"/>
              <w:jc w:val="both"/>
              <w:rPr>
                <w:rFonts w:ascii="Arial" w:hAnsi="Arial" w:cs="Arial"/>
                <w:sz w:val="20"/>
              </w:rPr>
            </w:pPr>
            <w:r w:rsidRPr="00703E6F">
              <w:rPr>
                <w:rFonts w:ascii="Arial" w:hAnsi="Arial" w:cs="Arial"/>
                <w:sz w:val="20"/>
              </w:rPr>
              <w:t xml:space="preserve">Approved </w:t>
            </w:r>
            <w:r>
              <w:rPr>
                <w:rFonts w:ascii="Arial" w:hAnsi="Arial" w:cs="Arial"/>
                <w:sz w:val="20"/>
              </w:rPr>
              <w:t xml:space="preserve">service </w:t>
            </w:r>
            <w:r w:rsidRPr="00703E6F">
              <w:rPr>
                <w:rFonts w:ascii="Arial" w:hAnsi="Arial" w:cs="Arial"/>
                <w:sz w:val="20"/>
              </w:rPr>
              <w:t xml:space="preserve">providers submit data to Medicare Australia to claim subsidies from the Australian Government for services delivered under the </w:t>
            </w:r>
            <w:r w:rsidRPr="00E844E8">
              <w:rPr>
                <w:rFonts w:ascii="Arial" w:hAnsi="Arial" w:cs="Arial"/>
                <w:i/>
                <w:sz w:val="20"/>
              </w:rPr>
              <w:t>Aged Care Act 1997</w:t>
            </w:r>
            <w:r w:rsidRPr="00703E6F">
              <w:rPr>
                <w:rFonts w:ascii="Arial" w:hAnsi="Arial" w:cs="Arial"/>
                <w:sz w:val="20"/>
              </w:rPr>
              <w:t xml:space="preserve"> (the Act) and </w:t>
            </w:r>
            <w:r w:rsidRPr="00E844E8">
              <w:rPr>
                <w:rFonts w:ascii="Arial" w:hAnsi="Arial" w:cs="Arial"/>
                <w:i/>
                <w:sz w:val="20"/>
              </w:rPr>
              <w:t>Aged Care Principles</w:t>
            </w:r>
            <w:r w:rsidRPr="00E844E8">
              <w:rPr>
                <w:rFonts w:ascii="Arial" w:hAnsi="Arial" w:cs="Arial"/>
                <w:sz w:val="20"/>
              </w:rPr>
              <w:t xml:space="preserve"> </w:t>
            </w:r>
            <w:r w:rsidRPr="00703E6F">
              <w:rPr>
                <w:rFonts w:ascii="Arial" w:hAnsi="Arial" w:cs="Arial"/>
                <w:sz w:val="20"/>
              </w:rPr>
              <w:t>(the Principles)</w:t>
            </w:r>
            <w:r w:rsidRPr="008629BD">
              <w:rPr>
                <w:rStyle w:val="FootnoteReference"/>
                <w:rFonts w:ascii="Arial" w:hAnsi="Arial"/>
                <w:i/>
                <w:iCs/>
                <w:sz w:val="16"/>
                <w:szCs w:val="16"/>
              </w:rPr>
              <w:footnoteReference w:id="4"/>
            </w:r>
            <w:r w:rsidRPr="008629BD">
              <w:rPr>
                <w:rFonts w:ascii="Arial" w:hAnsi="Arial" w:cs="Arial"/>
                <w:sz w:val="16"/>
                <w:szCs w:val="16"/>
              </w:rPr>
              <w:t>.</w:t>
            </w:r>
            <w:r w:rsidR="00104B60">
              <w:rPr>
                <w:rFonts w:ascii="Arial" w:hAnsi="Arial" w:cs="Arial"/>
                <w:sz w:val="20"/>
              </w:rPr>
              <w:t xml:space="preserve"> </w:t>
            </w:r>
            <w:r w:rsidRPr="00703E6F">
              <w:rPr>
                <w:rFonts w:ascii="Arial" w:hAnsi="Arial" w:cs="Arial"/>
                <w:sz w:val="20"/>
              </w:rPr>
              <w:t xml:space="preserve">These data are provided to the </w:t>
            </w:r>
            <w:r w:rsidR="00DC4C91">
              <w:rPr>
                <w:rFonts w:ascii="Arial" w:hAnsi="Arial" w:cs="Arial"/>
                <w:sz w:val="20"/>
              </w:rPr>
              <w:t>DSS</w:t>
            </w:r>
            <w:r w:rsidRPr="00703E6F">
              <w:rPr>
                <w:rFonts w:ascii="Arial" w:hAnsi="Arial" w:cs="Arial"/>
                <w:sz w:val="20"/>
              </w:rPr>
              <w:t xml:space="preserve"> and are stored in the</w:t>
            </w:r>
            <w:r>
              <w:rPr>
                <w:rFonts w:ascii="Arial" w:hAnsi="Arial" w:cs="Arial"/>
                <w:sz w:val="20"/>
              </w:rPr>
              <w:t xml:space="preserve"> Ageing and</w:t>
            </w:r>
            <w:r w:rsidRPr="00703E6F">
              <w:rPr>
                <w:rFonts w:ascii="Arial" w:hAnsi="Arial" w:cs="Arial"/>
                <w:sz w:val="20"/>
              </w:rPr>
              <w:t xml:space="preserve"> </w:t>
            </w:r>
            <w:r w:rsidRPr="00E844E8">
              <w:rPr>
                <w:rFonts w:ascii="Arial" w:hAnsi="Arial" w:cs="Arial"/>
                <w:sz w:val="20"/>
              </w:rPr>
              <w:t xml:space="preserve">Aged Care </w:t>
            </w:r>
            <w:r w:rsidRPr="00703E6F">
              <w:rPr>
                <w:rFonts w:ascii="Arial" w:hAnsi="Arial" w:cs="Arial"/>
                <w:sz w:val="20"/>
              </w:rPr>
              <w:t xml:space="preserve">data warehouse. </w:t>
            </w:r>
          </w:p>
          <w:p w:rsidR="0058260A" w:rsidRPr="00FE389D" w:rsidRDefault="0058260A" w:rsidP="007D7B1A">
            <w:pPr>
              <w:pStyle w:val="TableBodyText"/>
              <w:keepNext w:val="0"/>
              <w:keepLines w:val="0"/>
              <w:widowControl w:val="0"/>
              <w:ind w:left="0"/>
              <w:jc w:val="both"/>
              <w:rPr>
                <w:rFonts w:cs="Arial"/>
                <w:i/>
                <w:iCs/>
              </w:rPr>
            </w:pPr>
            <w:r>
              <w:t xml:space="preserve">Information </w:t>
            </w:r>
            <w:r w:rsidRPr="007D7B1A">
              <w:rPr>
                <w:rFonts w:cs="Arial"/>
              </w:rPr>
              <w:t>relating</w:t>
            </w:r>
            <w:r>
              <w:t xml:space="preserve"> to the recipient details is provided by Medicare Australia to </w:t>
            </w:r>
            <w:r w:rsidRPr="007D7B1A">
              <w:rPr>
                <w:rFonts w:cs="Arial"/>
              </w:rPr>
              <w:t>provide</w:t>
            </w:r>
            <w:r>
              <w:t xml:space="preserve"> context around the claims.</w:t>
            </w:r>
          </w:p>
          <w:p w:rsidR="0058260A" w:rsidRPr="00E50FB4" w:rsidRDefault="0058260A" w:rsidP="007D7B1A">
            <w:pPr>
              <w:pStyle w:val="TableBodyText"/>
              <w:spacing w:after="120"/>
              <w:jc w:val="both"/>
              <w:rPr>
                <w:rFonts w:cs="Arial"/>
              </w:rPr>
            </w:pPr>
            <w:r w:rsidRPr="00703E6F">
              <w:rPr>
                <w:rFonts w:cs="Arial"/>
              </w:rPr>
              <w:t xml:space="preserve">The tables for this indicator </w:t>
            </w:r>
            <w:r>
              <w:rPr>
                <w:rFonts w:cs="Arial"/>
              </w:rPr>
              <w:t>a</w:t>
            </w:r>
            <w:r w:rsidRPr="00703E6F">
              <w:rPr>
                <w:rFonts w:cs="Arial"/>
              </w:rPr>
              <w:t xml:space="preserve">re prepared by the </w:t>
            </w:r>
            <w:r w:rsidR="00DC4C91">
              <w:rPr>
                <w:rFonts w:cs="Arial"/>
              </w:rPr>
              <w:t>DSS</w:t>
            </w:r>
            <w:r w:rsidRPr="00703E6F">
              <w:rPr>
                <w:rFonts w:cs="Arial"/>
              </w:rPr>
              <w:t xml:space="preserve">. </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Relevance</w:t>
            </w:r>
          </w:p>
        </w:tc>
        <w:tc>
          <w:tcPr>
            <w:tcW w:w="3999" w:type="pct"/>
            <w:gridSpan w:val="2"/>
          </w:tcPr>
          <w:p w:rsidR="0058260A" w:rsidRPr="00B11A04" w:rsidRDefault="0058260A" w:rsidP="007D7B1A">
            <w:pPr>
              <w:pStyle w:val="TableBodyText"/>
              <w:spacing w:after="120"/>
              <w:jc w:val="both"/>
            </w:pPr>
            <w:r>
              <w:rPr>
                <w:rFonts w:cs="Arial"/>
              </w:rPr>
              <w:t>The data are reported by state / territory and provide information on the proportion of people entering residential aged care who are supported residents, by level of care.</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Timeliness</w:t>
            </w:r>
          </w:p>
        </w:tc>
        <w:tc>
          <w:tcPr>
            <w:tcW w:w="3999" w:type="pct"/>
            <w:gridSpan w:val="2"/>
          </w:tcPr>
          <w:p w:rsidR="0058260A" w:rsidRDefault="0058260A" w:rsidP="007D7B1A">
            <w:pPr>
              <w:pStyle w:val="TableBodyText"/>
              <w:jc w:val="both"/>
              <w:rPr>
                <w:rFonts w:cs="Arial"/>
              </w:rPr>
            </w:pPr>
            <w:r>
              <w:rPr>
                <w:rFonts w:cs="Arial"/>
              </w:rPr>
              <w:t xml:space="preserve">Medicare Australia provides recipient data to </w:t>
            </w:r>
            <w:r w:rsidR="00DC4C91">
              <w:rPr>
                <w:rFonts w:cs="Arial"/>
              </w:rPr>
              <w:t>DSS</w:t>
            </w:r>
            <w:r>
              <w:rPr>
                <w:rFonts w:cs="Arial"/>
              </w:rPr>
              <w:t xml:space="preserve"> weekly and numbers are considered complete in the month</w:t>
            </w:r>
            <w:r w:rsidR="007D7B1A">
              <w:rPr>
                <w:rFonts w:cs="Arial"/>
              </w:rPr>
              <w:t xml:space="preserve"> after the period in question. </w:t>
            </w:r>
          </w:p>
          <w:p w:rsidR="0058260A" w:rsidRDefault="0058260A" w:rsidP="007D7B1A">
            <w:pPr>
              <w:pStyle w:val="TableBodyText"/>
              <w:jc w:val="both"/>
              <w:rPr>
                <w:rFonts w:cs="Arial"/>
              </w:rPr>
            </w:pPr>
            <w:r>
              <w:rPr>
                <w:rFonts w:cs="Arial"/>
              </w:rPr>
              <w:t>On occasion a small percentage of late data are received from Medicare Australia.</w:t>
            </w:r>
          </w:p>
          <w:p w:rsidR="0058260A" w:rsidRPr="00703E6F" w:rsidRDefault="0058260A" w:rsidP="007D7B1A">
            <w:pPr>
              <w:pStyle w:val="TableBodyText"/>
              <w:spacing w:after="120"/>
              <w:jc w:val="both"/>
              <w:rPr>
                <w:rFonts w:cs="Arial"/>
              </w:rPr>
            </w:pPr>
            <w:r w:rsidRPr="00703E6F">
              <w:rPr>
                <w:rFonts w:cs="Arial"/>
              </w:rPr>
              <w:t xml:space="preserve">Data </w:t>
            </w:r>
            <w:r>
              <w:rPr>
                <w:rFonts w:cs="Arial"/>
              </w:rPr>
              <w:t xml:space="preserve">collected in September </w:t>
            </w:r>
            <w:r w:rsidRPr="00703E6F">
              <w:rPr>
                <w:rFonts w:cs="Arial"/>
              </w:rPr>
              <w:t xml:space="preserve">for the previous financial year is </w:t>
            </w:r>
            <w:r>
              <w:rPr>
                <w:rFonts w:cs="Arial"/>
              </w:rPr>
              <w:t xml:space="preserve">considered complete for publishing purposes. </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Accuracy</w:t>
            </w:r>
          </w:p>
        </w:tc>
        <w:tc>
          <w:tcPr>
            <w:tcW w:w="3999" w:type="pct"/>
            <w:gridSpan w:val="2"/>
          </w:tcPr>
          <w:p w:rsidR="0058260A" w:rsidRPr="00703E6F" w:rsidRDefault="0058260A" w:rsidP="007D7B1A">
            <w:pPr>
              <w:pStyle w:val="TableBodyText"/>
              <w:jc w:val="both"/>
              <w:rPr>
                <w:rFonts w:cs="Arial"/>
              </w:rPr>
            </w:pPr>
            <w:r w:rsidRPr="00703E6F">
              <w:rPr>
                <w:rFonts w:cs="Arial"/>
              </w:rPr>
              <w:t>Funding to service providers of Aged Care under the Act and the Principles is contingent on their submitting claims to Medicare Australia. Service providers’ claims are audited annually.</w:t>
            </w:r>
          </w:p>
          <w:p w:rsidR="0058260A" w:rsidRPr="00703E6F" w:rsidRDefault="0058260A" w:rsidP="007D7B1A">
            <w:pPr>
              <w:pStyle w:val="TableBodyText"/>
              <w:spacing w:after="120"/>
              <w:jc w:val="both"/>
              <w:rPr>
                <w:rFonts w:cs="Arial"/>
              </w:rPr>
            </w:pPr>
            <w:r w:rsidRPr="00703E6F">
              <w:rPr>
                <w:rFonts w:cs="Arial"/>
              </w:rPr>
              <w:t xml:space="preserve">The data presented against this indicator </w:t>
            </w:r>
            <w:r>
              <w:rPr>
                <w:rFonts w:cs="Arial"/>
              </w:rPr>
              <w:t>relate to</w:t>
            </w:r>
            <w:r w:rsidRPr="00703E6F">
              <w:rPr>
                <w:rFonts w:cs="Arial"/>
              </w:rPr>
              <w:t xml:space="preserve"> people who have </w:t>
            </w:r>
            <w:r>
              <w:rPr>
                <w:rFonts w:cs="Arial"/>
              </w:rPr>
              <w:t>entered residential aged care</w:t>
            </w:r>
            <w:r w:rsidRPr="00703E6F">
              <w:rPr>
                <w:rFonts w:cs="Arial"/>
              </w:rPr>
              <w:t xml:space="preserve"> in</w:t>
            </w:r>
            <w:r>
              <w:rPr>
                <w:rFonts w:cs="Arial"/>
              </w:rPr>
              <w:t xml:space="preserve"> the relevant financial year.</w:t>
            </w:r>
            <w:r w:rsidR="00104B60">
              <w:rPr>
                <w:rFonts w:cs="Arial"/>
              </w:rPr>
              <w:t xml:space="preserve"> </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Coherence</w:t>
            </w:r>
          </w:p>
        </w:tc>
        <w:tc>
          <w:tcPr>
            <w:tcW w:w="3999" w:type="pct"/>
            <w:gridSpan w:val="2"/>
          </w:tcPr>
          <w:p w:rsidR="0058260A" w:rsidRDefault="0058260A" w:rsidP="007D7B1A">
            <w:pPr>
              <w:pStyle w:val="TableBodyText"/>
              <w:jc w:val="both"/>
              <w:rPr>
                <w:rFonts w:cs="Arial"/>
              </w:rPr>
            </w:pPr>
            <w:r w:rsidRPr="00703E6F">
              <w:rPr>
                <w:rFonts w:cs="Arial"/>
              </w:rPr>
              <w:t>The data items used to construct this performance indicator will be consistent and comparable over time.</w:t>
            </w:r>
          </w:p>
          <w:p w:rsidR="0058260A" w:rsidRPr="00703E6F" w:rsidRDefault="0058260A" w:rsidP="007D7B1A">
            <w:pPr>
              <w:pStyle w:val="TableBodyText"/>
              <w:spacing w:after="120"/>
              <w:jc w:val="both"/>
              <w:rPr>
                <w:rFonts w:cs="Arial"/>
              </w:rPr>
            </w:pPr>
            <w:r>
              <w:rPr>
                <w:rFonts w:cs="Arial"/>
              </w:rPr>
              <w:t>The recipient data are set to 30 June and are available as a time series.</w:t>
            </w:r>
            <w:r w:rsidR="00104B60">
              <w:rPr>
                <w:rFonts w:cs="Arial"/>
              </w:rPr>
              <w:t xml:space="preserve"> </w:t>
            </w:r>
            <w:r>
              <w:rPr>
                <w:rFonts w:cs="Arial"/>
              </w:rPr>
              <w:t xml:space="preserve">The time series is broken down into months. </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Accessibility</w:t>
            </w:r>
          </w:p>
        </w:tc>
        <w:tc>
          <w:tcPr>
            <w:tcW w:w="3999" w:type="pct"/>
            <w:gridSpan w:val="2"/>
          </w:tcPr>
          <w:p w:rsidR="0058260A" w:rsidRPr="00B11A04" w:rsidRDefault="0058260A" w:rsidP="007D7B1A">
            <w:pPr>
              <w:pStyle w:val="TableBodyText"/>
              <w:spacing w:after="120"/>
              <w:jc w:val="both"/>
              <w:rPr>
                <w:rFonts w:cs="Arial"/>
                <w:iCs/>
              </w:rPr>
            </w:pPr>
            <w:r w:rsidRPr="00703E6F">
              <w:rPr>
                <w:rFonts w:cs="Arial"/>
              </w:rPr>
              <w:t xml:space="preserve">Data are published in the </w:t>
            </w:r>
            <w:r>
              <w:t>Steering Committee for the Review of Government Service Provision</w:t>
            </w:r>
            <w:r>
              <w:rPr>
                <w:rFonts w:cs="Arial"/>
              </w:rPr>
              <w:t>’s</w:t>
            </w:r>
            <w:r>
              <w:t xml:space="preserve"> </w:t>
            </w:r>
            <w:r w:rsidRPr="0052331A">
              <w:rPr>
                <w:rFonts w:cs="Arial"/>
              </w:rPr>
              <w:t>Report on Government Services</w:t>
            </w:r>
            <w:r>
              <w:rPr>
                <w:rFonts w:cs="Arial"/>
                <w:iCs/>
              </w:rPr>
              <w:t>.</w:t>
            </w:r>
          </w:p>
        </w:tc>
      </w:tr>
      <w:tr w:rsidR="0058260A" w:rsidRPr="005E027C" w:rsidTr="0058260A">
        <w:tblPrEx>
          <w:tblCellMar>
            <w:left w:w="108" w:type="dxa"/>
            <w:right w:w="108" w:type="dxa"/>
          </w:tblCellMar>
          <w:tblLook w:val="01E0" w:firstRow="1" w:lastRow="1" w:firstColumn="1" w:lastColumn="1" w:noHBand="0" w:noVBand="0"/>
        </w:tblPrEx>
        <w:tc>
          <w:tcPr>
            <w:tcW w:w="1001" w:type="pct"/>
          </w:tcPr>
          <w:p w:rsidR="0058260A" w:rsidRPr="005E027C" w:rsidRDefault="0058260A" w:rsidP="00BE5B08">
            <w:pPr>
              <w:pStyle w:val="TableBodyText"/>
              <w:ind w:left="0"/>
              <w:jc w:val="both"/>
              <w:rPr>
                <w:rFonts w:cs="Arial"/>
                <w:b/>
              </w:rPr>
            </w:pPr>
            <w:r w:rsidRPr="005E027C">
              <w:rPr>
                <w:rFonts w:cs="Arial"/>
                <w:b/>
              </w:rPr>
              <w:t>Interpretability</w:t>
            </w:r>
          </w:p>
        </w:tc>
        <w:tc>
          <w:tcPr>
            <w:tcW w:w="3999" w:type="pct"/>
            <w:gridSpan w:val="2"/>
          </w:tcPr>
          <w:p w:rsidR="0058260A" w:rsidRPr="00703E6F" w:rsidRDefault="0058260A" w:rsidP="007D7B1A">
            <w:pPr>
              <w:pStyle w:val="TableBodyText"/>
              <w:spacing w:after="120"/>
              <w:jc w:val="both"/>
              <w:rPr>
                <w:rFonts w:cs="Arial"/>
              </w:rPr>
            </w:pPr>
            <w:r w:rsidRPr="00703E6F">
              <w:rPr>
                <w:rFonts w:cs="Arial"/>
              </w:rPr>
              <w:t xml:space="preserve">Further information on definitions is available in the: </w:t>
            </w:r>
            <w:r w:rsidRPr="00703E6F">
              <w:rPr>
                <w:rFonts w:cs="Arial"/>
                <w:i/>
                <w:iCs/>
              </w:rPr>
              <w:t>Aged Care Act 1997</w:t>
            </w:r>
            <w:r w:rsidRPr="00703E6F">
              <w:rPr>
                <w:rFonts w:cs="Arial"/>
              </w:rPr>
              <w:t xml:space="preserve"> and </w:t>
            </w:r>
            <w:r>
              <w:rPr>
                <w:rFonts w:cs="Arial"/>
                <w:i/>
                <w:iCs/>
              </w:rPr>
              <w:t>Aged Care Principles</w:t>
            </w:r>
            <w:r>
              <w:rPr>
                <w:rFonts w:cs="Arial"/>
              </w:rPr>
              <w:t xml:space="preserve"> </w:t>
            </w:r>
            <w:r w:rsidRPr="00703E6F">
              <w:rPr>
                <w:rFonts w:cs="Arial"/>
              </w:rPr>
              <w:t xml:space="preserve">and the </w:t>
            </w:r>
            <w:r>
              <w:rPr>
                <w:szCs w:val="24"/>
              </w:rPr>
              <w:t>Steering Committee for the Review of Government Service Provision</w:t>
            </w:r>
            <w:r>
              <w:rPr>
                <w:rFonts w:cs="Arial"/>
              </w:rPr>
              <w:t xml:space="preserve">’s </w:t>
            </w:r>
            <w:r w:rsidRPr="00703E6F">
              <w:rPr>
                <w:rFonts w:cs="Arial"/>
              </w:rPr>
              <w:t xml:space="preserve">Report on Government Services </w:t>
            </w:r>
            <w:r w:rsidRPr="00E822FC">
              <w:rPr>
                <w:rFonts w:cs="Arial"/>
              </w:rPr>
              <w:t xml:space="preserve">Aged Care Services Data Manual. </w:t>
            </w:r>
          </w:p>
        </w:tc>
      </w:tr>
      <w:tr w:rsidR="0058260A" w:rsidRPr="00672B5F" w:rsidTr="0058260A">
        <w:tblPrEx>
          <w:tblCellMar>
            <w:left w:w="108" w:type="dxa"/>
            <w:right w:w="108" w:type="dxa"/>
          </w:tblCellMar>
          <w:tblLook w:val="01E0" w:firstRow="1" w:lastRow="1" w:firstColumn="1" w:lastColumn="1" w:noHBand="0" w:noVBand="0"/>
        </w:tblPrEx>
        <w:trPr>
          <w:gridAfter w:val="1"/>
          <w:wAfter w:w="108" w:type="dxa"/>
          <w:trHeight w:val="225"/>
        </w:trPr>
        <w:tc>
          <w:tcPr>
            <w:tcW w:w="9000" w:type="dxa"/>
            <w:gridSpan w:val="2"/>
          </w:tcPr>
          <w:p w:rsidR="004B1330" w:rsidRDefault="004B1330" w:rsidP="007D7B1A">
            <w:pPr>
              <w:pStyle w:val="TableBodyText"/>
              <w:jc w:val="both"/>
              <w:rPr>
                <w:rFonts w:cs="Arial"/>
                <w:b/>
                <w:szCs w:val="22"/>
                <w:u w:val="single"/>
              </w:rPr>
            </w:pPr>
          </w:p>
          <w:p w:rsidR="0058260A" w:rsidRPr="00FC28BE" w:rsidRDefault="0058260A" w:rsidP="00BE5B08">
            <w:pPr>
              <w:pStyle w:val="TableBodyText"/>
              <w:spacing w:before="120"/>
              <w:ind w:left="0"/>
              <w:jc w:val="both"/>
              <w:rPr>
                <w:rFonts w:cs="Arial"/>
                <w:b/>
                <w:szCs w:val="22"/>
                <w:u w:val="single"/>
              </w:rPr>
            </w:pPr>
            <w:r w:rsidRPr="00FC28BE">
              <w:rPr>
                <w:rFonts w:cs="Arial"/>
                <w:b/>
                <w:szCs w:val="22"/>
                <w:u w:val="single"/>
              </w:rPr>
              <w:t>Data Gaps/Issues Analysis</w:t>
            </w:r>
          </w:p>
        </w:tc>
      </w:tr>
      <w:tr w:rsidR="0058260A" w:rsidRPr="00B479F5" w:rsidTr="0058260A">
        <w:tblPrEx>
          <w:tblCellMar>
            <w:left w:w="108" w:type="dxa"/>
            <w:right w:w="108" w:type="dxa"/>
          </w:tblCellMar>
          <w:tblLook w:val="01E0" w:firstRow="1" w:lastRow="1" w:firstColumn="1" w:lastColumn="1" w:noHBand="0" w:noVBand="0"/>
        </w:tblPrEx>
        <w:trPr>
          <w:gridAfter w:val="1"/>
          <w:wAfter w:w="108" w:type="dxa"/>
        </w:trPr>
        <w:tc>
          <w:tcPr>
            <w:tcW w:w="1800" w:type="dxa"/>
          </w:tcPr>
          <w:p w:rsidR="0058260A" w:rsidRPr="00672B5F" w:rsidRDefault="0058260A" w:rsidP="000F5C94">
            <w:pPr>
              <w:pStyle w:val="TableBodyText"/>
              <w:ind w:left="0"/>
              <w:jc w:val="left"/>
              <w:rPr>
                <w:rFonts w:cs="Arial"/>
                <w:b/>
                <w:szCs w:val="22"/>
              </w:rPr>
            </w:pPr>
            <w:r w:rsidRPr="00447872">
              <w:rPr>
                <w:rFonts w:cs="Arial"/>
                <w:b/>
              </w:rPr>
              <w:t>Key</w:t>
            </w:r>
            <w:r w:rsidRPr="00672B5F">
              <w:rPr>
                <w:rFonts w:cs="Arial"/>
                <w:b/>
                <w:szCs w:val="22"/>
              </w:rPr>
              <w:t xml:space="preserve"> data gaps/issues</w:t>
            </w:r>
          </w:p>
        </w:tc>
        <w:tc>
          <w:tcPr>
            <w:tcW w:w="7200" w:type="dxa"/>
          </w:tcPr>
          <w:p w:rsidR="0058260A" w:rsidRPr="00B479F5" w:rsidRDefault="0058260A" w:rsidP="00BE5B08">
            <w:pPr>
              <w:pStyle w:val="TableBodyText"/>
              <w:spacing w:after="60"/>
              <w:jc w:val="both"/>
              <w:rPr>
                <w:rFonts w:cs="Arial"/>
              </w:rPr>
            </w:pPr>
            <w:r>
              <w:rPr>
                <w:rFonts w:cs="Arial"/>
              </w:rPr>
              <w:t>The Steering Committee notes the following issues:</w:t>
            </w:r>
            <w:r w:rsidRPr="00B479F5">
              <w:rPr>
                <w:rFonts w:cs="Arial"/>
              </w:rPr>
              <w:t xml:space="preserve"> </w:t>
            </w:r>
          </w:p>
          <w:p w:rsidR="0058260A" w:rsidRPr="002C59E1" w:rsidRDefault="0058260A" w:rsidP="00BE5B08">
            <w:pPr>
              <w:pStyle w:val="TableBullet"/>
              <w:jc w:val="both"/>
            </w:pPr>
            <w:r w:rsidRPr="002C59E1">
              <w:t>The data provide relevant and accurate information</w:t>
            </w:r>
            <w:r>
              <w:t xml:space="preserve"> on the proportion of new residents classified as </w:t>
            </w:r>
            <w:r w:rsidRPr="00B01CB8">
              <w:t>supported</w:t>
            </w:r>
            <w:r w:rsidRPr="002C59E1">
              <w:t xml:space="preserve">. </w:t>
            </w:r>
          </w:p>
          <w:p w:rsidR="0058260A" w:rsidRPr="002C59E1" w:rsidRDefault="0058260A" w:rsidP="00BE5B08">
            <w:pPr>
              <w:pStyle w:val="TableBullet"/>
              <w:jc w:val="both"/>
            </w:pPr>
            <w:r w:rsidRPr="002C59E1">
              <w:t xml:space="preserve">Annual data are available. The most recent data available are for </w:t>
            </w:r>
            <w:r>
              <w:br/>
              <w:t>201</w:t>
            </w:r>
            <w:r w:rsidR="00462ABE">
              <w:t>2</w:t>
            </w:r>
            <w:r w:rsidR="00104B60">
              <w:noBreakHyphen/>
            </w:r>
            <w:r>
              <w:t>1</w:t>
            </w:r>
            <w:r w:rsidR="00462ABE">
              <w:t>3</w:t>
            </w:r>
            <w:r>
              <w:t>.</w:t>
            </w:r>
            <w:r w:rsidRPr="002C59E1">
              <w:t xml:space="preserve"> </w:t>
            </w:r>
          </w:p>
          <w:p w:rsidR="0058260A" w:rsidRPr="002C59E1" w:rsidRDefault="0058260A" w:rsidP="00BE5B08">
            <w:pPr>
              <w:pStyle w:val="TableBullet"/>
              <w:jc w:val="both"/>
            </w:pPr>
            <w:r w:rsidRPr="002C59E1">
              <w:lastRenderedPageBreak/>
              <w:t xml:space="preserve">The data are consistent and comparable over time. </w:t>
            </w:r>
          </w:p>
          <w:p w:rsidR="0058260A" w:rsidRPr="000530A7" w:rsidRDefault="0058260A" w:rsidP="007D7B1A">
            <w:pPr>
              <w:pStyle w:val="TableBullet"/>
              <w:jc w:val="both"/>
            </w:pPr>
            <w:r w:rsidRPr="002C59E1">
              <w:t>No significant data gaps or issues are identified.</w:t>
            </w:r>
          </w:p>
        </w:tc>
      </w:tr>
    </w:tbl>
    <w:p w:rsidR="0058260A" w:rsidRDefault="0058260A" w:rsidP="00BE5B08">
      <w:pPr>
        <w:pStyle w:val="Heading3"/>
        <w:spacing w:before="120"/>
        <w:jc w:val="both"/>
      </w:pPr>
      <w:r>
        <w:lastRenderedPageBreak/>
        <w:br w:type="page"/>
      </w:r>
      <w:bookmarkStart w:id="30" w:name="_Toc278287353"/>
      <w:bookmarkStart w:id="31" w:name="_Toc282015337"/>
      <w:bookmarkStart w:id="32" w:name="_Toc377383325"/>
      <w:r w:rsidRPr="00A57E46">
        <w:rPr>
          <w:szCs w:val="24"/>
        </w:rPr>
        <w:lastRenderedPageBreak/>
        <w:t>Operational aged care places</w:t>
      </w:r>
      <w:bookmarkEnd w:id="30"/>
      <w:bookmarkEnd w:id="31"/>
      <w:bookmarkEnd w:id="32"/>
      <w:r w:rsidRPr="00A81339">
        <w:t xml:space="preserve"> </w:t>
      </w:r>
    </w:p>
    <w:p w:rsidR="005A338D" w:rsidRPr="00EA5574" w:rsidRDefault="00EA5574" w:rsidP="00E119DD">
      <w:pPr>
        <w:keepNext/>
        <w:keepLines/>
        <w:widowControl w:val="0"/>
        <w:spacing w:before="100" w:beforeAutospacing="1" w:line="280" w:lineRule="atLeast"/>
        <w:jc w:val="both"/>
        <w:rPr>
          <w:rFonts w:ascii="Arial" w:hAnsi="Arial"/>
          <w:szCs w:val="20"/>
        </w:rPr>
      </w:pPr>
      <w:proofErr w:type="spellStart"/>
      <w:r w:rsidRPr="00EA5574">
        <w:rPr>
          <w:rFonts w:ascii="Arial" w:hAnsi="Arial"/>
          <w:szCs w:val="20"/>
        </w:rPr>
        <w:t>DQI</w:t>
      </w:r>
      <w:proofErr w:type="spellEnd"/>
      <w:r w:rsidR="0058260A" w:rsidRPr="00EA5574">
        <w:rPr>
          <w:rFonts w:ascii="Arial" w:hAnsi="Arial"/>
          <w:szCs w:val="20"/>
        </w:rPr>
        <w:t xml:space="preserve"> for this indicator has been sourced from the Steering Committee’s report to the COAG Reform Council on the National Healthcare Agreement (data supplied by AIHW) with additional Steering Committee comments.</w:t>
      </w:r>
    </w:p>
    <w:p w:rsidR="00462ABE" w:rsidRPr="00E217F5" w:rsidRDefault="00462ABE" w:rsidP="005A338D">
      <w:pPr>
        <w:pStyle w:val="BodyText"/>
        <w:keepNext/>
        <w:keepLines/>
        <w:spacing w:before="120" w:line="240" w:lineRule="auto"/>
      </w:pPr>
    </w:p>
    <w:tbl>
      <w:tblPr>
        <w:tblW w:w="5018" w:type="pct"/>
        <w:tblCellMar>
          <w:left w:w="0" w:type="dxa"/>
          <w:right w:w="0" w:type="dxa"/>
        </w:tblCellMar>
        <w:tblLook w:val="0000" w:firstRow="0" w:lastRow="0" w:firstColumn="0" w:lastColumn="0" w:noHBand="0" w:noVBand="0"/>
      </w:tblPr>
      <w:tblGrid>
        <w:gridCol w:w="1801"/>
        <w:gridCol w:w="7020"/>
      </w:tblGrid>
      <w:tr w:rsidR="0058260A" w:rsidTr="003527F0">
        <w:tc>
          <w:tcPr>
            <w:tcW w:w="5000" w:type="pct"/>
            <w:gridSpan w:val="2"/>
          </w:tcPr>
          <w:p w:rsidR="0058260A" w:rsidRPr="007D0BFD" w:rsidRDefault="0058260A" w:rsidP="00BE5B08">
            <w:pPr>
              <w:pStyle w:val="TableBodyText"/>
              <w:jc w:val="both"/>
              <w:rPr>
                <w:b/>
                <w:u w:val="single"/>
              </w:rPr>
            </w:pPr>
          </w:p>
          <w:p w:rsidR="0058260A" w:rsidRDefault="0058260A" w:rsidP="00BE5B08">
            <w:pPr>
              <w:pStyle w:val="TableBodyText"/>
              <w:jc w:val="both"/>
            </w:pPr>
            <w:r w:rsidRPr="007D0BFD">
              <w:rPr>
                <w:b/>
                <w:u w:val="single"/>
              </w:rPr>
              <w:t>Indicator definition and description</w:t>
            </w:r>
            <w:r>
              <w:rPr>
                <w:rFonts w:cs="Arial"/>
                <w:b/>
                <w:sz w:val="22"/>
                <w:szCs w:val="22"/>
                <w:u w:val="single"/>
              </w:rPr>
              <w:t xml:space="preserve"> </w:t>
            </w:r>
          </w:p>
        </w:tc>
      </w:tr>
      <w:tr w:rsidR="0058260A" w:rsidRPr="005E027C" w:rsidTr="003527F0">
        <w:tblPrEx>
          <w:tblCellMar>
            <w:left w:w="108" w:type="dxa"/>
            <w:right w:w="108" w:type="dxa"/>
          </w:tblCellMar>
          <w:tblLook w:val="01E0" w:firstRow="1" w:lastRow="1" w:firstColumn="1" w:lastColumn="1" w:noHBand="0" w:noVBand="0"/>
        </w:tblPrEx>
        <w:tc>
          <w:tcPr>
            <w:tcW w:w="1021" w:type="pct"/>
          </w:tcPr>
          <w:p w:rsidR="0058260A" w:rsidRPr="005E027C" w:rsidRDefault="0058260A" w:rsidP="00BE5B08">
            <w:pPr>
              <w:pStyle w:val="TableBodyText"/>
              <w:ind w:left="0"/>
              <w:jc w:val="both"/>
              <w:rPr>
                <w:rFonts w:cs="Arial"/>
                <w:b/>
              </w:rPr>
            </w:pPr>
            <w:r w:rsidRPr="005E027C">
              <w:rPr>
                <w:rFonts w:cs="Arial"/>
                <w:b/>
              </w:rPr>
              <w:t>Element</w:t>
            </w:r>
          </w:p>
        </w:tc>
        <w:tc>
          <w:tcPr>
            <w:tcW w:w="3979" w:type="pct"/>
          </w:tcPr>
          <w:p w:rsidR="0058260A" w:rsidRPr="005E027C" w:rsidRDefault="0058260A" w:rsidP="00E93722">
            <w:pPr>
              <w:keepNext/>
              <w:keepLines/>
              <w:spacing w:after="120"/>
              <w:jc w:val="both"/>
              <w:rPr>
                <w:rFonts w:ascii="Arial" w:hAnsi="Arial" w:cs="Arial"/>
                <w:sz w:val="20"/>
              </w:rPr>
            </w:pPr>
            <w:r>
              <w:rPr>
                <w:rFonts w:ascii="Arial" w:hAnsi="Arial" w:cs="Arial"/>
                <w:sz w:val="20"/>
              </w:rPr>
              <w:t>Effectiveness – Access</w:t>
            </w:r>
          </w:p>
        </w:tc>
      </w:tr>
      <w:tr w:rsidR="00955A7B"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5E027C" w:rsidRDefault="00955A7B" w:rsidP="00BE5B08">
            <w:pPr>
              <w:pStyle w:val="TableBodyText"/>
              <w:ind w:left="0"/>
              <w:jc w:val="both"/>
              <w:rPr>
                <w:rFonts w:cs="Arial"/>
                <w:b/>
              </w:rPr>
            </w:pPr>
            <w:r w:rsidRPr="005E027C">
              <w:rPr>
                <w:rFonts w:cs="Arial"/>
                <w:b/>
              </w:rPr>
              <w:t xml:space="preserve">Indicator </w:t>
            </w:r>
          </w:p>
        </w:tc>
        <w:tc>
          <w:tcPr>
            <w:tcW w:w="3979" w:type="pct"/>
            <w:shd w:val="clear" w:color="auto" w:fill="FFFFFF" w:themeFill="background1"/>
          </w:tcPr>
          <w:p w:rsidR="00955A7B" w:rsidRPr="00563446" w:rsidRDefault="00E217F5" w:rsidP="00E87B88">
            <w:pPr>
              <w:pStyle w:val="TableBodyText"/>
              <w:spacing w:after="120"/>
              <w:jc w:val="left"/>
            </w:pPr>
            <w:r w:rsidRPr="00E217F5">
              <w:t>Operational residential and community aged care places per 1000 people aged 70 years or over (and Aboriginal and Torres Strait Islander people aged 50 years and over), excluding services funded through Home and Community Care (HACC)</w:t>
            </w:r>
            <w:r>
              <w:t>.</w:t>
            </w:r>
          </w:p>
        </w:tc>
      </w:tr>
      <w:tr w:rsidR="00955A7B"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5E027C" w:rsidRDefault="00955A7B" w:rsidP="00BE5B08">
            <w:pPr>
              <w:pStyle w:val="TableBodyText"/>
              <w:ind w:left="0"/>
              <w:jc w:val="both"/>
              <w:rPr>
                <w:rFonts w:cs="Arial"/>
                <w:b/>
              </w:rPr>
            </w:pPr>
            <w:r w:rsidRPr="005E027C">
              <w:rPr>
                <w:rFonts w:cs="Arial"/>
                <w:b/>
              </w:rPr>
              <w:t>Measure (computation)</w:t>
            </w:r>
          </w:p>
        </w:tc>
        <w:tc>
          <w:tcPr>
            <w:tcW w:w="3979" w:type="pct"/>
            <w:shd w:val="clear" w:color="auto" w:fill="FFFFFF" w:themeFill="background1"/>
          </w:tcPr>
          <w:p w:rsidR="00E217F5" w:rsidRPr="00E217F5" w:rsidRDefault="00E217F5" w:rsidP="00E87B88">
            <w:pPr>
              <w:keepNext/>
              <w:keepLines/>
              <w:spacing w:after="120" w:line="220" w:lineRule="atLeast"/>
              <w:ind w:left="6" w:right="113"/>
              <w:jc w:val="both"/>
              <w:rPr>
                <w:rFonts w:ascii="Arial" w:hAnsi="Arial"/>
                <w:sz w:val="20"/>
                <w:szCs w:val="20"/>
              </w:rPr>
            </w:pPr>
            <w:r w:rsidRPr="00E217F5">
              <w:rPr>
                <w:rFonts w:ascii="Arial" w:hAnsi="Arial"/>
                <w:i/>
                <w:sz w:val="20"/>
                <w:szCs w:val="20"/>
              </w:rPr>
              <w:t>Numerator</w:t>
            </w:r>
            <w:r w:rsidRPr="00E217F5">
              <w:rPr>
                <w:rFonts w:ascii="Arial" w:hAnsi="Arial"/>
                <w:sz w:val="20"/>
                <w:szCs w:val="20"/>
              </w:rPr>
              <w:t>: Number of operational residential and community aged care places at 30 June (excluding services funded through Home and Community Care).</w:t>
            </w:r>
            <w:r w:rsidR="00104B60">
              <w:rPr>
                <w:rFonts w:ascii="Arial" w:hAnsi="Arial"/>
                <w:sz w:val="20"/>
                <w:szCs w:val="20"/>
              </w:rPr>
              <w:t xml:space="preserve"> </w:t>
            </w:r>
          </w:p>
          <w:p w:rsidR="00E217F5" w:rsidRPr="00E217F5" w:rsidRDefault="00E217F5" w:rsidP="00E87B88">
            <w:pPr>
              <w:keepNext/>
              <w:keepLines/>
              <w:spacing w:after="120" w:line="220" w:lineRule="atLeast"/>
              <w:ind w:left="6" w:right="113"/>
              <w:jc w:val="both"/>
              <w:rPr>
                <w:rFonts w:ascii="Arial" w:hAnsi="Arial"/>
                <w:sz w:val="20"/>
                <w:szCs w:val="20"/>
              </w:rPr>
            </w:pPr>
            <w:r w:rsidRPr="00E217F5">
              <w:rPr>
                <w:rFonts w:ascii="Arial" w:hAnsi="Arial"/>
                <w:sz w:val="20"/>
                <w:szCs w:val="20"/>
              </w:rPr>
              <w:t>Residential aged care places is a count of operational residential care places delivered in Australian Government subsidised residential aged care facilities. It includes Multi</w:t>
            </w:r>
            <w:r w:rsidR="00104B60">
              <w:rPr>
                <w:rFonts w:ascii="Arial" w:hAnsi="Arial"/>
                <w:sz w:val="20"/>
                <w:szCs w:val="20"/>
              </w:rPr>
              <w:noBreakHyphen/>
            </w:r>
            <w:r w:rsidRPr="00E217F5">
              <w:rPr>
                <w:rFonts w:ascii="Arial" w:hAnsi="Arial"/>
                <w:sz w:val="20"/>
                <w:szCs w:val="20"/>
              </w:rPr>
              <w:t>Purpose Services and places delivered under the National Aboriginal Torres Strait Islander Flexible Aged Care Program and the Innovative Care program provided in a residential aged care facility.</w:t>
            </w:r>
            <w:r w:rsidR="00104B60">
              <w:rPr>
                <w:rFonts w:ascii="Arial" w:hAnsi="Arial"/>
                <w:sz w:val="20"/>
                <w:szCs w:val="20"/>
              </w:rPr>
              <w:t xml:space="preserve"> </w:t>
            </w:r>
          </w:p>
          <w:p w:rsidR="00E217F5" w:rsidRPr="00E217F5" w:rsidRDefault="00E217F5" w:rsidP="00E87B88">
            <w:pPr>
              <w:keepNext/>
              <w:keepLines/>
              <w:spacing w:after="120" w:line="220" w:lineRule="atLeast"/>
              <w:ind w:left="6" w:right="113"/>
              <w:jc w:val="both"/>
              <w:rPr>
                <w:rFonts w:ascii="Arial" w:hAnsi="Arial"/>
                <w:sz w:val="20"/>
                <w:szCs w:val="20"/>
              </w:rPr>
            </w:pPr>
            <w:r w:rsidRPr="00E217F5">
              <w:rPr>
                <w:rFonts w:ascii="Arial" w:hAnsi="Arial"/>
                <w:sz w:val="20"/>
                <w:szCs w:val="20"/>
              </w:rPr>
              <w:t>Community Aged Care places is a count of operational packages under the following programs: Community Aged Care Packages (CACP); Extended Aged Care at Home (EACH); EACH Dementia (EACH</w:t>
            </w:r>
            <w:r w:rsidR="003306B4">
              <w:rPr>
                <w:rFonts w:ascii="Arial" w:hAnsi="Arial"/>
                <w:sz w:val="20"/>
                <w:szCs w:val="20"/>
              </w:rPr>
              <w:t>-</w:t>
            </w:r>
            <w:r w:rsidRPr="00E217F5">
              <w:rPr>
                <w:rFonts w:ascii="Arial" w:hAnsi="Arial"/>
                <w:sz w:val="20"/>
                <w:szCs w:val="20"/>
              </w:rPr>
              <w:t>D); Transition Care Program (except when broken down into aged care region); Multi</w:t>
            </w:r>
            <w:r w:rsidR="00104B60">
              <w:rPr>
                <w:rFonts w:ascii="Arial" w:hAnsi="Arial"/>
                <w:sz w:val="20"/>
                <w:szCs w:val="20"/>
              </w:rPr>
              <w:noBreakHyphen/>
            </w:r>
            <w:r w:rsidRPr="00E217F5">
              <w:rPr>
                <w:rFonts w:ascii="Arial" w:hAnsi="Arial"/>
                <w:sz w:val="20"/>
                <w:szCs w:val="20"/>
              </w:rPr>
              <w:t>Purpose Services; and places delivered under the Aboriginal and Torres Strait Islander Aged Care Strategy in the community as well as Innovative Care Programs (including Consumer Directed Care) provided in the community.</w:t>
            </w:r>
            <w:r w:rsidR="00104B60">
              <w:rPr>
                <w:rFonts w:ascii="Arial" w:hAnsi="Arial"/>
                <w:sz w:val="20"/>
                <w:szCs w:val="20"/>
              </w:rPr>
              <w:t xml:space="preserve"> </w:t>
            </w:r>
          </w:p>
          <w:p w:rsidR="00E217F5" w:rsidRPr="00E217F5" w:rsidRDefault="00E217F5" w:rsidP="00E87B88">
            <w:pPr>
              <w:keepNext/>
              <w:keepLines/>
              <w:spacing w:after="120" w:line="220" w:lineRule="atLeast"/>
              <w:ind w:left="6" w:right="113"/>
              <w:jc w:val="both"/>
              <w:rPr>
                <w:rFonts w:ascii="Arial" w:hAnsi="Arial"/>
                <w:sz w:val="20"/>
                <w:szCs w:val="20"/>
              </w:rPr>
            </w:pPr>
            <w:r w:rsidRPr="00E217F5">
              <w:rPr>
                <w:rFonts w:ascii="Arial" w:hAnsi="Arial"/>
                <w:i/>
                <w:sz w:val="20"/>
                <w:szCs w:val="20"/>
              </w:rPr>
              <w:t>Denominator</w:t>
            </w:r>
            <w:r w:rsidRPr="00E217F5">
              <w:rPr>
                <w:rFonts w:ascii="Arial" w:hAnsi="Arial"/>
                <w:sz w:val="20"/>
                <w:szCs w:val="20"/>
              </w:rPr>
              <w:t xml:space="preserve">: Estimated population aged 70 years and over for the total population plus the estimated Indigenous population aged 50–69 years as at 30 June of the current reporting period. </w:t>
            </w:r>
          </w:p>
          <w:p w:rsidR="00E217F5" w:rsidRPr="00E217F5" w:rsidRDefault="00E217F5" w:rsidP="00E87B88">
            <w:pPr>
              <w:keepNext/>
              <w:keepLines/>
              <w:spacing w:after="120" w:line="220" w:lineRule="atLeast"/>
              <w:ind w:left="6" w:right="113"/>
              <w:jc w:val="both"/>
              <w:rPr>
                <w:rFonts w:ascii="Arial" w:hAnsi="Arial"/>
                <w:sz w:val="20"/>
                <w:szCs w:val="20"/>
              </w:rPr>
            </w:pPr>
            <w:r w:rsidRPr="00E217F5">
              <w:rPr>
                <w:rFonts w:ascii="Arial" w:hAnsi="Arial"/>
                <w:sz w:val="20"/>
                <w:szCs w:val="20"/>
              </w:rPr>
              <w:t>Expressed as numerator only and rate (1000 × numerator ÷ denominator).</w:t>
            </w:r>
            <w:r w:rsidR="00104B60">
              <w:rPr>
                <w:rFonts w:ascii="Arial" w:hAnsi="Arial"/>
                <w:sz w:val="20"/>
                <w:szCs w:val="20"/>
              </w:rPr>
              <w:t xml:space="preserve"> </w:t>
            </w:r>
          </w:p>
          <w:p w:rsidR="00A521A8" w:rsidRPr="00563446" w:rsidRDefault="00E217F5" w:rsidP="00E87B88">
            <w:pPr>
              <w:keepNext/>
              <w:keepLines/>
              <w:spacing w:after="120" w:line="220" w:lineRule="atLeast"/>
              <w:ind w:left="6" w:right="113"/>
              <w:jc w:val="both"/>
            </w:pPr>
            <w:r w:rsidRPr="00E217F5">
              <w:rPr>
                <w:rFonts w:ascii="Arial" w:hAnsi="Arial"/>
                <w:sz w:val="20"/>
                <w:szCs w:val="20"/>
              </w:rPr>
              <w:t>Rate (per 1000 population) calculated separately for residential and community aged care places</w:t>
            </w:r>
            <w:r>
              <w:rPr>
                <w:rFonts w:ascii="Arial" w:hAnsi="Arial"/>
                <w:sz w:val="20"/>
                <w:szCs w:val="20"/>
              </w:rPr>
              <w:t>.</w:t>
            </w:r>
          </w:p>
        </w:tc>
      </w:tr>
      <w:tr w:rsidR="00955A7B"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A12146" w:rsidRDefault="00955A7B" w:rsidP="00BE5B08">
            <w:pPr>
              <w:pStyle w:val="TableBodyText"/>
              <w:ind w:left="0"/>
              <w:jc w:val="both"/>
              <w:rPr>
                <w:rFonts w:cs="Arial"/>
                <w:b/>
              </w:rPr>
            </w:pPr>
            <w:r w:rsidRPr="005E027C">
              <w:rPr>
                <w:rFonts w:cs="Arial"/>
                <w:b/>
              </w:rPr>
              <w:t>Data source/s</w:t>
            </w:r>
          </w:p>
        </w:tc>
        <w:tc>
          <w:tcPr>
            <w:tcW w:w="3979" w:type="pct"/>
            <w:shd w:val="clear" w:color="auto" w:fill="FFFFFF" w:themeFill="background1"/>
          </w:tcPr>
          <w:p w:rsidR="00E217F5" w:rsidRDefault="00E217F5" w:rsidP="00E87B88">
            <w:pPr>
              <w:pStyle w:val="TableBodyText"/>
              <w:spacing w:after="120"/>
              <w:jc w:val="both"/>
            </w:pPr>
            <w:r w:rsidRPr="00A466AC">
              <w:rPr>
                <w:i/>
              </w:rPr>
              <w:t>Numerator</w:t>
            </w:r>
            <w:r>
              <w:t xml:space="preserve">: Australian Government </w:t>
            </w:r>
            <w:r w:rsidR="008045E2">
              <w:t>DSS</w:t>
            </w:r>
            <w:r>
              <w:t xml:space="preserve"> Aged Care data warehouse of service provider and service recipient data held by the Ageing and Aged Care Division and the Office of Aged Care Quality and Compliance of the DSS.</w:t>
            </w:r>
          </w:p>
          <w:p w:rsidR="00E217F5" w:rsidRDefault="00E217F5" w:rsidP="00E87B88">
            <w:pPr>
              <w:pStyle w:val="TableBodyText"/>
              <w:spacing w:after="120"/>
              <w:jc w:val="both"/>
            </w:pPr>
            <w:r w:rsidRPr="00A466AC">
              <w:rPr>
                <w:i/>
              </w:rPr>
              <w:t>Denominator</w:t>
            </w:r>
            <w:r>
              <w:t xml:space="preserve">: For </w:t>
            </w:r>
            <w:r w:rsidRPr="00A466AC">
              <w:rPr>
                <w:u w:val="single"/>
              </w:rPr>
              <w:t>total population</w:t>
            </w:r>
            <w:r>
              <w:t xml:space="preserve">: For June 2013, preliminary population projections based on 2011 Census prepared for DSS by the Australian Bureau of Statistics (ABS) according to the assumptions set by DSS. </w:t>
            </w:r>
          </w:p>
          <w:p w:rsidR="00955A7B" w:rsidRPr="002B1286" w:rsidRDefault="00E217F5" w:rsidP="00E87B88">
            <w:pPr>
              <w:pStyle w:val="TableBodyText"/>
              <w:spacing w:after="120"/>
              <w:jc w:val="both"/>
            </w:pPr>
            <w:r>
              <w:t xml:space="preserve">For </w:t>
            </w:r>
            <w:r w:rsidRPr="00A466AC">
              <w:rPr>
                <w:u w:val="single"/>
              </w:rPr>
              <w:t>Indigenous population</w:t>
            </w:r>
            <w:r>
              <w:t xml:space="preserve">: For June 2013, DSS Indigenous population projections were prepared from ABS Indigenous Experimental 2006 ERP data projected forward so as to align with ABS (2006 Census based) Experimental Estimates and Projections, Aboriginal and Torres Strait Islander Australians, 1991 to 2021 (ABS cat no 3238.0, series B) at the state by age level. Indigenous data from Census 2011 were used to proportionally split the projections at state by aged level into 2011 Remoteness Areas. The resulting projections of the Indigenous population </w:t>
            </w:r>
            <w:r>
              <w:lastRenderedPageBreak/>
              <w:t>were created by DSS and are not ABS projections.</w:t>
            </w:r>
          </w:p>
        </w:tc>
      </w:tr>
      <w:tr w:rsidR="00955A7B" w:rsidRPr="005E027C" w:rsidTr="00E217F5">
        <w:tblPrEx>
          <w:tblCellMar>
            <w:left w:w="108" w:type="dxa"/>
            <w:right w:w="108" w:type="dxa"/>
          </w:tblCellMar>
          <w:tblLook w:val="01E0" w:firstRow="1" w:lastRow="1" w:firstColumn="1" w:lastColumn="1" w:noHBand="0" w:noVBand="0"/>
        </w:tblPrEx>
        <w:trPr>
          <w:trHeight w:val="269"/>
        </w:trPr>
        <w:tc>
          <w:tcPr>
            <w:tcW w:w="5000" w:type="pct"/>
            <w:gridSpan w:val="2"/>
            <w:shd w:val="clear" w:color="auto" w:fill="FFFFFF" w:themeFill="background1"/>
          </w:tcPr>
          <w:p w:rsidR="00955A7B" w:rsidRPr="00FC28BE" w:rsidRDefault="00955A7B" w:rsidP="00E87B88">
            <w:pPr>
              <w:pStyle w:val="TableBodyText"/>
              <w:spacing w:after="120"/>
              <w:jc w:val="both"/>
              <w:rPr>
                <w:rFonts w:cs="Arial"/>
                <w:u w:val="single"/>
              </w:rPr>
            </w:pPr>
            <w:r w:rsidRPr="00E93722">
              <w:rPr>
                <w:b/>
                <w:u w:val="single"/>
              </w:rPr>
              <w:lastRenderedPageBreak/>
              <w:t>Data</w:t>
            </w:r>
            <w:r w:rsidRPr="00FC28BE">
              <w:rPr>
                <w:rFonts w:cs="Arial"/>
                <w:b/>
                <w:bCs/>
                <w:u w:val="single"/>
              </w:rPr>
              <w:t xml:space="preserve"> Quality Framework Dimensions</w:t>
            </w:r>
          </w:p>
        </w:tc>
      </w:tr>
      <w:tr w:rsidR="00E217F5"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E217F5" w:rsidRPr="005E027C" w:rsidRDefault="00E217F5" w:rsidP="00BE5B08">
            <w:pPr>
              <w:pStyle w:val="TableBodyText"/>
              <w:ind w:left="0"/>
              <w:jc w:val="both"/>
              <w:rPr>
                <w:rFonts w:cs="Arial"/>
                <w:b/>
              </w:rPr>
            </w:pPr>
            <w:r w:rsidRPr="005E027C">
              <w:rPr>
                <w:rFonts w:cs="Arial"/>
                <w:b/>
              </w:rPr>
              <w:t>Institutional Environment</w:t>
            </w:r>
          </w:p>
        </w:tc>
        <w:tc>
          <w:tcPr>
            <w:tcW w:w="3979" w:type="pct"/>
            <w:shd w:val="clear" w:color="auto" w:fill="FFFFFF" w:themeFill="background1"/>
          </w:tcPr>
          <w:p w:rsidR="00E217F5" w:rsidRDefault="00E217F5" w:rsidP="00E87B88">
            <w:pPr>
              <w:pStyle w:val="TableBodyText"/>
              <w:spacing w:after="120"/>
              <w:jc w:val="both"/>
            </w:pPr>
            <w:r>
              <w:t xml:space="preserve">Approved services submit data to Medicare Australia to claim subsidies from the Australian Government. This data is provided to DSS to administer services under the </w:t>
            </w:r>
            <w:r w:rsidRPr="00057763">
              <w:rPr>
                <w:i/>
              </w:rPr>
              <w:t>Aged Care Act 1997</w:t>
            </w:r>
            <w:r>
              <w:t xml:space="preserve"> and the Aged Care Principles and to administer places delivered under the Aboriginal and Torres Strait Islander Aged Care Strategy. </w:t>
            </w:r>
          </w:p>
          <w:p w:rsidR="00E217F5" w:rsidRPr="00563446" w:rsidRDefault="00E217F5" w:rsidP="00E87B88">
            <w:pPr>
              <w:pStyle w:val="TableBodyText"/>
              <w:spacing w:after="120"/>
              <w:jc w:val="both"/>
            </w:pPr>
            <w:r>
              <w:t>The data quality statement was developed by DSS and includes comments from the Australian Institute of Health and Welfare (AIHW). The AIHW did not have all of the relevant datasets required to independently verify the data tables for this indicator. For further information see the AIHW website.</w:t>
            </w:r>
          </w:p>
        </w:tc>
      </w:tr>
      <w:tr w:rsidR="00E217F5"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E217F5" w:rsidRPr="005E027C" w:rsidRDefault="00E217F5" w:rsidP="00BE5B08">
            <w:pPr>
              <w:pStyle w:val="TableBodyText"/>
              <w:ind w:left="0"/>
              <w:jc w:val="both"/>
              <w:rPr>
                <w:rFonts w:cs="Arial"/>
                <w:b/>
              </w:rPr>
            </w:pPr>
            <w:r w:rsidRPr="005E027C">
              <w:rPr>
                <w:rFonts w:cs="Arial"/>
                <w:b/>
              </w:rPr>
              <w:t>Relevance</w:t>
            </w:r>
          </w:p>
        </w:tc>
        <w:tc>
          <w:tcPr>
            <w:tcW w:w="3979" w:type="pct"/>
            <w:shd w:val="clear" w:color="auto" w:fill="FFFFFF" w:themeFill="background1"/>
          </w:tcPr>
          <w:p w:rsidR="00E217F5" w:rsidRDefault="00E217F5" w:rsidP="00E87B88">
            <w:pPr>
              <w:pStyle w:val="TableBodyText"/>
              <w:spacing w:after="120"/>
              <w:jc w:val="both"/>
            </w:pPr>
            <w:r w:rsidRPr="00AA7439">
              <w:rPr>
                <w:i/>
              </w:rPr>
              <w:t>Numerator</w:t>
            </w:r>
            <w:r>
              <w:t>: The data includes all places offered by aged care services subsidised by the Australian Government under the programs identified above.</w:t>
            </w:r>
          </w:p>
          <w:p w:rsidR="00E217F5" w:rsidRDefault="00E217F5" w:rsidP="00E87B88">
            <w:pPr>
              <w:pStyle w:val="TableBodyText"/>
              <w:spacing w:after="120"/>
              <w:jc w:val="both"/>
            </w:pPr>
            <w:r>
              <w:t>Residential places are those allocated to an Aged Care Planning Region which were delivered in an Australian Government subsidised residential aged care facility and were operational at 30</w:t>
            </w:r>
            <w:r w:rsidR="00104B60">
              <w:t> </w:t>
            </w:r>
            <w:r>
              <w:t>June 2013, and includes Multi</w:t>
            </w:r>
            <w:r w:rsidR="00104B60">
              <w:noBreakHyphen/>
            </w:r>
            <w:r>
              <w:t>Purpose Services and places delivered under the National Aboriginal and Torres Strait Islander Flexible Aged Care and Innovative Care Programs provided in a residential aged care facility.</w:t>
            </w:r>
          </w:p>
          <w:p w:rsidR="00E217F5" w:rsidRDefault="00E217F5" w:rsidP="00E87B88">
            <w:pPr>
              <w:pStyle w:val="TableBodyText"/>
              <w:spacing w:after="120"/>
              <w:jc w:val="both"/>
            </w:pPr>
            <w:r>
              <w:t>Community care places are those allocated to an Aged Care Planning Region which were operational at 30</w:t>
            </w:r>
            <w:r w:rsidR="00104B60">
              <w:t> </w:t>
            </w:r>
            <w:r>
              <w:t>June 2013 and includes: CACP, EACH and EACH</w:t>
            </w:r>
            <w:r w:rsidR="003306B4">
              <w:t>-</w:t>
            </w:r>
            <w:r>
              <w:t>D, and Multi</w:t>
            </w:r>
            <w:r w:rsidR="00104B60">
              <w:noBreakHyphen/>
            </w:r>
            <w:r>
              <w:t>Purpose Services and places delivered under the National Aboriginal and Torres Strait Islander Flexible Aged Care and Innovative Care Programs (including Consumer Directed Care) provided in the community. Note that it does not include places allocated under the Transition Care Program only for Aged Care Planning Region, as it is not possible to disaggregate these places by Aged Care Planning Region.</w:t>
            </w:r>
          </w:p>
          <w:p w:rsidR="00E217F5" w:rsidRPr="00563446" w:rsidRDefault="00E217F5" w:rsidP="00E87B88">
            <w:pPr>
              <w:pStyle w:val="TableBodyText"/>
              <w:spacing w:after="120"/>
              <w:jc w:val="both"/>
            </w:pPr>
            <w:r>
              <w:t>This indicator does not include services funded through HACC.</w:t>
            </w:r>
          </w:p>
        </w:tc>
      </w:tr>
      <w:tr w:rsidR="00E217F5"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E217F5" w:rsidRPr="005E027C" w:rsidRDefault="00E217F5" w:rsidP="00BE5B08">
            <w:pPr>
              <w:pStyle w:val="TableBodyText"/>
              <w:ind w:left="0"/>
              <w:jc w:val="both"/>
              <w:rPr>
                <w:rFonts w:cs="Arial"/>
                <w:b/>
              </w:rPr>
            </w:pPr>
            <w:r w:rsidRPr="005E027C">
              <w:rPr>
                <w:rFonts w:cs="Arial"/>
                <w:b/>
              </w:rPr>
              <w:t>Timeliness</w:t>
            </w:r>
          </w:p>
        </w:tc>
        <w:tc>
          <w:tcPr>
            <w:tcW w:w="3979" w:type="pct"/>
            <w:shd w:val="clear" w:color="auto" w:fill="FFFFFF" w:themeFill="background1"/>
          </w:tcPr>
          <w:p w:rsidR="00E217F5" w:rsidRPr="00563446" w:rsidRDefault="00E217F5" w:rsidP="00E87B88">
            <w:pPr>
              <w:pStyle w:val="TableBodyText"/>
              <w:spacing w:after="120"/>
              <w:jc w:val="both"/>
            </w:pPr>
            <w:r w:rsidRPr="00AA7439">
              <w:rPr>
                <w:i/>
              </w:rPr>
              <w:t>Numerator</w:t>
            </w:r>
            <w:r w:rsidRPr="00AA7439">
              <w:t>: Based on a stocktake of aged care places which were operational at 30</w:t>
            </w:r>
            <w:r w:rsidR="00104B60">
              <w:t> </w:t>
            </w:r>
            <w:r w:rsidRPr="00AA7439">
              <w:t>June 2013. Data for the current reporting period is available October each year.</w:t>
            </w:r>
          </w:p>
        </w:tc>
      </w:tr>
      <w:tr w:rsidR="00E217F5"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E217F5" w:rsidRPr="005E027C" w:rsidRDefault="00E217F5" w:rsidP="00BE5B08">
            <w:pPr>
              <w:pStyle w:val="TableBodyText"/>
              <w:ind w:left="0"/>
              <w:jc w:val="both"/>
              <w:rPr>
                <w:rFonts w:cs="Arial"/>
                <w:b/>
              </w:rPr>
            </w:pPr>
            <w:r w:rsidRPr="005E027C">
              <w:rPr>
                <w:rFonts w:cs="Arial"/>
                <w:b/>
              </w:rPr>
              <w:t>Accuracy</w:t>
            </w:r>
          </w:p>
        </w:tc>
        <w:tc>
          <w:tcPr>
            <w:tcW w:w="3979" w:type="pct"/>
            <w:shd w:val="clear" w:color="auto" w:fill="FFFFFF" w:themeFill="background1"/>
          </w:tcPr>
          <w:p w:rsidR="00E217F5" w:rsidRPr="00563446" w:rsidRDefault="00E217F5" w:rsidP="00E87B88">
            <w:pPr>
              <w:pStyle w:val="TableBodyText"/>
              <w:spacing w:after="120"/>
              <w:jc w:val="both"/>
            </w:pPr>
            <w:r w:rsidRPr="00AA7439">
              <w:t>The data used to calculate this indicator are from an administrative data collection designed for payment of subsidies to service providers and have accurate data on the number and location of funded aged care places.</w:t>
            </w:r>
          </w:p>
        </w:tc>
      </w:tr>
      <w:tr w:rsidR="00E217F5"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E217F5" w:rsidRPr="005E027C" w:rsidRDefault="00E217F5" w:rsidP="00BE5B08">
            <w:pPr>
              <w:pStyle w:val="TableBodyText"/>
              <w:ind w:left="0"/>
              <w:jc w:val="both"/>
              <w:rPr>
                <w:rFonts w:cs="Arial"/>
                <w:b/>
              </w:rPr>
            </w:pPr>
            <w:r w:rsidRPr="005E027C">
              <w:rPr>
                <w:rFonts w:cs="Arial"/>
                <w:b/>
              </w:rPr>
              <w:t>Coherence</w:t>
            </w:r>
          </w:p>
        </w:tc>
        <w:tc>
          <w:tcPr>
            <w:tcW w:w="3979" w:type="pct"/>
            <w:shd w:val="clear" w:color="auto" w:fill="FFFFFF" w:themeFill="background1"/>
          </w:tcPr>
          <w:p w:rsidR="00E217F5" w:rsidRDefault="00E217F5" w:rsidP="00E87B88">
            <w:pPr>
              <w:pStyle w:val="TableBodyText"/>
              <w:spacing w:after="120"/>
              <w:jc w:val="both"/>
            </w:pPr>
            <w:r>
              <w:t>The data items used for the numerator in this indicator are consistent and comparable over time. This indicator is consistent with other publicly available information about aged care places.</w:t>
            </w:r>
          </w:p>
          <w:p w:rsidR="00E217F5" w:rsidRDefault="00E217F5" w:rsidP="00E87B88">
            <w:pPr>
              <w:pStyle w:val="TableBodyText"/>
              <w:spacing w:after="120"/>
              <w:jc w:val="both"/>
            </w:pPr>
            <w:r>
              <w:t xml:space="preserve">Indigenous population projections have been calculated using a different method compared with that used in previous years. This will have a small effect on comparability with results from previous years. </w:t>
            </w:r>
          </w:p>
          <w:p w:rsidR="00E217F5" w:rsidRPr="00563446" w:rsidRDefault="00E217F5" w:rsidP="0093350A">
            <w:pPr>
              <w:pStyle w:val="TableBodyText"/>
              <w:spacing w:after="120"/>
              <w:jc w:val="both"/>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 Also updated at this time were remoteness areas, based on the 2011 ABS Census of Population and Housing. The new remoteness areas will be referred to as R</w:t>
            </w:r>
            <w:r w:rsidR="00E70F11">
              <w:t>emoteness Areas (RA)</w:t>
            </w:r>
            <w:r>
              <w:t xml:space="preserve"> 2011, and the previous remoteness areas as RA 2006. Data for 2009 through to 2012 reported by remoten</w:t>
            </w:r>
            <w:r w:rsidR="0093350A">
              <w:t xml:space="preserve">ess were reported for RA 2006. </w:t>
            </w:r>
            <w:r>
              <w:t>Data for 2013 (reported this cycle) are reported for RA 2011.</w:t>
            </w:r>
            <w:r w:rsidR="00104B60">
              <w:t xml:space="preserve"> </w:t>
            </w:r>
            <w:r>
              <w:t xml:space="preserve">The AIHW considers the change from RA 2006 </w:t>
            </w:r>
            <w:r>
              <w:lastRenderedPageBreak/>
              <w:t>to RA 2011 to be a series break when applied to data supplied for this indicator, therefore remoteness data for 2012 and previous years are not directly comparable to remoteness data for 2013 and subsequent years.</w:t>
            </w:r>
          </w:p>
        </w:tc>
      </w:tr>
      <w:tr w:rsidR="00955A7B"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5E027C" w:rsidRDefault="00955A7B" w:rsidP="00BE5B08">
            <w:pPr>
              <w:pStyle w:val="TableBodyText"/>
              <w:ind w:left="0"/>
              <w:jc w:val="both"/>
              <w:rPr>
                <w:rFonts w:cs="Arial"/>
                <w:b/>
              </w:rPr>
            </w:pPr>
            <w:bookmarkStart w:id="33" w:name="_Hlk277687520"/>
            <w:r w:rsidRPr="005E027C">
              <w:rPr>
                <w:rFonts w:cs="Arial"/>
                <w:b/>
              </w:rPr>
              <w:lastRenderedPageBreak/>
              <w:t>Accessibility</w:t>
            </w:r>
          </w:p>
        </w:tc>
        <w:tc>
          <w:tcPr>
            <w:tcW w:w="3979" w:type="pct"/>
            <w:shd w:val="clear" w:color="auto" w:fill="FFFFFF" w:themeFill="background1"/>
          </w:tcPr>
          <w:p w:rsidR="00A521A8" w:rsidRPr="00563446" w:rsidRDefault="00955A7B" w:rsidP="00E87B88">
            <w:pPr>
              <w:pStyle w:val="TableBodyText"/>
              <w:spacing w:after="120"/>
              <w:jc w:val="both"/>
            </w:pPr>
            <w:r w:rsidRPr="002260C3">
              <w:t xml:space="preserve">Aggregated data items are published in the </w:t>
            </w:r>
            <w:proofErr w:type="spellStart"/>
            <w:r w:rsidRPr="002260C3">
              <w:t>SCRGSP’s</w:t>
            </w:r>
            <w:proofErr w:type="spellEnd"/>
            <w:r w:rsidRPr="002260C3">
              <w:t xml:space="preserve"> Report on Government Services, the Reports on the Operation of the </w:t>
            </w:r>
            <w:r w:rsidRPr="00057763">
              <w:rPr>
                <w:i/>
              </w:rPr>
              <w:t>Aged Care Act 1997</w:t>
            </w:r>
            <w:r w:rsidRPr="002260C3">
              <w:t xml:space="preserve"> prepared by </w:t>
            </w:r>
            <w:r w:rsidR="00DC4C91">
              <w:t>DSS</w:t>
            </w:r>
            <w:r w:rsidRPr="002260C3">
              <w:t xml:space="preserve">, and in the </w:t>
            </w:r>
            <w:proofErr w:type="spellStart"/>
            <w:r w:rsidRPr="002260C3">
              <w:t>AIHW’s</w:t>
            </w:r>
            <w:proofErr w:type="spellEnd"/>
            <w:r w:rsidRPr="002260C3">
              <w:t xml:space="preserve"> Aged care statistics series.</w:t>
            </w:r>
          </w:p>
        </w:tc>
      </w:tr>
      <w:bookmarkEnd w:id="33"/>
      <w:tr w:rsidR="00955A7B" w:rsidRPr="005E027C" w:rsidTr="00E87B88">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5E027C" w:rsidRDefault="00955A7B" w:rsidP="00BE5B08">
            <w:pPr>
              <w:pStyle w:val="TableBodyText"/>
              <w:ind w:left="0"/>
              <w:jc w:val="both"/>
              <w:rPr>
                <w:rFonts w:cs="Arial"/>
                <w:b/>
              </w:rPr>
            </w:pPr>
            <w:r w:rsidRPr="005E027C">
              <w:rPr>
                <w:rFonts w:cs="Arial"/>
                <w:b/>
              </w:rPr>
              <w:t>Interpretability</w:t>
            </w:r>
          </w:p>
        </w:tc>
        <w:tc>
          <w:tcPr>
            <w:tcW w:w="3979" w:type="pct"/>
            <w:shd w:val="clear" w:color="auto" w:fill="FFFFFF" w:themeFill="background1"/>
          </w:tcPr>
          <w:p w:rsidR="00955A7B" w:rsidRPr="00563446" w:rsidRDefault="00955A7B" w:rsidP="00E87B88">
            <w:pPr>
              <w:pStyle w:val="TableBodyText"/>
              <w:spacing w:after="120"/>
              <w:jc w:val="both"/>
            </w:pPr>
            <w:r w:rsidRPr="002260C3">
              <w:t xml:space="preserve">Further information on definitions is available in the </w:t>
            </w:r>
            <w:r w:rsidRPr="00F965EE">
              <w:rPr>
                <w:i/>
              </w:rPr>
              <w:t>Aged Care Act 1997</w:t>
            </w:r>
            <w:r w:rsidRPr="002260C3">
              <w:t xml:space="preserve"> and Aged Care Principles, in the Residential Aged Care Manual 2009, draft Community Packaged Care Guidelines 2007, and Transition Care Program guidelines.</w:t>
            </w:r>
          </w:p>
        </w:tc>
      </w:tr>
      <w:tr w:rsidR="00955A7B" w:rsidRPr="00672B5F" w:rsidTr="0093350A">
        <w:tblPrEx>
          <w:tblCellMar>
            <w:left w:w="108" w:type="dxa"/>
            <w:right w:w="108" w:type="dxa"/>
          </w:tblCellMar>
          <w:tblLook w:val="01E0" w:firstRow="1" w:lastRow="1" w:firstColumn="1" w:lastColumn="1" w:noHBand="0" w:noVBand="0"/>
        </w:tblPrEx>
        <w:trPr>
          <w:trHeight w:val="225"/>
        </w:trPr>
        <w:tc>
          <w:tcPr>
            <w:tcW w:w="5000" w:type="pct"/>
            <w:gridSpan w:val="2"/>
            <w:shd w:val="clear" w:color="auto" w:fill="FFFFFF" w:themeFill="background1"/>
          </w:tcPr>
          <w:p w:rsidR="00E93722" w:rsidRDefault="00E93722" w:rsidP="00E87B88">
            <w:pPr>
              <w:pStyle w:val="TableBodyText"/>
              <w:spacing w:after="120"/>
              <w:jc w:val="both"/>
              <w:rPr>
                <w:rFonts w:cs="Arial"/>
                <w:b/>
                <w:szCs w:val="22"/>
                <w:u w:val="single"/>
              </w:rPr>
            </w:pPr>
          </w:p>
          <w:p w:rsidR="00955A7B" w:rsidRPr="00FC28BE" w:rsidRDefault="00955A7B" w:rsidP="00E87B88">
            <w:pPr>
              <w:pStyle w:val="TableBodyText"/>
              <w:spacing w:after="120"/>
              <w:jc w:val="both"/>
              <w:rPr>
                <w:rFonts w:cs="Arial"/>
                <w:b/>
                <w:szCs w:val="22"/>
                <w:u w:val="single"/>
              </w:rPr>
            </w:pPr>
            <w:r w:rsidRPr="00FC28BE">
              <w:rPr>
                <w:rFonts w:cs="Arial"/>
                <w:b/>
                <w:szCs w:val="22"/>
                <w:u w:val="single"/>
              </w:rPr>
              <w:t>Data Gaps/Issues Analysis</w:t>
            </w:r>
          </w:p>
        </w:tc>
      </w:tr>
      <w:tr w:rsidR="00955A7B" w:rsidRPr="00B479F5" w:rsidTr="0093350A">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955A7B" w:rsidRPr="00672B5F" w:rsidRDefault="00955A7B" w:rsidP="00BE5B08">
            <w:pPr>
              <w:pStyle w:val="TableBodyText"/>
              <w:spacing w:before="120"/>
              <w:ind w:left="0"/>
              <w:jc w:val="both"/>
              <w:rPr>
                <w:rFonts w:cs="Arial"/>
                <w:b/>
                <w:szCs w:val="22"/>
              </w:rPr>
            </w:pPr>
            <w:r w:rsidRPr="00672B5F">
              <w:rPr>
                <w:rFonts w:cs="Arial"/>
                <w:b/>
                <w:szCs w:val="22"/>
              </w:rPr>
              <w:t>Key data gaps/issues</w:t>
            </w:r>
          </w:p>
        </w:tc>
        <w:tc>
          <w:tcPr>
            <w:tcW w:w="3979" w:type="pct"/>
            <w:shd w:val="clear" w:color="auto" w:fill="FFFFFF" w:themeFill="background1"/>
          </w:tcPr>
          <w:p w:rsidR="00955A7B" w:rsidRPr="00955A7B" w:rsidRDefault="00955A7B" w:rsidP="00E87B88">
            <w:pPr>
              <w:pStyle w:val="TableBodyText"/>
              <w:spacing w:after="120"/>
              <w:jc w:val="both"/>
            </w:pPr>
            <w:r w:rsidRPr="00955A7B">
              <w:t xml:space="preserve">The Steering Committee notes the following issues: </w:t>
            </w:r>
          </w:p>
          <w:p w:rsidR="00E217F5" w:rsidRDefault="00E217F5" w:rsidP="00E87B88">
            <w:pPr>
              <w:pStyle w:val="TableBullet"/>
              <w:spacing w:after="120"/>
            </w:pPr>
            <w:r>
              <w:t>Disaggregation of this indicator by Indigenous status and S</w:t>
            </w:r>
            <w:r w:rsidR="00E70F11">
              <w:t xml:space="preserve">ocio </w:t>
            </w:r>
            <w:r>
              <w:t>E</w:t>
            </w:r>
            <w:r w:rsidR="00E70F11">
              <w:t xml:space="preserve">conomic </w:t>
            </w:r>
            <w:r>
              <w:t>S</w:t>
            </w:r>
            <w:r w:rsidR="00E70F11">
              <w:t>tatus (SES)</w:t>
            </w:r>
            <w:r>
              <w:t xml:space="preserve"> is a priority.</w:t>
            </w:r>
          </w:p>
          <w:p w:rsidR="00955A7B" w:rsidRPr="00955A7B" w:rsidRDefault="00E217F5" w:rsidP="00E87B88">
            <w:pPr>
              <w:pStyle w:val="TableBullet"/>
              <w:spacing w:after="120"/>
            </w:pPr>
            <w:r>
              <w:t>Data development is required in order to develop a measure of capacity available under the HACC program.</w:t>
            </w:r>
          </w:p>
        </w:tc>
      </w:tr>
    </w:tbl>
    <w:p w:rsidR="0076174D" w:rsidRDefault="0058260A" w:rsidP="00BE5B08">
      <w:pPr>
        <w:pStyle w:val="Heading3"/>
        <w:spacing w:before="120"/>
        <w:jc w:val="both"/>
      </w:pPr>
      <w:r>
        <w:br w:type="page"/>
      </w:r>
      <w:bookmarkStart w:id="34" w:name="_Toc278287354"/>
      <w:bookmarkStart w:id="35" w:name="_Toc282015338"/>
    </w:p>
    <w:p w:rsidR="0076174D" w:rsidRPr="00251A85" w:rsidRDefault="0076174D" w:rsidP="0076174D">
      <w:pPr>
        <w:pStyle w:val="Heading3"/>
        <w:spacing w:before="120"/>
        <w:jc w:val="both"/>
        <w:rPr>
          <w:szCs w:val="24"/>
        </w:rPr>
      </w:pPr>
      <w:bookmarkStart w:id="36" w:name="_Toc377383326"/>
      <w:r w:rsidRPr="00251A85">
        <w:rPr>
          <w:szCs w:val="24"/>
        </w:rPr>
        <w:lastRenderedPageBreak/>
        <w:t>Elapsed times for aged care services</w:t>
      </w:r>
      <w:bookmarkEnd w:id="36"/>
    </w:p>
    <w:p w:rsidR="0076174D" w:rsidRPr="00EA5574" w:rsidRDefault="00EA5574" w:rsidP="00E93722">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76174D" w:rsidRPr="00EA5574">
        <w:rPr>
          <w:rFonts w:ascii="Arial" w:hAnsi="Arial"/>
          <w:color w:val="000000"/>
        </w:rPr>
        <w:t xml:space="preserve"> for this indicator has been sourced from the Steering Committee’s report to the COAG Reform Council on the National Healthcare Agreement (data supplied by AIHW) with additional Steering Committee comments.</w:t>
      </w:r>
    </w:p>
    <w:p w:rsidR="00721ABE" w:rsidRPr="009E429E" w:rsidRDefault="00721ABE" w:rsidP="00E93722">
      <w:pPr>
        <w:pStyle w:val="BodyText"/>
        <w:keepNext/>
        <w:keepLines/>
        <w:spacing w:before="120" w:line="240" w:lineRule="auto"/>
      </w:pPr>
    </w:p>
    <w:tbl>
      <w:tblPr>
        <w:tblW w:w="5029" w:type="pct"/>
        <w:tblCellMar>
          <w:left w:w="0" w:type="dxa"/>
          <w:right w:w="0" w:type="dxa"/>
        </w:tblCellMar>
        <w:tblLook w:val="0000" w:firstRow="0" w:lastRow="0" w:firstColumn="0" w:lastColumn="0" w:noHBand="0" w:noVBand="0"/>
      </w:tblPr>
      <w:tblGrid>
        <w:gridCol w:w="1986"/>
        <w:gridCol w:w="6803"/>
        <w:gridCol w:w="32"/>
        <w:gridCol w:w="19"/>
      </w:tblGrid>
      <w:tr w:rsidR="00E93722" w:rsidTr="00E93722">
        <w:trPr>
          <w:gridAfter w:val="1"/>
          <w:wAfter w:w="11" w:type="pct"/>
        </w:trPr>
        <w:tc>
          <w:tcPr>
            <w:tcW w:w="4989" w:type="pct"/>
            <w:gridSpan w:val="3"/>
          </w:tcPr>
          <w:p w:rsidR="00E93722" w:rsidRPr="007D0BFD" w:rsidRDefault="00E93722" w:rsidP="00F965EE">
            <w:pPr>
              <w:pStyle w:val="TableBodyText"/>
              <w:jc w:val="both"/>
              <w:rPr>
                <w:b/>
                <w:u w:val="single"/>
              </w:rPr>
            </w:pPr>
          </w:p>
          <w:p w:rsidR="00E93722" w:rsidRDefault="00E93722" w:rsidP="00F965EE">
            <w:pPr>
              <w:pStyle w:val="TableBodyText"/>
              <w:jc w:val="both"/>
            </w:pPr>
            <w:r w:rsidRPr="007D0BFD">
              <w:rPr>
                <w:b/>
                <w:u w:val="single"/>
              </w:rPr>
              <w:t>Indicator definition and description</w:t>
            </w:r>
            <w:r>
              <w:rPr>
                <w:rFonts w:cs="Arial"/>
                <w:b/>
                <w:sz w:val="22"/>
                <w:szCs w:val="22"/>
                <w:u w:val="single"/>
              </w:rPr>
              <w:t xml:space="preserve"> </w:t>
            </w:r>
          </w:p>
        </w:tc>
      </w:tr>
      <w:tr w:rsidR="0076174D" w:rsidRPr="00C41CA2" w:rsidTr="00E93722">
        <w:tblPrEx>
          <w:tblCellMar>
            <w:left w:w="108" w:type="dxa"/>
            <w:right w:w="108" w:type="dxa"/>
          </w:tblCellMar>
          <w:tblLook w:val="01E0" w:firstRow="1" w:lastRow="1" w:firstColumn="1" w:lastColumn="1" w:noHBand="0" w:noVBand="0"/>
        </w:tblPrEx>
        <w:tc>
          <w:tcPr>
            <w:tcW w:w="1123" w:type="pct"/>
            <w:shd w:val="clear" w:color="auto" w:fill="auto"/>
          </w:tcPr>
          <w:p w:rsidR="0076174D" w:rsidRPr="005E027C" w:rsidRDefault="0076174D" w:rsidP="00F06A16">
            <w:pPr>
              <w:pStyle w:val="TableBodyText"/>
              <w:ind w:left="0"/>
              <w:jc w:val="both"/>
              <w:rPr>
                <w:rFonts w:cs="Arial"/>
                <w:b/>
              </w:rPr>
            </w:pPr>
            <w:bookmarkStart w:id="37" w:name="_Toc332795542"/>
            <w:r w:rsidRPr="005E027C">
              <w:rPr>
                <w:rFonts w:cs="Arial"/>
                <w:b/>
              </w:rPr>
              <w:t>Element</w:t>
            </w:r>
          </w:p>
        </w:tc>
        <w:tc>
          <w:tcPr>
            <w:tcW w:w="3877" w:type="pct"/>
            <w:gridSpan w:val="3"/>
            <w:shd w:val="clear" w:color="auto" w:fill="auto"/>
          </w:tcPr>
          <w:p w:rsidR="0076174D" w:rsidRPr="005E027C" w:rsidRDefault="0076174D" w:rsidP="00E93722">
            <w:pPr>
              <w:keepNext/>
              <w:keepLines/>
              <w:spacing w:after="120"/>
              <w:rPr>
                <w:rFonts w:ascii="Arial" w:hAnsi="Arial" w:cs="Arial"/>
                <w:sz w:val="20"/>
              </w:rPr>
            </w:pPr>
            <w:r>
              <w:rPr>
                <w:rFonts w:ascii="Arial" w:hAnsi="Arial" w:cs="Arial"/>
                <w:sz w:val="20"/>
              </w:rPr>
              <w:t>Effectiveness ― access ― timeliness</w:t>
            </w:r>
          </w:p>
        </w:tc>
      </w:tr>
      <w:tr w:rsidR="0076174D" w:rsidRPr="00C41CA2" w:rsidTr="00365743">
        <w:tblPrEx>
          <w:tblCellMar>
            <w:left w:w="108" w:type="dxa"/>
            <w:right w:w="108" w:type="dxa"/>
          </w:tblCellMar>
          <w:tblLook w:val="01E0" w:firstRow="1" w:lastRow="1" w:firstColumn="1" w:lastColumn="1" w:noHBand="0" w:noVBand="0"/>
        </w:tblPrEx>
        <w:trPr>
          <w:trHeight w:val="946"/>
        </w:trPr>
        <w:tc>
          <w:tcPr>
            <w:tcW w:w="1123" w:type="pct"/>
            <w:shd w:val="clear" w:color="auto" w:fill="auto"/>
          </w:tcPr>
          <w:p w:rsidR="0076174D" w:rsidRPr="00C41CA2" w:rsidRDefault="0076174D"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Indicator</w:t>
            </w:r>
          </w:p>
        </w:tc>
        <w:tc>
          <w:tcPr>
            <w:tcW w:w="3877" w:type="pct"/>
            <w:gridSpan w:val="3"/>
            <w:shd w:val="clear" w:color="auto" w:fill="FFFFFF" w:themeFill="background1"/>
          </w:tcPr>
          <w:p w:rsidR="0076174D" w:rsidRDefault="0076174D" w:rsidP="00E87B88">
            <w:pPr>
              <w:keepNext/>
              <w:keepLines/>
              <w:shd w:val="clear" w:color="auto" w:fill="FFFFFF" w:themeFill="background1"/>
              <w:spacing w:line="220" w:lineRule="atLeast"/>
              <w:ind w:left="6" w:right="113"/>
              <w:rPr>
                <w:rFonts w:ascii="Arial" w:hAnsi="Arial"/>
                <w:sz w:val="20"/>
                <w:szCs w:val="20"/>
              </w:rPr>
            </w:pPr>
            <w:r>
              <w:rPr>
                <w:rFonts w:ascii="Arial" w:hAnsi="Arial"/>
                <w:sz w:val="20"/>
                <w:szCs w:val="20"/>
              </w:rPr>
              <w:t>Elapsed times for aged care services.</w:t>
            </w:r>
          </w:p>
          <w:p w:rsidR="0076174D" w:rsidRPr="00C41CA2" w:rsidRDefault="009E429E" w:rsidP="00365743">
            <w:pPr>
              <w:keepNext/>
              <w:keepLines/>
              <w:shd w:val="clear" w:color="auto" w:fill="FFFFFF" w:themeFill="background1"/>
              <w:spacing w:after="120" w:line="220" w:lineRule="atLeast"/>
              <w:jc w:val="both"/>
              <w:rPr>
                <w:rFonts w:ascii="Arial" w:hAnsi="Arial"/>
                <w:sz w:val="20"/>
                <w:szCs w:val="20"/>
              </w:rPr>
            </w:pPr>
            <w:r w:rsidRPr="009E429E">
              <w:rPr>
                <w:rFonts w:ascii="Arial" w:hAnsi="Arial"/>
                <w:sz w:val="20"/>
                <w:szCs w:val="20"/>
              </w:rPr>
              <w:t>The elapsed time between an Aged Care Assessment Team (ACAT) approval and entry into a residential aged care service or commencement of a CACP, EACH package or EACH</w:t>
            </w:r>
            <w:r w:rsidR="003306B4">
              <w:rPr>
                <w:rFonts w:ascii="Arial" w:hAnsi="Arial"/>
                <w:sz w:val="20"/>
                <w:szCs w:val="20"/>
              </w:rPr>
              <w:t>-</w:t>
            </w:r>
            <w:r w:rsidRPr="009E429E">
              <w:rPr>
                <w:rFonts w:ascii="Arial" w:hAnsi="Arial"/>
                <w:sz w:val="20"/>
                <w:szCs w:val="20"/>
              </w:rPr>
              <w:t>D package.</w:t>
            </w:r>
          </w:p>
        </w:tc>
      </w:tr>
      <w:tr w:rsidR="0076174D"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76174D" w:rsidRPr="00C41CA2" w:rsidRDefault="0076174D"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Measure (computation)</w:t>
            </w:r>
          </w:p>
        </w:tc>
        <w:tc>
          <w:tcPr>
            <w:tcW w:w="3877" w:type="pct"/>
            <w:gridSpan w:val="3"/>
            <w:shd w:val="clear" w:color="auto" w:fill="FFFFFF" w:themeFill="background1"/>
          </w:tcPr>
          <w:p w:rsidR="009E429E" w:rsidRPr="009E429E" w:rsidRDefault="009E429E" w:rsidP="00E87B88">
            <w:pPr>
              <w:keepNext/>
              <w:keepLines/>
              <w:shd w:val="clear" w:color="auto" w:fill="FFFFFF" w:themeFill="background1"/>
              <w:spacing w:line="220" w:lineRule="atLeast"/>
              <w:ind w:left="6" w:right="113"/>
              <w:jc w:val="both"/>
              <w:rPr>
                <w:rFonts w:ascii="Arial" w:hAnsi="Arial"/>
                <w:sz w:val="20"/>
                <w:szCs w:val="20"/>
              </w:rPr>
            </w:pPr>
            <w:r w:rsidRPr="009E429E">
              <w:rPr>
                <w:rFonts w:ascii="Arial" w:hAnsi="Arial"/>
                <w:i/>
                <w:sz w:val="20"/>
                <w:szCs w:val="20"/>
              </w:rPr>
              <w:t>Numerator</w:t>
            </w:r>
            <w:r w:rsidRPr="009E429E">
              <w:rPr>
                <w:rFonts w:ascii="Arial" w:hAnsi="Arial"/>
                <w:sz w:val="20"/>
                <w:szCs w:val="20"/>
              </w:rPr>
              <w:t>: Number of new aged care recipients who commence a service within the following elapsed time periods during the previous financial year:</w:t>
            </w:r>
          </w:p>
          <w:p w:rsidR="009E429E" w:rsidRPr="009E429E" w:rsidRDefault="009E429E" w:rsidP="00E87B88">
            <w:pPr>
              <w:keepNext/>
              <w:keepLines/>
              <w:numPr>
                <w:ilvl w:val="0"/>
                <w:numId w:val="9"/>
              </w:numPr>
              <w:shd w:val="clear" w:color="auto" w:fill="FFFFFF" w:themeFill="background1"/>
              <w:tabs>
                <w:tab w:val="clear" w:pos="340"/>
                <w:tab w:val="num" w:pos="170"/>
              </w:tabs>
              <w:spacing w:before="120" w:line="220" w:lineRule="atLeast"/>
              <w:ind w:left="170" w:right="113" w:hanging="170"/>
              <w:rPr>
                <w:rFonts w:ascii="Arial" w:hAnsi="Arial"/>
                <w:sz w:val="20"/>
                <w:szCs w:val="20"/>
              </w:rPr>
            </w:pPr>
            <w:r w:rsidRPr="009E429E">
              <w:rPr>
                <w:rFonts w:ascii="Arial" w:hAnsi="Arial"/>
                <w:sz w:val="20"/>
                <w:szCs w:val="20"/>
              </w:rPr>
              <w:t>Within two days or less</w:t>
            </w:r>
          </w:p>
          <w:p w:rsidR="009E429E" w:rsidRPr="009E429E" w:rsidRDefault="009E429E" w:rsidP="00E87B88">
            <w:pPr>
              <w:keepNext/>
              <w:keepLines/>
              <w:numPr>
                <w:ilvl w:val="0"/>
                <w:numId w:val="9"/>
              </w:numPr>
              <w:shd w:val="clear" w:color="auto" w:fill="FFFFFF" w:themeFill="background1"/>
              <w:tabs>
                <w:tab w:val="clear" w:pos="340"/>
                <w:tab w:val="num" w:pos="170"/>
              </w:tabs>
              <w:spacing w:before="120" w:line="220" w:lineRule="atLeast"/>
              <w:ind w:left="170" w:right="113" w:hanging="170"/>
              <w:rPr>
                <w:rFonts w:ascii="Arial" w:hAnsi="Arial"/>
                <w:sz w:val="20"/>
                <w:szCs w:val="20"/>
              </w:rPr>
            </w:pPr>
            <w:r w:rsidRPr="009E429E">
              <w:rPr>
                <w:rFonts w:ascii="Arial" w:hAnsi="Arial"/>
                <w:sz w:val="20"/>
                <w:szCs w:val="20"/>
              </w:rPr>
              <w:t>Seven days or less</w:t>
            </w:r>
          </w:p>
          <w:p w:rsidR="009E429E" w:rsidRPr="009E429E" w:rsidRDefault="009E429E" w:rsidP="00E87B88">
            <w:pPr>
              <w:keepNext/>
              <w:keepLines/>
              <w:numPr>
                <w:ilvl w:val="0"/>
                <w:numId w:val="9"/>
              </w:numPr>
              <w:shd w:val="clear" w:color="auto" w:fill="FFFFFF" w:themeFill="background1"/>
              <w:tabs>
                <w:tab w:val="clear" w:pos="340"/>
                <w:tab w:val="num" w:pos="170"/>
              </w:tabs>
              <w:spacing w:before="120" w:line="220" w:lineRule="atLeast"/>
              <w:ind w:left="170" w:right="113" w:hanging="170"/>
              <w:rPr>
                <w:rFonts w:ascii="Arial" w:hAnsi="Arial"/>
                <w:sz w:val="20"/>
                <w:szCs w:val="20"/>
              </w:rPr>
            </w:pPr>
            <w:r w:rsidRPr="009E429E">
              <w:rPr>
                <w:rFonts w:ascii="Arial" w:hAnsi="Arial"/>
                <w:sz w:val="20"/>
                <w:szCs w:val="20"/>
              </w:rPr>
              <w:t>Less than one month</w:t>
            </w:r>
          </w:p>
          <w:p w:rsidR="009E429E" w:rsidRPr="009E429E" w:rsidRDefault="009E429E" w:rsidP="00E87B88">
            <w:pPr>
              <w:keepNext/>
              <w:keepLines/>
              <w:numPr>
                <w:ilvl w:val="0"/>
                <w:numId w:val="9"/>
              </w:numPr>
              <w:shd w:val="clear" w:color="auto" w:fill="FFFFFF" w:themeFill="background1"/>
              <w:tabs>
                <w:tab w:val="clear" w:pos="340"/>
                <w:tab w:val="num" w:pos="170"/>
              </w:tabs>
              <w:spacing w:before="120" w:line="220" w:lineRule="atLeast"/>
              <w:ind w:left="170" w:right="113" w:hanging="170"/>
              <w:rPr>
                <w:rFonts w:ascii="Arial" w:hAnsi="Arial"/>
                <w:sz w:val="20"/>
                <w:szCs w:val="20"/>
              </w:rPr>
            </w:pPr>
            <w:r w:rsidRPr="009E429E">
              <w:rPr>
                <w:rFonts w:ascii="Arial" w:hAnsi="Arial"/>
                <w:sz w:val="20"/>
                <w:szCs w:val="20"/>
              </w:rPr>
              <w:t>Less than three months</w:t>
            </w:r>
          </w:p>
          <w:p w:rsidR="009E429E" w:rsidRPr="009E429E" w:rsidRDefault="009E429E" w:rsidP="0093350A">
            <w:pPr>
              <w:keepNext/>
              <w:keepLines/>
              <w:numPr>
                <w:ilvl w:val="0"/>
                <w:numId w:val="9"/>
              </w:numPr>
              <w:shd w:val="clear" w:color="auto" w:fill="FFFFFF" w:themeFill="background1"/>
              <w:tabs>
                <w:tab w:val="clear" w:pos="340"/>
                <w:tab w:val="num" w:pos="170"/>
              </w:tabs>
              <w:spacing w:before="120" w:after="120" w:line="220" w:lineRule="atLeast"/>
              <w:ind w:left="170" w:right="113" w:hanging="170"/>
              <w:rPr>
                <w:rFonts w:ascii="Arial" w:hAnsi="Arial"/>
                <w:sz w:val="20"/>
                <w:szCs w:val="20"/>
              </w:rPr>
            </w:pPr>
            <w:r w:rsidRPr="009E429E">
              <w:rPr>
                <w:rFonts w:ascii="Arial" w:hAnsi="Arial"/>
                <w:sz w:val="20"/>
                <w:szCs w:val="20"/>
              </w:rPr>
              <w:t xml:space="preserve">Less than nine months </w:t>
            </w:r>
          </w:p>
          <w:p w:rsidR="009E429E" w:rsidRPr="009E429E" w:rsidRDefault="009E429E" w:rsidP="003B2D5A">
            <w:pPr>
              <w:keepNext/>
              <w:keepLines/>
              <w:shd w:val="clear" w:color="auto" w:fill="FFFFFF" w:themeFill="background1"/>
              <w:spacing w:after="120" w:line="220" w:lineRule="atLeast"/>
              <w:ind w:left="6" w:right="113"/>
              <w:jc w:val="both"/>
              <w:rPr>
                <w:rFonts w:ascii="Arial" w:hAnsi="Arial"/>
                <w:sz w:val="20"/>
                <w:szCs w:val="20"/>
              </w:rPr>
            </w:pPr>
            <w:r w:rsidRPr="009E429E">
              <w:rPr>
                <w:rFonts w:ascii="Arial" w:hAnsi="Arial"/>
                <w:i/>
                <w:sz w:val="20"/>
                <w:szCs w:val="20"/>
              </w:rPr>
              <w:t>Denominator</w:t>
            </w:r>
            <w:r w:rsidRPr="009E429E">
              <w:rPr>
                <w:rFonts w:ascii="Arial" w:hAnsi="Arial"/>
                <w:sz w:val="20"/>
                <w:szCs w:val="20"/>
              </w:rPr>
              <w:t xml:space="preserve">: Total number of new aged care recipients during the previous financial year. </w:t>
            </w:r>
          </w:p>
          <w:p w:rsidR="0076174D" w:rsidRPr="00C41CA2" w:rsidRDefault="009E429E" w:rsidP="00E87B88">
            <w:pPr>
              <w:keepNext/>
              <w:keepLines/>
              <w:shd w:val="clear" w:color="auto" w:fill="FFFFFF" w:themeFill="background1"/>
              <w:spacing w:after="120" w:line="220" w:lineRule="atLeast"/>
              <w:rPr>
                <w:rFonts w:ascii="Arial" w:hAnsi="Arial"/>
                <w:sz w:val="20"/>
                <w:szCs w:val="20"/>
              </w:rPr>
            </w:pPr>
            <w:r w:rsidRPr="009E429E">
              <w:rPr>
                <w:rFonts w:ascii="Arial" w:hAnsi="Arial"/>
                <w:sz w:val="20"/>
                <w:szCs w:val="20"/>
              </w:rPr>
              <w:t>Expressed as percentage of people admitted by length of entry period and service type (100 × numerator ÷ denominator) calculated separately for each service type and elapsed time period.</w:t>
            </w:r>
            <w:r w:rsidR="00104B60">
              <w:t xml:space="preserve"> </w:t>
            </w:r>
          </w:p>
        </w:tc>
      </w:tr>
      <w:tr w:rsidR="0076174D" w:rsidRPr="00C41CA2" w:rsidTr="0093350A">
        <w:tblPrEx>
          <w:tblCellMar>
            <w:left w:w="108" w:type="dxa"/>
            <w:right w:w="108" w:type="dxa"/>
          </w:tblCellMar>
          <w:tblLook w:val="01E0" w:firstRow="1" w:lastRow="1" w:firstColumn="1" w:lastColumn="1" w:noHBand="0" w:noVBand="0"/>
        </w:tblPrEx>
        <w:trPr>
          <w:trHeight w:val="752"/>
        </w:trPr>
        <w:tc>
          <w:tcPr>
            <w:tcW w:w="1123" w:type="pct"/>
            <w:shd w:val="clear" w:color="auto" w:fill="auto"/>
          </w:tcPr>
          <w:p w:rsidR="0076174D" w:rsidRPr="00C41CA2" w:rsidRDefault="0076174D"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Data source/s</w:t>
            </w:r>
          </w:p>
        </w:tc>
        <w:tc>
          <w:tcPr>
            <w:tcW w:w="3877" w:type="pct"/>
            <w:gridSpan w:val="3"/>
            <w:shd w:val="clear" w:color="auto" w:fill="FFFFFF" w:themeFill="background1"/>
          </w:tcPr>
          <w:p w:rsidR="0076174D" w:rsidRPr="00C41CA2" w:rsidRDefault="0076174D" w:rsidP="00E87B88">
            <w:pPr>
              <w:keepNext/>
              <w:keepLines/>
              <w:shd w:val="clear" w:color="auto" w:fill="FFFFFF" w:themeFill="background1"/>
              <w:spacing w:after="120" w:line="220" w:lineRule="atLeast"/>
              <w:rPr>
                <w:rFonts w:ascii="Arial" w:hAnsi="Arial"/>
                <w:sz w:val="20"/>
                <w:szCs w:val="20"/>
              </w:rPr>
            </w:pPr>
            <w:r w:rsidRPr="00C41CA2">
              <w:rPr>
                <w:rFonts w:ascii="Arial" w:hAnsi="Arial"/>
                <w:sz w:val="20"/>
                <w:szCs w:val="20"/>
              </w:rPr>
              <w:t xml:space="preserve">Australian Government </w:t>
            </w:r>
            <w:proofErr w:type="spellStart"/>
            <w:r w:rsidR="00DC4C91">
              <w:rPr>
                <w:rFonts w:ascii="Arial" w:hAnsi="Arial"/>
                <w:sz w:val="20"/>
                <w:szCs w:val="20"/>
              </w:rPr>
              <w:t>DSS</w:t>
            </w:r>
            <w:r w:rsidRPr="00C41CA2">
              <w:rPr>
                <w:rFonts w:ascii="Arial" w:hAnsi="Arial"/>
                <w:sz w:val="20"/>
                <w:szCs w:val="20"/>
              </w:rPr>
              <w:t>’s</w:t>
            </w:r>
            <w:proofErr w:type="spellEnd"/>
            <w:r w:rsidRPr="00C41CA2">
              <w:rPr>
                <w:rFonts w:ascii="Arial" w:hAnsi="Arial"/>
                <w:sz w:val="20"/>
                <w:szCs w:val="20"/>
              </w:rPr>
              <w:t xml:space="preserve"> Aged Care Assessment Program Minimum Data Set. Australian Government Department </w:t>
            </w:r>
            <w:proofErr w:type="spellStart"/>
            <w:r w:rsidR="00DC4C91">
              <w:rPr>
                <w:rFonts w:ascii="Arial" w:hAnsi="Arial"/>
                <w:sz w:val="20"/>
                <w:szCs w:val="20"/>
              </w:rPr>
              <w:t>DSS</w:t>
            </w:r>
            <w:r w:rsidRPr="00C41CA2">
              <w:rPr>
                <w:rFonts w:ascii="Arial" w:hAnsi="Arial"/>
                <w:sz w:val="20"/>
                <w:szCs w:val="20"/>
              </w:rPr>
              <w:t>’s</w:t>
            </w:r>
            <w:proofErr w:type="spellEnd"/>
            <w:r w:rsidRPr="00C41CA2">
              <w:rPr>
                <w:rFonts w:ascii="Arial" w:hAnsi="Arial"/>
                <w:sz w:val="20"/>
                <w:szCs w:val="20"/>
              </w:rPr>
              <w:t xml:space="preserve"> Aged Care Data Warehouse.</w:t>
            </w:r>
          </w:p>
        </w:tc>
      </w:tr>
      <w:tr w:rsidR="00E93722" w:rsidRPr="00C41CA2" w:rsidTr="00E93722">
        <w:tblPrEx>
          <w:tblCellMar>
            <w:left w:w="108" w:type="dxa"/>
            <w:right w:w="108" w:type="dxa"/>
          </w:tblCellMar>
          <w:tblLook w:val="01E0" w:firstRow="1" w:lastRow="1" w:firstColumn="1" w:lastColumn="1" w:noHBand="0" w:noVBand="0"/>
        </w:tblPrEx>
        <w:tc>
          <w:tcPr>
            <w:tcW w:w="5000" w:type="pct"/>
            <w:gridSpan w:val="4"/>
            <w:shd w:val="clear" w:color="auto" w:fill="auto"/>
          </w:tcPr>
          <w:p w:rsidR="00E93722" w:rsidRDefault="00E93722" w:rsidP="00E87B88">
            <w:pPr>
              <w:pStyle w:val="TableBodyText"/>
              <w:shd w:val="clear" w:color="auto" w:fill="FFFFFF" w:themeFill="background1"/>
              <w:jc w:val="both"/>
              <w:rPr>
                <w:b/>
                <w:u w:val="single"/>
              </w:rPr>
            </w:pPr>
          </w:p>
          <w:p w:rsidR="00E93722" w:rsidRPr="00C41CA2" w:rsidRDefault="00E93722" w:rsidP="00E87B88">
            <w:pPr>
              <w:keepNext/>
              <w:keepLines/>
              <w:shd w:val="clear" w:color="auto" w:fill="FFFFFF" w:themeFill="background1"/>
              <w:spacing w:line="220" w:lineRule="atLeast"/>
              <w:ind w:left="6" w:right="113"/>
              <w:rPr>
                <w:rFonts w:ascii="Arial" w:hAnsi="Arial"/>
                <w:sz w:val="20"/>
                <w:szCs w:val="20"/>
              </w:rPr>
            </w:pPr>
            <w:r w:rsidRPr="00E93722">
              <w:rPr>
                <w:rFonts w:ascii="Arial" w:hAnsi="Arial"/>
                <w:b/>
                <w:sz w:val="20"/>
                <w:u w:val="single"/>
              </w:rPr>
              <w:t>Data</w:t>
            </w:r>
            <w:r w:rsidRPr="00FC28BE">
              <w:rPr>
                <w:rFonts w:ascii="Arial" w:hAnsi="Arial" w:cs="Arial"/>
                <w:b/>
                <w:bCs/>
                <w:sz w:val="20"/>
                <w:u w:val="single"/>
              </w:rPr>
              <w:t xml:space="preserve"> Quality Framework Dimensions</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Institutional environment</w:t>
            </w:r>
          </w:p>
        </w:tc>
        <w:tc>
          <w:tcPr>
            <w:tcW w:w="3877" w:type="pct"/>
            <w:gridSpan w:val="3"/>
            <w:shd w:val="clear" w:color="auto" w:fill="FFFFFF" w:themeFill="background1"/>
          </w:tcPr>
          <w:p w:rsidR="0093350A" w:rsidRDefault="009E429E" w:rsidP="00E87B88">
            <w:pPr>
              <w:pStyle w:val="TableBodyText"/>
              <w:shd w:val="clear" w:color="auto" w:fill="FFFFFF" w:themeFill="background1"/>
              <w:spacing w:after="120"/>
              <w:jc w:val="both"/>
            </w:pPr>
            <w:r>
              <w:t>Approved service providers submit data to the Department of Human Services (</w:t>
            </w:r>
            <w:proofErr w:type="spellStart"/>
            <w:r>
              <w:t>DHS</w:t>
            </w:r>
            <w:proofErr w:type="spellEnd"/>
            <w:r>
              <w:t xml:space="preserve">) to claim subsidies from the Australian Government for services delivered under the </w:t>
            </w:r>
            <w:r w:rsidRPr="00057763">
              <w:rPr>
                <w:i/>
              </w:rPr>
              <w:t>Aged Care Act 1997</w:t>
            </w:r>
            <w:r>
              <w:t xml:space="preserve"> and Aged Care Principles.</w:t>
            </w:r>
          </w:p>
          <w:p w:rsidR="009E429E" w:rsidRDefault="009E429E" w:rsidP="00E87B88">
            <w:pPr>
              <w:pStyle w:val="TableBodyText"/>
              <w:shd w:val="clear" w:color="auto" w:fill="FFFFFF" w:themeFill="background1"/>
              <w:spacing w:after="120"/>
              <w:jc w:val="both"/>
            </w:pPr>
            <w:r>
              <w:t>These data are provided to the DSS and are stored in the Ageing and Aged Care data warehouse.</w:t>
            </w:r>
          </w:p>
          <w:p w:rsidR="009E429E" w:rsidRPr="00563446" w:rsidRDefault="009E429E" w:rsidP="00365743">
            <w:pPr>
              <w:pStyle w:val="TableBodyText"/>
              <w:shd w:val="clear" w:color="auto" w:fill="FFFFFF" w:themeFill="background1"/>
              <w:spacing w:after="120"/>
              <w:jc w:val="both"/>
            </w:pPr>
            <w:r>
              <w:t>The tables for this indicator were prepared by the DSS and quality</w:t>
            </w:r>
            <w:r w:rsidR="00104B60">
              <w:noBreakHyphen/>
            </w:r>
            <w:r>
              <w:t xml:space="preserve">assessed by the </w:t>
            </w:r>
            <w:r w:rsidR="00365743">
              <w:t>A</w:t>
            </w:r>
            <w:r>
              <w:t xml:space="preserve">IHW. The data quality statement was developed by </w:t>
            </w:r>
            <w:r w:rsidR="00DC4C91">
              <w:t>DSS</w:t>
            </w:r>
            <w:r>
              <w:t xml:space="preserve"> and includes comments from the AIHW. The AIHW did not have the relevant datasets required to independently verify the data tables for this indicator.</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Relevance</w:t>
            </w:r>
          </w:p>
        </w:tc>
        <w:tc>
          <w:tcPr>
            <w:tcW w:w="3877" w:type="pct"/>
            <w:gridSpan w:val="3"/>
            <w:shd w:val="clear" w:color="auto" w:fill="FFFFFF" w:themeFill="background1"/>
          </w:tcPr>
          <w:p w:rsidR="009E429E" w:rsidRDefault="009E429E" w:rsidP="00E87B88">
            <w:pPr>
              <w:pStyle w:val="TableBodyText"/>
              <w:shd w:val="clear" w:color="auto" w:fill="FFFFFF" w:themeFill="background1"/>
              <w:spacing w:after="120"/>
              <w:jc w:val="both"/>
            </w:pPr>
            <w:r>
              <w:t>The measure of ‘elapsed time’ is utilised because the period of time between the ACAT approval and entry into residential care or commencement of community care may be influenced by factors that cannot be categorised as time spent ‘waiting’ and not all ‘waiting’ time is included. Factors that influence this indicator are:</w:t>
            </w:r>
          </w:p>
          <w:p w:rsidR="009E429E" w:rsidRDefault="009E429E" w:rsidP="00E87B88">
            <w:pPr>
              <w:pStyle w:val="TableBullet"/>
              <w:shd w:val="clear" w:color="auto" w:fill="FFFFFF" w:themeFill="background1"/>
              <w:spacing w:after="120"/>
              <w:ind w:left="6" w:firstLine="0"/>
              <w:jc w:val="both"/>
            </w:pPr>
            <w:r>
              <w:lastRenderedPageBreak/>
              <w:t>care placement offers that are not accepted</w:t>
            </w:r>
          </w:p>
          <w:p w:rsidR="009E429E" w:rsidRDefault="009E429E" w:rsidP="00E87B88">
            <w:pPr>
              <w:pStyle w:val="TableBullet"/>
              <w:shd w:val="clear" w:color="auto" w:fill="FFFFFF" w:themeFill="background1"/>
            </w:pPr>
            <w:r>
              <w:t>the availability of alternative community care, informal care and respite services</w:t>
            </w:r>
          </w:p>
          <w:p w:rsidR="009E429E" w:rsidRDefault="009E429E" w:rsidP="00E87B88">
            <w:pPr>
              <w:pStyle w:val="TableBullet"/>
              <w:shd w:val="clear" w:color="auto" w:fill="FFFFFF" w:themeFill="background1"/>
            </w:pPr>
            <w:r>
              <w:t>variations in care fee regimes that influence client choice of preferred service</w:t>
            </w:r>
          </w:p>
          <w:p w:rsidR="009E429E" w:rsidRPr="00563446" w:rsidRDefault="009E429E" w:rsidP="00E87B88">
            <w:pPr>
              <w:pStyle w:val="TableBullet"/>
              <w:shd w:val="clear" w:color="auto" w:fill="FFFFFF" w:themeFill="background1"/>
              <w:spacing w:after="120"/>
            </w:pPr>
            <w:r>
              <w:t>building quality and perceptions about quality of care that influence client choice of preferred service.</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lastRenderedPageBreak/>
              <w:t>Timeliness</w:t>
            </w:r>
          </w:p>
        </w:tc>
        <w:tc>
          <w:tcPr>
            <w:tcW w:w="3877" w:type="pct"/>
            <w:gridSpan w:val="3"/>
            <w:shd w:val="clear" w:color="auto" w:fill="FFFFFF" w:themeFill="background1"/>
          </w:tcPr>
          <w:p w:rsidR="009E429E" w:rsidRPr="00563446" w:rsidRDefault="009E429E" w:rsidP="00E87B88">
            <w:pPr>
              <w:pStyle w:val="TableBodyText"/>
              <w:shd w:val="clear" w:color="auto" w:fill="FFFFFF" w:themeFill="background1"/>
              <w:spacing w:after="120"/>
              <w:jc w:val="both"/>
            </w:pPr>
            <w:r w:rsidRPr="007301F8">
              <w:t>The reference period for this data set is the previous financial year.</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Accuracy</w:t>
            </w:r>
          </w:p>
        </w:tc>
        <w:tc>
          <w:tcPr>
            <w:tcW w:w="3877" w:type="pct"/>
            <w:gridSpan w:val="3"/>
            <w:shd w:val="clear" w:color="auto" w:fill="FFFFFF" w:themeFill="background1"/>
          </w:tcPr>
          <w:p w:rsidR="009E429E" w:rsidRDefault="009E429E" w:rsidP="00E87B88">
            <w:pPr>
              <w:pStyle w:val="TableBodyText"/>
              <w:shd w:val="clear" w:color="auto" w:fill="FFFFFF" w:themeFill="background1"/>
              <w:spacing w:after="120"/>
              <w:jc w:val="both"/>
            </w:pPr>
            <w:r>
              <w:t>The elapsed time between an ACAT approval and entry into an aged care service is retrospective, i.e. the elapsed time is calculated once a person has obtained entry into an aged care service.</w:t>
            </w:r>
          </w:p>
          <w:p w:rsidR="009E429E" w:rsidRDefault="009E429E" w:rsidP="00E87B88">
            <w:pPr>
              <w:pStyle w:val="TableBodyText"/>
              <w:shd w:val="clear" w:color="auto" w:fill="FFFFFF" w:themeFill="background1"/>
              <w:spacing w:after="120"/>
              <w:jc w:val="both"/>
            </w:pPr>
            <w:r>
              <w:t>The data for elapsed time by State and Territory, and by Indigenous status, are derived from the location of the aged care service.</w:t>
            </w:r>
          </w:p>
          <w:p w:rsidR="009E429E" w:rsidRDefault="009E429E" w:rsidP="00E87B88">
            <w:pPr>
              <w:pStyle w:val="TableBodyText"/>
              <w:shd w:val="clear" w:color="auto" w:fill="FFFFFF" w:themeFill="background1"/>
              <w:spacing w:after="120"/>
              <w:jc w:val="both"/>
            </w:pPr>
            <w:r>
              <w:t>The data for elapsed time by Remoteness are derived from the recipient’s postcode at time of assessment and exclude some postcodes which cannot be matched to a Remoteness area.</w:t>
            </w:r>
          </w:p>
          <w:p w:rsidR="009E429E" w:rsidRDefault="009E429E" w:rsidP="00E87B88">
            <w:pPr>
              <w:pStyle w:val="TableBodyText"/>
              <w:shd w:val="clear" w:color="auto" w:fill="FFFFFF" w:themeFill="background1"/>
              <w:spacing w:after="120"/>
              <w:jc w:val="both"/>
            </w:pPr>
            <w:r>
              <w:t>Socio</w:t>
            </w:r>
            <w:r w:rsidR="00104B60">
              <w:noBreakHyphen/>
            </w:r>
            <w:r>
              <w:t>Economic Indexes for Area (</w:t>
            </w:r>
            <w:proofErr w:type="spellStart"/>
            <w:r>
              <w:t>SEIFA</w:t>
            </w:r>
            <w:proofErr w:type="spellEnd"/>
            <w:r>
              <w:t xml:space="preserve">) quintiles and </w:t>
            </w:r>
            <w:proofErr w:type="spellStart"/>
            <w:r>
              <w:t>deciles</w:t>
            </w:r>
            <w:proofErr w:type="spellEnd"/>
            <w:r>
              <w:t xml:space="preserve"> are derived from the recipient’s postcode at time of assessment. Recipient’s postcodes not found in the </w:t>
            </w:r>
            <w:proofErr w:type="spellStart"/>
            <w:r>
              <w:t>ABS’s</w:t>
            </w:r>
            <w:proofErr w:type="spellEnd"/>
            <w:r>
              <w:t xml:space="preserve"> </w:t>
            </w:r>
            <w:proofErr w:type="spellStart"/>
            <w:r>
              <w:t>SEIFA</w:t>
            </w:r>
            <w:proofErr w:type="spellEnd"/>
            <w:r>
              <w:t xml:space="preserve"> data are excluded.</w:t>
            </w:r>
          </w:p>
          <w:p w:rsidR="009E429E" w:rsidRPr="00563446" w:rsidRDefault="009E429E" w:rsidP="00E87B88">
            <w:pPr>
              <w:pStyle w:val="TableBodyText"/>
              <w:shd w:val="clear" w:color="auto" w:fill="FFFFFF" w:themeFill="background1"/>
              <w:spacing w:after="120"/>
              <w:jc w:val="both"/>
            </w:pPr>
            <w:r>
              <w:t xml:space="preserve">The data for elapsed time by remoteness and </w:t>
            </w:r>
            <w:proofErr w:type="spellStart"/>
            <w:r>
              <w:t>SEIFA</w:t>
            </w:r>
            <w:proofErr w:type="spellEnd"/>
            <w:r>
              <w:t xml:space="preserve"> were sourced at a later date than the data for elapsed time by state/territory resulting in slightly different total numbers of admissions. The variance across the different breakdowns of this indicator is less than 0.3 per cent.</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Coherence</w:t>
            </w:r>
          </w:p>
        </w:tc>
        <w:tc>
          <w:tcPr>
            <w:tcW w:w="3877" w:type="pct"/>
            <w:gridSpan w:val="3"/>
            <w:shd w:val="clear" w:color="auto" w:fill="FFFFFF" w:themeFill="background1"/>
          </w:tcPr>
          <w:p w:rsidR="009E429E" w:rsidRDefault="009E429E" w:rsidP="00E87B88">
            <w:pPr>
              <w:pStyle w:val="TableBodyText"/>
              <w:shd w:val="clear" w:color="auto" w:fill="FFFFFF" w:themeFill="background1"/>
              <w:spacing w:after="120"/>
              <w:jc w:val="both"/>
            </w:pPr>
            <w:r>
              <w:t xml:space="preserve">The state/territory level data items used to construct this performance indicator are consistent and comparable over time. As noted in the Accuracy section above, there is variance between the state/territory level data items and the data for remoteness and </w:t>
            </w:r>
            <w:proofErr w:type="spellStart"/>
            <w:r>
              <w:t>SEIFA</w:t>
            </w:r>
            <w:proofErr w:type="spellEnd"/>
            <w:r>
              <w:t>. This occurs for 2012</w:t>
            </w:r>
            <w:r w:rsidR="00104B60">
              <w:noBreakHyphen/>
            </w:r>
            <w:r>
              <w:t>13 data and 2011</w:t>
            </w:r>
            <w:r w:rsidR="00104B60">
              <w:noBreakHyphen/>
            </w:r>
            <w:r>
              <w:t xml:space="preserve">12 data (supplied in the previous reporting cycle). </w:t>
            </w:r>
          </w:p>
          <w:p w:rsidR="009E429E" w:rsidRDefault="009E429E" w:rsidP="00D42F78">
            <w:pPr>
              <w:pStyle w:val="TableBodyText"/>
              <w:shd w:val="clear" w:color="auto" w:fill="FFFFFF" w:themeFill="background1"/>
              <w:spacing w:after="120"/>
              <w:jc w:val="both"/>
            </w:pPr>
            <w:r>
              <w:t>For 2011</w:t>
            </w:r>
            <w:r w:rsidR="00104B60">
              <w:noBreakHyphen/>
            </w:r>
            <w:r>
              <w:t>12 and subsequent years, cells have been suppressed to protect confidentiality where the presentation could identify an aged care recipient or where rates are likely to be highly volatile, for example where the denominator is very small. The following rules were applied:</w:t>
            </w:r>
          </w:p>
          <w:p w:rsidR="009E429E" w:rsidRDefault="009E429E" w:rsidP="00D42F78">
            <w:pPr>
              <w:pStyle w:val="TableBullet"/>
              <w:shd w:val="clear" w:color="auto" w:fill="FFFFFF" w:themeFill="background1"/>
              <w:spacing w:after="120"/>
            </w:pPr>
            <w:r>
              <w:t>Rates were suppressed where the numerator was less than 5 and/or the denominator was less than 10.</w:t>
            </w:r>
          </w:p>
          <w:p w:rsidR="009E429E" w:rsidRDefault="009E429E" w:rsidP="00D42F78">
            <w:pPr>
              <w:pStyle w:val="TableBullet"/>
              <w:shd w:val="clear" w:color="auto" w:fill="FFFFFF" w:themeFill="background1"/>
              <w:spacing w:after="120"/>
            </w:pPr>
            <w:r>
              <w:t>Counts were suppressed when the number was less than 5.</w:t>
            </w:r>
          </w:p>
          <w:p w:rsidR="009E429E" w:rsidRDefault="009E429E" w:rsidP="00D42F78">
            <w:pPr>
              <w:pStyle w:val="TableBullet"/>
              <w:shd w:val="clear" w:color="auto" w:fill="FFFFFF" w:themeFill="background1"/>
              <w:spacing w:after="120"/>
            </w:pPr>
            <w:r>
              <w:t>Consequential suppression was applied.</w:t>
            </w:r>
          </w:p>
          <w:p w:rsidR="009E429E" w:rsidRDefault="009E429E" w:rsidP="00D42F78">
            <w:pPr>
              <w:pStyle w:val="TableBodyText"/>
              <w:shd w:val="clear" w:color="auto" w:fill="FFFFFF" w:themeFill="background1"/>
              <w:spacing w:before="120" w:after="120"/>
              <w:jc w:val="both"/>
            </w:pPr>
            <w:r>
              <w:t xml:space="preserve">In 2011, the ABS updated the standard geography used in Australia for most data collections from the </w:t>
            </w:r>
            <w:proofErr w:type="spellStart"/>
            <w:r>
              <w:t>ASGC</w:t>
            </w:r>
            <w:proofErr w:type="spellEnd"/>
            <w:r>
              <w:t xml:space="preserve"> to the </w:t>
            </w:r>
            <w:proofErr w:type="spellStart"/>
            <w:r>
              <w:t>ASGS</w:t>
            </w:r>
            <w:proofErr w:type="spellEnd"/>
            <w:r>
              <w:t xml:space="preserve">. Also updated at this time were remoteness areas and the </w:t>
            </w:r>
            <w:proofErr w:type="spellStart"/>
            <w:r>
              <w:t>SEIFA</w:t>
            </w:r>
            <w:proofErr w:type="spellEnd"/>
            <w:r>
              <w:t>, based on the 2011 ABS Census of Population and Housing.</w:t>
            </w:r>
          </w:p>
          <w:p w:rsidR="009E429E" w:rsidRDefault="009E429E" w:rsidP="00D42F78">
            <w:pPr>
              <w:pStyle w:val="TableBodyText"/>
              <w:shd w:val="clear" w:color="auto" w:fill="FFFFFF" w:themeFill="background1"/>
              <w:spacing w:before="120" w:after="120"/>
              <w:jc w:val="both"/>
            </w:pPr>
            <w:r>
              <w:t xml:space="preserve">The new remoteness areas will be referred to as RA 2011, and the previous remoteness areas as RA 2006. 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p>
          <w:p w:rsidR="009E429E" w:rsidRDefault="009E429E" w:rsidP="00D42F78">
            <w:pPr>
              <w:pStyle w:val="TableBodyText"/>
              <w:shd w:val="clear" w:color="auto" w:fill="FFFFFF" w:themeFill="background1"/>
              <w:spacing w:before="120" w:after="120"/>
              <w:jc w:val="both"/>
            </w:pPr>
            <w:r>
              <w:t>Data for 2011</w:t>
            </w:r>
            <w:r w:rsidR="00104B60">
              <w:noBreakHyphen/>
            </w:r>
            <w:r>
              <w:t>12 (reported in the previous cycle) were reported for RA 2006.</w:t>
            </w:r>
            <w:r w:rsidR="00104B60">
              <w:t xml:space="preserve"> </w:t>
            </w:r>
            <w:r>
              <w:t>Data for 2012</w:t>
            </w:r>
            <w:r w:rsidR="00104B60">
              <w:noBreakHyphen/>
            </w:r>
            <w:r>
              <w:t>13 (reported this cycle) are reported for RA 2011.</w:t>
            </w:r>
            <w:r w:rsidR="00104B60">
              <w:t xml:space="preserve"> </w:t>
            </w:r>
            <w:r>
              <w:t>The AIHW considers the change from RA 2006 to RA 2011 to be a series break when applied to data supplied for this indicator, therefore remoteness data for 2011</w:t>
            </w:r>
            <w:r w:rsidR="00104B60">
              <w:noBreakHyphen/>
            </w:r>
            <w:r>
              <w:t>12 are not directly comparable to remoteness data for 2012</w:t>
            </w:r>
            <w:r w:rsidR="00104B60">
              <w:noBreakHyphen/>
            </w:r>
            <w:r>
              <w:t>13 and subsequent years.</w:t>
            </w:r>
          </w:p>
          <w:p w:rsidR="009E429E" w:rsidRPr="00563446" w:rsidRDefault="009E429E" w:rsidP="00D42F78">
            <w:pPr>
              <w:pStyle w:val="TableBodyText"/>
              <w:shd w:val="clear" w:color="auto" w:fill="FFFFFF" w:themeFill="background1"/>
              <w:spacing w:after="120"/>
              <w:jc w:val="both"/>
            </w:pPr>
            <w:r>
              <w:lastRenderedPageBreak/>
              <w:t>Data for 2011</w:t>
            </w:r>
            <w:r w:rsidR="00104B60">
              <w:noBreakHyphen/>
            </w:r>
            <w:r>
              <w:t xml:space="preserve">12 (reported in the previous cycle) for </w:t>
            </w:r>
            <w:proofErr w:type="spellStart"/>
            <w:r>
              <w:t>SEIFA</w:t>
            </w:r>
            <w:proofErr w:type="spellEnd"/>
            <w:r>
              <w:t xml:space="preserve"> quintiles and </w:t>
            </w:r>
            <w:proofErr w:type="spellStart"/>
            <w:r>
              <w:t>deciles</w:t>
            </w:r>
            <w:proofErr w:type="spellEnd"/>
            <w:r>
              <w:t xml:space="preserve"> w</w:t>
            </w:r>
            <w:r w:rsidR="00D42F78">
              <w:t xml:space="preserve">ere reported using </w:t>
            </w:r>
            <w:proofErr w:type="spellStart"/>
            <w:r w:rsidR="00D42F78">
              <w:t>SEIFA</w:t>
            </w:r>
            <w:proofErr w:type="spellEnd"/>
            <w:r w:rsidR="00D42F78">
              <w:t xml:space="preserve"> 2006. </w:t>
            </w:r>
            <w:r>
              <w:t>Data for 2012</w:t>
            </w:r>
            <w:r w:rsidR="00104B60">
              <w:noBreakHyphen/>
            </w:r>
            <w:r>
              <w:t xml:space="preserve">13 (reported this cycle) for </w:t>
            </w:r>
            <w:proofErr w:type="spellStart"/>
            <w:r>
              <w:t>SEIFA</w:t>
            </w:r>
            <w:proofErr w:type="spellEnd"/>
            <w:r>
              <w:t xml:space="preserve"> quintiles and </w:t>
            </w:r>
            <w:proofErr w:type="spellStart"/>
            <w:r>
              <w:t>deciles</w:t>
            </w:r>
            <w:proofErr w:type="spellEnd"/>
            <w:r>
              <w:t xml:space="preserve"> are reported using </w:t>
            </w:r>
            <w:proofErr w:type="spellStart"/>
            <w:r>
              <w:t>SEIFA</w:t>
            </w:r>
            <w:proofErr w:type="spellEnd"/>
            <w:r>
              <w:t xml:space="preserve"> 2011.</w:t>
            </w:r>
            <w:r w:rsidR="00104B60">
              <w:t xml:space="preserve"> </w:t>
            </w:r>
            <w:r>
              <w:t xml:space="preserve">The AIHW considers the change from </w:t>
            </w:r>
            <w:proofErr w:type="spellStart"/>
            <w:r>
              <w:t>SEIFA</w:t>
            </w:r>
            <w:proofErr w:type="spellEnd"/>
            <w:r>
              <w:t xml:space="preserve"> 2006 to </w:t>
            </w:r>
            <w:proofErr w:type="spellStart"/>
            <w:r>
              <w:t>SEIFA</w:t>
            </w:r>
            <w:proofErr w:type="spellEnd"/>
            <w:r>
              <w:t xml:space="preserve"> 2011 to be a series break when applied to data supplied for this indicator, therefore </w:t>
            </w:r>
            <w:proofErr w:type="spellStart"/>
            <w:r>
              <w:t>SEIFA</w:t>
            </w:r>
            <w:proofErr w:type="spellEnd"/>
            <w:r>
              <w:t xml:space="preserve"> data for 2012</w:t>
            </w:r>
            <w:r w:rsidR="00104B60">
              <w:noBreakHyphen/>
            </w:r>
            <w:r>
              <w:t xml:space="preserve">13 and subsequent years are not directly comparable with </w:t>
            </w:r>
            <w:proofErr w:type="spellStart"/>
            <w:r>
              <w:t>SEIFA</w:t>
            </w:r>
            <w:proofErr w:type="spellEnd"/>
            <w:r>
              <w:t xml:space="preserve"> data for 2011</w:t>
            </w:r>
            <w:r w:rsidR="00104B60">
              <w:noBreakHyphen/>
            </w:r>
            <w:r>
              <w:t>12.</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lastRenderedPageBreak/>
              <w:t>Accessibility</w:t>
            </w:r>
          </w:p>
        </w:tc>
        <w:tc>
          <w:tcPr>
            <w:tcW w:w="3877" w:type="pct"/>
            <w:gridSpan w:val="3"/>
            <w:shd w:val="clear" w:color="auto" w:fill="FFFFFF" w:themeFill="background1"/>
          </w:tcPr>
          <w:p w:rsidR="009E429E" w:rsidRPr="00563446" w:rsidRDefault="009E429E" w:rsidP="00E87B88">
            <w:pPr>
              <w:pStyle w:val="TableBodyText"/>
              <w:shd w:val="clear" w:color="auto" w:fill="FFFFFF" w:themeFill="background1"/>
              <w:spacing w:after="120"/>
              <w:jc w:val="both"/>
            </w:pPr>
            <w:r w:rsidRPr="009E429E">
              <w:t>The data for this indicator are also used to report in the Report on Government Services.</w:t>
            </w:r>
          </w:p>
        </w:tc>
      </w:tr>
      <w:tr w:rsidR="009E429E" w:rsidRPr="00C41CA2" w:rsidTr="00E87B88">
        <w:tblPrEx>
          <w:tblCellMar>
            <w:left w:w="108" w:type="dxa"/>
            <w:right w:w="108" w:type="dxa"/>
          </w:tblCellMar>
          <w:tblLook w:val="01E0" w:firstRow="1" w:lastRow="1" w:firstColumn="1" w:lastColumn="1" w:noHBand="0" w:noVBand="0"/>
        </w:tblPrEx>
        <w:tc>
          <w:tcPr>
            <w:tcW w:w="1123" w:type="pct"/>
            <w:shd w:val="clear" w:color="auto" w:fill="auto"/>
          </w:tcPr>
          <w:p w:rsidR="009E429E" w:rsidRPr="00C41CA2" w:rsidRDefault="009E429E" w:rsidP="00E87B88">
            <w:pPr>
              <w:keepNext/>
              <w:keepLines/>
              <w:shd w:val="clear" w:color="auto" w:fill="FFFFFF" w:themeFill="background1"/>
              <w:spacing w:line="220" w:lineRule="atLeast"/>
              <w:ind w:left="6" w:right="113"/>
              <w:rPr>
                <w:rFonts w:ascii="Arial" w:hAnsi="Arial"/>
                <w:b/>
                <w:sz w:val="20"/>
                <w:szCs w:val="20"/>
              </w:rPr>
            </w:pPr>
            <w:r w:rsidRPr="00C41CA2">
              <w:rPr>
                <w:rFonts w:ascii="Arial" w:hAnsi="Arial"/>
                <w:b/>
                <w:sz w:val="20"/>
                <w:szCs w:val="20"/>
              </w:rPr>
              <w:t>Interpretability</w:t>
            </w:r>
          </w:p>
        </w:tc>
        <w:tc>
          <w:tcPr>
            <w:tcW w:w="3877" w:type="pct"/>
            <w:gridSpan w:val="3"/>
            <w:shd w:val="clear" w:color="auto" w:fill="FFFFFF" w:themeFill="background1"/>
          </w:tcPr>
          <w:p w:rsidR="009E429E" w:rsidRPr="00563446" w:rsidRDefault="009E429E" w:rsidP="00E87B88">
            <w:pPr>
              <w:pStyle w:val="TableBodyText"/>
              <w:shd w:val="clear" w:color="auto" w:fill="FFFFFF" w:themeFill="background1"/>
              <w:spacing w:after="120"/>
              <w:jc w:val="both"/>
            </w:pPr>
            <w:r w:rsidRPr="009E429E">
              <w:t>The Report on Government Services includes footnotes and explanations on this measure.</w:t>
            </w:r>
          </w:p>
        </w:tc>
      </w:tr>
      <w:tr w:rsidR="009E429E" w:rsidRPr="00FC28BE" w:rsidTr="00E87B88">
        <w:tblPrEx>
          <w:tblCellMar>
            <w:left w:w="108" w:type="dxa"/>
            <w:right w:w="108" w:type="dxa"/>
          </w:tblCellMar>
          <w:tblLook w:val="01E0" w:firstRow="1" w:lastRow="1" w:firstColumn="1" w:lastColumn="1" w:noHBand="0" w:noVBand="0"/>
        </w:tblPrEx>
        <w:trPr>
          <w:gridAfter w:val="2"/>
          <w:wAfter w:w="29" w:type="pct"/>
          <w:trHeight w:val="225"/>
        </w:trPr>
        <w:tc>
          <w:tcPr>
            <w:tcW w:w="4971" w:type="pct"/>
            <w:gridSpan w:val="2"/>
            <w:shd w:val="clear" w:color="auto" w:fill="FFFFFF" w:themeFill="background1"/>
          </w:tcPr>
          <w:p w:rsidR="009E429E" w:rsidRDefault="009E429E" w:rsidP="00E87B88">
            <w:pPr>
              <w:pStyle w:val="TableBodyText"/>
              <w:shd w:val="clear" w:color="auto" w:fill="FFFFFF" w:themeFill="background1"/>
              <w:jc w:val="both"/>
              <w:rPr>
                <w:rFonts w:cs="Arial"/>
                <w:b/>
                <w:szCs w:val="22"/>
                <w:u w:val="single"/>
              </w:rPr>
            </w:pPr>
          </w:p>
          <w:p w:rsidR="009E429E" w:rsidRPr="00FC28BE" w:rsidRDefault="009E429E" w:rsidP="00E87B88">
            <w:pPr>
              <w:pStyle w:val="TableBodyText"/>
              <w:shd w:val="clear" w:color="auto" w:fill="FFFFFF" w:themeFill="background1"/>
              <w:spacing w:before="120"/>
              <w:ind w:left="0"/>
              <w:jc w:val="both"/>
              <w:rPr>
                <w:rFonts w:cs="Arial"/>
                <w:b/>
                <w:szCs w:val="22"/>
                <w:u w:val="single"/>
              </w:rPr>
            </w:pPr>
            <w:r w:rsidRPr="00FC28BE">
              <w:rPr>
                <w:rFonts w:cs="Arial"/>
                <w:b/>
                <w:szCs w:val="22"/>
                <w:u w:val="single"/>
              </w:rPr>
              <w:t>Data Gaps/Issues Analysis</w:t>
            </w:r>
          </w:p>
        </w:tc>
      </w:tr>
      <w:tr w:rsidR="009E429E" w:rsidRPr="000530A7" w:rsidTr="00E87B88">
        <w:tblPrEx>
          <w:tblCellMar>
            <w:left w:w="108" w:type="dxa"/>
            <w:right w:w="108" w:type="dxa"/>
          </w:tblCellMar>
          <w:tblLook w:val="01E0" w:firstRow="1" w:lastRow="1" w:firstColumn="1" w:lastColumn="1" w:noHBand="0" w:noVBand="0"/>
        </w:tblPrEx>
        <w:trPr>
          <w:gridAfter w:val="2"/>
          <w:wAfter w:w="29" w:type="pct"/>
        </w:trPr>
        <w:tc>
          <w:tcPr>
            <w:tcW w:w="1123" w:type="pct"/>
          </w:tcPr>
          <w:p w:rsidR="009E429E" w:rsidRPr="00672B5F" w:rsidRDefault="009E429E" w:rsidP="00E87B88">
            <w:pPr>
              <w:pStyle w:val="TableBodyText"/>
              <w:shd w:val="clear" w:color="auto" w:fill="FFFFFF" w:themeFill="background1"/>
              <w:spacing w:before="120"/>
              <w:ind w:left="0"/>
              <w:jc w:val="both"/>
              <w:rPr>
                <w:rFonts w:cs="Arial"/>
                <w:b/>
                <w:szCs w:val="22"/>
              </w:rPr>
            </w:pPr>
            <w:r w:rsidRPr="00672B5F">
              <w:rPr>
                <w:rFonts w:cs="Arial"/>
                <w:b/>
                <w:szCs w:val="22"/>
              </w:rPr>
              <w:t>Key data gaps/issues</w:t>
            </w:r>
          </w:p>
        </w:tc>
        <w:tc>
          <w:tcPr>
            <w:tcW w:w="3848" w:type="pct"/>
            <w:shd w:val="clear" w:color="auto" w:fill="FFFFFF" w:themeFill="background1"/>
          </w:tcPr>
          <w:p w:rsidR="009E429E" w:rsidRPr="00F37DA7" w:rsidRDefault="009E429E" w:rsidP="00E87B88">
            <w:pPr>
              <w:pStyle w:val="TableBodyText"/>
              <w:shd w:val="clear" w:color="auto" w:fill="FFFFFF" w:themeFill="background1"/>
              <w:spacing w:after="60"/>
              <w:jc w:val="both"/>
              <w:rPr>
                <w:rFonts w:cs="Arial"/>
              </w:rPr>
            </w:pPr>
            <w:r w:rsidRPr="00F37DA7">
              <w:rPr>
                <w:rFonts w:cs="Arial"/>
              </w:rPr>
              <w:t xml:space="preserve">The Steering Committee notes the following issues: </w:t>
            </w:r>
          </w:p>
          <w:p w:rsidR="0043387B" w:rsidRPr="0043387B" w:rsidRDefault="0043387B" w:rsidP="00E87B88">
            <w:pPr>
              <w:pStyle w:val="TableBullet"/>
              <w:shd w:val="clear" w:color="auto" w:fill="FFFFFF" w:themeFill="background1"/>
            </w:pPr>
            <w:r w:rsidRPr="0043387B">
              <w:t xml:space="preserve">Caution should be exercised when interpreting these data, as they do not include those clients who have received an ACAT </w:t>
            </w:r>
            <w:r w:rsidRPr="00E87B88">
              <w:t>approval</w:t>
            </w:r>
            <w:r w:rsidRPr="0043387B">
              <w:t xml:space="preserve"> and who may have spent time waiting, but who:</w:t>
            </w:r>
          </w:p>
          <w:p w:rsidR="0043387B" w:rsidRPr="0043387B" w:rsidRDefault="0043387B" w:rsidP="00237358">
            <w:pPr>
              <w:pStyle w:val="TableBullet"/>
              <w:numPr>
                <w:ilvl w:val="0"/>
                <w:numId w:val="19"/>
              </w:numPr>
              <w:shd w:val="clear" w:color="auto" w:fill="FFFFFF" w:themeFill="background1"/>
              <w:ind w:left="883"/>
            </w:pPr>
            <w:r w:rsidRPr="0043387B">
              <w:t>do not enter residential care or commence a CACP, EACH or EACH</w:t>
            </w:r>
            <w:r w:rsidR="003306B4">
              <w:t>-</w:t>
            </w:r>
            <w:r w:rsidRPr="0043387B">
              <w:t>D (for example, who die before entering care)</w:t>
            </w:r>
          </w:p>
          <w:p w:rsidR="0043387B" w:rsidRPr="0043387B" w:rsidRDefault="0043387B" w:rsidP="00237358">
            <w:pPr>
              <w:pStyle w:val="TableBullet"/>
              <w:numPr>
                <w:ilvl w:val="0"/>
                <w:numId w:val="19"/>
              </w:numPr>
              <w:shd w:val="clear" w:color="auto" w:fill="FFFFFF" w:themeFill="background1"/>
              <w:spacing w:after="120"/>
              <w:ind w:left="879" w:hanging="357"/>
            </w:pPr>
            <w:r w:rsidRPr="0043387B">
              <w:t>ultimately decide not to take</w:t>
            </w:r>
            <w:r w:rsidR="00104B60">
              <w:noBreakHyphen/>
            </w:r>
            <w:r w:rsidRPr="0043387B">
              <w:t>up a care placement offer.</w:t>
            </w:r>
          </w:p>
          <w:p w:rsidR="009E429E" w:rsidRPr="00F37DA7" w:rsidRDefault="0043387B" w:rsidP="00E87B88">
            <w:pPr>
              <w:pStyle w:val="TableBullet"/>
              <w:shd w:val="clear" w:color="auto" w:fill="FFFFFF" w:themeFill="background1"/>
              <w:rPr>
                <w:rFonts w:cs="Arial"/>
              </w:rPr>
            </w:pPr>
            <w:r w:rsidRPr="0043387B">
              <w:t>For residential aged care, it is important to focus on high care services, as the link between ‘elapsed time’ before entry to residential care and actual ‘waiting time’ is stronger for high care residents than for low care residents.</w:t>
            </w:r>
          </w:p>
        </w:tc>
      </w:tr>
    </w:tbl>
    <w:p w:rsidR="0076174D" w:rsidRPr="00C41CA2" w:rsidRDefault="0076174D" w:rsidP="00E87B88">
      <w:pPr>
        <w:shd w:val="clear" w:color="auto" w:fill="FFFFFF" w:themeFill="background1"/>
        <w:spacing w:before="120"/>
      </w:pPr>
    </w:p>
    <w:bookmarkEnd w:id="37"/>
    <w:p w:rsidR="00E93722" w:rsidRDefault="00E93722">
      <w:pPr>
        <w:rPr>
          <w:szCs w:val="20"/>
        </w:rPr>
      </w:pPr>
      <w:r>
        <w:br w:type="page"/>
      </w:r>
    </w:p>
    <w:p w:rsidR="0058260A" w:rsidRPr="0097433A" w:rsidRDefault="0058260A" w:rsidP="00BE5B08">
      <w:pPr>
        <w:pStyle w:val="Heading3"/>
        <w:spacing w:before="120"/>
        <w:jc w:val="both"/>
        <w:rPr>
          <w:szCs w:val="24"/>
        </w:rPr>
      </w:pPr>
      <w:bookmarkStart w:id="38" w:name="_Toc377383327"/>
      <w:r w:rsidRPr="0097433A">
        <w:rPr>
          <w:szCs w:val="24"/>
        </w:rPr>
        <w:lastRenderedPageBreak/>
        <w:t>Hospital patient days used by those eligible and waiting for residential aged care</w:t>
      </w:r>
      <w:bookmarkEnd w:id="34"/>
      <w:bookmarkEnd w:id="35"/>
      <w:bookmarkEnd w:id="38"/>
    </w:p>
    <w:p w:rsidR="0097433A" w:rsidRPr="00EA5574" w:rsidRDefault="00EA5574" w:rsidP="00BE5B08">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58260A" w:rsidRPr="00EA5574">
        <w:rPr>
          <w:rFonts w:ascii="Arial" w:hAnsi="Arial"/>
          <w:color w:val="000000"/>
        </w:rPr>
        <w:t xml:space="preserve"> for this indicator has been sourced from the Steering Committee’s report to the COAG Reform Council on the National Healthcare Agreement (data supplied by AIHW) with additional Steering Committee comments.</w:t>
      </w:r>
    </w:p>
    <w:p w:rsidR="00A504F3" w:rsidRPr="00E93722" w:rsidRDefault="00A504F3" w:rsidP="00BE5B08">
      <w:pPr>
        <w:pStyle w:val="BodyText"/>
        <w:keepNext/>
        <w:keepLines/>
        <w:spacing w:before="120" w:line="240" w:lineRule="auto"/>
        <w:rPr>
          <w:rFonts w:ascii="Arial" w:hAnsi="Arial" w:cs="Arial"/>
          <w:sz w:val="22"/>
          <w:szCs w:val="22"/>
        </w:rPr>
      </w:pPr>
    </w:p>
    <w:tbl>
      <w:tblPr>
        <w:tblW w:w="8789" w:type="dxa"/>
        <w:tblInd w:w="108" w:type="dxa"/>
        <w:tblLayout w:type="fixed"/>
        <w:tblLook w:val="01E0" w:firstRow="1" w:lastRow="1" w:firstColumn="1" w:lastColumn="1" w:noHBand="0" w:noVBand="0"/>
      </w:tblPr>
      <w:tblGrid>
        <w:gridCol w:w="1801"/>
        <w:gridCol w:w="42"/>
        <w:gridCol w:w="6946"/>
      </w:tblGrid>
      <w:tr w:rsidR="0058260A" w:rsidRPr="0097433A" w:rsidTr="00A407D7">
        <w:tc>
          <w:tcPr>
            <w:tcW w:w="8789" w:type="dxa"/>
            <w:gridSpan w:val="3"/>
            <w:tcBorders>
              <w:top w:val="nil"/>
              <w:left w:val="nil"/>
              <w:bottom w:val="nil"/>
              <w:right w:val="nil"/>
            </w:tcBorders>
          </w:tcPr>
          <w:p w:rsidR="0058260A" w:rsidRPr="0097433A" w:rsidRDefault="0058260A" w:rsidP="00BE5B08">
            <w:pPr>
              <w:pStyle w:val="TableBodyText"/>
              <w:jc w:val="both"/>
              <w:rPr>
                <w:b/>
                <w:u w:val="single"/>
              </w:rPr>
            </w:pPr>
          </w:p>
          <w:p w:rsidR="0058260A" w:rsidRPr="0097433A" w:rsidRDefault="0058260A" w:rsidP="00BE5B08">
            <w:pPr>
              <w:pStyle w:val="TableBodyText"/>
              <w:jc w:val="both"/>
              <w:rPr>
                <w:rFonts w:cs="Arial"/>
              </w:rPr>
            </w:pPr>
            <w:r w:rsidRPr="0097433A">
              <w:rPr>
                <w:b/>
                <w:u w:val="single"/>
              </w:rPr>
              <w:t>Indicator definition and description</w:t>
            </w:r>
          </w:p>
        </w:tc>
      </w:tr>
      <w:tr w:rsidR="0058260A" w:rsidRPr="0097433A" w:rsidTr="00A407D7">
        <w:tc>
          <w:tcPr>
            <w:tcW w:w="1801" w:type="dxa"/>
            <w:tcBorders>
              <w:top w:val="nil"/>
              <w:left w:val="nil"/>
              <w:bottom w:val="nil"/>
              <w:right w:val="nil"/>
            </w:tcBorders>
          </w:tcPr>
          <w:p w:rsidR="0058260A" w:rsidRPr="0097433A" w:rsidRDefault="0058260A" w:rsidP="00BE5B08">
            <w:pPr>
              <w:spacing w:after="60"/>
              <w:jc w:val="both"/>
              <w:rPr>
                <w:rFonts w:ascii="Arial" w:hAnsi="Arial" w:cs="Arial"/>
                <w:b/>
                <w:sz w:val="20"/>
              </w:rPr>
            </w:pPr>
            <w:r w:rsidRPr="0097433A">
              <w:rPr>
                <w:rFonts w:ascii="Arial" w:hAnsi="Arial" w:cs="Arial"/>
                <w:b/>
                <w:sz w:val="20"/>
              </w:rPr>
              <w:t>Element</w:t>
            </w:r>
          </w:p>
        </w:tc>
        <w:tc>
          <w:tcPr>
            <w:tcW w:w="6988" w:type="dxa"/>
            <w:gridSpan w:val="2"/>
            <w:tcBorders>
              <w:top w:val="nil"/>
              <w:left w:val="nil"/>
              <w:bottom w:val="nil"/>
              <w:right w:val="nil"/>
            </w:tcBorders>
          </w:tcPr>
          <w:p w:rsidR="0058260A" w:rsidRPr="0097433A" w:rsidRDefault="0058260A" w:rsidP="00F965EE">
            <w:pPr>
              <w:pStyle w:val="TableBodyText"/>
              <w:jc w:val="both"/>
              <w:rPr>
                <w:rFonts w:cs="Arial"/>
                <w:b/>
              </w:rPr>
            </w:pPr>
            <w:r w:rsidRPr="00F965EE">
              <w:t>Effectiveness</w:t>
            </w:r>
            <w:r w:rsidRPr="0097433A">
              <w:rPr>
                <w:rFonts w:cs="Arial"/>
              </w:rPr>
              <w:t xml:space="preserve"> — Appropriateness</w:t>
            </w:r>
          </w:p>
        </w:tc>
      </w:tr>
      <w:bookmarkEnd w:id="13"/>
      <w:bookmarkEnd w:id="14"/>
      <w:tr w:rsidR="005B5672" w:rsidRPr="0097433A" w:rsidTr="00A407D7">
        <w:tc>
          <w:tcPr>
            <w:tcW w:w="1801" w:type="dxa"/>
            <w:tcBorders>
              <w:top w:val="nil"/>
              <w:left w:val="nil"/>
              <w:bottom w:val="nil"/>
              <w:right w:val="nil"/>
            </w:tcBorders>
          </w:tcPr>
          <w:p w:rsidR="005B5672" w:rsidRPr="0097433A" w:rsidRDefault="005B5672" w:rsidP="00BE5B08">
            <w:pPr>
              <w:jc w:val="both"/>
              <w:rPr>
                <w:rFonts w:ascii="Arial" w:hAnsi="Arial" w:cs="Arial"/>
                <w:b/>
                <w:sz w:val="20"/>
              </w:rPr>
            </w:pPr>
            <w:r w:rsidRPr="0097433A">
              <w:rPr>
                <w:rFonts w:ascii="Arial" w:hAnsi="Arial" w:cs="Arial"/>
                <w:b/>
                <w:sz w:val="20"/>
              </w:rPr>
              <w:t>Indicator</w:t>
            </w:r>
          </w:p>
        </w:tc>
        <w:tc>
          <w:tcPr>
            <w:tcW w:w="6988" w:type="dxa"/>
            <w:gridSpan w:val="2"/>
            <w:tcBorders>
              <w:top w:val="nil"/>
              <w:left w:val="nil"/>
              <w:bottom w:val="nil"/>
              <w:right w:val="nil"/>
            </w:tcBorders>
          </w:tcPr>
          <w:p w:rsidR="005B5672" w:rsidRPr="00563446" w:rsidRDefault="00485DD3" w:rsidP="00D42F78">
            <w:pPr>
              <w:pStyle w:val="TableBodyText"/>
              <w:spacing w:after="120"/>
              <w:jc w:val="both"/>
            </w:pPr>
            <w:r w:rsidRPr="00485DD3">
              <w:t xml:space="preserve">Number of hospital bed days used by patients whose acute (or </w:t>
            </w:r>
            <w:proofErr w:type="spellStart"/>
            <w:r w:rsidRPr="00485DD3">
              <w:t>sub acute</w:t>
            </w:r>
            <w:proofErr w:type="spellEnd"/>
            <w:r w:rsidRPr="00485DD3">
              <w:t>) episode of admitted patient care has finished and who have been assessed by an ACAT and approved for residential aged care.</w:t>
            </w:r>
          </w:p>
        </w:tc>
      </w:tr>
      <w:tr w:rsidR="005B5672" w:rsidRPr="0097433A" w:rsidTr="00D42F78">
        <w:tc>
          <w:tcPr>
            <w:tcW w:w="1801" w:type="dxa"/>
            <w:tcBorders>
              <w:top w:val="nil"/>
              <w:left w:val="nil"/>
              <w:bottom w:val="nil"/>
              <w:right w:val="nil"/>
            </w:tcBorders>
          </w:tcPr>
          <w:p w:rsidR="005B5672" w:rsidRPr="0097433A" w:rsidRDefault="005B5672" w:rsidP="00BE5B08">
            <w:pPr>
              <w:jc w:val="both"/>
              <w:rPr>
                <w:rFonts w:ascii="Arial" w:hAnsi="Arial" w:cs="Arial"/>
                <w:b/>
                <w:sz w:val="20"/>
              </w:rPr>
            </w:pPr>
            <w:r w:rsidRPr="0097433A">
              <w:rPr>
                <w:rFonts w:ascii="Arial" w:hAnsi="Arial" w:cs="Arial"/>
                <w:b/>
                <w:sz w:val="20"/>
              </w:rPr>
              <w:t>Measure (computation)</w:t>
            </w:r>
          </w:p>
        </w:tc>
        <w:tc>
          <w:tcPr>
            <w:tcW w:w="6988" w:type="dxa"/>
            <w:gridSpan w:val="2"/>
            <w:tcBorders>
              <w:top w:val="nil"/>
              <w:left w:val="nil"/>
              <w:bottom w:val="nil"/>
              <w:right w:val="nil"/>
            </w:tcBorders>
            <w:shd w:val="clear" w:color="auto" w:fill="FFFFFF" w:themeFill="background1"/>
          </w:tcPr>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The numerator is the number of patient days used by patients who are waiting for residential aged care where the care type is Maintenance, a diagnosis was reported as Person awaiting admission to residential aged care service and the separation mode was </w:t>
            </w:r>
            <w:proofErr w:type="spellStart"/>
            <w:r w:rsidRPr="00485DD3">
              <w:rPr>
                <w:rFonts w:ascii="Arial" w:hAnsi="Arial"/>
                <w:sz w:val="20"/>
                <w:szCs w:val="20"/>
              </w:rPr>
              <w:t>not</w:t>
            </w:r>
            <w:proofErr w:type="spellEnd"/>
            <w:r w:rsidRPr="00485DD3">
              <w:rPr>
                <w:rFonts w:ascii="Arial" w:hAnsi="Arial"/>
                <w:sz w:val="20"/>
                <w:szCs w:val="20"/>
              </w:rPr>
              <w:t xml:space="preserve"> Other (includes discharge to place of usual residence). Includes overnight separations only.</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denominator is the total number of patient days (including overnight and same</w:t>
            </w:r>
            <w:r w:rsidR="00104B60">
              <w:rPr>
                <w:rFonts w:ascii="Arial" w:hAnsi="Arial"/>
                <w:sz w:val="20"/>
                <w:szCs w:val="20"/>
              </w:rPr>
              <w:noBreakHyphen/>
            </w:r>
            <w:r w:rsidRPr="00485DD3">
              <w:rPr>
                <w:rFonts w:ascii="Arial" w:hAnsi="Arial"/>
                <w:sz w:val="20"/>
                <w:szCs w:val="20"/>
              </w:rPr>
              <w:t>day separations).</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An overnight separation is an episode of care for an admitted patient that involves at least one overnight stay</w:t>
            </w:r>
            <w:r w:rsidR="00104B60">
              <w:rPr>
                <w:rFonts w:ascii="Arial" w:hAnsi="Arial"/>
                <w:sz w:val="20"/>
                <w:szCs w:val="20"/>
              </w:rPr>
              <w:t xml:space="preserve"> </w:t>
            </w:r>
            <w:r w:rsidRPr="00485DD3">
              <w:rPr>
                <w:rFonts w:ascii="Arial" w:hAnsi="Arial"/>
                <w:sz w:val="20"/>
                <w:szCs w:val="20"/>
              </w:rPr>
              <w:t>—</w:t>
            </w:r>
            <w:r w:rsidR="00104B60">
              <w:rPr>
                <w:rFonts w:ascii="Arial" w:hAnsi="Arial"/>
                <w:sz w:val="20"/>
                <w:szCs w:val="20"/>
              </w:rPr>
              <w:t xml:space="preserve"> </w:t>
            </w:r>
            <w:r w:rsidRPr="00485DD3">
              <w:rPr>
                <w:rFonts w:ascii="Arial" w:hAnsi="Arial"/>
                <w:sz w:val="20"/>
                <w:szCs w:val="20"/>
              </w:rPr>
              <w:t xml:space="preserve">that is, the date of admission and date of separation are different. </w:t>
            </w:r>
          </w:p>
          <w:p w:rsidR="005B5672" w:rsidRPr="00563446" w:rsidRDefault="00104B60" w:rsidP="00D42F78">
            <w:pPr>
              <w:keepNext/>
              <w:keepLines/>
              <w:spacing w:after="120" w:line="220" w:lineRule="atLeast"/>
              <w:ind w:left="6" w:right="113"/>
              <w:jc w:val="both"/>
            </w:pPr>
            <w:r>
              <w:rPr>
                <w:rFonts w:ascii="Arial" w:hAnsi="Arial"/>
                <w:sz w:val="20"/>
                <w:szCs w:val="20"/>
              </w:rPr>
              <w:t>Calculation is 1</w:t>
            </w:r>
            <w:r w:rsidR="00485DD3" w:rsidRPr="00485DD3">
              <w:rPr>
                <w:rFonts w:ascii="Arial" w:hAnsi="Arial"/>
                <w:sz w:val="20"/>
                <w:szCs w:val="20"/>
              </w:rPr>
              <w:t>000 × (numerator ÷ denominator).</w:t>
            </w:r>
          </w:p>
        </w:tc>
      </w:tr>
      <w:tr w:rsidR="005B5672" w:rsidRPr="0097433A" w:rsidTr="00D42F78">
        <w:tc>
          <w:tcPr>
            <w:tcW w:w="1801" w:type="dxa"/>
            <w:tcBorders>
              <w:top w:val="nil"/>
              <w:left w:val="nil"/>
              <w:bottom w:val="nil"/>
              <w:right w:val="nil"/>
            </w:tcBorders>
          </w:tcPr>
          <w:p w:rsidR="005B5672" w:rsidRPr="0097433A" w:rsidRDefault="005B5672" w:rsidP="00BE5B08">
            <w:pPr>
              <w:jc w:val="both"/>
              <w:rPr>
                <w:rFonts w:ascii="Arial" w:hAnsi="Arial" w:cs="Arial"/>
                <w:b/>
                <w:sz w:val="20"/>
              </w:rPr>
            </w:pPr>
            <w:r w:rsidRPr="0097433A">
              <w:rPr>
                <w:rFonts w:ascii="Arial" w:hAnsi="Arial" w:cs="Arial"/>
                <w:b/>
                <w:sz w:val="20"/>
              </w:rPr>
              <w:t>Data source/s</w:t>
            </w:r>
          </w:p>
        </w:tc>
        <w:tc>
          <w:tcPr>
            <w:tcW w:w="6988" w:type="dxa"/>
            <w:gridSpan w:val="2"/>
            <w:tcBorders>
              <w:top w:val="nil"/>
              <w:left w:val="nil"/>
              <w:bottom w:val="nil"/>
              <w:right w:val="nil"/>
            </w:tcBorders>
            <w:shd w:val="clear" w:color="auto" w:fill="FFFFFF" w:themeFill="background1"/>
          </w:tcPr>
          <w:p w:rsidR="00485DD3" w:rsidRPr="00485DD3" w:rsidRDefault="00485DD3" w:rsidP="00D42F78">
            <w:pPr>
              <w:keepNext/>
              <w:keepLines/>
              <w:spacing w:after="120" w:line="220" w:lineRule="atLeast"/>
              <w:ind w:left="6" w:right="113"/>
              <w:jc w:val="both"/>
              <w:rPr>
                <w:rFonts w:ascii="Arial" w:hAnsi="Arial"/>
                <w:i/>
                <w:sz w:val="20"/>
                <w:szCs w:val="20"/>
              </w:rPr>
            </w:pPr>
            <w:r w:rsidRPr="00485DD3">
              <w:rPr>
                <w:rFonts w:ascii="Arial" w:hAnsi="Arial"/>
                <w:i/>
                <w:sz w:val="20"/>
                <w:szCs w:val="20"/>
              </w:rPr>
              <w:t>Numerator and denominator:</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This indicator is calculated using data from the N</w:t>
            </w:r>
            <w:r w:rsidR="00365743">
              <w:rPr>
                <w:rFonts w:ascii="Arial" w:hAnsi="Arial"/>
                <w:sz w:val="20"/>
                <w:szCs w:val="20"/>
              </w:rPr>
              <w:t xml:space="preserve">ational </w:t>
            </w:r>
            <w:r w:rsidR="00365743" w:rsidRPr="00485DD3">
              <w:rPr>
                <w:rFonts w:ascii="Arial" w:hAnsi="Arial"/>
                <w:sz w:val="20"/>
                <w:szCs w:val="20"/>
              </w:rPr>
              <w:t>H</w:t>
            </w:r>
            <w:r w:rsidR="00365743">
              <w:rPr>
                <w:rFonts w:ascii="Arial" w:hAnsi="Arial"/>
                <w:sz w:val="20"/>
                <w:szCs w:val="20"/>
              </w:rPr>
              <w:t xml:space="preserve">ospitals </w:t>
            </w:r>
            <w:r w:rsidRPr="00485DD3">
              <w:rPr>
                <w:rFonts w:ascii="Arial" w:hAnsi="Arial"/>
                <w:sz w:val="20"/>
                <w:szCs w:val="20"/>
              </w:rPr>
              <w:t>M</w:t>
            </w:r>
            <w:r w:rsidR="00365743">
              <w:rPr>
                <w:rFonts w:ascii="Arial" w:hAnsi="Arial"/>
                <w:sz w:val="20"/>
                <w:szCs w:val="20"/>
              </w:rPr>
              <w:t xml:space="preserve">orbidity </w:t>
            </w:r>
            <w:r w:rsidRPr="00485DD3">
              <w:rPr>
                <w:rFonts w:ascii="Arial" w:hAnsi="Arial"/>
                <w:sz w:val="20"/>
                <w:szCs w:val="20"/>
              </w:rPr>
              <w:t>D</w:t>
            </w:r>
            <w:r w:rsidR="00365743">
              <w:rPr>
                <w:rFonts w:ascii="Arial" w:hAnsi="Arial"/>
                <w:sz w:val="20"/>
                <w:szCs w:val="20"/>
              </w:rPr>
              <w:t>atabase (</w:t>
            </w:r>
            <w:proofErr w:type="spellStart"/>
            <w:r w:rsidR="00365743">
              <w:rPr>
                <w:rFonts w:ascii="Arial" w:hAnsi="Arial"/>
                <w:sz w:val="20"/>
                <w:szCs w:val="20"/>
              </w:rPr>
              <w:t>NHMD</w:t>
            </w:r>
            <w:proofErr w:type="spellEnd"/>
            <w:r w:rsidR="00365743">
              <w:rPr>
                <w:rFonts w:ascii="Arial" w:hAnsi="Arial"/>
                <w:sz w:val="20"/>
                <w:szCs w:val="20"/>
              </w:rPr>
              <w:t>)</w:t>
            </w:r>
            <w:r w:rsidRPr="00485DD3">
              <w:rPr>
                <w:rFonts w:ascii="Arial" w:hAnsi="Arial"/>
                <w:sz w:val="20"/>
                <w:szCs w:val="20"/>
              </w:rPr>
              <w:t>, based on the National Minimum Data Set (NMDS) for Admitted patient care.</w:t>
            </w:r>
          </w:p>
          <w:p w:rsidR="005B5672" w:rsidRPr="00563446" w:rsidRDefault="00485DD3" w:rsidP="00365743">
            <w:pPr>
              <w:keepNext/>
              <w:keepLines/>
              <w:spacing w:after="120" w:line="220" w:lineRule="atLeast"/>
              <w:ind w:left="6" w:right="113"/>
              <w:jc w:val="both"/>
            </w:pPr>
            <w:r w:rsidRPr="00485DD3">
              <w:rPr>
                <w:rFonts w:ascii="Arial" w:hAnsi="Arial"/>
                <w:sz w:val="20"/>
                <w:szCs w:val="20"/>
              </w:rPr>
              <w:t>Data for socioeconomic status was calculated by AIHW using the ABS</w:t>
            </w:r>
            <w:r w:rsidR="00365743">
              <w:rPr>
                <w:rFonts w:ascii="Arial" w:hAnsi="Arial"/>
                <w:sz w:val="20"/>
                <w:szCs w:val="20"/>
              </w:rPr>
              <w:t xml:space="preserve"> </w:t>
            </w:r>
            <w:r w:rsidRPr="00485DD3">
              <w:rPr>
                <w:rFonts w:ascii="Arial" w:hAnsi="Arial"/>
                <w:sz w:val="20"/>
                <w:szCs w:val="20"/>
              </w:rPr>
              <w:t>Index of Relative Socio</w:t>
            </w:r>
            <w:r w:rsidR="00104B60">
              <w:rPr>
                <w:rFonts w:ascii="Arial" w:hAnsi="Arial"/>
                <w:sz w:val="20"/>
                <w:szCs w:val="20"/>
              </w:rPr>
              <w:noBreakHyphen/>
            </w:r>
            <w:r w:rsidRPr="00485DD3">
              <w:rPr>
                <w:rFonts w:ascii="Arial" w:hAnsi="Arial"/>
                <w:sz w:val="20"/>
                <w:szCs w:val="20"/>
              </w:rPr>
              <w:t>Economic Disadvantage 2011 and ERP by SLA as at 30</w:t>
            </w:r>
            <w:r w:rsidR="00104B60">
              <w:rPr>
                <w:rFonts w:ascii="Arial" w:hAnsi="Arial"/>
                <w:sz w:val="20"/>
                <w:szCs w:val="20"/>
              </w:rPr>
              <w:t> </w:t>
            </w:r>
            <w:r w:rsidRPr="00485DD3">
              <w:rPr>
                <w:rFonts w:ascii="Arial" w:hAnsi="Arial"/>
                <w:sz w:val="20"/>
                <w:szCs w:val="20"/>
              </w:rPr>
              <w:t xml:space="preserve">June 2011. Each SLA in Australia is ranked and divided into quintiles and </w:t>
            </w:r>
            <w:proofErr w:type="spellStart"/>
            <w:r w:rsidRPr="00485DD3">
              <w:rPr>
                <w:rFonts w:ascii="Arial" w:hAnsi="Arial"/>
                <w:sz w:val="20"/>
                <w:szCs w:val="20"/>
              </w:rPr>
              <w:t>deciles</w:t>
            </w:r>
            <w:proofErr w:type="spellEnd"/>
            <w:r w:rsidRPr="00485DD3">
              <w:rPr>
                <w:rFonts w:ascii="Arial" w:hAnsi="Arial"/>
                <w:sz w:val="20"/>
                <w:szCs w:val="20"/>
              </w:rPr>
              <w:t xml:space="preserve"> in a population</w:t>
            </w:r>
            <w:r w:rsidR="00104B60">
              <w:rPr>
                <w:rFonts w:ascii="Arial" w:hAnsi="Arial"/>
                <w:sz w:val="20"/>
                <w:szCs w:val="20"/>
              </w:rPr>
              <w:noBreakHyphen/>
            </w:r>
            <w:r w:rsidRPr="00485DD3">
              <w:rPr>
                <w:rFonts w:ascii="Arial" w:hAnsi="Arial"/>
                <w:sz w:val="20"/>
                <w:szCs w:val="20"/>
              </w:rPr>
              <w:t xml:space="preserve">based manner, such that each quintile has approximately 20 per cent of the population and each </w:t>
            </w:r>
            <w:proofErr w:type="spellStart"/>
            <w:r w:rsidRPr="00485DD3">
              <w:rPr>
                <w:rFonts w:ascii="Arial" w:hAnsi="Arial"/>
                <w:sz w:val="20"/>
                <w:szCs w:val="20"/>
              </w:rPr>
              <w:t>decile</w:t>
            </w:r>
            <w:proofErr w:type="spellEnd"/>
            <w:r w:rsidRPr="00485DD3">
              <w:rPr>
                <w:rFonts w:ascii="Arial" w:hAnsi="Arial"/>
                <w:sz w:val="20"/>
                <w:szCs w:val="20"/>
              </w:rPr>
              <w:t xml:space="preserve"> has approximately 10 per cent of the population.</w:t>
            </w:r>
          </w:p>
        </w:tc>
      </w:tr>
      <w:tr w:rsidR="005B5672" w:rsidRPr="0097433A" w:rsidTr="00A407D7">
        <w:tc>
          <w:tcPr>
            <w:tcW w:w="8789" w:type="dxa"/>
            <w:gridSpan w:val="3"/>
            <w:tcBorders>
              <w:top w:val="nil"/>
              <w:left w:val="nil"/>
              <w:bottom w:val="nil"/>
              <w:right w:val="nil"/>
            </w:tcBorders>
            <w:shd w:val="clear" w:color="auto" w:fill="FFFFFF" w:themeFill="background1"/>
          </w:tcPr>
          <w:p w:rsidR="005A6386" w:rsidRDefault="005A6386" w:rsidP="00A34631">
            <w:pPr>
              <w:pStyle w:val="TableBodyText"/>
              <w:spacing w:before="100" w:beforeAutospacing="1" w:after="120"/>
              <w:ind w:left="0"/>
              <w:jc w:val="both"/>
              <w:rPr>
                <w:rFonts w:cs="Arial"/>
                <w:b/>
                <w:bCs/>
                <w:u w:val="single"/>
              </w:rPr>
            </w:pPr>
          </w:p>
          <w:p w:rsidR="005B5672" w:rsidRPr="0097433A" w:rsidRDefault="005B5672" w:rsidP="00BE5B08">
            <w:pPr>
              <w:pStyle w:val="AIHWbodytext"/>
              <w:widowControl w:val="0"/>
              <w:spacing w:line="240" w:lineRule="auto"/>
              <w:jc w:val="both"/>
              <w:rPr>
                <w:rFonts w:ascii="Arial" w:hAnsi="Arial" w:cs="Arial"/>
                <w:color w:val="auto"/>
                <w:sz w:val="20"/>
                <w:u w:val="single"/>
              </w:rPr>
            </w:pPr>
            <w:r w:rsidRPr="0097433A">
              <w:rPr>
                <w:rFonts w:ascii="Arial" w:hAnsi="Arial" w:cs="Arial"/>
                <w:b/>
                <w:bCs/>
                <w:color w:val="auto"/>
                <w:sz w:val="20"/>
                <w:u w:val="single"/>
              </w:rPr>
              <w:t>Data Quality Framework Dimensions</w:t>
            </w:r>
          </w:p>
        </w:tc>
      </w:tr>
      <w:tr w:rsidR="005B5672" w:rsidRPr="002F0831" w:rsidTr="00D42F78">
        <w:tc>
          <w:tcPr>
            <w:tcW w:w="1843" w:type="dxa"/>
            <w:gridSpan w:val="2"/>
            <w:tcBorders>
              <w:top w:val="nil"/>
              <w:left w:val="nil"/>
              <w:bottom w:val="nil"/>
              <w:right w:val="nil"/>
            </w:tcBorders>
          </w:tcPr>
          <w:p w:rsidR="005B5672" w:rsidRPr="00BE5B08" w:rsidRDefault="005B5672" w:rsidP="00BE5B08">
            <w:pPr>
              <w:jc w:val="both"/>
            </w:pPr>
            <w:r w:rsidRPr="00EF2629">
              <w:rPr>
                <w:rFonts w:ascii="Arial" w:hAnsi="Arial" w:cs="Arial"/>
                <w:b/>
                <w:sz w:val="20"/>
              </w:rPr>
              <w:t>Institutional environment</w:t>
            </w:r>
          </w:p>
        </w:tc>
        <w:tc>
          <w:tcPr>
            <w:tcW w:w="6946" w:type="dxa"/>
            <w:tcBorders>
              <w:top w:val="nil"/>
              <w:left w:val="nil"/>
              <w:bottom w:val="nil"/>
              <w:right w:val="nil"/>
            </w:tcBorders>
            <w:shd w:val="clear" w:color="auto" w:fill="FFFFFF" w:themeFill="background1"/>
          </w:tcPr>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AIHW</w:t>
            </w:r>
            <w:r w:rsidR="00365743">
              <w:rPr>
                <w:rFonts w:ascii="Arial" w:hAnsi="Arial"/>
                <w:sz w:val="20"/>
                <w:szCs w:val="20"/>
              </w:rPr>
              <w:t xml:space="preserve"> </w:t>
            </w:r>
            <w:r w:rsidRPr="00485DD3">
              <w:rPr>
                <w:rFonts w:ascii="Arial" w:hAnsi="Arial"/>
                <w:sz w:val="20"/>
                <w:szCs w:val="20"/>
              </w:rPr>
              <w:t xml:space="preserve">has calculated this indicator. </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AIHW</w:t>
            </w:r>
            <w:r w:rsidR="00365743">
              <w:rPr>
                <w:rFonts w:ascii="Arial" w:hAnsi="Arial"/>
                <w:sz w:val="20"/>
                <w:szCs w:val="20"/>
              </w:rPr>
              <w:t xml:space="preserve"> </w:t>
            </w:r>
            <w:r w:rsidRPr="00485DD3">
              <w:rPr>
                <w:rFonts w:ascii="Arial" w:hAnsi="Arial"/>
                <w:sz w:val="20"/>
                <w:szCs w:val="20"/>
              </w:rPr>
              <w:t>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The Institute also plays a role in developing and maintaining national </w:t>
            </w:r>
            <w:r w:rsidRPr="00485DD3">
              <w:rPr>
                <w:rFonts w:ascii="Arial" w:hAnsi="Arial"/>
                <w:sz w:val="20"/>
                <w:szCs w:val="20"/>
              </w:rPr>
              <w:lastRenderedPageBreak/>
              <w:t>metadata standards. This work contributes to improving the quality and consistency of national health and welfare statistics. The Institute works closely with governments and non</w:t>
            </w:r>
            <w:r w:rsidR="00104B60">
              <w:rPr>
                <w:rFonts w:ascii="Arial" w:hAnsi="Arial"/>
                <w:sz w:val="20"/>
                <w:szCs w:val="20"/>
              </w:rPr>
              <w:noBreakHyphen/>
            </w:r>
            <w:r w:rsidRPr="00485DD3">
              <w:rPr>
                <w:rFonts w:ascii="Arial" w:hAnsi="Arial"/>
                <w:sz w:val="20"/>
                <w:szCs w:val="20"/>
              </w:rPr>
              <w:t>government organisations to achieve greater adherence to these standards in administrative data collections to promote national consistency and comparability of data and reporting.</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Australian Institute of Health and Welfare Act 1987, in conjunction with compliance to the Privacy Act 1988 (Commonwealth), ensures that the data collections managed by the AIHW are kept securely and under the strictest conditions with respect to privacy and confidentiality.</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For further information see the </w:t>
            </w:r>
            <w:proofErr w:type="spellStart"/>
            <w:r w:rsidRPr="00485DD3">
              <w:rPr>
                <w:rFonts w:ascii="Arial" w:hAnsi="Arial"/>
                <w:sz w:val="20"/>
                <w:szCs w:val="20"/>
              </w:rPr>
              <w:t>AIHW</w:t>
            </w:r>
            <w:proofErr w:type="spellEnd"/>
            <w:r w:rsidRPr="00485DD3">
              <w:rPr>
                <w:rFonts w:ascii="Arial" w:hAnsi="Arial"/>
                <w:sz w:val="20"/>
                <w:szCs w:val="20"/>
              </w:rPr>
              <w:t xml:space="preserve"> website </w:t>
            </w:r>
            <w:proofErr w:type="spellStart"/>
            <w:r w:rsidRPr="00485DD3">
              <w:rPr>
                <w:rFonts w:ascii="Arial" w:hAnsi="Arial"/>
                <w:sz w:val="20"/>
                <w:szCs w:val="20"/>
              </w:rPr>
              <w:t>www.aihw.gov.au</w:t>
            </w:r>
            <w:proofErr w:type="spellEnd"/>
            <w:r w:rsidRPr="00485DD3">
              <w:rPr>
                <w:rFonts w:ascii="Arial" w:hAnsi="Arial"/>
                <w:sz w:val="20"/>
                <w:szCs w:val="20"/>
              </w:rPr>
              <w:t xml:space="preserve"> </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Data for the </w:t>
            </w:r>
            <w:proofErr w:type="spellStart"/>
            <w:r w:rsidRPr="00485DD3">
              <w:rPr>
                <w:rFonts w:ascii="Arial" w:hAnsi="Arial"/>
                <w:sz w:val="20"/>
                <w:szCs w:val="20"/>
              </w:rPr>
              <w:t>NHMD</w:t>
            </w:r>
            <w:proofErr w:type="spellEnd"/>
            <w:r w:rsidRPr="00485DD3">
              <w:rPr>
                <w:rFonts w:ascii="Arial" w:hAnsi="Arial"/>
                <w:sz w:val="20"/>
                <w:szCs w:val="20"/>
              </w:rPr>
              <w:t xml:space="preserve"> were supplied to the AIHW by state and territory health authorities under the terms of the National Health Information Agreement (see the following links):</w:t>
            </w:r>
          </w:p>
          <w:p w:rsidR="00485DD3" w:rsidRPr="00485DD3" w:rsidRDefault="00485DD3" w:rsidP="00D42F78">
            <w:pPr>
              <w:keepNext/>
              <w:keepLines/>
              <w:spacing w:after="120" w:line="220" w:lineRule="atLeast"/>
              <w:ind w:left="6" w:right="113"/>
              <w:jc w:val="both"/>
              <w:rPr>
                <w:rFonts w:ascii="Arial" w:hAnsi="Arial"/>
                <w:sz w:val="20"/>
                <w:szCs w:val="20"/>
              </w:rPr>
            </w:pPr>
            <w:proofErr w:type="spellStart"/>
            <w:r w:rsidRPr="00485DD3">
              <w:rPr>
                <w:rFonts w:ascii="Arial" w:hAnsi="Arial"/>
                <w:sz w:val="20"/>
                <w:szCs w:val="20"/>
              </w:rPr>
              <w:t>www.aihw.gov.au</w:t>
            </w:r>
            <w:proofErr w:type="spellEnd"/>
            <w:r w:rsidRPr="00485DD3">
              <w:rPr>
                <w:rFonts w:ascii="Arial" w:hAnsi="Arial"/>
                <w:sz w:val="20"/>
                <w:szCs w:val="20"/>
              </w:rPr>
              <w:t>/</w:t>
            </w:r>
            <w:proofErr w:type="spellStart"/>
            <w:r w:rsidRPr="00485DD3">
              <w:rPr>
                <w:rFonts w:ascii="Arial" w:hAnsi="Arial"/>
                <w:sz w:val="20"/>
                <w:szCs w:val="20"/>
              </w:rPr>
              <w:t>nhissc</w:t>
            </w:r>
            <w:proofErr w:type="spellEnd"/>
            <w:r w:rsidRPr="00485DD3">
              <w:rPr>
                <w:rFonts w:ascii="Arial" w:hAnsi="Arial"/>
                <w:sz w:val="20"/>
                <w:szCs w:val="20"/>
              </w:rPr>
              <w:t xml:space="preserve">/ </w:t>
            </w:r>
          </w:p>
          <w:p w:rsidR="00485DD3" w:rsidRPr="00485DD3" w:rsidRDefault="00485DD3" w:rsidP="00D42F78">
            <w:pPr>
              <w:keepNext/>
              <w:keepLines/>
              <w:spacing w:after="120" w:line="220" w:lineRule="atLeast"/>
              <w:ind w:left="6" w:right="113"/>
              <w:jc w:val="both"/>
            </w:pPr>
            <w:proofErr w:type="spellStart"/>
            <w:r w:rsidRPr="00485DD3">
              <w:rPr>
                <w:rFonts w:ascii="Arial" w:hAnsi="Arial"/>
                <w:sz w:val="20"/>
                <w:szCs w:val="20"/>
              </w:rPr>
              <w:t>meteor.aihw.gov.au</w:t>
            </w:r>
            <w:proofErr w:type="spellEnd"/>
            <w:r w:rsidRPr="00485DD3">
              <w:rPr>
                <w:rFonts w:ascii="Arial" w:hAnsi="Arial"/>
                <w:sz w:val="20"/>
                <w:szCs w:val="20"/>
              </w:rPr>
              <w:t>/content/</w:t>
            </w:r>
            <w:proofErr w:type="spellStart"/>
            <w:r w:rsidRPr="00485DD3">
              <w:rPr>
                <w:rFonts w:ascii="Arial" w:hAnsi="Arial"/>
                <w:sz w:val="20"/>
                <w:szCs w:val="20"/>
              </w:rPr>
              <w:t>index.phtml</w:t>
            </w:r>
            <w:proofErr w:type="spellEnd"/>
            <w:r w:rsidRPr="00485DD3">
              <w:rPr>
                <w:rFonts w:ascii="Arial" w:hAnsi="Arial"/>
                <w:sz w:val="20"/>
                <w:szCs w:val="20"/>
              </w:rPr>
              <w:t>/</w:t>
            </w:r>
            <w:proofErr w:type="spellStart"/>
            <w:r w:rsidRPr="00485DD3">
              <w:rPr>
                <w:rFonts w:ascii="Arial" w:hAnsi="Arial"/>
                <w:sz w:val="20"/>
                <w:szCs w:val="20"/>
              </w:rPr>
              <w:t>itemId</w:t>
            </w:r>
            <w:proofErr w:type="spellEnd"/>
            <w:r w:rsidRPr="00485DD3">
              <w:rPr>
                <w:rFonts w:ascii="Arial" w:hAnsi="Arial"/>
                <w:sz w:val="20"/>
                <w:szCs w:val="20"/>
              </w:rPr>
              <w:t>/182135</w:t>
            </w:r>
            <w:r w:rsidRPr="00485DD3">
              <w:t xml:space="preserve"> </w:t>
            </w:r>
          </w:p>
          <w:p w:rsidR="005B5672" w:rsidRPr="00D223FF" w:rsidRDefault="00485DD3" w:rsidP="00D42F78">
            <w:pPr>
              <w:keepNext/>
              <w:keepLines/>
              <w:spacing w:after="120" w:line="220" w:lineRule="atLeast"/>
              <w:ind w:left="6" w:right="113"/>
              <w:jc w:val="both"/>
            </w:pPr>
            <w:r w:rsidRPr="00485DD3">
              <w:rPr>
                <w:rFonts w:ascii="Arial" w:hAnsi="Arial"/>
                <w:sz w:val="20"/>
                <w:szCs w:val="20"/>
              </w:rP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rsidRPr="00485DD3">
              <w:rPr>
                <w:rFonts w:ascii="Arial" w:hAnsi="Arial"/>
                <w:sz w:val="20"/>
                <w:szCs w:val="20"/>
              </w:rPr>
              <w:t>contractual</w:t>
            </w:r>
            <w:proofErr w:type="spellEnd"/>
            <w:r w:rsidRPr="00485DD3">
              <w:rPr>
                <w:rFonts w:ascii="Arial" w:hAnsi="Arial"/>
                <w:sz w:val="20"/>
                <w:szCs w:val="20"/>
              </w:rPr>
              <w:t xml:space="preserve"> requirements or legislation.</w:t>
            </w:r>
          </w:p>
        </w:tc>
      </w:tr>
      <w:tr w:rsidR="00485DD3" w:rsidRPr="002F0831" w:rsidTr="00D42F78">
        <w:tc>
          <w:tcPr>
            <w:tcW w:w="1843" w:type="dxa"/>
            <w:gridSpan w:val="2"/>
            <w:tcBorders>
              <w:top w:val="nil"/>
              <w:left w:val="nil"/>
              <w:bottom w:val="nil"/>
              <w:right w:val="nil"/>
            </w:tcBorders>
          </w:tcPr>
          <w:p w:rsidR="00485DD3" w:rsidRPr="00EF2629" w:rsidRDefault="00485DD3" w:rsidP="00BE5B08">
            <w:pPr>
              <w:jc w:val="both"/>
              <w:rPr>
                <w:rFonts w:ascii="Arial" w:hAnsi="Arial" w:cs="Arial"/>
                <w:b/>
                <w:sz w:val="20"/>
              </w:rPr>
            </w:pPr>
            <w:r w:rsidRPr="00EF2629">
              <w:rPr>
                <w:rFonts w:ascii="Arial" w:hAnsi="Arial" w:cs="Arial"/>
                <w:b/>
                <w:sz w:val="20"/>
              </w:rPr>
              <w:lastRenderedPageBreak/>
              <w:t>Relevance</w:t>
            </w:r>
          </w:p>
          <w:p w:rsidR="00485DD3" w:rsidRPr="00EF2629" w:rsidRDefault="00485DD3" w:rsidP="00BE5B08">
            <w:pPr>
              <w:jc w:val="both"/>
              <w:rPr>
                <w:rFonts w:ascii="Arial" w:hAnsi="Arial" w:cs="Arial"/>
                <w:b/>
                <w:sz w:val="20"/>
              </w:rPr>
            </w:pPr>
          </w:p>
        </w:tc>
        <w:tc>
          <w:tcPr>
            <w:tcW w:w="6946" w:type="dxa"/>
            <w:tcBorders>
              <w:top w:val="nil"/>
              <w:left w:val="nil"/>
              <w:bottom w:val="nil"/>
              <w:right w:val="nil"/>
            </w:tcBorders>
            <w:shd w:val="clear" w:color="auto" w:fill="FFFFFF" w:themeFill="background1"/>
          </w:tcPr>
          <w:p w:rsidR="00485DD3" w:rsidRDefault="00485DD3" w:rsidP="00D42F78">
            <w:pPr>
              <w:pStyle w:val="TableBodyText"/>
              <w:spacing w:after="120"/>
              <w:jc w:val="both"/>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w:t>
            </w:r>
            <w:r w:rsidR="00104B60">
              <w:noBreakHyphen/>
            </w:r>
            <w:r>
              <w:t xml:space="preserve">standing day hospital facilities, alcohol and drug treatment hospitals and dental hospitals. Hospitals operated by the Australian Defence Force, corrections authorities and in Australia's </w:t>
            </w:r>
            <w:proofErr w:type="spellStart"/>
            <w:r>
              <w:t>off</w:t>
            </w:r>
            <w:r w:rsidR="00104B60">
              <w:noBreakHyphen/>
            </w:r>
            <w:r>
              <w:t>shore</w:t>
            </w:r>
            <w:proofErr w:type="spellEnd"/>
            <w:r>
              <w:t xml:space="preserve"> territories are not included. Hospitals specialising in ophthalmic aids and other specialised acute medical or surgical care are included. </w:t>
            </w:r>
          </w:p>
          <w:p w:rsidR="00485DD3" w:rsidRDefault="00485DD3" w:rsidP="00D42F78">
            <w:pPr>
              <w:pStyle w:val="TableBodyText"/>
              <w:spacing w:after="120"/>
              <w:jc w:val="both"/>
            </w:pPr>
            <w:r>
              <w:t>The hospital separations data do not include episodes of non</w:t>
            </w:r>
            <w:r w:rsidR="00104B60">
              <w:noBreakHyphen/>
            </w:r>
            <w:r>
              <w:t>admitted patient care provided in outpatient clinics or emergency departments.</w:t>
            </w:r>
          </w:p>
          <w:p w:rsidR="00485DD3" w:rsidRDefault="00485DD3" w:rsidP="00D42F78">
            <w:pPr>
              <w:pStyle w:val="TableBodyText"/>
              <w:spacing w:after="120"/>
              <w:jc w:val="both"/>
            </w:pPr>
            <w:r>
              <w:t xml:space="preserve">This indicator is a proxy indicator. </w:t>
            </w:r>
          </w:p>
          <w:p w:rsidR="00485DD3" w:rsidRDefault="00485DD3" w:rsidP="00D42F78">
            <w:pPr>
              <w:pStyle w:val="TableBodyText"/>
              <w:spacing w:after="120"/>
              <w:jc w:val="both"/>
            </w:pPr>
            <w:r>
              <w:t xml:space="preserve">Analyses by remoteness and socioeconomic status are based on the SLA of usual residence of the patient. The </w:t>
            </w:r>
            <w:proofErr w:type="spellStart"/>
            <w:r>
              <w:t>SEIFA</w:t>
            </w:r>
            <w:proofErr w:type="spellEnd"/>
            <w:r w:rsidR="00365743">
              <w:t xml:space="preserve"> </w:t>
            </w:r>
            <w:r>
              <w:t xml:space="preserve">categories for socioeconomic status represent approximately the same proportion of the national population, but do not necessarily represent that proportion of the population in each state or territory (each </w:t>
            </w:r>
            <w:proofErr w:type="spellStart"/>
            <w:r>
              <w:t>SEIFA</w:t>
            </w:r>
            <w:proofErr w:type="spellEnd"/>
            <w:r>
              <w:t xml:space="preserve"> </w:t>
            </w:r>
            <w:proofErr w:type="spellStart"/>
            <w:r>
              <w:t>decile</w:t>
            </w:r>
            <w:proofErr w:type="spellEnd"/>
            <w:r>
              <w:t xml:space="preserve"> or quintile represents 10 per cent and 20 per cent respectively of the national population). </w:t>
            </w:r>
          </w:p>
          <w:p w:rsidR="00485DD3" w:rsidRDefault="00485DD3" w:rsidP="00D42F78">
            <w:pPr>
              <w:pStyle w:val="TableBodyText"/>
              <w:spacing w:after="120"/>
              <w:jc w:val="both"/>
            </w:pPr>
            <w:r>
              <w:t xml:space="preserve">The </w:t>
            </w:r>
            <w:proofErr w:type="spellStart"/>
            <w:r>
              <w:t>SEIFA</w:t>
            </w:r>
            <w:proofErr w:type="spellEnd"/>
            <w:r>
              <w:t xml:space="preserve"> scores for each SLA are derived from 2011 Census data and represent the attributes of the population in that SLA in 2011. </w:t>
            </w:r>
          </w:p>
          <w:p w:rsidR="00485DD3" w:rsidRDefault="00485DD3" w:rsidP="00D42F78">
            <w:pPr>
              <w:pStyle w:val="TableBodyText"/>
              <w:spacing w:after="120"/>
              <w:jc w:val="both"/>
            </w:pPr>
            <w:r>
              <w:t xml:space="preserve">In 2011, the ABS updated the </w:t>
            </w:r>
            <w:proofErr w:type="spellStart"/>
            <w:r>
              <w:t>SEIFA</w:t>
            </w:r>
            <w:proofErr w:type="spellEnd"/>
            <w:r>
              <w:t>, based on the 2011 ABS Census of Population and Housing.</w:t>
            </w:r>
            <w:r w:rsidR="00104B60">
              <w:t xml:space="preserve"> </w:t>
            </w:r>
            <w:r>
              <w:t xml:space="preserve">The new </w:t>
            </w:r>
            <w:proofErr w:type="spellStart"/>
            <w:r>
              <w:t>SEIFA</w:t>
            </w:r>
            <w:proofErr w:type="spellEnd"/>
            <w:r>
              <w:t xml:space="preserve"> will be referred to 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r w:rsidR="00104B60">
              <w:t xml:space="preserve"> </w:t>
            </w:r>
            <w:r>
              <w:t>Data for 2007</w:t>
            </w:r>
            <w:r w:rsidR="00104B60">
              <w:noBreakHyphen/>
            </w:r>
            <w:r>
              <w:t>08 through to 2010</w:t>
            </w:r>
            <w:r w:rsidR="00104B60">
              <w:noBreakHyphen/>
            </w:r>
            <w:r>
              <w:t xml:space="preserve">11 reported for </w:t>
            </w:r>
            <w:proofErr w:type="spellStart"/>
            <w:r>
              <w:t>SEIFA</w:t>
            </w:r>
            <w:proofErr w:type="spellEnd"/>
            <w:r>
              <w:t xml:space="preserve"> quintiles and </w:t>
            </w:r>
            <w:proofErr w:type="spellStart"/>
            <w:r>
              <w:t>deciles</w:t>
            </w:r>
            <w:proofErr w:type="spellEnd"/>
            <w:r>
              <w:t xml:space="preserve"> are reported using </w:t>
            </w:r>
            <w:proofErr w:type="spellStart"/>
            <w:r>
              <w:lastRenderedPageBreak/>
              <w:t>SEIFA</w:t>
            </w:r>
            <w:proofErr w:type="spellEnd"/>
            <w:r>
              <w:t xml:space="preserve"> 2006 at the SLA</w:t>
            </w:r>
            <w:r w:rsidR="00365743">
              <w:t xml:space="preserve"> </w:t>
            </w:r>
            <w:r>
              <w:t>level.</w:t>
            </w:r>
            <w:r w:rsidR="00104B60">
              <w:t xml:space="preserve"> </w:t>
            </w:r>
            <w:r>
              <w:t>Data for 2011</w:t>
            </w:r>
            <w:r w:rsidR="00104B60">
              <w:noBreakHyphen/>
            </w:r>
            <w:r>
              <w:t xml:space="preserve">12 are reported using </w:t>
            </w:r>
            <w:proofErr w:type="spellStart"/>
            <w:r>
              <w:t>SEIFA</w:t>
            </w:r>
            <w:proofErr w:type="spellEnd"/>
            <w:r>
              <w:t xml:space="preserve"> 2011 at the SLA level. The AIHW consider the change from </w:t>
            </w:r>
            <w:proofErr w:type="spellStart"/>
            <w:r>
              <w:t>SEIFA</w:t>
            </w:r>
            <w:proofErr w:type="spellEnd"/>
            <w:r>
              <w:t xml:space="preserve"> 2006 to </w:t>
            </w:r>
            <w:proofErr w:type="spellStart"/>
            <w:r>
              <w:t>SEIFA</w:t>
            </w:r>
            <w:proofErr w:type="spellEnd"/>
            <w:r>
              <w:t xml:space="preserve"> 2011 to be a series break when applied to data supplied for this indicator, therefore </w:t>
            </w:r>
            <w:proofErr w:type="spellStart"/>
            <w:r>
              <w:t>SEIFA</w:t>
            </w:r>
            <w:proofErr w:type="spellEnd"/>
            <w:r>
              <w:t xml:space="preserve"> data for 2011</w:t>
            </w:r>
            <w:r w:rsidR="00104B60">
              <w:noBreakHyphen/>
            </w:r>
            <w:r>
              <w:t xml:space="preserve">12 are not directly comparable with </w:t>
            </w:r>
            <w:proofErr w:type="spellStart"/>
            <w:r>
              <w:t>SEIFA</w:t>
            </w:r>
            <w:proofErr w:type="spellEnd"/>
            <w:r>
              <w:t xml:space="preserve"> data from previous reporting cycles.</w:t>
            </w:r>
          </w:p>
          <w:p w:rsidR="00485DD3" w:rsidRDefault="00485DD3" w:rsidP="00D42F78">
            <w:pPr>
              <w:pStyle w:val="TableBodyText"/>
              <w:spacing w:after="120"/>
              <w:jc w:val="both"/>
            </w:pPr>
            <w:r>
              <w:t xml:space="preserve">Patient days are reported by jurisdiction of hospitalisation, regardless of the jurisdiction of residence. Hence, rates represent the number of patient days for patients living in each remoteness area or </w:t>
            </w:r>
            <w:proofErr w:type="spellStart"/>
            <w:r>
              <w:t>SEIFA</w:t>
            </w:r>
            <w:proofErr w:type="spellEnd"/>
            <w:r>
              <w:t xml:space="preserve"> population group (regardless of their jurisdiction of usual residence) divided by the total number of patient days for patients living in that remoteness area or </w:t>
            </w:r>
            <w:proofErr w:type="spellStart"/>
            <w:r>
              <w:t>SEIFA</w:t>
            </w:r>
            <w:proofErr w:type="spellEnd"/>
            <w:r>
              <w:t xml:space="preserve"> population group hospitalised in the reporting jurisdiction. This is relevant if significant numbers of one jurisdiction’s residents are treated in another jurisdiction (for example, the </w:t>
            </w:r>
            <w:r w:rsidR="00D42F78">
              <w:t>ACT</w:t>
            </w:r>
            <w:r>
              <w:t>).</w:t>
            </w:r>
          </w:p>
          <w:p w:rsidR="00485DD3" w:rsidRPr="00563446" w:rsidRDefault="00485DD3" w:rsidP="00D42F78">
            <w:pPr>
              <w:pStyle w:val="TableBodyText"/>
              <w:spacing w:after="120"/>
              <w:jc w:val="both"/>
            </w:pPr>
            <w:r>
              <w:t>Other Australians includes separations for non</w:t>
            </w:r>
            <w:r w:rsidR="00104B60">
              <w:noBreakHyphen/>
            </w:r>
            <w:r>
              <w:t>Indigenous people and those for whom Indigenous status was not stated.</w:t>
            </w:r>
          </w:p>
        </w:tc>
      </w:tr>
      <w:tr w:rsidR="00485DD3" w:rsidRPr="002F0831" w:rsidTr="00D42F78">
        <w:tc>
          <w:tcPr>
            <w:tcW w:w="1843" w:type="dxa"/>
            <w:gridSpan w:val="2"/>
            <w:tcBorders>
              <w:top w:val="nil"/>
              <w:left w:val="nil"/>
              <w:bottom w:val="nil"/>
              <w:right w:val="nil"/>
            </w:tcBorders>
          </w:tcPr>
          <w:p w:rsidR="00485DD3" w:rsidRPr="00EF2629" w:rsidRDefault="00485DD3" w:rsidP="00BE5B08">
            <w:pPr>
              <w:jc w:val="both"/>
              <w:rPr>
                <w:rFonts w:ascii="Arial" w:hAnsi="Arial" w:cs="Arial"/>
                <w:b/>
                <w:sz w:val="20"/>
              </w:rPr>
            </w:pPr>
            <w:r w:rsidRPr="00EF2629">
              <w:rPr>
                <w:rFonts w:ascii="Arial" w:hAnsi="Arial" w:cs="Arial"/>
                <w:b/>
                <w:sz w:val="20"/>
              </w:rPr>
              <w:lastRenderedPageBreak/>
              <w:t>Timeliness</w:t>
            </w:r>
          </w:p>
        </w:tc>
        <w:tc>
          <w:tcPr>
            <w:tcW w:w="6946" w:type="dxa"/>
            <w:tcBorders>
              <w:top w:val="nil"/>
              <w:left w:val="nil"/>
              <w:bottom w:val="nil"/>
              <w:right w:val="nil"/>
            </w:tcBorders>
            <w:shd w:val="clear" w:color="auto" w:fill="FFFFFF" w:themeFill="background1"/>
          </w:tcPr>
          <w:p w:rsidR="00485DD3" w:rsidRPr="00563446" w:rsidRDefault="00485DD3" w:rsidP="00D42F78">
            <w:pPr>
              <w:pStyle w:val="TableBodyText"/>
              <w:spacing w:after="120"/>
              <w:jc w:val="both"/>
            </w:pPr>
            <w:r w:rsidRPr="00DF1D38">
              <w:t>The reference period for these data is 2011</w:t>
            </w:r>
            <w:r w:rsidR="00104B60">
              <w:noBreakHyphen/>
            </w:r>
            <w:r w:rsidRPr="00DF1D38">
              <w:t>12.</w:t>
            </w:r>
          </w:p>
        </w:tc>
      </w:tr>
      <w:tr w:rsidR="00485DD3" w:rsidRPr="002F0831" w:rsidTr="00D42F78">
        <w:tc>
          <w:tcPr>
            <w:tcW w:w="1843" w:type="dxa"/>
            <w:gridSpan w:val="2"/>
            <w:tcBorders>
              <w:top w:val="nil"/>
              <w:left w:val="nil"/>
              <w:bottom w:val="nil"/>
              <w:right w:val="nil"/>
            </w:tcBorders>
          </w:tcPr>
          <w:p w:rsidR="00485DD3" w:rsidRPr="00EF2629" w:rsidRDefault="00485DD3" w:rsidP="00BE5B08">
            <w:pPr>
              <w:jc w:val="both"/>
              <w:rPr>
                <w:rFonts w:ascii="Arial" w:hAnsi="Arial" w:cs="Arial"/>
                <w:b/>
                <w:sz w:val="20"/>
              </w:rPr>
            </w:pPr>
            <w:r w:rsidRPr="00EF2629">
              <w:rPr>
                <w:rFonts w:ascii="Arial" w:hAnsi="Arial" w:cs="Arial"/>
                <w:b/>
                <w:sz w:val="20"/>
              </w:rPr>
              <w:t>Accuracy</w:t>
            </w:r>
          </w:p>
          <w:p w:rsidR="00485DD3" w:rsidRPr="00EF2629" w:rsidRDefault="00485DD3" w:rsidP="00BE5B08">
            <w:pPr>
              <w:jc w:val="both"/>
              <w:rPr>
                <w:rFonts w:ascii="Arial" w:hAnsi="Arial" w:cs="Arial"/>
                <w:b/>
                <w:sz w:val="20"/>
              </w:rPr>
            </w:pPr>
          </w:p>
        </w:tc>
        <w:tc>
          <w:tcPr>
            <w:tcW w:w="6946" w:type="dxa"/>
            <w:tcBorders>
              <w:top w:val="nil"/>
              <w:left w:val="nil"/>
              <w:bottom w:val="nil"/>
              <w:right w:val="nil"/>
            </w:tcBorders>
            <w:shd w:val="clear" w:color="auto" w:fill="FFFFFF" w:themeFill="background1"/>
          </w:tcPr>
          <w:p w:rsidR="00485DD3" w:rsidRDefault="00485DD3" w:rsidP="00D42F78">
            <w:pPr>
              <w:pStyle w:val="TableBodyText"/>
              <w:spacing w:after="120"/>
              <w:jc w:val="both"/>
            </w:pPr>
            <w:r>
              <w:t>For 2011</w:t>
            </w:r>
            <w:r w:rsidR="00104B60">
              <w:noBreakHyphen/>
            </w:r>
            <w:r>
              <w:t xml:space="preserve">12, almost all public hospitals provided data for the </w:t>
            </w:r>
            <w:proofErr w:type="spellStart"/>
            <w:r>
              <w:t>NHMD</w:t>
            </w:r>
            <w:proofErr w:type="spellEnd"/>
            <w:r>
              <w:t xml:space="preserve">, with the exception of all separations for a mothercraft hospital in the </w:t>
            </w:r>
            <w:r w:rsidR="00D42F78">
              <w:t>ACT</w:t>
            </w:r>
            <w:r>
              <w:t>.</w:t>
            </w:r>
          </w:p>
          <w:p w:rsidR="00485DD3" w:rsidRDefault="00485DD3" w:rsidP="00D42F78">
            <w:pPr>
              <w:pStyle w:val="TableBodyText"/>
              <w:spacing w:after="120"/>
              <w:jc w:val="both"/>
            </w:pPr>
            <w:r>
              <w:t xml:space="preserve">The majority of private hospitals provided data, with the exception of the private day hospital facilities in the </w:t>
            </w:r>
            <w:r w:rsidR="00D42F78">
              <w:t>ACT</w:t>
            </w:r>
            <w:r>
              <w:t xml:space="preserve"> and the </w:t>
            </w:r>
            <w:r w:rsidR="00D42F78">
              <w:t>NT</w:t>
            </w:r>
            <w:r>
              <w:t xml:space="preserve">. </w:t>
            </w:r>
          </w:p>
          <w:p w:rsidR="00485DD3" w:rsidRDefault="00485DD3" w:rsidP="00D42F78">
            <w:pPr>
              <w:pStyle w:val="TableBodyText"/>
              <w:spacing w:after="120"/>
              <w:jc w:val="both"/>
            </w:pPr>
            <w:r>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485DD3" w:rsidRDefault="00485DD3" w:rsidP="00D42F78">
            <w:pPr>
              <w:pStyle w:val="TableBodyText"/>
              <w:spacing w:after="120"/>
              <w:jc w:val="both"/>
            </w:pPr>
            <w:r>
              <w:t>There is some variation among jurisdictions in the assignment of care type categories.</w:t>
            </w:r>
          </w:p>
          <w:p w:rsidR="00485DD3" w:rsidRDefault="00485DD3" w:rsidP="00D42F78">
            <w:pPr>
              <w:pStyle w:val="TableBodyText"/>
              <w:spacing w:after="120"/>
              <w:jc w:val="both"/>
            </w:pPr>
            <w:r>
              <w:t xml:space="preserve">The </w:t>
            </w:r>
            <w:proofErr w:type="spellStart"/>
            <w:r>
              <w:t>NHMD</w:t>
            </w:r>
            <w:proofErr w:type="spellEnd"/>
            <w:r>
              <w:t xml:space="preserve"> does not include data on ACAT assessments.</w:t>
            </w:r>
          </w:p>
          <w:p w:rsidR="00485DD3" w:rsidRDefault="00485DD3" w:rsidP="00D42F78">
            <w:pPr>
              <w:pStyle w:val="TableBodyText"/>
              <w:spacing w:after="120"/>
              <w:jc w:val="both"/>
            </w:pPr>
            <w:r>
              <w:t>The AIHW report Indigenous identification in hospital separations data: quality report (AIHW 2013) found that nationally, about 88% of Indigenous Australians were identified correctly in hospital admissions data in the 2011</w:t>
            </w:r>
            <w:r w:rsidR="00104B60">
              <w:noBreakHyphen/>
            </w:r>
            <w:r>
              <w:t>12 study period, and the ‘true’ number of separations for Indigenous Australians was about 9</w:t>
            </w:r>
            <w:r w:rsidR="00D42F78">
              <w:t xml:space="preserve"> per cent</w:t>
            </w:r>
            <w:r>
              <w:t xml:space="preserve">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 </w:t>
            </w:r>
          </w:p>
          <w:p w:rsidR="00485DD3" w:rsidRDefault="00485DD3" w:rsidP="00D42F78">
            <w:pPr>
              <w:pStyle w:val="TableBodyText"/>
              <w:spacing w:after="120"/>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485DD3" w:rsidRDefault="00485DD3" w:rsidP="00D42F78">
            <w:pPr>
              <w:pStyle w:val="TableBullet"/>
              <w:spacing w:after="120"/>
            </w:pPr>
            <w:r>
              <w:t>Counts less than 3 were suppressed.</w:t>
            </w:r>
          </w:p>
          <w:p w:rsidR="00485DD3" w:rsidRDefault="00485DD3" w:rsidP="00D42F78">
            <w:pPr>
              <w:pStyle w:val="TableBullet"/>
              <w:spacing w:after="120"/>
            </w:pPr>
            <w:r>
              <w:t xml:space="preserve">Rates were suppressed where the numerator was less than 5 and/or the </w:t>
            </w:r>
            <w:r w:rsidR="00104B60">
              <w:t>denominator was less than 1</w:t>
            </w:r>
            <w:r>
              <w:t>000.</w:t>
            </w:r>
            <w:r w:rsidR="00104B60">
              <w:t xml:space="preserve"> </w:t>
            </w:r>
          </w:p>
          <w:p w:rsidR="00485DD3" w:rsidRDefault="00485DD3" w:rsidP="00D42F78">
            <w:pPr>
              <w:pStyle w:val="TableBullet"/>
              <w:spacing w:after="120"/>
            </w:pPr>
            <w:r>
              <w:t>Rates which appear misleading (for example, because of cross border flows) were also suppressed.</w:t>
            </w:r>
          </w:p>
          <w:p w:rsidR="00485DD3" w:rsidRPr="00563446" w:rsidRDefault="00485DD3" w:rsidP="00D42F78">
            <w:pPr>
              <w:pStyle w:val="TableBullet"/>
              <w:spacing w:after="120"/>
            </w:pPr>
            <w:r>
              <w:lastRenderedPageBreak/>
              <w:t>Consequential suppression was applied where appropriate to protect confidentiality.</w:t>
            </w:r>
          </w:p>
        </w:tc>
      </w:tr>
      <w:tr w:rsidR="00485DD3" w:rsidRPr="002F0831" w:rsidTr="00D42F78">
        <w:tc>
          <w:tcPr>
            <w:tcW w:w="1843" w:type="dxa"/>
            <w:gridSpan w:val="2"/>
            <w:tcBorders>
              <w:top w:val="nil"/>
              <w:left w:val="nil"/>
              <w:bottom w:val="nil"/>
              <w:right w:val="nil"/>
            </w:tcBorders>
          </w:tcPr>
          <w:p w:rsidR="00485DD3" w:rsidRPr="00EF2629" w:rsidRDefault="00485DD3" w:rsidP="00BE5B08">
            <w:pPr>
              <w:jc w:val="both"/>
              <w:rPr>
                <w:rFonts w:ascii="Arial" w:hAnsi="Arial" w:cs="Arial"/>
                <w:b/>
                <w:sz w:val="20"/>
              </w:rPr>
            </w:pPr>
            <w:r w:rsidRPr="00EF2629">
              <w:rPr>
                <w:rFonts w:ascii="Arial" w:hAnsi="Arial" w:cs="Arial"/>
                <w:b/>
                <w:sz w:val="20"/>
              </w:rPr>
              <w:lastRenderedPageBreak/>
              <w:t>Coherence</w:t>
            </w:r>
          </w:p>
        </w:tc>
        <w:tc>
          <w:tcPr>
            <w:tcW w:w="6946" w:type="dxa"/>
            <w:tcBorders>
              <w:top w:val="nil"/>
              <w:left w:val="nil"/>
              <w:bottom w:val="nil"/>
              <w:right w:val="nil"/>
            </w:tcBorders>
            <w:shd w:val="clear" w:color="auto" w:fill="FFFFFF" w:themeFill="background1"/>
          </w:tcPr>
          <w:p w:rsidR="00485DD3" w:rsidRDefault="00485DD3" w:rsidP="00D42F78">
            <w:pPr>
              <w:pStyle w:val="TableBodyText"/>
              <w:spacing w:after="120"/>
              <w:jc w:val="both"/>
            </w:pPr>
            <w:r>
              <w:t>The information presented for this indicator is calculated using the same methodology as data published in Australian hospital statistics 2011</w:t>
            </w:r>
            <w:r w:rsidR="00104B60">
              <w:noBreakHyphen/>
            </w:r>
            <w:r>
              <w:t>12.</w:t>
            </w:r>
          </w:p>
          <w:p w:rsidR="00485DD3" w:rsidRDefault="00485DD3" w:rsidP="00D42F78">
            <w:pPr>
              <w:pStyle w:val="TableBodyText"/>
              <w:spacing w:after="120"/>
              <w:jc w:val="both"/>
            </w:pPr>
            <w:r>
              <w:t>The data can be meaningfully compared across reference periods for all jurisdictions except Tasmania. Data for Tasmania for 2008</w:t>
            </w:r>
            <w:r w:rsidR="00104B60">
              <w:noBreakHyphen/>
            </w:r>
            <w:r>
              <w:t>09 does not include two private hospitals that were included in 2007</w:t>
            </w:r>
            <w:r w:rsidR="00104B60">
              <w:noBreakHyphen/>
            </w:r>
            <w:r>
              <w:t>08 and 2009</w:t>
            </w:r>
            <w:r w:rsidR="00104B60">
              <w:noBreakHyphen/>
            </w:r>
            <w:r>
              <w:t>10 data reported in National Healthcare Agreement reports.</w:t>
            </w:r>
          </w:p>
          <w:p w:rsidR="00485DD3" w:rsidRDefault="00485DD3" w:rsidP="00D42F78">
            <w:pPr>
              <w:pStyle w:val="TableBodyText"/>
              <w:spacing w:after="120"/>
              <w:jc w:val="both"/>
            </w:pPr>
            <w:r>
              <w:t xml:space="preserve">Methodological variations also exist in the application of </w:t>
            </w:r>
            <w:proofErr w:type="spellStart"/>
            <w:r>
              <w:t>SEIFA</w:t>
            </w:r>
            <w:proofErr w:type="spellEnd"/>
            <w:r>
              <w:t xml:space="preserve"> to various data sets and performance indicators. Any comparisons of the </w:t>
            </w:r>
            <w:proofErr w:type="spellStart"/>
            <w:r>
              <w:t>SEIFA</w:t>
            </w:r>
            <w:proofErr w:type="spellEnd"/>
            <w:r>
              <w:t xml:space="preserve"> analysis for this indicator with other related </w:t>
            </w:r>
            <w:proofErr w:type="spellStart"/>
            <w:r>
              <w:t>SEIFA</w:t>
            </w:r>
            <w:proofErr w:type="spellEnd"/>
            <w:r>
              <w:t xml:space="preserve"> analysis should be undertaken with careful consideration of the methods used, in particular the </w:t>
            </w:r>
            <w:proofErr w:type="spellStart"/>
            <w:r>
              <w:t>SEIFA</w:t>
            </w:r>
            <w:proofErr w:type="spellEnd"/>
            <w:r>
              <w:t xml:space="preserve"> Census year, the </w:t>
            </w:r>
            <w:proofErr w:type="spellStart"/>
            <w:r>
              <w:t>SEIFA</w:t>
            </w:r>
            <w:proofErr w:type="spellEnd"/>
            <w:r>
              <w:t xml:space="preserve"> index used and the approach taken to derive quintiles and </w:t>
            </w:r>
            <w:proofErr w:type="spellStart"/>
            <w:r>
              <w:t>deciles</w:t>
            </w:r>
            <w:proofErr w:type="spellEnd"/>
            <w:r>
              <w:t>.</w:t>
            </w:r>
          </w:p>
          <w:p w:rsidR="00485DD3" w:rsidRPr="00563446" w:rsidRDefault="00485DD3" w:rsidP="00D42F78">
            <w:pPr>
              <w:pStyle w:val="TableBodyText"/>
              <w:spacing w:after="120"/>
              <w:jc w:val="both"/>
            </w:pPr>
            <w:r>
              <w:t>National level data disaggregated by Indigenous status for 2007</w:t>
            </w:r>
            <w:r w:rsidR="00104B60">
              <w:noBreakHyphen/>
            </w:r>
            <w:r>
              <w:t>08 included data from NSW, Qld, WA, SA and NT. National level data disaggregated by Indigenous status for 2008</w:t>
            </w:r>
            <w:r w:rsidR="00104B60">
              <w:noBreakHyphen/>
            </w:r>
            <w:r>
              <w:t>09, 2009</w:t>
            </w:r>
            <w:r w:rsidR="00104B60">
              <w:noBreakHyphen/>
            </w:r>
            <w:r>
              <w:t>10 and 2010</w:t>
            </w:r>
            <w:r w:rsidR="00104B60">
              <w:noBreakHyphen/>
            </w:r>
            <w:r>
              <w:t>11 included data from NSW, Victoria, Qld, WA, SA and NT. National level data disaggregated by Indigenous status for 2011</w:t>
            </w:r>
            <w:r w:rsidR="00104B60">
              <w:noBreakHyphen/>
            </w:r>
            <w:r>
              <w:t>12 and subsequent years includes data from all eight states and territories. Therefore, data disaggregated by Indigenous status from 2007</w:t>
            </w:r>
            <w:r w:rsidR="00104B60">
              <w:noBreakHyphen/>
            </w:r>
            <w:r>
              <w:t>08 is not comparable to 2008</w:t>
            </w:r>
            <w:r w:rsidR="00104B60">
              <w:noBreakHyphen/>
            </w:r>
            <w:r>
              <w:t>09, 2009</w:t>
            </w:r>
            <w:r w:rsidR="00104B60">
              <w:noBreakHyphen/>
            </w:r>
            <w:r>
              <w:t>10 and 2010</w:t>
            </w:r>
            <w:r w:rsidR="00104B60">
              <w:noBreakHyphen/>
            </w:r>
            <w:r>
              <w:t>11,</w:t>
            </w:r>
            <w:r w:rsidR="00104B60">
              <w:t xml:space="preserve"> </w:t>
            </w:r>
            <w:r>
              <w:t>and data for 2011</w:t>
            </w:r>
            <w:r w:rsidR="00104B60">
              <w:noBreakHyphen/>
            </w:r>
            <w:r>
              <w:t>12 and subsequent years are not comparable with data for 2010</w:t>
            </w:r>
            <w:r w:rsidR="00104B60">
              <w:noBreakHyphen/>
            </w:r>
            <w:r>
              <w:t>11 and prior years.</w:t>
            </w:r>
            <w:r w:rsidR="00104B60">
              <w:t xml:space="preserve"> </w:t>
            </w:r>
          </w:p>
        </w:tc>
      </w:tr>
      <w:tr w:rsidR="00485DD3" w:rsidRPr="002F0831" w:rsidTr="00D42F78">
        <w:tc>
          <w:tcPr>
            <w:tcW w:w="1843" w:type="dxa"/>
            <w:gridSpan w:val="2"/>
            <w:tcBorders>
              <w:top w:val="nil"/>
              <w:left w:val="nil"/>
              <w:bottom w:val="nil"/>
              <w:right w:val="nil"/>
            </w:tcBorders>
          </w:tcPr>
          <w:p w:rsidR="00485DD3" w:rsidRPr="00EF2629" w:rsidRDefault="00485DD3" w:rsidP="00BE5B08">
            <w:pPr>
              <w:jc w:val="both"/>
              <w:rPr>
                <w:rFonts w:ascii="Arial" w:hAnsi="Arial" w:cs="Arial"/>
                <w:b/>
                <w:sz w:val="20"/>
              </w:rPr>
            </w:pPr>
            <w:r w:rsidRPr="00EF2629">
              <w:rPr>
                <w:rFonts w:ascii="Arial" w:hAnsi="Arial" w:cs="Arial"/>
                <w:b/>
                <w:sz w:val="20"/>
              </w:rPr>
              <w:t>Accessibility</w:t>
            </w:r>
          </w:p>
        </w:tc>
        <w:tc>
          <w:tcPr>
            <w:tcW w:w="6946" w:type="dxa"/>
            <w:tcBorders>
              <w:top w:val="nil"/>
              <w:left w:val="nil"/>
              <w:bottom w:val="nil"/>
              <w:right w:val="nil"/>
            </w:tcBorders>
            <w:shd w:val="clear" w:color="auto" w:fill="FFFFFF" w:themeFill="background1"/>
          </w:tcPr>
          <w:p w:rsidR="00485DD3" w:rsidRPr="00485DD3" w:rsidRDefault="00485DD3" w:rsidP="008972A0">
            <w:pPr>
              <w:pStyle w:val="TableBodyText"/>
              <w:spacing w:after="120"/>
              <w:jc w:val="both"/>
              <w:rPr>
                <w:rFonts w:cs="Arial"/>
              </w:rPr>
            </w:pPr>
            <w:r w:rsidRPr="00485DD3">
              <w:rPr>
                <w:rFonts w:cs="Arial"/>
              </w:rPr>
              <w:t xml:space="preserve">The AIHW provides a variety of products that draw upon the </w:t>
            </w:r>
            <w:proofErr w:type="spellStart"/>
            <w:r w:rsidRPr="00485DD3">
              <w:rPr>
                <w:rFonts w:cs="Arial"/>
              </w:rPr>
              <w:t>NHMD</w:t>
            </w:r>
            <w:proofErr w:type="spellEnd"/>
            <w:r w:rsidRPr="00485DD3">
              <w:rPr>
                <w:rFonts w:cs="Arial"/>
              </w:rPr>
              <w:t>. Published products available on the AIHW website are:</w:t>
            </w:r>
          </w:p>
          <w:p w:rsidR="00485DD3" w:rsidRPr="00485DD3" w:rsidRDefault="00485DD3" w:rsidP="00237358">
            <w:pPr>
              <w:numPr>
                <w:ilvl w:val="0"/>
                <w:numId w:val="18"/>
              </w:numPr>
              <w:spacing w:before="40" w:after="120"/>
              <w:rPr>
                <w:rFonts w:ascii="Arial" w:hAnsi="Arial" w:cs="Arial"/>
                <w:sz w:val="20"/>
                <w:szCs w:val="20"/>
              </w:rPr>
            </w:pPr>
            <w:r w:rsidRPr="00485DD3">
              <w:rPr>
                <w:rFonts w:ascii="Arial" w:hAnsi="Arial" w:cs="Arial"/>
                <w:sz w:val="20"/>
                <w:szCs w:val="20"/>
              </w:rPr>
              <w:t xml:space="preserve">Australian hospital statistics with associated Excel tables </w:t>
            </w:r>
          </w:p>
          <w:p w:rsidR="00485DD3" w:rsidRPr="00485DD3" w:rsidRDefault="00485DD3" w:rsidP="00237358">
            <w:pPr>
              <w:numPr>
                <w:ilvl w:val="0"/>
                <w:numId w:val="18"/>
              </w:numPr>
              <w:spacing w:before="40" w:after="120"/>
              <w:rPr>
                <w:rFonts w:ascii="Arial" w:hAnsi="Arial" w:cs="Arial"/>
                <w:sz w:val="20"/>
                <w:szCs w:val="20"/>
              </w:rPr>
            </w:pPr>
            <w:r w:rsidRPr="00485DD3">
              <w:rPr>
                <w:rFonts w:ascii="Arial" w:hAnsi="Arial" w:cs="Arial"/>
                <w:sz w:val="20"/>
                <w:szCs w:val="20"/>
              </w:rPr>
              <w:t>Interactive data cubes for Admitted patient care (for Principal diagnoses, Procedures and Diagnosis Related Groups).</w:t>
            </w:r>
          </w:p>
          <w:p w:rsidR="00485DD3" w:rsidRPr="00A923B7" w:rsidRDefault="00485DD3" w:rsidP="00D42F78">
            <w:pPr>
              <w:autoSpaceDE w:val="0"/>
              <w:autoSpaceDN w:val="0"/>
              <w:adjustRightInd w:val="0"/>
              <w:spacing w:after="120"/>
              <w:rPr>
                <w:rFonts w:ascii="Arial" w:hAnsi="Arial" w:cs="Arial"/>
                <w:sz w:val="20"/>
                <w:szCs w:val="20"/>
              </w:rPr>
            </w:pPr>
            <w:r w:rsidRPr="00485DD3">
              <w:rPr>
                <w:rFonts w:ascii="Arial" w:hAnsi="Arial" w:cs="Arial"/>
                <w:sz w:val="20"/>
                <w:szCs w:val="20"/>
              </w:rPr>
              <w:t xml:space="preserve">These products may be accessed on the </w:t>
            </w:r>
            <w:proofErr w:type="spellStart"/>
            <w:r w:rsidRPr="00485DD3">
              <w:rPr>
                <w:rFonts w:ascii="Arial" w:hAnsi="Arial" w:cs="Arial"/>
                <w:sz w:val="20"/>
                <w:szCs w:val="20"/>
              </w:rPr>
              <w:t>AIHW</w:t>
            </w:r>
            <w:proofErr w:type="spellEnd"/>
            <w:r w:rsidRPr="00485DD3">
              <w:rPr>
                <w:rFonts w:ascii="Arial" w:hAnsi="Arial" w:cs="Arial"/>
                <w:sz w:val="20"/>
                <w:szCs w:val="20"/>
              </w:rPr>
              <w:t xml:space="preserve"> website at: </w:t>
            </w:r>
            <w:proofErr w:type="spellStart"/>
            <w:r w:rsidRPr="00485DD3">
              <w:rPr>
                <w:rFonts w:ascii="Arial" w:hAnsi="Arial" w:cs="Arial"/>
                <w:sz w:val="20"/>
                <w:szCs w:val="20"/>
              </w:rPr>
              <w:t>www.aihw.gov.au</w:t>
            </w:r>
            <w:proofErr w:type="spellEnd"/>
            <w:r w:rsidRPr="00485DD3">
              <w:rPr>
                <w:rFonts w:ascii="Arial" w:hAnsi="Arial" w:cs="Arial"/>
                <w:sz w:val="20"/>
                <w:szCs w:val="20"/>
              </w:rPr>
              <w:t>/hospitals/</w:t>
            </w:r>
          </w:p>
        </w:tc>
      </w:tr>
      <w:tr w:rsidR="00485DD3" w:rsidRPr="00E46B9F" w:rsidTr="00D42F78">
        <w:trPr>
          <w:trHeight w:val="820"/>
        </w:trPr>
        <w:tc>
          <w:tcPr>
            <w:tcW w:w="1843" w:type="dxa"/>
            <w:gridSpan w:val="2"/>
            <w:shd w:val="clear" w:color="auto" w:fill="auto"/>
          </w:tcPr>
          <w:p w:rsidR="00485DD3" w:rsidRPr="00E46B9F" w:rsidRDefault="00485DD3" w:rsidP="00B25883">
            <w:pPr>
              <w:pStyle w:val="TableBodyText"/>
              <w:keepNext w:val="0"/>
              <w:keepLines w:val="0"/>
              <w:widowControl w:val="0"/>
              <w:ind w:right="-89"/>
              <w:jc w:val="left"/>
              <w:rPr>
                <w:b/>
              </w:rPr>
            </w:pPr>
            <w:r w:rsidRPr="00E46B9F">
              <w:rPr>
                <w:b/>
              </w:rPr>
              <w:t>Interpretability</w:t>
            </w:r>
          </w:p>
        </w:tc>
        <w:tc>
          <w:tcPr>
            <w:tcW w:w="6946" w:type="dxa"/>
            <w:shd w:val="clear" w:color="auto" w:fill="FFFFFF" w:themeFill="background1"/>
          </w:tcPr>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Supporting information on the quality and use of the </w:t>
            </w:r>
            <w:proofErr w:type="spellStart"/>
            <w:r w:rsidRPr="00485DD3">
              <w:rPr>
                <w:rFonts w:ascii="Arial" w:hAnsi="Arial"/>
                <w:sz w:val="20"/>
                <w:szCs w:val="20"/>
              </w:rPr>
              <w:t>NHMD</w:t>
            </w:r>
            <w:proofErr w:type="spellEnd"/>
            <w:r w:rsidRPr="00485DD3">
              <w:rPr>
                <w:rFonts w:ascii="Arial" w:hAnsi="Arial"/>
                <w:sz w:val="20"/>
                <w:szCs w:val="20"/>
              </w:rPr>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is published in the </w:t>
            </w:r>
            <w:proofErr w:type="spellStart"/>
            <w:r w:rsidRPr="00485DD3">
              <w:rPr>
                <w:rFonts w:ascii="Arial" w:hAnsi="Arial"/>
                <w:sz w:val="20"/>
                <w:szCs w:val="20"/>
              </w:rPr>
              <w:t>AIHW’s</w:t>
            </w:r>
            <w:proofErr w:type="spellEnd"/>
            <w:r w:rsidRPr="00485DD3">
              <w:rPr>
                <w:rFonts w:ascii="Arial" w:hAnsi="Arial"/>
                <w:sz w:val="20"/>
                <w:szCs w:val="20"/>
              </w:rPr>
              <w:t xml:space="preserve"> online metadata repository, </w:t>
            </w:r>
            <w:proofErr w:type="spellStart"/>
            <w:r w:rsidRPr="00485DD3">
              <w:rPr>
                <w:rFonts w:ascii="Arial" w:hAnsi="Arial"/>
                <w:sz w:val="20"/>
                <w:szCs w:val="20"/>
              </w:rPr>
              <w:t>METeOR</w:t>
            </w:r>
            <w:proofErr w:type="spellEnd"/>
            <w:r w:rsidRPr="00485DD3">
              <w:rPr>
                <w:rFonts w:ascii="Arial" w:hAnsi="Arial"/>
                <w:sz w:val="20"/>
                <w:szCs w:val="20"/>
              </w:rPr>
              <w:t>, and the National health data dictionary.</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National health data dictionary can be accessed online at:</w:t>
            </w:r>
          </w:p>
          <w:p w:rsidR="00485DD3" w:rsidRPr="00485DD3" w:rsidRDefault="00485DD3" w:rsidP="00D42F78">
            <w:pPr>
              <w:keepNext/>
              <w:keepLines/>
              <w:spacing w:after="120" w:line="220" w:lineRule="atLeast"/>
              <w:ind w:left="6" w:right="113"/>
              <w:jc w:val="both"/>
            </w:pPr>
            <w:proofErr w:type="spellStart"/>
            <w:r w:rsidRPr="00485DD3">
              <w:rPr>
                <w:rFonts w:ascii="Arial" w:hAnsi="Arial"/>
                <w:sz w:val="20"/>
                <w:szCs w:val="20"/>
              </w:rPr>
              <w:t>www.aihw.gov.au</w:t>
            </w:r>
            <w:proofErr w:type="spellEnd"/>
            <w:r w:rsidRPr="00485DD3">
              <w:rPr>
                <w:rFonts w:ascii="Arial" w:hAnsi="Arial"/>
                <w:sz w:val="20"/>
                <w:szCs w:val="20"/>
              </w:rPr>
              <w:t>/publication-detail/?id=10737422826</w:t>
            </w:r>
            <w:r w:rsidRPr="00485DD3">
              <w:t xml:space="preserve"> </w:t>
            </w:r>
          </w:p>
          <w:p w:rsidR="00485DD3" w:rsidRPr="00485DD3" w:rsidRDefault="00485DD3" w:rsidP="00D42F78">
            <w:pPr>
              <w:keepNext/>
              <w:keepLines/>
              <w:spacing w:after="120" w:line="220" w:lineRule="atLeast"/>
              <w:ind w:left="6" w:right="113"/>
              <w:jc w:val="both"/>
              <w:rPr>
                <w:rFonts w:ascii="Arial" w:hAnsi="Arial"/>
                <w:sz w:val="20"/>
                <w:szCs w:val="20"/>
              </w:rPr>
            </w:pPr>
            <w:r w:rsidRPr="00485DD3">
              <w:rPr>
                <w:rFonts w:ascii="Arial" w:hAnsi="Arial"/>
                <w:sz w:val="20"/>
                <w:szCs w:val="20"/>
              </w:rPr>
              <w:t>The Data Quality Statement for the National Hospital Morbidity Database can be accessed on the AIHW website at:</w:t>
            </w:r>
          </w:p>
          <w:p w:rsidR="00485DD3" w:rsidRPr="00A923B7" w:rsidRDefault="00485DD3" w:rsidP="00D42F78">
            <w:pPr>
              <w:keepNext/>
              <w:keepLines/>
              <w:spacing w:after="120" w:line="220" w:lineRule="atLeast"/>
              <w:ind w:left="6" w:right="113"/>
              <w:jc w:val="both"/>
              <w:rPr>
                <w:rFonts w:ascii="Arial" w:hAnsi="Arial" w:cs="Arial"/>
                <w:sz w:val="20"/>
                <w:szCs w:val="20"/>
              </w:rPr>
            </w:pPr>
            <w:proofErr w:type="spellStart"/>
            <w:r w:rsidRPr="00485DD3">
              <w:rPr>
                <w:rFonts w:ascii="Arial" w:hAnsi="Arial"/>
                <w:sz w:val="20"/>
                <w:szCs w:val="20"/>
              </w:rPr>
              <w:t>meteor.aihw.gov.au</w:t>
            </w:r>
            <w:proofErr w:type="spellEnd"/>
            <w:r w:rsidRPr="00485DD3">
              <w:rPr>
                <w:rFonts w:ascii="Arial" w:hAnsi="Arial"/>
                <w:sz w:val="20"/>
                <w:szCs w:val="20"/>
              </w:rPr>
              <w:t>/content/</w:t>
            </w:r>
            <w:proofErr w:type="spellStart"/>
            <w:r w:rsidRPr="00485DD3">
              <w:rPr>
                <w:rFonts w:ascii="Arial" w:hAnsi="Arial"/>
                <w:sz w:val="20"/>
                <w:szCs w:val="20"/>
              </w:rPr>
              <w:t>index.phtml</w:t>
            </w:r>
            <w:proofErr w:type="spellEnd"/>
            <w:r w:rsidRPr="00485DD3">
              <w:rPr>
                <w:rFonts w:ascii="Arial" w:hAnsi="Arial"/>
                <w:sz w:val="20"/>
                <w:szCs w:val="20"/>
              </w:rPr>
              <w:t>/</w:t>
            </w:r>
            <w:proofErr w:type="spellStart"/>
            <w:r w:rsidRPr="00485DD3">
              <w:rPr>
                <w:rFonts w:ascii="Arial" w:hAnsi="Arial"/>
                <w:sz w:val="20"/>
                <w:szCs w:val="20"/>
              </w:rPr>
              <w:t>itemId</w:t>
            </w:r>
            <w:proofErr w:type="spellEnd"/>
            <w:r w:rsidRPr="00485DD3">
              <w:rPr>
                <w:rFonts w:ascii="Arial" w:hAnsi="Arial"/>
                <w:sz w:val="20"/>
                <w:szCs w:val="20"/>
              </w:rPr>
              <w:t>/529483</w:t>
            </w:r>
            <w:r>
              <w:rPr>
                <w:rFonts w:ascii="Arial" w:hAnsi="Arial"/>
                <w:sz w:val="20"/>
                <w:szCs w:val="20"/>
              </w:rPr>
              <w:t>.</w:t>
            </w:r>
          </w:p>
        </w:tc>
      </w:tr>
      <w:tr w:rsidR="00485DD3" w:rsidRPr="00FC28BE" w:rsidTr="00D42F78">
        <w:trPr>
          <w:trHeight w:val="542"/>
        </w:trPr>
        <w:tc>
          <w:tcPr>
            <w:tcW w:w="8789" w:type="dxa"/>
            <w:gridSpan w:val="3"/>
            <w:shd w:val="clear" w:color="auto" w:fill="FFFFFF" w:themeFill="background1"/>
          </w:tcPr>
          <w:p w:rsidR="00485DD3" w:rsidRPr="00FC28BE" w:rsidRDefault="00485DD3" w:rsidP="00D42F78">
            <w:pPr>
              <w:pStyle w:val="TableBodyText"/>
              <w:spacing w:before="120" w:after="120"/>
              <w:ind w:left="0"/>
              <w:jc w:val="both"/>
              <w:rPr>
                <w:rFonts w:cs="Arial"/>
                <w:b/>
                <w:szCs w:val="22"/>
                <w:u w:val="single"/>
              </w:rPr>
            </w:pPr>
            <w:r w:rsidRPr="00FC28BE">
              <w:rPr>
                <w:rFonts w:cs="Arial"/>
                <w:b/>
                <w:szCs w:val="22"/>
                <w:u w:val="single"/>
              </w:rPr>
              <w:lastRenderedPageBreak/>
              <w:t>Data Gaps/Issues Analysis</w:t>
            </w:r>
          </w:p>
        </w:tc>
      </w:tr>
      <w:tr w:rsidR="00485DD3" w:rsidRPr="00CE0D33" w:rsidTr="00A407D7">
        <w:tc>
          <w:tcPr>
            <w:tcW w:w="1801" w:type="dxa"/>
          </w:tcPr>
          <w:p w:rsidR="00485DD3" w:rsidRPr="00672B5F" w:rsidRDefault="00485DD3" w:rsidP="007F4E70">
            <w:pPr>
              <w:pStyle w:val="TableBodyText"/>
              <w:ind w:left="0"/>
              <w:jc w:val="both"/>
              <w:rPr>
                <w:rFonts w:cs="Arial"/>
                <w:b/>
                <w:szCs w:val="22"/>
              </w:rPr>
            </w:pPr>
            <w:r w:rsidRPr="00672B5F">
              <w:rPr>
                <w:rFonts w:cs="Arial"/>
                <w:b/>
                <w:szCs w:val="22"/>
              </w:rPr>
              <w:t>Key data gaps/issues</w:t>
            </w:r>
          </w:p>
        </w:tc>
        <w:tc>
          <w:tcPr>
            <w:tcW w:w="6988" w:type="dxa"/>
            <w:gridSpan w:val="2"/>
            <w:shd w:val="clear" w:color="auto" w:fill="FFFFFF" w:themeFill="background1"/>
          </w:tcPr>
          <w:p w:rsidR="00485DD3" w:rsidRPr="00CE0D33" w:rsidRDefault="00485DD3" w:rsidP="00D42F78">
            <w:pPr>
              <w:pStyle w:val="TableBodyText"/>
              <w:spacing w:after="120"/>
              <w:jc w:val="both"/>
            </w:pPr>
            <w:r w:rsidRPr="00CE0D33">
              <w:t xml:space="preserve">The Steering Committee notes the following issues: </w:t>
            </w:r>
          </w:p>
          <w:p w:rsidR="00CE0D33" w:rsidRPr="00CE0D33" w:rsidRDefault="00CE0D33" w:rsidP="00D42F78">
            <w:pPr>
              <w:pStyle w:val="TableBullet"/>
              <w:shd w:val="clear" w:color="auto" w:fill="FFFFFF" w:themeFill="background1"/>
              <w:spacing w:after="120"/>
              <w:jc w:val="both"/>
            </w:pPr>
            <w:r w:rsidRPr="00CE0D33">
              <w:t>Data have been provided according to the State or Territory of hospitalisation, but at the sub</w:t>
            </w:r>
            <w:r w:rsidR="00104B60">
              <w:noBreakHyphen/>
            </w:r>
            <w:r w:rsidRPr="00CE0D33">
              <w:t>state level (remoteness area) have been classified by the patients place of usual residence. For example, a person who usually resides in a very remote area of the Northern Territory and is treated in a hospital in a major city of Victoria would be classified for remoteness purposes as very remote area of Victoria (even though Victoria itself has no very remote areas under the ABS remoteness classification). Further work is required to determine whether geographic location for this indicator should be based on usual residence of the patient (used for most indicators) or location of the hospital.</w:t>
            </w:r>
          </w:p>
          <w:p w:rsidR="00485DD3" w:rsidRPr="00CE0D33" w:rsidRDefault="00CE0D33" w:rsidP="00D42F78">
            <w:pPr>
              <w:pStyle w:val="TableBullet"/>
              <w:shd w:val="clear" w:color="auto" w:fill="FFFFFF" w:themeFill="background1"/>
              <w:spacing w:after="120"/>
              <w:jc w:val="both"/>
            </w:pPr>
            <w:r w:rsidRPr="00CE0D33">
              <w:t>Further development is required to enable reporting on the number of days waited by people in hospitals who have received ACAT assessments and are deemed eligible for residential aged care.</w:t>
            </w:r>
          </w:p>
        </w:tc>
      </w:tr>
    </w:tbl>
    <w:p w:rsidR="00487552" w:rsidRDefault="00487552" w:rsidP="0076174D">
      <w:pPr>
        <w:pStyle w:val="Heading3"/>
        <w:spacing w:before="120"/>
        <w:jc w:val="both"/>
        <w:rPr>
          <w:szCs w:val="24"/>
        </w:rPr>
      </w:pPr>
    </w:p>
    <w:p w:rsidR="00487552" w:rsidRDefault="00487552" w:rsidP="00487552">
      <w:pPr>
        <w:pStyle w:val="BodyText"/>
        <w:rPr>
          <w:rFonts w:ascii="Arial" w:hAnsi="Arial"/>
        </w:rPr>
      </w:pPr>
      <w:r>
        <w:br w:type="page"/>
      </w:r>
    </w:p>
    <w:p w:rsidR="0076174D" w:rsidRDefault="0076174D" w:rsidP="0076174D">
      <w:pPr>
        <w:pStyle w:val="Heading3"/>
        <w:spacing w:before="120"/>
        <w:jc w:val="both"/>
      </w:pPr>
      <w:bookmarkStart w:id="39" w:name="_Toc377383328"/>
      <w:r w:rsidRPr="00DC1B19">
        <w:rPr>
          <w:szCs w:val="24"/>
        </w:rPr>
        <w:lastRenderedPageBreak/>
        <w:t>Compliance with service standards for residential care</w:t>
      </w:r>
      <w:r>
        <w:rPr>
          <w:szCs w:val="24"/>
        </w:rPr>
        <w:t xml:space="preserve"> </w:t>
      </w:r>
      <w:r>
        <w:rPr>
          <w:rFonts w:cs="Arial"/>
          <w:szCs w:val="24"/>
        </w:rPr>
        <w:t>— p</w:t>
      </w:r>
      <w:r w:rsidRPr="009938BB">
        <w:rPr>
          <w:rFonts w:cs="Arial"/>
          <w:szCs w:val="24"/>
        </w:rPr>
        <w:t>roportion of residential aged care services that are three year re</w:t>
      </w:r>
      <w:r w:rsidR="00104B60">
        <w:rPr>
          <w:rFonts w:cs="Arial"/>
          <w:szCs w:val="24"/>
        </w:rPr>
        <w:noBreakHyphen/>
      </w:r>
      <w:r w:rsidRPr="009938BB">
        <w:rPr>
          <w:rFonts w:cs="Arial"/>
          <w:szCs w:val="24"/>
        </w:rPr>
        <w:t>accredited</w:t>
      </w:r>
      <w:bookmarkEnd w:id="39"/>
    </w:p>
    <w:p w:rsidR="0076174D" w:rsidRPr="00EA5574" w:rsidRDefault="00EA5574" w:rsidP="0076174D">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76174D" w:rsidRPr="00EA5574">
        <w:rPr>
          <w:rFonts w:ascii="Arial" w:hAnsi="Arial"/>
          <w:color w:val="000000"/>
        </w:rPr>
        <w:t xml:space="preserve"> for this indicator has been sourced from the Steering Committee’s report to the COAG Reform Council on the National Healthcare Agreement (data supplied by AIHW) with additional Steering Committee comments.</w:t>
      </w:r>
    </w:p>
    <w:p w:rsidR="00B62847" w:rsidRDefault="00B62847" w:rsidP="0076174D">
      <w:pPr>
        <w:pStyle w:val="BodyText"/>
        <w:keepNext/>
        <w:keepLines/>
        <w:spacing w:before="120" w:line="240" w:lineRule="auto"/>
        <w:rPr>
          <w:rFonts w:ascii="Arial" w:hAnsi="Arial" w:cs="Arial"/>
          <w:sz w:val="22"/>
          <w:szCs w:val="22"/>
        </w:rPr>
      </w:pPr>
    </w:p>
    <w:tbl>
      <w:tblPr>
        <w:tblW w:w="8835" w:type="dxa"/>
        <w:tblInd w:w="108" w:type="dxa"/>
        <w:tblLayout w:type="fixed"/>
        <w:tblLook w:val="01E0" w:firstRow="1" w:lastRow="1" w:firstColumn="1" w:lastColumn="1" w:noHBand="0" w:noVBand="0"/>
      </w:tblPr>
      <w:tblGrid>
        <w:gridCol w:w="1800"/>
        <w:gridCol w:w="180"/>
        <w:gridCol w:w="6809"/>
        <w:gridCol w:w="46"/>
      </w:tblGrid>
      <w:tr w:rsidR="00242550" w:rsidRPr="0097433A" w:rsidTr="00242550">
        <w:trPr>
          <w:gridAfter w:val="1"/>
          <w:wAfter w:w="46" w:type="dxa"/>
        </w:trPr>
        <w:tc>
          <w:tcPr>
            <w:tcW w:w="8789" w:type="dxa"/>
            <w:gridSpan w:val="3"/>
            <w:tcBorders>
              <w:top w:val="nil"/>
              <w:left w:val="nil"/>
              <w:bottom w:val="nil"/>
              <w:right w:val="nil"/>
            </w:tcBorders>
          </w:tcPr>
          <w:p w:rsidR="00242550" w:rsidRPr="0097433A" w:rsidRDefault="00242550" w:rsidP="005B3B6B">
            <w:pPr>
              <w:pStyle w:val="TableBodyText"/>
              <w:jc w:val="both"/>
              <w:rPr>
                <w:b/>
                <w:u w:val="single"/>
              </w:rPr>
            </w:pPr>
          </w:p>
          <w:p w:rsidR="00242550" w:rsidRPr="0097433A" w:rsidRDefault="00242550" w:rsidP="005B3B6B">
            <w:pPr>
              <w:pStyle w:val="TableBodyText"/>
              <w:jc w:val="both"/>
              <w:rPr>
                <w:rFonts w:cs="Arial"/>
              </w:rPr>
            </w:pPr>
            <w:r w:rsidRPr="0097433A">
              <w:rPr>
                <w:b/>
                <w:u w:val="single"/>
              </w:rPr>
              <w:t>Indicator definition and description</w:t>
            </w:r>
          </w:p>
        </w:tc>
      </w:tr>
      <w:tr w:rsidR="0076174D" w:rsidRPr="009938BB" w:rsidTr="00242550">
        <w:tc>
          <w:tcPr>
            <w:tcW w:w="1980" w:type="dxa"/>
            <w:gridSpan w:val="2"/>
            <w:shd w:val="clear" w:color="auto" w:fill="auto"/>
          </w:tcPr>
          <w:p w:rsidR="0076174D" w:rsidRPr="005E027C" w:rsidRDefault="0076174D" w:rsidP="00F06A16">
            <w:pPr>
              <w:pStyle w:val="TableBodyText"/>
              <w:ind w:left="0"/>
              <w:jc w:val="both"/>
              <w:rPr>
                <w:rFonts w:cs="Arial"/>
                <w:b/>
              </w:rPr>
            </w:pPr>
            <w:r w:rsidRPr="005E027C">
              <w:rPr>
                <w:rFonts w:cs="Arial"/>
                <w:b/>
              </w:rPr>
              <w:t>Element</w:t>
            </w:r>
          </w:p>
        </w:tc>
        <w:tc>
          <w:tcPr>
            <w:tcW w:w="6855" w:type="dxa"/>
            <w:gridSpan w:val="2"/>
            <w:shd w:val="clear" w:color="auto" w:fill="auto"/>
          </w:tcPr>
          <w:p w:rsidR="0076174D" w:rsidRPr="005E027C" w:rsidRDefault="0076174D" w:rsidP="00A44502">
            <w:pPr>
              <w:keepNext/>
              <w:keepLines/>
              <w:jc w:val="both"/>
              <w:rPr>
                <w:rFonts w:ascii="Arial" w:hAnsi="Arial" w:cs="Arial"/>
                <w:sz w:val="20"/>
              </w:rPr>
            </w:pPr>
            <w:r>
              <w:rPr>
                <w:rFonts w:ascii="Arial" w:hAnsi="Arial" w:cs="Arial"/>
                <w:sz w:val="20"/>
              </w:rPr>
              <w:t>Effectiveness ― quality</w:t>
            </w:r>
          </w:p>
        </w:tc>
      </w:tr>
      <w:tr w:rsidR="0076174D" w:rsidRPr="009938BB" w:rsidTr="00487552">
        <w:trPr>
          <w:trHeight w:val="353"/>
        </w:trPr>
        <w:tc>
          <w:tcPr>
            <w:tcW w:w="1980" w:type="dxa"/>
            <w:gridSpan w:val="2"/>
            <w:shd w:val="clear" w:color="auto" w:fill="auto"/>
          </w:tcPr>
          <w:p w:rsidR="0076174D" w:rsidRPr="005E027C" w:rsidRDefault="0076174D" w:rsidP="00F06A16">
            <w:pPr>
              <w:pStyle w:val="TableBodyText"/>
              <w:ind w:left="0"/>
              <w:jc w:val="both"/>
              <w:rPr>
                <w:rFonts w:cs="Arial"/>
                <w:b/>
              </w:rPr>
            </w:pPr>
            <w:r w:rsidRPr="005E027C">
              <w:rPr>
                <w:rFonts w:cs="Arial"/>
                <w:b/>
              </w:rPr>
              <w:t xml:space="preserve">Indicator </w:t>
            </w:r>
          </w:p>
        </w:tc>
        <w:tc>
          <w:tcPr>
            <w:tcW w:w="6855" w:type="dxa"/>
            <w:gridSpan w:val="2"/>
            <w:shd w:val="clear" w:color="auto" w:fill="FFFFFF" w:themeFill="background1"/>
          </w:tcPr>
          <w:p w:rsidR="0076174D" w:rsidRPr="003C61A6" w:rsidRDefault="0076174D" w:rsidP="00487552">
            <w:pPr>
              <w:keepNext/>
              <w:keepLines/>
              <w:spacing w:after="120"/>
              <w:jc w:val="both"/>
              <w:rPr>
                <w:rFonts w:cs="Arial"/>
              </w:rPr>
            </w:pPr>
            <w:r w:rsidRPr="00553487">
              <w:rPr>
                <w:rFonts w:ascii="Arial" w:hAnsi="Arial" w:cs="Arial"/>
                <w:sz w:val="20"/>
              </w:rPr>
              <w:t>Compliance with service standards for residential care — proportion of residential aged care services that are three year re</w:t>
            </w:r>
            <w:r w:rsidR="00104B60">
              <w:rPr>
                <w:rFonts w:ascii="Arial" w:hAnsi="Arial" w:cs="Arial"/>
                <w:sz w:val="20"/>
              </w:rPr>
              <w:noBreakHyphen/>
            </w:r>
            <w:r w:rsidRPr="00553487">
              <w:rPr>
                <w:rFonts w:ascii="Arial" w:hAnsi="Arial" w:cs="Arial"/>
                <w:sz w:val="20"/>
              </w:rPr>
              <w:t>accredited</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Measure (computation)</w:t>
            </w:r>
          </w:p>
        </w:tc>
        <w:tc>
          <w:tcPr>
            <w:tcW w:w="6855" w:type="dxa"/>
            <w:gridSpan w:val="2"/>
            <w:shd w:val="clear" w:color="auto" w:fill="FFFFFF" w:themeFill="background1"/>
          </w:tcPr>
          <w:p w:rsidR="00485DD3" w:rsidRDefault="00485DD3" w:rsidP="00487552">
            <w:pPr>
              <w:pStyle w:val="TableBodyText"/>
              <w:spacing w:after="120"/>
              <w:jc w:val="both"/>
            </w:pPr>
            <w:r w:rsidRPr="007658BC">
              <w:rPr>
                <w:i/>
              </w:rPr>
              <w:t>Numerator</w:t>
            </w:r>
            <w:r>
              <w:t xml:space="preserve">: Number of residential aged care facilities that received </w:t>
            </w:r>
            <w:r w:rsidR="00345AD7">
              <w:br/>
            </w:r>
            <w:r>
              <w:t>re</w:t>
            </w:r>
            <w:r w:rsidR="00104B60">
              <w:noBreakHyphen/>
            </w:r>
            <w:r>
              <w:t>accreditation for three years during the financial year, decision as in effect at 30 June.</w:t>
            </w:r>
            <w:r w:rsidR="00104B60">
              <w:t xml:space="preserve"> </w:t>
            </w:r>
          </w:p>
          <w:p w:rsidR="00485DD3" w:rsidRDefault="00485DD3" w:rsidP="00487552">
            <w:pPr>
              <w:pStyle w:val="TableBodyText"/>
              <w:spacing w:after="120"/>
              <w:jc w:val="both"/>
            </w:pPr>
            <w:r w:rsidRPr="007658BC">
              <w:rPr>
                <w:i/>
              </w:rPr>
              <w:t>Denominator</w:t>
            </w:r>
            <w:r>
              <w:t>: Total number of residential aged care facilities that received re</w:t>
            </w:r>
            <w:r w:rsidR="00104B60">
              <w:noBreakHyphen/>
            </w:r>
            <w:r>
              <w:t xml:space="preserve">accreditation decisions during the financial year. </w:t>
            </w:r>
          </w:p>
          <w:p w:rsidR="00485DD3" w:rsidRPr="00563446" w:rsidRDefault="00485DD3" w:rsidP="00487552">
            <w:pPr>
              <w:pStyle w:val="TableBodyText"/>
              <w:spacing w:after="120"/>
              <w:jc w:val="both"/>
            </w:pPr>
            <w:r>
              <w:t>Expressed as percentage (100 × numerator ÷ denominator).</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Data source/s</w:t>
            </w:r>
          </w:p>
        </w:tc>
        <w:tc>
          <w:tcPr>
            <w:tcW w:w="6855" w:type="dxa"/>
            <w:gridSpan w:val="2"/>
            <w:shd w:val="clear" w:color="auto" w:fill="FFFFFF" w:themeFill="background1"/>
          </w:tcPr>
          <w:p w:rsidR="00485DD3" w:rsidRPr="00563446" w:rsidRDefault="00485DD3" w:rsidP="00487552">
            <w:pPr>
              <w:pStyle w:val="TableBodyText"/>
              <w:spacing w:after="120"/>
              <w:jc w:val="both"/>
            </w:pPr>
            <w:r w:rsidRPr="007658BC">
              <w:t>Aged Care Standards and Accreditation Agency</w:t>
            </w:r>
          </w:p>
        </w:tc>
      </w:tr>
      <w:tr w:rsidR="00485DD3" w:rsidRPr="009938BB" w:rsidTr="00487552">
        <w:tc>
          <w:tcPr>
            <w:tcW w:w="8835" w:type="dxa"/>
            <w:gridSpan w:val="4"/>
            <w:shd w:val="clear" w:color="auto" w:fill="FFFFFF" w:themeFill="background1"/>
          </w:tcPr>
          <w:p w:rsidR="00485DD3" w:rsidRDefault="00485DD3" w:rsidP="00487552">
            <w:pPr>
              <w:pStyle w:val="TableBodyText"/>
              <w:spacing w:after="120"/>
              <w:jc w:val="both"/>
              <w:rPr>
                <w:rFonts w:cs="Arial"/>
                <w:b/>
                <w:bCs/>
                <w:u w:val="single"/>
              </w:rPr>
            </w:pPr>
          </w:p>
          <w:p w:rsidR="00485DD3" w:rsidRPr="009938BB" w:rsidRDefault="00485DD3" w:rsidP="00487552">
            <w:pPr>
              <w:keepNext/>
              <w:keepLines/>
              <w:spacing w:before="120" w:after="120" w:line="220" w:lineRule="atLeast"/>
              <w:ind w:left="6" w:right="113"/>
              <w:jc w:val="both"/>
              <w:rPr>
                <w:rFonts w:ascii="Arial" w:hAnsi="Arial"/>
                <w:sz w:val="20"/>
                <w:szCs w:val="20"/>
              </w:rPr>
            </w:pPr>
            <w:r w:rsidRPr="00FC28BE">
              <w:rPr>
                <w:rFonts w:ascii="Arial" w:hAnsi="Arial" w:cs="Arial"/>
                <w:b/>
                <w:bCs/>
                <w:sz w:val="20"/>
                <w:u w:val="single"/>
              </w:rPr>
              <w:t>Data Quality Framework Dimensions</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Institutional environment</w:t>
            </w:r>
          </w:p>
        </w:tc>
        <w:tc>
          <w:tcPr>
            <w:tcW w:w="6855" w:type="dxa"/>
            <w:gridSpan w:val="2"/>
            <w:shd w:val="clear" w:color="auto" w:fill="FFFFFF" w:themeFill="background1"/>
          </w:tcPr>
          <w:p w:rsidR="00485DD3" w:rsidRDefault="00485DD3" w:rsidP="00487552">
            <w:pPr>
              <w:pStyle w:val="TableBodyText"/>
              <w:spacing w:after="120"/>
              <w:jc w:val="both"/>
            </w:pPr>
            <w:r>
              <w:t xml:space="preserve">The data are from an administrative data collection designed for meeting the Accreditation Standards and a home’s responsibilities under the </w:t>
            </w:r>
            <w:r w:rsidRPr="00057763">
              <w:rPr>
                <w:i/>
              </w:rPr>
              <w:t>Aged Care Act 1997</w:t>
            </w:r>
            <w:r>
              <w:t>.</w:t>
            </w:r>
          </w:p>
          <w:p w:rsidR="00485DD3" w:rsidRPr="00563446" w:rsidRDefault="00485DD3" w:rsidP="00DC0FD3">
            <w:pPr>
              <w:pStyle w:val="TableBodyText"/>
              <w:spacing w:after="120"/>
              <w:jc w:val="both"/>
            </w:pPr>
            <w:r>
              <w:t>The tables for this indicator were prepared by the DSS</w:t>
            </w:r>
            <w:r w:rsidR="00DC0FD3">
              <w:t xml:space="preserve"> </w:t>
            </w:r>
            <w:r>
              <w:t>and quality</w:t>
            </w:r>
            <w:r w:rsidR="00104B60">
              <w:noBreakHyphen/>
            </w:r>
            <w:r>
              <w:t>assessed by the AIHW. The data quality statement was developed by DSS and includes comments from the AIHW. The AIHW did not have the relevant datasets required to independently verify the data tables for this indicator.</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Relevance</w:t>
            </w:r>
          </w:p>
        </w:tc>
        <w:tc>
          <w:tcPr>
            <w:tcW w:w="6855" w:type="dxa"/>
            <w:gridSpan w:val="2"/>
            <w:shd w:val="clear" w:color="auto" w:fill="FFFFFF" w:themeFill="background1"/>
          </w:tcPr>
          <w:p w:rsidR="00485DD3" w:rsidRDefault="00485DD3" w:rsidP="00487552">
            <w:pPr>
              <w:pStyle w:val="TableBodyText"/>
              <w:spacing w:after="120"/>
              <w:jc w:val="both"/>
            </w:pPr>
            <w:r>
              <w:t>The data are restricted to services seeking re</w:t>
            </w:r>
            <w:r w:rsidR="00104B60">
              <w:noBreakHyphen/>
            </w:r>
            <w:r>
              <w:t>accreditation. Each year there are more assessment contacts (including unannounced visits) than there are audits. Restricting this measure to ‘re</w:t>
            </w:r>
            <w:r w:rsidR="00104B60">
              <w:noBreakHyphen/>
            </w:r>
            <w:r>
              <w:t xml:space="preserve">accreditation’ data excludes those homes which were subject to a review audit – that is, those homes which the regulator has sufficient concerns to decide that the provider may not be meeting the Accreditation Standards or its responsibilities under the </w:t>
            </w:r>
            <w:r w:rsidRPr="00057763">
              <w:rPr>
                <w:i/>
              </w:rPr>
              <w:t>Aged Care Act 1997</w:t>
            </w:r>
            <w:r>
              <w:t xml:space="preserve">. </w:t>
            </w:r>
          </w:p>
          <w:p w:rsidR="00485DD3" w:rsidRDefault="00485DD3" w:rsidP="00487552">
            <w:pPr>
              <w:pStyle w:val="TableBodyText"/>
              <w:spacing w:after="120"/>
              <w:jc w:val="both"/>
            </w:pPr>
            <w:r>
              <w:t>Assessment contacts are necessarily limited in scope and hence how a home performs at a full audit is considered a more robust indicator. This indicator is a ‘point in</w:t>
            </w:r>
            <w:r w:rsidR="00104B60">
              <w:noBreakHyphen/>
            </w:r>
            <w:r>
              <w:t>time’ assessment of performance and as accreditation generally follows a three</w:t>
            </w:r>
            <w:r w:rsidR="00104B60">
              <w:noBreakHyphen/>
            </w:r>
            <w:r>
              <w:t>yearly cycle. The audit data can sometimes be up to three years old.</w:t>
            </w:r>
          </w:p>
          <w:p w:rsidR="00485DD3" w:rsidRDefault="00485DD3" w:rsidP="00487552">
            <w:pPr>
              <w:pStyle w:val="TableBodyText"/>
              <w:spacing w:after="120"/>
              <w:jc w:val="both"/>
            </w:pPr>
            <w:r>
              <w:t>A limitation in the data is that they are only for re</w:t>
            </w:r>
            <w:r w:rsidR="00104B60">
              <w:noBreakHyphen/>
            </w:r>
            <w:r>
              <w:t>accreditation decisions made during the financial year.</w:t>
            </w:r>
          </w:p>
          <w:p w:rsidR="00485DD3" w:rsidRPr="00563446" w:rsidRDefault="00345AD7" w:rsidP="00487552">
            <w:pPr>
              <w:pStyle w:val="TableBodyText"/>
              <w:spacing w:after="120"/>
              <w:jc w:val="both"/>
            </w:pPr>
            <w:r>
              <w:t>In 2012</w:t>
            </w:r>
            <w:r w:rsidR="00104B60">
              <w:noBreakHyphen/>
            </w:r>
            <w:r>
              <w:t>13 there were 2</w:t>
            </w:r>
            <w:r w:rsidR="00485DD3">
              <w:t>696 accredited residen</w:t>
            </w:r>
            <w:r>
              <w:t>tial aged care homes but only 1</w:t>
            </w:r>
            <w:r w:rsidR="00485DD3">
              <w:t>139 re</w:t>
            </w:r>
            <w:r w:rsidR="00104B60">
              <w:noBreakHyphen/>
            </w:r>
            <w:r w:rsidR="00485DD3">
              <w:t>accreditation decisions were made. In the previous year 1280 decisions were made.</w:t>
            </w:r>
          </w:p>
        </w:tc>
      </w:tr>
      <w:tr w:rsidR="00485DD3" w:rsidRPr="009938BB" w:rsidTr="00487552">
        <w:trPr>
          <w:trHeight w:val="435"/>
        </w:trPr>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Timeliness</w:t>
            </w:r>
          </w:p>
        </w:tc>
        <w:tc>
          <w:tcPr>
            <w:tcW w:w="6855" w:type="dxa"/>
            <w:gridSpan w:val="2"/>
            <w:shd w:val="clear" w:color="auto" w:fill="FFFFFF" w:themeFill="background1"/>
          </w:tcPr>
          <w:p w:rsidR="00485DD3" w:rsidRPr="00563446" w:rsidRDefault="00485DD3" w:rsidP="00487552">
            <w:pPr>
              <w:pStyle w:val="TableBodyText"/>
              <w:spacing w:after="120"/>
              <w:jc w:val="both"/>
            </w:pPr>
            <w:r w:rsidRPr="0009795A">
              <w:t>The data are restricted to re</w:t>
            </w:r>
            <w:r w:rsidR="00104B60">
              <w:noBreakHyphen/>
            </w:r>
            <w:r w:rsidRPr="0009795A">
              <w:t>accreditations within the previous financial year.</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lastRenderedPageBreak/>
              <w:t>Accuracy</w:t>
            </w:r>
          </w:p>
        </w:tc>
        <w:tc>
          <w:tcPr>
            <w:tcW w:w="6855" w:type="dxa"/>
            <w:gridSpan w:val="2"/>
            <w:shd w:val="clear" w:color="auto" w:fill="FFFFFF" w:themeFill="background1"/>
          </w:tcPr>
          <w:p w:rsidR="00485DD3" w:rsidRDefault="00485DD3" w:rsidP="00487552">
            <w:pPr>
              <w:pStyle w:val="TableBodyText"/>
              <w:spacing w:after="120"/>
              <w:jc w:val="both"/>
            </w:pPr>
            <w:r>
              <w:t xml:space="preserve">The data used to calculate this indicator are from an administrative data collection designed for meeting the Accreditation Standards and a home’s responsibilities under the </w:t>
            </w:r>
            <w:r w:rsidRPr="00345AD7">
              <w:rPr>
                <w:i/>
              </w:rPr>
              <w:t>Aged Care Act 1997</w:t>
            </w:r>
            <w:r>
              <w:t>. The data are considered to be accurate.</w:t>
            </w:r>
          </w:p>
          <w:p w:rsidR="00485DD3" w:rsidRPr="00563446" w:rsidRDefault="00485DD3" w:rsidP="00487552">
            <w:pPr>
              <w:pStyle w:val="TableBodyText"/>
              <w:spacing w:after="120"/>
              <w:jc w:val="both"/>
            </w:pPr>
            <w:r>
              <w:t>The intent of the indicator is to provide a proxy for overall industry performance. The indicator shows how many homes are on the maximum period of accreditation (due to being consistently good performers). It is not relevant how many homes were assessed during the year.</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Coherence</w:t>
            </w:r>
          </w:p>
        </w:tc>
        <w:tc>
          <w:tcPr>
            <w:tcW w:w="6855" w:type="dxa"/>
            <w:gridSpan w:val="2"/>
            <w:shd w:val="clear" w:color="auto" w:fill="FFFFFF" w:themeFill="background1"/>
          </w:tcPr>
          <w:p w:rsidR="00485DD3" w:rsidRPr="00485DD3"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The data are used to report in the Report on Government Services and are coherent.</w:t>
            </w:r>
          </w:p>
          <w:p w:rsidR="00485DD3" w:rsidRPr="00485DD3"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The 'accreditation period' only shows the decision in effect at 30 June of that year. The figures will not necessarily be consistent with the accreditation decisions made in the previous year because those decisions may not yet have taken effect, or may have been superseded. The data vary across years according to how many homes were due for assessment during the year. The comparison across reference periods of the number of homes assessed is not meaningful. The comparison across reference periods of the proportions of re</w:t>
            </w:r>
            <w:r w:rsidR="00104B60">
              <w:rPr>
                <w:rFonts w:ascii="Arial" w:hAnsi="Arial"/>
                <w:sz w:val="20"/>
                <w:szCs w:val="20"/>
              </w:rPr>
              <w:noBreakHyphen/>
            </w:r>
            <w:r w:rsidRPr="00485DD3">
              <w:rPr>
                <w:rFonts w:ascii="Arial" w:hAnsi="Arial"/>
                <w:sz w:val="20"/>
                <w:szCs w:val="20"/>
              </w:rPr>
              <w:t>accredited homes is meaningful and comparable.</w:t>
            </w:r>
          </w:p>
          <w:p w:rsidR="00485DD3" w:rsidRPr="00485DD3"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The measure excludes those homes where there are reasonable grounds to believe there may be significant and systemic failure. The possible decisions available following a review audit of this kind are:</w:t>
            </w:r>
          </w:p>
          <w:p w:rsidR="00485DD3" w:rsidRPr="00485DD3" w:rsidRDefault="00485DD3" w:rsidP="00487552">
            <w:pPr>
              <w:keepNext/>
              <w:keepLines/>
              <w:numPr>
                <w:ilvl w:val="0"/>
                <w:numId w:val="17"/>
              </w:numPr>
              <w:tabs>
                <w:tab w:val="num" w:pos="170"/>
              </w:tabs>
              <w:spacing w:before="120" w:after="120" w:line="220" w:lineRule="atLeast"/>
              <w:ind w:left="322" w:right="113" w:hanging="283"/>
              <w:jc w:val="both"/>
              <w:rPr>
                <w:rFonts w:ascii="Arial" w:hAnsi="Arial"/>
                <w:sz w:val="20"/>
                <w:szCs w:val="20"/>
              </w:rPr>
            </w:pPr>
            <w:r w:rsidRPr="00485DD3">
              <w:rPr>
                <w:rFonts w:ascii="Arial" w:hAnsi="Arial"/>
                <w:sz w:val="20"/>
                <w:szCs w:val="20"/>
              </w:rPr>
              <w:t xml:space="preserve">to revoke the service’s accreditation, </w:t>
            </w:r>
          </w:p>
          <w:p w:rsidR="00485DD3" w:rsidRPr="00485DD3" w:rsidRDefault="00485DD3" w:rsidP="00487552">
            <w:pPr>
              <w:keepNext/>
              <w:keepLines/>
              <w:numPr>
                <w:ilvl w:val="0"/>
                <w:numId w:val="17"/>
              </w:numPr>
              <w:tabs>
                <w:tab w:val="num" w:pos="170"/>
              </w:tabs>
              <w:spacing w:before="120" w:after="120" w:line="220" w:lineRule="atLeast"/>
              <w:ind w:left="322" w:right="113" w:hanging="283"/>
              <w:jc w:val="both"/>
              <w:rPr>
                <w:rFonts w:ascii="Arial" w:hAnsi="Arial"/>
                <w:sz w:val="20"/>
                <w:szCs w:val="20"/>
              </w:rPr>
            </w:pPr>
            <w:r w:rsidRPr="00485DD3">
              <w:rPr>
                <w:rFonts w:ascii="Arial" w:hAnsi="Arial"/>
                <w:sz w:val="20"/>
                <w:szCs w:val="20"/>
              </w:rPr>
              <w:t xml:space="preserve">not revoke and not vary the period of accreditation, or </w:t>
            </w:r>
          </w:p>
          <w:p w:rsidR="00485DD3" w:rsidRPr="00485DD3" w:rsidRDefault="00485DD3" w:rsidP="00487552">
            <w:pPr>
              <w:keepNext/>
              <w:keepLines/>
              <w:numPr>
                <w:ilvl w:val="0"/>
                <w:numId w:val="17"/>
              </w:numPr>
              <w:tabs>
                <w:tab w:val="num" w:pos="170"/>
              </w:tabs>
              <w:spacing w:before="120" w:after="120" w:line="220" w:lineRule="atLeast"/>
              <w:ind w:left="322" w:right="113" w:hanging="283"/>
              <w:jc w:val="both"/>
              <w:rPr>
                <w:rFonts w:ascii="Arial" w:hAnsi="Arial"/>
                <w:sz w:val="20"/>
                <w:szCs w:val="20"/>
              </w:rPr>
            </w:pPr>
            <w:r w:rsidRPr="00485DD3">
              <w:rPr>
                <w:rFonts w:ascii="Arial" w:hAnsi="Arial"/>
                <w:sz w:val="20"/>
                <w:szCs w:val="20"/>
              </w:rPr>
              <w:t xml:space="preserve">not revoke and to vary the period of accreditation. </w:t>
            </w:r>
          </w:p>
          <w:p w:rsidR="00485DD3" w:rsidRPr="00485DD3" w:rsidRDefault="00485DD3" w:rsidP="00487552">
            <w:pPr>
              <w:keepNext/>
              <w:keepLines/>
              <w:spacing w:after="120" w:line="220" w:lineRule="atLeast"/>
              <w:ind w:left="6" w:right="113"/>
              <w:jc w:val="both"/>
              <w:rPr>
                <w:rFonts w:ascii="Arial" w:hAnsi="Arial"/>
                <w:sz w:val="20"/>
                <w:szCs w:val="20"/>
              </w:rPr>
            </w:pPr>
            <w:proofErr w:type="spellStart"/>
            <w:r w:rsidRPr="00485DD3">
              <w:rPr>
                <w:rFonts w:ascii="Arial" w:hAnsi="Arial"/>
                <w:sz w:val="20"/>
                <w:szCs w:val="20"/>
              </w:rPr>
              <w:t>‘Re</w:t>
            </w:r>
            <w:proofErr w:type="spellEnd"/>
            <w:r w:rsidR="00104B60">
              <w:rPr>
                <w:rFonts w:ascii="Arial" w:hAnsi="Arial"/>
                <w:sz w:val="20"/>
                <w:szCs w:val="20"/>
              </w:rPr>
              <w:noBreakHyphen/>
            </w:r>
            <w:r w:rsidRPr="00485DD3">
              <w:rPr>
                <w:rFonts w:ascii="Arial" w:hAnsi="Arial"/>
                <w:sz w:val="20"/>
                <w:szCs w:val="20"/>
              </w:rPr>
              <w:t>accreditation’ is not a decision available following a review audit under the Accreditation Grant Principles 2011.</w:t>
            </w:r>
          </w:p>
          <w:p w:rsidR="00485DD3" w:rsidRPr="009938BB" w:rsidRDefault="00485DD3" w:rsidP="00DC0FD3">
            <w:pPr>
              <w:keepNext/>
              <w:keepLines/>
              <w:spacing w:after="120" w:line="220" w:lineRule="atLeast"/>
              <w:ind w:left="6" w:right="113"/>
              <w:jc w:val="both"/>
              <w:rPr>
                <w:rFonts w:ascii="Arial" w:hAnsi="Arial"/>
                <w:sz w:val="20"/>
                <w:szCs w:val="20"/>
              </w:rPr>
            </w:pPr>
            <w:r w:rsidRPr="00485DD3">
              <w:rPr>
                <w:rFonts w:ascii="Arial" w:hAnsi="Arial"/>
                <w:sz w:val="20"/>
                <w:szCs w:val="20"/>
              </w:rPr>
              <w:t xml:space="preserve">In 2011, the ABS updated the standard geography used in Australia for most data collections from the </w:t>
            </w:r>
            <w:proofErr w:type="spellStart"/>
            <w:r w:rsidRPr="00485DD3">
              <w:rPr>
                <w:rFonts w:ascii="Arial" w:hAnsi="Arial"/>
                <w:sz w:val="20"/>
                <w:szCs w:val="20"/>
              </w:rPr>
              <w:t>ASGC</w:t>
            </w:r>
            <w:proofErr w:type="spellEnd"/>
            <w:r w:rsidRPr="00485DD3">
              <w:rPr>
                <w:rFonts w:ascii="Arial" w:hAnsi="Arial"/>
                <w:sz w:val="20"/>
                <w:szCs w:val="20"/>
              </w:rPr>
              <w:t xml:space="preserve"> to the </w:t>
            </w:r>
            <w:proofErr w:type="spellStart"/>
            <w:r w:rsidRPr="00485DD3">
              <w:rPr>
                <w:rFonts w:ascii="Arial" w:hAnsi="Arial"/>
                <w:sz w:val="20"/>
                <w:szCs w:val="20"/>
              </w:rPr>
              <w:t>ASGS</w:t>
            </w:r>
            <w:proofErr w:type="spellEnd"/>
            <w:r w:rsidRPr="00485DD3">
              <w:rPr>
                <w:rFonts w:ascii="Arial" w:hAnsi="Arial"/>
                <w:sz w:val="20"/>
                <w:szCs w:val="20"/>
              </w:rPr>
              <w:t>.</w:t>
            </w:r>
            <w:r w:rsidR="00104B60">
              <w:rPr>
                <w:rFonts w:ascii="Arial" w:hAnsi="Arial"/>
                <w:sz w:val="20"/>
                <w:szCs w:val="20"/>
              </w:rPr>
              <w:t xml:space="preserve"> </w:t>
            </w:r>
            <w:r w:rsidRPr="00485DD3">
              <w:rPr>
                <w:rFonts w:ascii="Arial" w:hAnsi="Arial"/>
                <w:sz w:val="20"/>
                <w:szCs w:val="20"/>
              </w:rPr>
              <w:t>Also updated at this time were remoteness areas, based on the 2011 ABS Census of Population and Housing.</w:t>
            </w:r>
            <w:r w:rsidR="00104B60">
              <w:rPr>
                <w:rFonts w:ascii="Arial" w:hAnsi="Arial"/>
                <w:sz w:val="20"/>
                <w:szCs w:val="20"/>
              </w:rPr>
              <w:t xml:space="preserve"> </w:t>
            </w:r>
            <w:r w:rsidRPr="00485DD3">
              <w:rPr>
                <w:rFonts w:ascii="Arial" w:hAnsi="Arial"/>
                <w:sz w:val="20"/>
                <w:szCs w:val="20"/>
              </w:rPr>
              <w:t>The new remoteness areas will be referred to as RA 2011, and the previous remoteness areas as RA 2006.</w:t>
            </w:r>
            <w:r w:rsidR="00104B60">
              <w:rPr>
                <w:rFonts w:ascii="Arial" w:hAnsi="Arial"/>
                <w:sz w:val="20"/>
                <w:szCs w:val="20"/>
              </w:rPr>
              <w:t xml:space="preserve"> </w:t>
            </w:r>
            <w:r w:rsidRPr="00485DD3">
              <w:rPr>
                <w:rFonts w:ascii="Arial" w:hAnsi="Arial"/>
                <w:sz w:val="20"/>
                <w:szCs w:val="20"/>
              </w:rPr>
              <w:t>Data for 2011</w:t>
            </w:r>
            <w:r w:rsidR="00104B60">
              <w:rPr>
                <w:rFonts w:ascii="Arial" w:hAnsi="Arial"/>
                <w:sz w:val="20"/>
                <w:szCs w:val="20"/>
              </w:rPr>
              <w:noBreakHyphen/>
            </w:r>
            <w:r w:rsidRPr="00485DD3">
              <w:rPr>
                <w:rFonts w:ascii="Arial" w:hAnsi="Arial"/>
                <w:sz w:val="20"/>
                <w:szCs w:val="20"/>
              </w:rPr>
              <w:t>12 (reported in the previous cycle) were reported for RA 2006.</w:t>
            </w:r>
            <w:r w:rsidR="00104B60">
              <w:rPr>
                <w:rFonts w:ascii="Arial" w:hAnsi="Arial"/>
                <w:sz w:val="20"/>
                <w:szCs w:val="20"/>
              </w:rPr>
              <w:t xml:space="preserve"> </w:t>
            </w:r>
            <w:r w:rsidRPr="00485DD3">
              <w:rPr>
                <w:rFonts w:ascii="Arial" w:hAnsi="Arial"/>
                <w:sz w:val="20"/>
                <w:szCs w:val="20"/>
              </w:rPr>
              <w:t>Data for 2012</w:t>
            </w:r>
            <w:r w:rsidR="00104B60">
              <w:rPr>
                <w:rFonts w:ascii="Arial" w:hAnsi="Arial"/>
                <w:sz w:val="20"/>
                <w:szCs w:val="20"/>
              </w:rPr>
              <w:noBreakHyphen/>
            </w:r>
            <w:r w:rsidRPr="00485DD3">
              <w:rPr>
                <w:rFonts w:ascii="Arial" w:hAnsi="Arial"/>
                <w:sz w:val="20"/>
                <w:szCs w:val="20"/>
              </w:rPr>
              <w:t>13 (reported this cycle) are reported for RA 2011. The AIHW considers the change from RA 2006 to RA 2011 to be a series break when applied to data supplied for this indicator, therefore remoteness data for 2011</w:t>
            </w:r>
            <w:r w:rsidR="00104B60">
              <w:rPr>
                <w:rFonts w:ascii="Arial" w:hAnsi="Arial"/>
                <w:sz w:val="20"/>
                <w:szCs w:val="20"/>
              </w:rPr>
              <w:noBreakHyphen/>
            </w:r>
            <w:r w:rsidRPr="00485DD3">
              <w:rPr>
                <w:rFonts w:ascii="Arial" w:hAnsi="Arial"/>
                <w:sz w:val="20"/>
                <w:szCs w:val="20"/>
              </w:rPr>
              <w:t>12 are not directly comparable to remoteness data for 2012</w:t>
            </w:r>
            <w:r w:rsidR="00104B60">
              <w:rPr>
                <w:rFonts w:ascii="Arial" w:hAnsi="Arial"/>
                <w:sz w:val="20"/>
                <w:szCs w:val="20"/>
              </w:rPr>
              <w:noBreakHyphen/>
            </w:r>
            <w:r w:rsidRPr="00485DD3">
              <w:rPr>
                <w:rFonts w:ascii="Arial" w:hAnsi="Arial"/>
                <w:sz w:val="20"/>
                <w:szCs w:val="20"/>
              </w:rPr>
              <w:t>13 and subsequent years.</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Accessibility</w:t>
            </w:r>
          </w:p>
        </w:tc>
        <w:tc>
          <w:tcPr>
            <w:tcW w:w="6855" w:type="dxa"/>
            <w:gridSpan w:val="2"/>
            <w:shd w:val="clear" w:color="auto" w:fill="FFFFFF" w:themeFill="background1"/>
          </w:tcPr>
          <w:p w:rsidR="00485DD3" w:rsidRPr="009938BB" w:rsidRDefault="00485DD3" w:rsidP="00487552">
            <w:pPr>
              <w:keepNext/>
              <w:keepLines/>
              <w:spacing w:after="120" w:line="220" w:lineRule="atLeast"/>
              <w:ind w:left="6" w:right="113"/>
              <w:jc w:val="both"/>
              <w:rPr>
                <w:rFonts w:ascii="Arial" w:hAnsi="Arial"/>
                <w:sz w:val="20"/>
                <w:szCs w:val="20"/>
              </w:rPr>
            </w:pPr>
            <w:r w:rsidRPr="009938BB">
              <w:rPr>
                <w:rFonts w:ascii="Arial" w:hAnsi="Arial"/>
                <w:sz w:val="20"/>
                <w:szCs w:val="20"/>
              </w:rPr>
              <w:t xml:space="preserve">The </w:t>
            </w:r>
            <w:r>
              <w:rPr>
                <w:rFonts w:ascii="Arial" w:hAnsi="Arial"/>
                <w:sz w:val="20"/>
                <w:szCs w:val="20"/>
              </w:rPr>
              <w:t>data are</w:t>
            </w:r>
            <w:r w:rsidRPr="009938BB">
              <w:rPr>
                <w:rFonts w:ascii="Arial" w:hAnsi="Arial"/>
                <w:sz w:val="20"/>
                <w:szCs w:val="20"/>
              </w:rPr>
              <w:t xml:space="preserve"> collected by the Aged Care Standards and Accreditation Agency and </w:t>
            </w:r>
            <w:r>
              <w:rPr>
                <w:rFonts w:ascii="Arial" w:hAnsi="Arial"/>
                <w:sz w:val="20"/>
                <w:szCs w:val="20"/>
              </w:rPr>
              <w:t>are</w:t>
            </w:r>
            <w:r w:rsidRPr="009938BB">
              <w:rPr>
                <w:rFonts w:ascii="Arial" w:hAnsi="Arial"/>
                <w:sz w:val="20"/>
                <w:szCs w:val="20"/>
              </w:rPr>
              <w:t xml:space="preserve"> readily available.</w:t>
            </w:r>
          </w:p>
        </w:tc>
      </w:tr>
      <w:tr w:rsidR="00485DD3" w:rsidRPr="009938BB" w:rsidTr="00487552">
        <w:tc>
          <w:tcPr>
            <w:tcW w:w="1980" w:type="dxa"/>
            <w:gridSpan w:val="2"/>
            <w:shd w:val="clear" w:color="auto" w:fill="auto"/>
          </w:tcPr>
          <w:p w:rsidR="00485DD3" w:rsidRPr="009938BB" w:rsidRDefault="00485DD3" w:rsidP="00F06A16">
            <w:pPr>
              <w:keepNext/>
              <w:keepLines/>
              <w:spacing w:line="220" w:lineRule="atLeast"/>
              <w:ind w:left="6" w:right="113"/>
              <w:rPr>
                <w:rFonts w:ascii="Arial" w:hAnsi="Arial"/>
                <w:b/>
                <w:sz w:val="20"/>
                <w:szCs w:val="20"/>
              </w:rPr>
            </w:pPr>
            <w:r w:rsidRPr="009938BB">
              <w:rPr>
                <w:rFonts w:ascii="Arial" w:hAnsi="Arial"/>
                <w:b/>
                <w:sz w:val="20"/>
                <w:szCs w:val="20"/>
              </w:rPr>
              <w:t>Interpretability</w:t>
            </w:r>
          </w:p>
        </w:tc>
        <w:tc>
          <w:tcPr>
            <w:tcW w:w="6855" w:type="dxa"/>
            <w:gridSpan w:val="2"/>
            <w:shd w:val="clear" w:color="auto" w:fill="FFFFFF" w:themeFill="background1"/>
          </w:tcPr>
          <w:p w:rsidR="00485DD3" w:rsidRPr="00485DD3"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The data are restricted to re</w:t>
            </w:r>
            <w:r w:rsidR="00104B60">
              <w:rPr>
                <w:rFonts w:ascii="Arial" w:hAnsi="Arial"/>
                <w:sz w:val="20"/>
                <w:szCs w:val="20"/>
              </w:rPr>
              <w:noBreakHyphen/>
            </w:r>
            <w:r w:rsidRPr="00485DD3">
              <w:rPr>
                <w:rFonts w:ascii="Arial" w:hAnsi="Arial"/>
                <w:sz w:val="20"/>
                <w:szCs w:val="20"/>
              </w:rPr>
              <w:t>accreditations within the previous financial year and exclude those homes that are reviewed during a financial year for possible systemic failures.</w:t>
            </w:r>
          </w:p>
          <w:p w:rsidR="00485DD3" w:rsidRPr="00485DD3"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Terms used in the dataset may be ambiguous because a user may not understand that the data has limitations as a proxy measure of the industry’s performance.</w:t>
            </w:r>
          </w:p>
          <w:p w:rsidR="00485DD3" w:rsidRPr="009938BB" w:rsidRDefault="00485DD3" w:rsidP="00487552">
            <w:pPr>
              <w:keepNext/>
              <w:keepLines/>
              <w:spacing w:after="120" w:line="220" w:lineRule="atLeast"/>
              <w:ind w:left="6" w:right="113"/>
              <w:jc w:val="both"/>
              <w:rPr>
                <w:rFonts w:ascii="Arial" w:hAnsi="Arial"/>
                <w:sz w:val="20"/>
                <w:szCs w:val="20"/>
              </w:rPr>
            </w:pPr>
            <w:r w:rsidRPr="00485DD3">
              <w:rPr>
                <w:rFonts w:ascii="Arial" w:hAnsi="Arial"/>
                <w:sz w:val="20"/>
                <w:szCs w:val="20"/>
              </w:rPr>
              <w:t>The Report on Government Services includes footnotes and explanations on this measure</w:t>
            </w:r>
          </w:p>
        </w:tc>
      </w:tr>
      <w:tr w:rsidR="00485DD3" w:rsidRPr="00FC28BE" w:rsidTr="00242550">
        <w:trPr>
          <w:gridAfter w:val="1"/>
          <w:wAfter w:w="46" w:type="dxa"/>
          <w:trHeight w:val="225"/>
        </w:trPr>
        <w:tc>
          <w:tcPr>
            <w:tcW w:w="8789" w:type="dxa"/>
            <w:gridSpan w:val="3"/>
            <w:shd w:val="clear" w:color="auto" w:fill="FFFFFF" w:themeFill="background1"/>
          </w:tcPr>
          <w:p w:rsidR="00485DD3" w:rsidRDefault="00485DD3" w:rsidP="00487552">
            <w:pPr>
              <w:pStyle w:val="TableBodyText"/>
              <w:spacing w:after="120"/>
              <w:jc w:val="both"/>
              <w:rPr>
                <w:rFonts w:cs="Arial"/>
                <w:b/>
                <w:szCs w:val="22"/>
                <w:u w:val="single"/>
              </w:rPr>
            </w:pPr>
          </w:p>
          <w:p w:rsidR="00485DD3" w:rsidRPr="00FC28BE" w:rsidRDefault="00485DD3" w:rsidP="00487552">
            <w:pPr>
              <w:pStyle w:val="TableBodyText"/>
              <w:spacing w:before="120" w:after="120"/>
              <w:ind w:left="0"/>
              <w:jc w:val="both"/>
              <w:rPr>
                <w:rFonts w:cs="Arial"/>
                <w:b/>
                <w:szCs w:val="22"/>
                <w:u w:val="single"/>
              </w:rPr>
            </w:pPr>
            <w:r w:rsidRPr="00FC28BE">
              <w:rPr>
                <w:rFonts w:cs="Arial"/>
                <w:b/>
                <w:szCs w:val="22"/>
                <w:u w:val="single"/>
              </w:rPr>
              <w:lastRenderedPageBreak/>
              <w:t>Data Gaps/Issues Analysis</w:t>
            </w:r>
          </w:p>
        </w:tc>
      </w:tr>
      <w:tr w:rsidR="00485DD3" w:rsidRPr="000530A7" w:rsidTr="00242550">
        <w:trPr>
          <w:gridAfter w:val="1"/>
          <w:wAfter w:w="46" w:type="dxa"/>
        </w:trPr>
        <w:tc>
          <w:tcPr>
            <w:tcW w:w="1800" w:type="dxa"/>
          </w:tcPr>
          <w:p w:rsidR="00485DD3" w:rsidRPr="00672B5F" w:rsidRDefault="00485DD3" w:rsidP="00F06A16">
            <w:pPr>
              <w:pStyle w:val="TableBodyText"/>
              <w:spacing w:before="120"/>
              <w:ind w:left="0"/>
              <w:jc w:val="both"/>
              <w:rPr>
                <w:rFonts w:cs="Arial"/>
                <w:b/>
                <w:szCs w:val="22"/>
              </w:rPr>
            </w:pPr>
            <w:r w:rsidRPr="00672B5F">
              <w:rPr>
                <w:rFonts w:cs="Arial"/>
                <w:b/>
                <w:szCs w:val="22"/>
              </w:rPr>
              <w:lastRenderedPageBreak/>
              <w:t>Key data gaps/issues</w:t>
            </w:r>
          </w:p>
        </w:tc>
        <w:tc>
          <w:tcPr>
            <w:tcW w:w="6989" w:type="dxa"/>
            <w:gridSpan w:val="2"/>
            <w:shd w:val="clear" w:color="auto" w:fill="FFFFFF" w:themeFill="background1"/>
          </w:tcPr>
          <w:p w:rsidR="00485DD3" w:rsidRDefault="00485DD3" w:rsidP="00487552">
            <w:pPr>
              <w:pStyle w:val="TableBodyText"/>
              <w:spacing w:after="120"/>
              <w:jc w:val="both"/>
              <w:rPr>
                <w:rFonts w:cs="Arial"/>
              </w:rPr>
            </w:pPr>
            <w:r>
              <w:rPr>
                <w:rFonts w:cs="Arial"/>
              </w:rPr>
              <w:t>The Steering Committee notes the following issues:</w:t>
            </w:r>
            <w:r w:rsidRPr="00B479F5">
              <w:rPr>
                <w:rFonts w:cs="Arial"/>
              </w:rPr>
              <w:t xml:space="preserve"> </w:t>
            </w:r>
          </w:p>
          <w:p w:rsidR="00A335F6" w:rsidRPr="00A335F6" w:rsidRDefault="00A335F6" w:rsidP="00487552">
            <w:pPr>
              <w:keepNext/>
              <w:keepLines/>
              <w:numPr>
                <w:ilvl w:val="0"/>
                <w:numId w:val="17"/>
              </w:numPr>
              <w:shd w:val="clear" w:color="auto" w:fill="FFFFFF" w:themeFill="background1"/>
              <w:spacing w:before="120" w:after="120" w:line="220" w:lineRule="atLeast"/>
              <w:ind w:left="219" w:right="113" w:hanging="284"/>
              <w:rPr>
                <w:rFonts w:ascii="Arial" w:hAnsi="Arial"/>
                <w:sz w:val="20"/>
                <w:szCs w:val="20"/>
              </w:rPr>
            </w:pPr>
            <w:r w:rsidRPr="00A335F6">
              <w:rPr>
                <w:rFonts w:ascii="Arial" w:hAnsi="Arial"/>
                <w:sz w:val="20"/>
                <w:szCs w:val="20"/>
              </w:rPr>
              <w:t>This indicator is a proxy measure of the quality of aged care. Although it identifies facilities that met the re</w:t>
            </w:r>
            <w:r w:rsidR="00104B60">
              <w:rPr>
                <w:rFonts w:ascii="Arial" w:hAnsi="Arial"/>
                <w:sz w:val="20"/>
                <w:szCs w:val="20"/>
              </w:rPr>
              <w:noBreakHyphen/>
            </w:r>
            <w:r w:rsidRPr="00A335F6">
              <w:rPr>
                <w:rFonts w:ascii="Arial" w:hAnsi="Arial"/>
                <w:sz w:val="20"/>
                <w:szCs w:val="20"/>
              </w:rPr>
              <w:t>accreditation standards, it does not distinguish levels at which facilities may have exceeded the standards.</w:t>
            </w:r>
          </w:p>
          <w:p w:rsidR="00485DD3" w:rsidRPr="00CC0CAF" w:rsidRDefault="00A335F6" w:rsidP="00487552">
            <w:pPr>
              <w:keepNext/>
              <w:keepLines/>
              <w:numPr>
                <w:ilvl w:val="0"/>
                <w:numId w:val="17"/>
              </w:numPr>
              <w:shd w:val="clear" w:color="auto" w:fill="FFFFFF" w:themeFill="background1"/>
              <w:spacing w:before="120" w:after="120" w:line="220" w:lineRule="atLeast"/>
              <w:ind w:left="219" w:right="113" w:hanging="284"/>
              <w:rPr>
                <w:rFonts w:ascii="Arial" w:hAnsi="Arial"/>
                <w:sz w:val="20"/>
                <w:szCs w:val="20"/>
              </w:rPr>
            </w:pPr>
            <w:r w:rsidRPr="00A335F6">
              <w:rPr>
                <w:rFonts w:ascii="Arial" w:hAnsi="Arial"/>
                <w:sz w:val="20"/>
                <w:szCs w:val="20"/>
              </w:rPr>
              <w:t>Consideration of disaggregation of this indicator by SES is a priority.</w:t>
            </w:r>
          </w:p>
        </w:tc>
      </w:tr>
    </w:tbl>
    <w:p w:rsidR="0076174D" w:rsidRDefault="0076174D" w:rsidP="0076174D">
      <w:pPr>
        <w:pStyle w:val="BodyText"/>
        <w:rPr>
          <w:rFonts w:ascii="Arial" w:hAnsi="Arial"/>
        </w:rPr>
      </w:pPr>
      <w:r>
        <w:br w:type="page"/>
      </w:r>
    </w:p>
    <w:p w:rsidR="0076174D" w:rsidRDefault="0076174D" w:rsidP="0076174D">
      <w:pPr>
        <w:pStyle w:val="Heading3"/>
        <w:spacing w:before="120"/>
        <w:jc w:val="both"/>
      </w:pPr>
      <w:bookmarkStart w:id="40" w:name="_Toc377383329"/>
      <w:r w:rsidRPr="00DC1B19">
        <w:rPr>
          <w:szCs w:val="24"/>
        </w:rPr>
        <w:lastRenderedPageBreak/>
        <w:t>Compliance with service standards for residential care</w:t>
      </w:r>
      <w:r>
        <w:rPr>
          <w:szCs w:val="24"/>
        </w:rPr>
        <w:t xml:space="preserve"> </w:t>
      </w:r>
      <w:r>
        <w:rPr>
          <w:rFonts w:cs="Arial"/>
          <w:szCs w:val="24"/>
        </w:rPr>
        <w:t xml:space="preserve">— </w:t>
      </w:r>
      <w:r>
        <w:t>compliance with building certification, fire safety and privacy and space requirements</w:t>
      </w:r>
      <w:bookmarkEnd w:id="40"/>
    </w:p>
    <w:p w:rsidR="0076174D" w:rsidRPr="00EA5574" w:rsidRDefault="00EA5574" w:rsidP="001A3164">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76174D" w:rsidRPr="00EA5574">
        <w:rPr>
          <w:rFonts w:ascii="Arial" w:hAnsi="Arial"/>
          <w:color w:val="000000"/>
        </w:rPr>
        <w:t xml:space="preserve"> for this indicator has been drafted by the Australian Government D</w:t>
      </w:r>
      <w:r w:rsidR="00DC4C91" w:rsidRPr="00EA5574">
        <w:rPr>
          <w:rFonts w:ascii="Arial" w:hAnsi="Arial"/>
          <w:color w:val="000000"/>
        </w:rPr>
        <w:t>SS</w:t>
      </w:r>
      <w:r w:rsidR="0076174D" w:rsidRPr="00EA5574">
        <w:rPr>
          <w:rFonts w:ascii="Arial" w:hAnsi="Arial"/>
          <w:color w:val="000000"/>
        </w:rPr>
        <w:t>, with additional Steering Committee comments.</w:t>
      </w:r>
    </w:p>
    <w:p w:rsidR="00345AD7" w:rsidRPr="001A3164" w:rsidRDefault="00345AD7" w:rsidP="001A3164">
      <w:pPr>
        <w:pStyle w:val="BodyText"/>
        <w:keepNext/>
        <w:keepLines/>
        <w:spacing w:before="120" w:line="240" w:lineRule="auto"/>
        <w:rPr>
          <w:rFonts w:ascii="Arial" w:hAnsi="Arial" w:cs="Arial"/>
          <w:sz w:val="22"/>
          <w:szCs w:val="22"/>
        </w:rPr>
      </w:pPr>
    </w:p>
    <w:tbl>
      <w:tblPr>
        <w:tblW w:w="5000" w:type="pct"/>
        <w:tblCellMar>
          <w:left w:w="0" w:type="dxa"/>
          <w:right w:w="0" w:type="dxa"/>
        </w:tblCellMar>
        <w:tblLook w:val="0000" w:firstRow="0" w:lastRow="0" w:firstColumn="0" w:lastColumn="0" w:noHBand="0" w:noVBand="0"/>
      </w:tblPr>
      <w:tblGrid>
        <w:gridCol w:w="1800"/>
        <w:gridCol w:w="6989"/>
      </w:tblGrid>
      <w:tr w:rsidR="0076174D" w:rsidTr="00F06A16">
        <w:tc>
          <w:tcPr>
            <w:tcW w:w="5000" w:type="pct"/>
            <w:gridSpan w:val="2"/>
          </w:tcPr>
          <w:p w:rsidR="0076174D" w:rsidRPr="007D0BFD" w:rsidRDefault="0076174D" w:rsidP="00F06A16">
            <w:pPr>
              <w:pStyle w:val="TableBodyText"/>
              <w:jc w:val="both"/>
              <w:rPr>
                <w:b/>
                <w:u w:val="single"/>
              </w:rPr>
            </w:pPr>
          </w:p>
          <w:p w:rsidR="0076174D" w:rsidRDefault="0076174D" w:rsidP="00F06A16">
            <w:pPr>
              <w:pStyle w:val="TableBodyText"/>
              <w:jc w:val="both"/>
            </w:pPr>
            <w:r w:rsidRPr="007D0BFD">
              <w:rPr>
                <w:b/>
                <w:u w:val="single"/>
              </w:rPr>
              <w:t>Indicator definition and description</w:t>
            </w:r>
            <w:r>
              <w:rPr>
                <w:rFonts w:cs="Arial"/>
                <w:b/>
                <w:sz w:val="22"/>
                <w:szCs w:val="22"/>
                <w:u w:val="single"/>
              </w:rPr>
              <w:t xml:space="preserve"> </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Element</w:t>
            </w:r>
          </w:p>
        </w:tc>
        <w:tc>
          <w:tcPr>
            <w:tcW w:w="3976" w:type="pct"/>
          </w:tcPr>
          <w:p w:rsidR="0076174D" w:rsidRPr="005E027C" w:rsidRDefault="0076174D" w:rsidP="00F06A16">
            <w:pPr>
              <w:keepNext/>
              <w:keepLines/>
              <w:rPr>
                <w:rFonts w:ascii="Arial" w:hAnsi="Arial" w:cs="Arial"/>
                <w:sz w:val="20"/>
              </w:rPr>
            </w:pPr>
            <w:r>
              <w:rPr>
                <w:rFonts w:ascii="Arial" w:hAnsi="Arial" w:cs="Arial"/>
                <w:sz w:val="20"/>
              </w:rPr>
              <w:t>Effectiveness ― quality</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 xml:space="preserve">Indicator </w:t>
            </w:r>
          </w:p>
        </w:tc>
        <w:tc>
          <w:tcPr>
            <w:tcW w:w="3976" w:type="pct"/>
          </w:tcPr>
          <w:p w:rsidR="0076174D" w:rsidRPr="003C61A6" w:rsidRDefault="0076174D" w:rsidP="00F06A16">
            <w:pPr>
              <w:pStyle w:val="TableBodyText"/>
              <w:keepNext w:val="0"/>
              <w:jc w:val="both"/>
              <w:rPr>
                <w:rFonts w:cs="Arial"/>
              </w:rPr>
            </w:pPr>
            <w:r w:rsidRPr="00665E4C">
              <w:rPr>
                <w:rFonts w:cs="Arial"/>
              </w:rPr>
              <w:t>Compliance with service standards for residential care</w:t>
            </w:r>
            <w:r>
              <w:rPr>
                <w:rFonts w:cs="Arial"/>
              </w:rPr>
              <w:t xml:space="preserve"> </w:t>
            </w:r>
            <w:r>
              <w:rPr>
                <w:rFonts w:cs="Arial"/>
                <w:szCs w:val="24"/>
              </w:rPr>
              <w:t xml:space="preserve">— </w:t>
            </w:r>
            <w:r>
              <w:t>compliance with building certification, fire safety and privacy and space requirements.</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Measure (computation)</w:t>
            </w:r>
          </w:p>
        </w:tc>
        <w:tc>
          <w:tcPr>
            <w:tcW w:w="3976" w:type="pct"/>
          </w:tcPr>
          <w:p w:rsidR="0076174D" w:rsidRPr="00665E4C" w:rsidRDefault="0076174D" w:rsidP="00F06A16">
            <w:pPr>
              <w:pStyle w:val="TableBodyText"/>
              <w:keepNext w:val="0"/>
              <w:jc w:val="both"/>
              <w:rPr>
                <w:rFonts w:cs="Arial"/>
                <w:u w:val="single"/>
              </w:rPr>
            </w:pPr>
            <w:r w:rsidRPr="00665E4C">
              <w:rPr>
                <w:rFonts w:cs="Arial"/>
                <w:u w:val="single"/>
              </w:rPr>
              <w:t>Definition</w:t>
            </w:r>
          </w:p>
          <w:p w:rsidR="0076174D" w:rsidRDefault="0076174D" w:rsidP="00F06A16">
            <w:pPr>
              <w:pStyle w:val="TableBodyText"/>
              <w:keepNext w:val="0"/>
              <w:jc w:val="both"/>
              <w:rPr>
                <w:rFonts w:cs="Arial"/>
              </w:rPr>
            </w:pPr>
            <w:r>
              <w:rPr>
                <w:rFonts w:cs="Arial"/>
              </w:rPr>
              <w:t xml:space="preserve">Proportion of residential aged care services that are </w:t>
            </w:r>
            <w:r w:rsidRPr="00665E4C">
              <w:rPr>
                <w:rFonts w:cs="Arial"/>
              </w:rPr>
              <w:t>complian</w:t>
            </w:r>
            <w:r>
              <w:rPr>
                <w:rFonts w:cs="Arial"/>
              </w:rPr>
              <w:t>t</w:t>
            </w:r>
            <w:r w:rsidRPr="00665E4C">
              <w:rPr>
                <w:rFonts w:cs="Arial"/>
              </w:rPr>
              <w:t xml:space="preserve"> with building certification, fire safety and privacy and space requirements</w:t>
            </w:r>
            <w:r>
              <w:rPr>
                <w:rFonts w:cs="Arial"/>
              </w:rPr>
              <w:t>.</w:t>
            </w:r>
          </w:p>
          <w:p w:rsidR="0076174D" w:rsidRPr="00665E4C" w:rsidRDefault="0076174D" w:rsidP="00F06A16">
            <w:pPr>
              <w:keepLines/>
              <w:spacing w:before="120" w:after="120"/>
              <w:jc w:val="both"/>
              <w:rPr>
                <w:rFonts w:ascii="Arial" w:hAnsi="Arial" w:cs="Arial"/>
                <w:sz w:val="20"/>
                <w:szCs w:val="20"/>
                <w:u w:val="single"/>
              </w:rPr>
            </w:pPr>
            <w:r w:rsidRPr="00665E4C">
              <w:rPr>
                <w:rFonts w:ascii="Arial" w:hAnsi="Arial" w:cs="Arial"/>
                <w:sz w:val="20"/>
                <w:szCs w:val="20"/>
                <w:u w:val="single"/>
              </w:rPr>
              <w:t>Numerator:</w:t>
            </w:r>
          </w:p>
          <w:p w:rsidR="0076174D" w:rsidRPr="00665E4C" w:rsidRDefault="0076174D" w:rsidP="00F06A16">
            <w:pPr>
              <w:keepNext/>
              <w:keepLines/>
              <w:spacing w:line="220" w:lineRule="atLeast"/>
              <w:ind w:left="6" w:right="113"/>
              <w:jc w:val="both"/>
              <w:rPr>
                <w:rFonts w:ascii="Arial" w:hAnsi="Arial"/>
                <w:sz w:val="20"/>
                <w:szCs w:val="20"/>
              </w:rPr>
            </w:pPr>
            <w:r w:rsidRPr="00665E4C">
              <w:rPr>
                <w:rFonts w:ascii="Arial" w:hAnsi="Arial"/>
                <w:sz w:val="20"/>
                <w:szCs w:val="20"/>
              </w:rPr>
              <w:t>Number of residential aged care services that were compliant with building certification, fire safety and privacy and space requirements.</w:t>
            </w:r>
          </w:p>
          <w:p w:rsidR="0076174D" w:rsidRPr="00665E4C" w:rsidRDefault="0076174D" w:rsidP="00F06A16">
            <w:pPr>
              <w:keepLines/>
              <w:spacing w:before="120" w:after="120"/>
              <w:jc w:val="both"/>
              <w:rPr>
                <w:rFonts w:ascii="Arial" w:hAnsi="Arial" w:cs="Arial"/>
                <w:sz w:val="20"/>
                <w:szCs w:val="20"/>
                <w:u w:val="single"/>
              </w:rPr>
            </w:pPr>
            <w:r w:rsidRPr="00665E4C">
              <w:rPr>
                <w:rFonts w:ascii="Arial" w:hAnsi="Arial" w:cs="Arial"/>
                <w:sz w:val="20"/>
                <w:szCs w:val="20"/>
                <w:u w:val="single"/>
              </w:rPr>
              <w:t xml:space="preserve">Denominator: </w:t>
            </w:r>
          </w:p>
          <w:p w:rsidR="0076174D" w:rsidRPr="00665E4C" w:rsidRDefault="0076174D" w:rsidP="00F06A16">
            <w:pPr>
              <w:keepNext/>
              <w:keepLines/>
              <w:spacing w:line="220" w:lineRule="atLeast"/>
              <w:ind w:left="6" w:right="113"/>
              <w:jc w:val="both"/>
              <w:rPr>
                <w:rFonts w:ascii="Arial" w:hAnsi="Arial"/>
                <w:sz w:val="20"/>
                <w:szCs w:val="20"/>
              </w:rPr>
            </w:pPr>
            <w:r w:rsidRPr="00665E4C">
              <w:rPr>
                <w:rFonts w:ascii="Arial" w:hAnsi="Arial"/>
                <w:sz w:val="20"/>
                <w:szCs w:val="20"/>
              </w:rPr>
              <w:t>Number of operational residential aged care services.</w:t>
            </w:r>
          </w:p>
          <w:p w:rsidR="0076174D" w:rsidRPr="00665E4C" w:rsidRDefault="0076174D" w:rsidP="00F06A16">
            <w:pPr>
              <w:keepLines/>
              <w:spacing w:before="120" w:after="120"/>
              <w:jc w:val="both"/>
              <w:rPr>
                <w:rFonts w:ascii="Arial" w:hAnsi="Arial" w:cs="Arial"/>
                <w:sz w:val="20"/>
                <w:szCs w:val="20"/>
                <w:u w:val="single"/>
              </w:rPr>
            </w:pPr>
            <w:r w:rsidRPr="00665E4C">
              <w:rPr>
                <w:rFonts w:ascii="Arial" w:hAnsi="Arial" w:cs="Arial"/>
                <w:sz w:val="20"/>
                <w:szCs w:val="20"/>
                <w:u w:val="single"/>
              </w:rPr>
              <w:t>Computation:</w:t>
            </w:r>
          </w:p>
          <w:p w:rsidR="0076174D" w:rsidRPr="00621B6D" w:rsidRDefault="0076174D" w:rsidP="00F06A16">
            <w:pPr>
              <w:keepNext/>
              <w:keepLines/>
              <w:spacing w:line="220" w:lineRule="atLeast"/>
              <w:ind w:left="6" w:right="113"/>
              <w:jc w:val="both"/>
            </w:pPr>
            <w:r w:rsidRPr="00665E4C">
              <w:rPr>
                <w:rFonts w:ascii="Arial" w:hAnsi="Arial"/>
                <w:sz w:val="20"/>
                <w:szCs w:val="20"/>
              </w:rPr>
              <w:t xml:space="preserve">Expressed as a proportion. Calculation is: (Numerator </w:t>
            </w:r>
            <w:r w:rsidRPr="00665E4C">
              <w:rPr>
                <w:rFonts w:ascii="Arial" w:hAnsi="Arial"/>
                <w:sz w:val="20"/>
                <w:szCs w:val="20"/>
              </w:rPr>
              <w:sym w:font="Symbol" w:char="F0B8"/>
            </w:r>
            <w:r w:rsidRPr="00665E4C">
              <w:rPr>
                <w:rFonts w:ascii="Arial" w:hAnsi="Arial"/>
                <w:sz w:val="20"/>
                <w:szCs w:val="20"/>
              </w:rPr>
              <w:t xml:space="preserve"> Denominator) x 100.</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A12146" w:rsidRDefault="0076174D" w:rsidP="00F06A16">
            <w:pPr>
              <w:pStyle w:val="TableBodyText"/>
              <w:ind w:left="0"/>
              <w:jc w:val="both"/>
              <w:rPr>
                <w:rFonts w:cs="Arial"/>
                <w:b/>
              </w:rPr>
            </w:pPr>
            <w:r w:rsidRPr="005E027C">
              <w:rPr>
                <w:rFonts w:cs="Arial"/>
                <w:b/>
              </w:rPr>
              <w:t>Data source/s</w:t>
            </w:r>
          </w:p>
        </w:tc>
        <w:tc>
          <w:tcPr>
            <w:tcW w:w="3976" w:type="pct"/>
          </w:tcPr>
          <w:p w:rsidR="0076174D" w:rsidRPr="00665E4C" w:rsidRDefault="0076174D" w:rsidP="00F06A16">
            <w:pPr>
              <w:keepLines/>
              <w:spacing w:line="220" w:lineRule="atLeast"/>
              <w:ind w:left="6" w:right="113"/>
              <w:jc w:val="both"/>
              <w:rPr>
                <w:rFonts w:ascii="Arial" w:hAnsi="Arial"/>
                <w:sz w:val="18"/>
                <w:szCs w:val="18"/>
                <w:u w:val="single"/>
              </w:rPr>
            </w:pPr>
            <w:r w:rsidRPr="00665E4C">
              <w:rPr>
                <w:rFonts w:ascii="Arial" w:hAnsi="Arial"/>
                <w:sz w:val="18"/>
                <w:szCs w:val="18"/>
                <w:u w:val="single"/>
              </w:rPr>
              <w:t xml:space="preserve">Numerator and Denominator: </w:t>
            </w:r>
          </w:p>
          <w:p w:rsidR="0076174D" w:rsidRPr="0011792A" w:rsidRDefault="0076174D" w:rsidP="00DC0FD3">
            <w:pPr>
              <w:keepNext/>
              <w:keepLines/>
              <w:spacing w:line="220" w:lineRule="atLeast"/>
              <w:ind w:left="6" w:right="113"/>
              <w:jc w:val="both"/>
              <w:rPr>
                <w:rFonts w:cs="Arial"/>
                <w:u w:val="single"/>
              </w:rPr>
            </w:pPr>
            <w:r w:rsidRPr="00665E4C">
              <w:rPr>
                <w:rFonts w:ascii="Arial" w:hAnsi="Arial"/>
                <w:sz w:val="20"/>
                <w:szCs w:val="20"/>
              </w:rPr>
              <w:t xml:space="preserve">Australian Government </w:t>
            </w:r>
            <w:r w:rsidR="00DC0FD3">
              <w:rPr>
                <w:rFonts w:ascii="Arial" w:hAnsi="Arial"/>
                <w:sz w:val="20"/>
                <w:szCs w:val="20"/>
              </w:rPr>
              <w:t>DSS</w:t>
            </w:r>
            <w:r w:rsidRPr="00665E4C">
              <w:rPr>
                <w:rFonts w:ascii="Arial" w:hAnsi="Arial"/>
                <w:sz w:val="20"/>
                <w:szCs w:val="20"/>
              </w:rPr>
              <w:t xml:space="preserve"> aged care data warehouse.</w:t>
            </w:r>
          </w:p>
        </w:tc>
      </w:tr>
      <w:tr w:rsidR="0076174D" w:rsidRPr="005E027C" w:rsidTr="00F06A16">
        <w:tblPrEx>
          <w:tblCellMar>
            <w:left w:w="108" w:type="dxa"/>
            <w:right w:w="108" w:type="dxa"/>
          </w:tblCellMar>
          <w:tblLook w:val="01E0" w:firstRow="1" w:lastRow="1" w:firstColumn="1" w:lastColumn="1" w:noHBand="0" w:noVBand="0"/>
        </w:tblPrEx>
        <w:trPr>
          <w:trHeight w:val="269"/>
        </w:trPr>
        <w:tc>
          <w:tcPr>
            <w:tcW w:w="5000" w:type="pct"/>
            <w:gridSpan w:val="2"/>
          </w:tcPr>
          <w:p w:rsidR="0076174D" w:rsidRDefault="0076174D" w:rsidP="001A3164">
            <w:pPr>
              <w:pStyle w:val="TableBodyText"/>
              <w:jc w:val="both"/>
              <w:rPr>
                <w:rFonts w:cs="Arial"/>
                <w:b/>
                <w:bCs/>
                <w:u w:val="single"/>
              </w:rPr>
            </w:pPr>
          </w:p>
          <w:p w:rsidR="0076174D" w:rsidRPr="00FB7EA7" w:rsidRDefault="0076174D" w:rsidP="00F06A16">
            <w:pPr>
              <w:keepNext/>
              <w:keepLines/>
              <w:jc w:val="both"/>
              <w:rPr>
                <w:rFonts w:ascii="Arial" w:hAnsi="Arial" w:cs="Arial"/>
                <w:b/>
                <w:bCs/>
                <w:sz w:val="20"/>
                <w:u w:val="single"/>
              </w:rPr>
            </w:pPr>
            <w:r w:rsidRPr="00FC28BE">
              <w:rPr>
                <w:rFonts w:ascii="Arial" w:hAnsi="Arial" w:cs="Arial"/>
                <w:b/>
                <w:bCs/>
                <w:sz w:val="20"/>
                <w:u w:val="single"/>
              </w:rPr>
              <w:t>Data Quality Framework Dimensions</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Institutional Environment</w:t>
            </w:r>
          </w:p>
        </w:tc>
        <w:tc>
          <w:tcPr>
            <w:tcW w:w="3976" w:type="pct"/>
          </w:tcPr>
          <w:p w:rsidR="0076174D" w:rsidRPr="001A3164" w:rsidRDefault="0076174D" w:rsidP="008045E2">
            <w:pPr>
              <w:keepNext/>
              <w:keepLines/>
              <w:spacing w:after="120" w:line="220" w:lineRule="atLeast"/>
              <w:ind w:left="6" w:right="113"/>
              <w:jc w:val="both"/>
              <w:rPr>
                <w:rFonts w:ascii="Arial" w:hAnsi="Arial"/>
                <w:sz w:val="20"/>
                <w:szCs w:val="20"/>
              </w:rPr>
            </w:pPr>
            <w:r w:rsidRPr="00665E4C">
              <w:rPr>
                <w:rFonts w:ascii="Arial" w:hAnsi="Arial"/>
                <w:sz w:val="20"/>
                <w:szCs w:val="20"/>
              </w:rPr>
              <w:t xml:space="preserve">Approved providers submit data to Medicare Australia to claim subsidies from the Australian Government for services delivered under the </w:t>
            </w:r>
            <w:r w:rsidRPr="00C502CF">
              <w:rPr>
                <w:rFonts w:ascii="Arial" w:hAnsi="Arial"/>
                <w:i/>
                <w:sz w:val="20"/>
                <w:szCs w:val="20"/>
              </w:rPr>
              <w:t>Aged Care Act 1997</w:t>
            </w:r>
            <w:r w:rsidRPr="00665E4C">
              <w:rPr>
                <w:rFonts w:ascii="Arial" w:hAnsi="Arial"/>
                <w:sz w:val="20"/>
                <w:szCs w:val="20"/>
              </w:rPr>
              <w:t xml:space="preserve"> and Aged Care Principles. These data are provided to the </w:t>
            </w:r>
            <w:r w:rsidR="008045E2">
              <w:rPr>
                <w:rFonts w:ascii="Arial" w:hAnsi="Arial"/>
                <w:sz w:val="20"/>
                <w:szCs w:val="20"/>
              </w:rPr>
              <w:t>DSS</w:t>
            </w:r>
            <w:r w:rsidRPr="00665E4C">
              <w:rPr>
                <w:rFonts w:ascii="Arial" w:hAnsi="Arial"/>
                <w:sz w:val="20"/>
                <w:szCs w:val="20"/>
              </w:rPr>
              <w:t xml:space="preserve"> and are stored in the Ageing and Aged Care data warehouse. </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Relevance</w:t>
            </w:r>
          </w:p>
        </w:tc>
        <w:tc>
          <w:tcPr>
            <w:tcW w:w="3976" w:type="pct"/>
          </w:tcPr>
          <w:p w:rsidR="0076174D" w:rsidRPr="001A3164" w:rsidRDefault="0076174D" w:rsidP="001A3164">
            <w:pPr>
              <w:keepNext/>
              <w:keepLines/>
              <w:spacing w:after="120" w:line="220" w:lineRule="atLeast"/>
              <w:ind w:left="6" w:right="113"/>
              <w:jc w:val="both"/>
              <w:rPr>
                <w:rFonts w:ascii="Arial" w:hAnsi="Arial"/>
                <w:sz w:val="20"/>
                <w:szCs w:val="20"/>
              </w:rPr>
            </w:pPr>
            <w:r w:rsidRPr="00665E4C">
              <w:rPr>
                <w:rFonts w:ascii="Arial" w:hAnsi="Arial"/>
                <w:sz w:val="20"/>
                <w:szCs w:val="20"/>
              </w:rPr>
              <w:t xml:space="preserve">The data provides complete coverage of </w:t>
            </w:r>
            <w:r>
              <w:rPr>
                <w:rFonts w:ascii="Arial" w:hAnsi="Arial"/>
                <w:sz w:val="20"/>
                <w:szCs w:val="20"/>
              </w:rPr>
              <w:t xml:space="preserve">residential </w:t>
            </w:r>
            <w:r w:rsidRPr="00665E4C">
              <w:rPr>
                <w:rFonts w:ascii="Arial" w:hAnsi="Arial"/>
                <w:sz w:val="20"/>
                <w:szCs w:val="20"/>
              </w:rPr>
              <w:t xml:space="preserve">aged care services subsidised by the Australian Government. </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Timeliness</w:t>
            </w:r>
          </w:p>
        </w:tc>
        <w:tc>
          <w:tcPr>
            <w:tcW w:w="3976" w:type="pct"/>
          </w:tcPr>
          <w:p w:rsidR="0076174D" w:rsidRPr="001A3164" w:rsidRDefault="0076174D" w:rsidP="001A3164">
            <w:pPr>
              <w:keepNext/>
              <w:keepLines/>
              <w:spacing w:after="120" w:line="220" w:lineRule="atLeast"/>
              <w:ind w:left="6" w:right="113"/>
              <w:jc w:val="both"/>
              <w:rPr>
                <w:rFonts w:ascii="Arial" w:hAnsi="Arial"/>
                <w:sz w:val="20"/>
                <w:szCs w:val="20"/>
              </w:rPr>
            </w:pPr>
            <w:r w:rsidRPr="00665E4C">
              <w:rPr>
                <w:rFonts w:ascii="Arial" w:hAnsi="Arial"/>
                <w:sz w:val="20"/>
                <w:szCs w:val="20"/>
              </w:rPr>
              <w:t xml:space="preserve">Data for the current reporting period </w:t>
            </w:r>
            <w:r>
              <w:rPr>
                <w:rFonts w:ascii="Arial" w:hAnsi="Arial"/>
                <w:sz w:val="20"/>
                <w:szCs w:val="20"/>
              </w:rPr>
              <w:t>are</w:t>
            </w:r>
            <w:r w:rsidRPr="00665E4C">
              <w:rPr>
                <w:rFonts w:ascii="Arial" w:hAnsi="Arial"/>
                <w:sz w:val="20"/>
                <w:szCs w:val="20"/>
              </w:rPr>
              <w:t xml:space="preserve"> available </w:t>
            </w:r>
            <w:r>
              <w:rPr>
                <w:rFonts w:ascii="Arial" w:hAnsi="Arial"/>
                <w:sz w:val="20"/>
                <w:szCs w:val="20"/>
              </w:rPr>
              <w:t xml:space="preserve">in </w:t>
            </w:r>
            <w:r w:rsidRPr="00665E4C">
              <w:rPr>
                <w:rFonts w:ascii="Arial" w:hAnsi="Arial"/>
                <w:sz w:val="20"/>
                <w:szCs w:val="20"/>
              </w:rPr>
              <w:t>October each year.</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Accuracy</w:t>
            </w:r>
          </w:p>
        </w:tc>
        <w:tc>
          <w:tcPr>
            <w:tcW w:w="3976" w:type="pct"/>
          </w:tcPr>
          <w:p w:rsidR="0076174D" w:rsidRPr="003C0F6C" w:rsidRDefault="0076174D" w:rsidP="001A3164">
            <w:pPr>
              <w:keepNext/>
              <w:keepLines/>
              <w:spacing w:after="120" w:line="220" w:lineRule="atLeast"/>
              <w:ind w:left="6" w:right="113"/>
              <w:jc w:val="both"/>
              <w:rPr>
                <w:rFonts w:ascii="Arial" w:hAnsi="Arial"/>
                <w:sz w:val="20"/>
                <w:szCs w:val="20"/>
              </w:rPr>
            </w:pPr>
            <w:r w:rsidRPr="00665E4C">
              <w:rPr>
                <w:rFonts w:ascii="Arial" w:hAnsi="Arial"/>
                <w:sz w:val="20"/>
                <w:szCs w:val="20"/>
              </w:rPr>
              <w:t xml:space="preserve">A </w:t>
            </w:r>
            <w:r>
              <w:rPr>
                <w:rFonts w:ascii="Arial" w:hAnsi="Arial"/>
                <w:sz w:val="20"/>
                <w:szCs w:val="20"/>
              </w:rPr>
              <w:t>residential aged care facility</w:t>
            </w:r>
            <w:r w:rsidRPr="00665E4C">
              <w:rPr>
                <w:rFonts w:ascii="Arial" w:hAnsi="Arial"/>
                <w:sz w:val="20"/>
                <w:szCs w:val="20"/>
              </w:rPr>
              <w:t xml:space="preserve"> must be certified to </w:t>
            </w:r>
            <w:r>
              <w:rPr>
                <w:rFonts w:ascii="Arial" w:hAnsi="Arial"/>
                <w:sz w:val="20"/>
                <w:szCs w:val="20"/>
              </w:rPr>
              <w:t>receive</w:t>
            </w:r>
            <w:r w:rsidRPr="003C0F6C">
              <w:rPr>
                <w:rFonts w:ascii="Arial" w:hAnsi="Arial"/>
                <w:sz w:val="20"/>
                <w:szCs w:val="20"/>
              </w:rPr>
              <w:t xml:space="preserve"> accommodation bonds</w:t>
            </w:r>
            <w:r>
              <w:rPr>
                <w:rFonts w:ascii="Arial" w:hAnsi="Arial"/>
                <w:sz w:val="20"/>
                <w:szCs w:val="20"/>
              </w:rPr>
              <w:t xml:space="preserve">, </w:t>
            </w:r>
            <w:r w:rsidRPr="00665E4C">
              <w:rPr>
                <w:rFonts w:ascii="Arial" w:hAnsi="Arial"/>
                <w:sz w:val="20"/>
                <w:szCs w:val="20"/>
              </w:rPr>
              <w:t xml:space="preserve">accommodation payments and extra service charges. </w:t>
            </w:r>
            <w:r>
              <w:rPr>
                <w:rFonts w:ascii="Arial" w:hAnsi="Arial"/>
                <w:sz w:val="20"/>
                <w:szCs w:val="20"/>
              </w:rPr>
              <w:t>To</w:t>
            </w:r>
            <w:r w:rsidRPr="00665E4C">
              <w:rPr>
                <w:rFonts w:ascii="Arial" w:hAnsi="Arial"/>
                <w:sz w:val="20"/>
                <w:szCs w:val="20"/>
              </w:rPr>
              <w:t xml:space="preserve"> be eligible to receive the maximum level of the accommodation supplement</w:t>
            </w:r>
            <w:r>
              <w:rPr>
                <w:rFonts w:ascii="Arial" w:hAnsi="Arial"/>
                <w:sz w:val="20"/>
                <w:szCs w:val="20"/>
              </w:rPr>
              <w:t>,</w:t>
            </w:r>
            <w:r w:rsidRPr="00665E4C">
              <w:rPr>
                <w:rFonts w:ascii="Arial" w:hAnsi="Arial"/>
                <w:sz w:val="20"/>
                <w:szCs w:val="20"/>
              </w:rPr>
              <w:t xml:space="preserve"> aged care homes are required to meet fire safety and privacy and space requirements.</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Coherence</w:t>
            </w:r>
          </w:p>
        </w:tc>
        <w:tc>
          <w:tcPr>
            <w:tcW w:w="3976" w:type="pct"/>
          </w:tcPr>
          <w:p w:rsidR="0076174D" w:rsidRPr="00FB7EA7" w:rsidRDefault="0076174D" w:rsidP="001A3164">
            <w:pPr>
              <w:keepNext/>
              <w:keepLines/>
              <w:spacing w:after="120" w:line="220" w:lineRule="atLeast"/>
              <w:ind w:left="6" w:right="113"/>
              <w:jc w:val="both"/>
            </w:pPr>
            <w:r w:rsidRPr="001A3164">
              <w:rPr>
                <w:rFonts w:ascii="Arial" w:hAnsi="Arial"/>
                <w:sz w:val="20"/>
                <w:szCs w:val="20"/>
              </w:rPr>
              <w:t>The data items used to construct this performance indicator will be consistent and comparable over time.</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Accessibility</w:t>
            </w:r>
          </w:p>
        </w:tc>
        <w:tc>
          <w:tcPr>
            <w:tcW w:w="3976" w:type="pct"/>
          </w:tcPr>
          <w:p w:rsidR="0076174D" w:rsidRPr="009206D3" w:rsidRDefault="0076174D" w:rsidP="00DC0FD3">
            <w:pPr>
              <w:pStyle w:val="TableBodyText"/>
              <w:jc w:val="both"/>
            </w:pPr>
            <w:r>
              <w:t xml:space="preserve">Data items are published in the </w:t>
            </w:r>
            <w:r w:rsidRPr="001A3164">
              <w:rPr>
                <w:i/>
              </w:rPr>
              <w:t>Reports on the Operation of the Aged Care Act 1997</w:t>
            </w:r>
            <w:r>
              <w:t xml:space="preserve"> prepared by the </w:t>
            </w:r>
            <w:r w:rsidR="00DC0FD3">
              <w:t>DSS</w:t>
            </w:r>
            <w:r>
              <w:t>.</w:t>
            </w:r>
          </w:p>
        </w:tc>
      </w:tr>
      <w:tr w:rsidR="0076174D" w:rsidRPr="005E027C" w:rsidTr="00F06A16">
        <w:tblPrEx>
          <w:tblCellMar>
            <w:left w:w="108" w:type="dxa"/>
            <w:right w:w="108" w:type="dxa"/>
          </w:tblCellMar>
          <w:tblLook w:val="01E0" w:firstRow="1" w:lastRow="1" w:firstColumn="1" w:lastColumn="1" w:noHBand="0" w:noVBand="0"/>
        </w:tblPrEx>
        <w:tc>
          <w:tcPr>
            <w:tcW w:w="1024" w:type="pct"/>
          </w:tcPr>
          <w:p w:rsidR="0076174D" w:rsidRPr="005E027C" w:rsidRDefault="0076174D" w:rsidP="00F06A16">
            <w:pPr>
              <w:pStyle w:val="TableBodyText"/>
              <w:ind w:left="0"/>
              <w:jc w:val="both"/>
              <w:rPr>
                <w:rFonts w:cs="Arial"/>
                <w:b/>
              </w:rPr>
            </w:pPr>
            <w:r w:rsidRPr="005E027C">
              <w:rPr>
                <w:rFonts w:cs="Arial"/>
                <w:b/>
              </w:rPr>
              <w:t>Interpretability</w:t>
            </w:r>
          </w:p>
        </w:tc>
        <w:tc>
          <w:tcPr>
            <w:tcW w:w="3976" w:type="pct"/>
          </w:tcPr>
          <w:p w:rsidR="0076174D" w:rsidRPr="009206D3" w:rsidRDefault="0076174D" w:rsidP="00F06A16">
            <w:pPr>
              <w:pStyle w:val="TableBodyText"/>
              <w:jc w:val="both"/>
            </w:pPr>
            <w:r>
              <w:t xml:space="preserve">Further information on definitions is available in the </w:t>
            </w:r>
            <w:r w:rsidRPr="0017375E">
              <w:rPr>
                <w:i/>
              </w:rPr>
              <w:t>Aged Care Act 1997</w:t>
            </w:r>
            <w:r>
              <w:t xml:space="preserve"> and Aged Care Principles and the Residential Aged Care Manual 2009. </w:t>
            </w:r>
          </w:p>
        </w:tc>
      </w:tr>
      <w:tr w:rsidR="0076174D" w:rsidRPr="00672B5F" w:rsidTr="00F06A16">
        <w:tblPrEx>
          <w:tblCellMar>
            <w:left w:w="108" w:type="dxa"/>
            <w:right w:w="108" w:type="dxa"/>
          </w:tblCellMar>
          <w:tblLook w:val="01E0" w:firstRow="1" w:lastRow="1" w:firstColumn="1" w:lastColumn="1" w:noHBand="0" w:noVBand="0"/>
        </w:tblPrEx>
        <w:trPr>
          <w:trHeight w:val="225"/>
        </w:trPr>
        <w:tc>
          <w:tcPr>
            <w:tcW w:w="5000" w:type="pct"/>
            <w:gridSpan w:val="2"/>
          </w:tcPr>
          <w:p w:rsidR="001A71F1" w:rsidRDefault="001A71F1" w:rsidP="00F06A16">
            <w:pPr>
              <w:pStyle w:val="TableBodyText"/>
              <w:spacing w:before="120"/>
              <w:ind w:left="0"/>
              <w:jc w:val="both"/>
              <w:rPr>
                <w:rFonts w:cs="Arial"/>
                <w:b/>
                <w:szCs w:val="22"/>
                <w:u w:val="single"/>
              </w:rPr>
            </w:pPr>
          </w:p>
          <w:p w:rsidR="001A71F1" w:rsidRDefault="001A71F1" w:rsidP="00F06A16">
            <w:pPr>
              <w:pStyle w:val="TableBodyText"/>
              <w:spacing w:before="120"/>
              <w:ind w:left="0"/>
              <w:jc w:val="both"/>
              <w:rPr>
                <w:rFonts w:cs="Arial"/>
                <w:b/>
                <w:szCs w:val="22"/>
                <w:u w:val="single"/>
              </w:rPr>
            </w:pPr>
          </w:p>
          <w:p w:rsidR="0076174D" w:rsidRPr="00FC28BE" w:rsidRDefault="0076174D" w:rsidP="00F06A16">
            <w:pPr>
              <w:pStyle w:val="TableBodyText"/>
              <w:spacing w:before="120"/>
              <w:ind w:left="0"/>
              <w:jc w:val="both"/>
              <w:rPr>
                <w:rFonts w:cs="Arial"/>
                <w:b/>
                <w:szCs w:val="22"/>
                <w:u w:val="single"/>
              </w:rPr>
            </w:pPr>
            <w:r w:rsidRPr="00FC28BE">
              <w:rPr>
                <w:rFonts w:cs="Arial"/>
                <w:b/>
                <w:szCs w:val="22"/>
                <w:u w:val="single"/>
              </w:rPr>
              <w:lastRenderedPageBreak/>
              <w:t>Data Gaps/Issues Analysis</w:t>
            </w:r>
          </w:p>
        </w:tc>
      </w:tr>
      <w:tr w:rsidR="0076174D" w:rsidRPr="00B479F5" w:rsidTr="0097691F">
        <w:tblPrEx>
          <w:tblCellMar>
            <w:left w:w="108" w:type="dxa"/>
            <w:right w:w="108" w:type="dxa"/>
          </w:tblCellMar>
          <w:tblLook w:val="01E0" w:firstRow="1" w:lastRow="1" w:firstColumn="1" w:lastColumn="1" w:noHBand="0" w:noVBand="0"/>
        </w:tblPrEx>
        <w:tc>
          <w:tcPr>
            <w:tcW w:w="1024" w:type="pct"/>
          </w:tcPr>
          <w:p w:rsidR="0076174D" w:rsidRPr="00672B5F" w:rsidRDefault="0076174D" w:rsidP="001A71F1">
            <w:pPr>
              <w:pStyle w:val="TableBodyText"/>
              <w:ind w:left="0"/>
              <w:jc w:val="both"/>
              <w:rPr>
                <w:rFonts w:cs="Arial"/>
                <w:b/>
                <w:szCs w:val="22"/>
              </w:rPr>
            </w:pPr>
            <w:r w:rsidRPr="00672B5F">
              <w:rPr>
                <w:rFonts w:cs="Arial"/>
                <w:b/>
                <w:szCs w:val="22"/>
              </w:rPr>
              <w:lastRenderedPageBreak/>
              <w:t>Key data gaps/issues</w:t>
            </w:r>
          </w:p>
        </w:tc>
        <w:tc>
          <w:tcPr>
            <w:tcW w:w="3976" w:type="pct"/>
            <w:shd w:val="clear" w:color="auto" w:fill="FFFFFF" w:themeFill="background1"/>
          </w:tcPr>
          <w:p w:rsidR="0076174D" w:rsidRDefault="0076174D" w:rsidP="00A44502">
            <w:pPr>
              <w:pStyle w:val="TableBodyText"/>
              <w:spacing w:after="60"/>
              <w:jc w:val="both"/>
              <w:rPr>
                <w:rFonts w:cs="Arial"/>
              </w:rPr>
            </w:pPr>
            <w:r>
              <w:rPr>
                <w:rFonts w:cs="Arial"/>
              </w:rPr>
              <w:t>The Steering Committee notes the following issues:</w:t>
            </w:r>
            <w:r w:rsidRPr="00B479F5">
              <w:rPr>
                <w:rFonts w:cs="Arial"/>
              </w:rPr>
              <w:t xml:space="preserve"> </w:t>
            </w:r>
          </w:p>
          <w:p w:rsidR="0076174D" w:rsidRPr="002C59E1" w:rsidRDefault="0076174D" w:rsidP="00A44502">
            <w:pPr>
              <w:pStyle w:val="TableBullet"/>
              <w:keepNext w:val="0"/>
              <w:keepLines w:val="0"/>
              <w:jc w:val="both"/>
            </w:pPr>
            <w:r w:rsidRPr="002C59E1">
              <w:t>The data provide relevant and accurate information</w:t>
            </w:r>
            <w:r>
              <w:t xml:space="preserve"> on compliance with residential aged care standards</w:t>
            </w:r>
            <w:r w:rsidRPr="002C59E1">
              <w:t xml:space="preserve">. </w:t>
            </w:r>
          </w:p>
          <w:p w:rsidR="0076174D" w:rsidRPr="002C59E1" w:rsidRDefault="0076174D" w:rsidP="00A44502">
            <w:pPr>
              <w:pStyle w:val="TableBullet"/>
              <w:keepNext w:val="0"/>
              <w:keepLines w:val="0"/>
              <w:jc w:val="both"/>
            </w:pPr>
            <w:r w:rsidRPr="002C59E1">
              <w:t xml:space="preserve">Annual data are available. The most recent data available are for </w:t>
            </w:r>
            <w:r>
              <w:br/>
              <w:t>201</w:t>
            </w:r>
            <w:r w:rsidR="00C41167">
              <w:t>2</w:t>
            </w:r>
            <w:r w:rsidR="00104B60">
              <w:noBreakHyphen/>
            </w:r>
            <w:r>
              <w:t>1</w:t>
            </w:r>
            <w:r w:rsidR="00C41167">
              <w:t>3</w:t>
            </w:r>
            <w:r>
              <w:t>.</w:t>
            </w:r>
            <w:r w:rsidRPr="002C59E1">
              <w:t xml:space="preserve"> </w:t>
            </w:r>
          </w:p>
          <w:p w:rsidR="0076174D" w:rsidRPr="002C59E1" w:rsidRDefault="0076174D" w:rsidP="00A44502">
            <w:pPr>
              <w:pStyle w:val="TableBullet"/>
              <w:keepNext w:val="0"/>
              <w:keepLines w:val="0"/>
              <w:jc w:val="both"/>
            </w:pPr>
            <w:r w:rsidRPr="002C59E1">
              <w:t xml:space="preserve">The data are consistent and comparable over time. </w:t>
            </w:r>
          </w:p>
          <w:p w:rsidR="0076174D" w:rsidRPr="000530A7" w:rsidRDefault="0076174D" w:rsidP="00A44502">
            <w:pPr>
              <w:pStyle w:val="TableBullet"/>
              <w:keepNext w:val="0"/>
              <w:keepLines w:val="0"/>
              <w:jc w:val="both"/>
            </w:pPr>
            <w:r w:rsidRPr="002C59E1">
              <w:t>No significant data gaps or issues are identified.</w:t>
            </w:r>
          </w:p>
        </w:tc>
      </w:tr>
    </w:tbl>
    <w:p w:rsidR="0076174D" w:rsidRPr="00CC65B8" w:rsidRDefault="0076174D" w:rsidP="00A44502">
      <w:pPr>
        <w:pStyle w:val="BodyText"/>
        <w:spacing w:before="120"/>
        <w:rPr>
          <w:rFonts w:ascii="Arial" w:hAnsi="Arial"/>
          <w:sz w:val="22"/>
        </w:rPr>
      </w:pPr>
    </w:p>
    <w:p w:rsidR="0076174D" w:rsidRDefault="0076174D" w:rsidP="0076174D">
      <w:pPr>
        <w:pStyle w:val="BodyText"/>
      </w:pPr>
      <w:r>
        <w:br w:type="page"/>
      </w:r>
    </w:p>
    <w:p w:rsidR="00210E4E" w:rsidRPr="00FB3F50" w:rsidRDefault="00210E4E" w:rsidP="00210E4E">
      <w:pPr>
        <w:pStyle w:val="Heading3"/>
        <w:spacing w:before="120"/>
        <w:jc w:val="both"/>
      </w:pPr>
      <w:bookmarkStart w:id="41" w:name="_Toc373422521"/>
      <w:bookmarkStart w:id="42" w:name="_Toc377383330"/>
      <w:r w:rsidRPr="00FB3F50">
        <w:lastRenderedPageBreak/>
        <w:t xml:space="preserve">Cost per output unit — </w:t>
      </w:r>
      <w:r>
        <w:t xml:space="preserve">government funding </w:t>
      </w:r>
      <w:r w:rsidRPr="00FB3F50">
        <w:t>per hour of HACC service</w:t>
      </w:r>
      <w:bookmarkEnd w:id="41"/>
      <w:bookmarkEnd w:id="42"/>
      <w:r w:rsidRPr="00FB3F50">
        <w:t xml:space="preserve"> </w:t>
      </w:r>
    </w:p>
    <w:p w:rsidR="00210E4E" w:rsidRPr="00EA5574" w:rsidRDefault="00EA5574" w:rsidP="00EA5574">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210E4E" w:rsidRPr="00EA5574">
        <w:rPr>
          <w:rFonts w:ascii="Arial" w:hAnsi="Arial"/>
          <w:color w:val="000000"/>
        </w:rPr>
        <w:t xml:space="preserve"> for this indicator has been drafted by the Australian Government DSS, Victorian and WA governments with additional Steering Committee comments.</w:t>
      </w:r>
    </w:p>
    <w:p w:rsidR="00210E4E" w:rsidRPr="006978F2" w:rsidRDefault="00210E4E" w:rsidP="00210E4E">
      <w:pPr>
        <w:keepNext/>
        <w:keepLines/>
        <w:spacing w:before="120" w:line="320" w:lineRule="atLeast"/>
        <w:jc w:val="both"/>
        <w:rPr>
          <w:rFonts w:ascii="Arial" w:hAnsi="Arial" w:cs="Arial"/>
          <w:szCs w:val="22"/>
        </w:rPr>
      </w:pPr>
    </w:p>
    <w:tbl>
      <w:tblPr>
        <w:tblW w:w="5000" w:type="pct"/>
        <w:tblCellMar>
          <w:left w:w="0" w:type="dxa"/>
          <w:right w:w="0" w:type="dxa"/>
        </w:tblCellMar>
        <w:tblLook w:val="0000" w:firstRow="0" w:lastRow="0" w:firstColumn="0" w:lastColumn="0" w:noHBand="0" w:noVBand="0"/>
      </w:tblPr>
      <w:tblGrid>
        <w:gridCol w:w="1777"/>
        <w:gridCol w:w="6936"/>
        <w:gridCol w:w="76"/>
      </w:tblGrid>
      <w:tr w:rsidR="00210E4E" w:rsidRPr="006978F2" w:rsidTr="00E87B88">
        <w:tc>
          <w:tcPr>
            <w:tcW w:w="5000" w:type="pct"/>
            <w:gridSpan w:val="3"/>
          </w:tcPr>
          <w:p w:rsidR="00210E4E" w:rsidRPr="006978F2"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sz w:val="20"/>
                <w:szCs w:val="20"/>
              </w:rPr>
            </w:pPr>
            <w:r w:rsidRPr="006978F2">
              <w:rPr>
                <w:rFonts w:ascii="Arial" w:hAnsi="Arial"/>
                <w:b/>
                <w:sz w:val="20"/>
                <w:szCs w:val="20"/>
                <w:u w:val="single"/>
              </w:rPr>
              <w:t>Indicator definition and description</w:t>
            </w:r>
            <w:r w:rsidRPr="006978F2">
              <w:rPr>
                <w:rFonts w:ascii="Arial" w:hAnsi="Arial" w:cs="Arial"/>
                <w:b/>
                <w:szCs w:val="22"/>
                <w:u w:val="single"/>
              </w:rPr>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Element</w:t>
            </w:r>
          </w:p>
        </w:tc>
        <w:tc>
          <w:tcPr>
            <w:tcW w:w="7020" w:type="dxa"/>
            <w:tcBorders>
              <w:top w:val="nil"/>
              <w:left w:val="nil"/>
              <w:bottom w:val="nil"/>
              <w:right w:val="nil"/>
            </w:tcBorders>
          </w:tcPr>
          <w:p w:rsidR="00210E4E" w:rsidRPr="006978F2" w:rsidRDefault="00210E4E" w:rsidP="00E87B88">
            <w:pPr>
              <w:keepNext/>
              <w:keepLines/>
              <w:spacing w:after="120" w:line="220" w:lineRule="atLeast"/>
              <w:ind w:left="6" w:right="113"/>
              <w:rPr>
                <w:rFonts w:ascii="Arial" w:hAnsi="Arial" w:cs="Arial"/>
                <w:sz w:val="20"/>
                <w:szCs w:val="20"/>
              </w:rPr>
            </w:pPr>
            <w:r w:rsidRPr="006F3969">
              <w:rPr>
                <w:rFonts w:ascii="Arial" w:hAnsi="Arial" w:cs="Arial"/>
                <w:sz w:val="20"/>
                <w:szCs w:val="20"/>
              </w:rPr>
              <w:t>Efficiency — inputs per output unit</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Indicator </w:t>
            </w:r>
          </w:p>
        </w:tc>
        <w:tc>
          <w:tcPr>
            <w:tcW w:w="7020" w:type="dxa"/>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I</w:t>
            </w:r>
            <w:r w:rsidRPr="007B19E2">
              <w:rPr>
                <w:rFonts w:ascii="Arial" w:hAnsi="Arial" w:cs="Arial"/>
                <w:sz w:val="20"/>
                <w:szCs w:val="20"/>
              </w:rPr>
              <w:t>nputs per output unit</w:t>
            </w:r>
            <w:r w:rsidRPr="006978F2">
              <w:rPr>
                <w:rFonts w:ascii="Arial" w:hAnsi="Arial" w:cs="Arial"/>
                <w:sz w:val="20"/>
                <w:szCs w:val="20"/>
              </w:rPr>
              <w:t xml:space="preserve"> — </w:t>
            </w:r>
            <w:r w:rsidRPr="007B19E2">
              <w:rPr>
                <w:rFonts w:ascii="Arial" w:hAnsi="Arial" w:cs="Arial"/>
                <w:sz w:val="20"/>
                <w:szCs w:val="20"/>
              </w:rPr>
              <w:t>government funding per hour of HACC service</w:t>
            </w:r>
            <w:r w:rsidRPr="006978F2">
              <w:rPr>
                <w:rFonts w:ascii="Arial" w:hAnsi="Arial" w:cs="Arial"/>
                <w:sz w:val="20"/>
                <w:szCs w:val="20"/>
              </w:rPr>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Height w:val="6191"/>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Measure (computation)</w:t>
            </w:r>
          </w:p>
        </w:tc>
        <w:tc>
          <w:tcPr>
            <w:tcW w:w="7020" w:type="dxa"/>
            <w:tcBorders>
              <w:top w:val="nil"/>
              <w:left w:val="nil"/>
              <w:bottom w:val="nil"/>
              <w:right w:val="nil"/>
            </w:tcBorders>
          </w:tcPr>
          <w:p w:rsidR="00210E4E" w:rsidRPr="006978F2" w:rsidRDefault="00210E4E" w:rsidP="00E87B88">
            <w:pPr>
              <w:keepNext/>
              <w:keepLines/>
              <w:spacing w:after="60" w:line="220" w:lineRule="atLeast"/>
              <w:ind w:left="6" w:right="113"/>
              <w:jc w:val="both"/>
              <w:rPr>
                <w:rFonts w:ascii="Arial" w:hAnsi="Arial" w:cs="Arial"/>
                <w:sz w:val="20"/>
                <w:szCs w:val="20"/>
                <w:u w:val="single"/>
              </w:rPr>
            </w:pPr>
            <w:r w:rsidRPr="006978F2">
              <w:rPr>
                <w:rFonts w:ascii="Arial" w:hAnsi="Arial" w:cs="Arial"/>
                <w:sz w:val="20"/>
                <w:szCs w:val="20"/>
                <w:u w:val="single"/>
              </w:rPr>
              <w:t>Definition</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G</w:t>
            </w:r>
            <w:r w:rsidRPr="005C2352">
              <w:rPr>
                <w:rFonts w:ascii="Arial" w:hAnsi="Arial" w:cs="Arial"/>
                <w:sz w:val="20"/>
                <w:szCs w:val="20"/>
              </w:rPr>
              <w:t>overnment funding per hour of HACC service</w:t>
            </w:r>
            <w:r>
              <w:rPr>
                <w:rFonts w:ascii="Arial" w:hAnsi="Arial" w:cs="Arial"/>
                <w:sz w:val="20"/>
                <w:szCs w:val="20"/>
              </w:rPr>
              <w:t xml:space="preserve">, by service type (nursing, allied health, </w:t>
            </w:r>
            <w:r w:rsidRPr="00702AE8">
              <w:rPr>
                <w:rFonts w:ascii="Arial" w:hAnsi="Arial" w:cs="Arial"/>
                <w:sz w:val="20"/>
                <w:szCs w:val="20"/>
              </w:rPr>
              <w:t>domestic assistance and personal care</w:t>
            </w:r>
            <w:r>
              <w:rPr>
                <w:rFonts w:ascii="Arial" w:hAnsi="Arial" w:cs="Arial"/>
                <w:sz w:val="20"/>
                <w:szCs w:val="20"/>
              </w:rPr>
              <w:t>)</w:t>
            </w:r>
            <w:r w:rsidRPr="006978F2">
              <w:rPr>
                <w:rFonts w:ascii="Arial" w:hAnsi="Arial" w:cs="Arial"/>
                <w:sz w:val="20"/>
                <w:szCs w:val="20"/>
              </w:rPr>
              <w:t>.</w:t>
            </w:r>
          </w:p>
          <w:p w:rsidR="00210E4E" w:rsidRDefault="00210E4E" w:rsidP="00E87B88">
            <w:pPr>
              <w:spacing w:before="120" w:after="60"/>
              <w:jc w:val="both"/>
              <w:rPr>
                <w:rFonts w:ascii="Arial" w:hAnsi="Arial" w:cs="Arial"/>
                <w:sz w:val="20"/>
              </w:rPr>
            </w:pPr>
            <w:r w:rsidRPr="006978F2">
              <w:rPr>
                <w:rFonts w:ascii="Arial" w:hAnsi="Arial" w:cs="Arial"/>
                <w:sz w:val="20"/>
                <w:u w:val="single"/>
              </w:rPr>
              <w:t>Numerators</w:t>
            </w:r>
            <w:r w:rsidRPr="006978F2">
              <w:rPr>
                <w:rFonts w:ascii="Arial" w:hAnsi="Arial" w:cs="Arial"/>
                <w:sz w:val="20"/>
              </w:rPr>
              <w:t xml:space="preserve">: </w:t>
            </w:r>
          </w:p>
          <w:p w:rsidR="00210E4E"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G</w:t>
            </w:r>
            <w:r w:rsidRPr="005C2352">
              <w:rPr>
                <w:rFonts w:ascii="Arial" w:hAnsi="Arial" w:cs="Arial"/>
                <w:sz w:val="20"/>
                <w:szCs w:val="20"/>
              </w:rPr>
              <w:t xml:space="preserve">overnment </w:t>
            </w:r>
            <w:r>
              <w:rPr>
                <w:rFonts w:ascii="Arial" w:hAnsi="Arial" w:cs="Arial"/>
                <w:sz w:val="20"/>
                <w:szCs w:val="20"/>
              </w:rPr>
              <w:t>funding spent</w:t>
            </w:r>
            <w:r w:rsidRPr="005C2352">
              <w:rPr>
                <w:rFonts w:ascii="Arial" w:hAnsi="Arial" w:cs="Arial"/>
                <w:sz w:val="20"/>
                <w:szCs w:val="20"/>
              </w:rPr>
              <w:t xml:space="preserve"> </w:t>
            </w:r>
            <w:r>
              <w:rPr>
                <w:rFonts w:ascii="Arial" w:hAnsi="Arial" w:cs="Arial"/>
                <w:sz w:val="20"/>
                <w:szCs w:val="20"/>
              </w:rPr>
              <w:t>on</w:t>
            </w:r>
            <w:r w:rsidRPr="005C2352">
              <w:rPr>
                <w:rFonts w:ascii="Arial" w:hAnsi="Arial" w:cs="Arial"/>
                <w:sz w:val="20"/>
                <w:szCs w:val="20"/>
              </w:rPr>
              <w:t xml:space="preserve"> HACC service</w:t>
            </w:r>
            <w:r>
              <w:rPr>
                <w:rFonts w:ascii="Arial" w:hAnsi="Arial" w:cs="Arial"/>
                <w:sz w:val="20"/>
                <w:szCs w:val="20"/>
              </w:rPr>
              <w:t>s, by service type.</w:t>
            </w:r>
          </w:p>
          <w:p w:rsidR="00210E4E" w:rsidRDefault="00210E4E" w:rsidP="00E87B88">
            <w:pPr>
              <w:spacing w:before="120" w:after="60"/>
              <w:jc w:val="both"/>
              <w:rPr>
                <w:rFonts w:ascii="Arial" w:hAnsi="Arial" w:cs="Arial"/>
                <w:sz w:val="20"/>
                <w:u w:val="single"/>
              </w:rPr>
            </w:pPr>
            <w:r w:rsidRPr="006978F2">
              <w:rPr>
                <w:rFonts w:ascii="Arial" w:hAnsi="Arial" w:cs="Arial"/>
                <w:sz w:val="20"/>
                <w:u w:val="single"/>
              </w:rPr>
              <w:t xml:space="preserve">Denominators: </w:t>
            </w:r>
          </w:p>
          <w:p w:rsidR="00210E4E" w:rsidRPr="00702AE8" w:rsidRDefault="00210E4E" w:rsidP="00E87B88">
            <w:pPr>
              <w:keepNext/>
              <w:keepLines/>
              <w:spacing w:after="120" w:line="220" w:lineRule="atLeast"/>
              <w:ind w:left="6" w:right="113"/>
              <w:jc w:val="both"/>
              <w:rPr>
                <w:rFonts w:ascii="Arial" w:hAnsi="Arial" w:cs="Arial"/>
                <w:sz w:val="20"/>
                <w:szCs w:val="20"/>
              </w:rPr>
            </w:pPr>
            <w:r w:rsidRPr="00702AE8">
              <w:rPr>
                <w:rFonts w:ascii="Arial" w:hAnsi="Arial" w:cs="Arial"/>
                <w:sz w:val="20"/>
                <w:szCs w:val="20"/>
              </w:rPr>
              <w:t>Number of hours of service</w:t>
            </w:r>
            <w:r>
              <w:rPr>
                <w:rFonts w:ascii="Arial" w:hAnsi="Arial" w:cs="Arial"/>
                <w:sz w:val="20"/>
                <w:szCs w:val="20"/>
              </w:rPr>
              <w:t>s</w:t>
            </w:r>
            <w:r w:rsidRPr="00702AE8">
              <w:rPr>
                <w:rFonts w:ascii="Arial" w:hAnsi="Arial" w:cs="Arial"/>
                <w:sz w:val="20"/>
                <w:szCs w:val="20"/>
              </w:rPr>
              <w:t>, by service type.</w:t>
            </w:r>
          </w:p>
          <w:p w:rsidR="00210E4E" w:rsidRDefault="00210E4E" w:rsidP="00E87B88">
            <w:pPr>
              <w:spacing w:before="120" w:after="60"/>
              <w:jc w:val="both"/>
              <w:rPr>
                <w:rFonts w:ascii="Arial" w:hAnsi="Arial" w:cs="Arial"/>
                <w:sz w:val="20"/>
                <w:u w:val="single"/>
              </w:rPr>
            </w:pPr>
            <w:r w:rsidRPr="006978F2">
              <w:rPr>
                <w:rFonts w:ascii="Arial" w:hAnsi="Arial" w:cs="Arial"/>
                <w:sz w:val="20"/>
                <w:u w:val="single"/>
              </w:rPr>
              <w:t>Computation:</w:t>
            </w:r>
          </w:p>
          <w:p w:rsidR="00210E4E" w:rsidRPr="00702AE8" w:rsidRDefault="00210E4E" w:rsidP="00E87B88">
            <w:pPr>
              <w:keepNext/>
              <w:keepLines/>
              <w:spacing w:after="120" w:line="220" w:lineRule="atLeast"/>
              <w:ind w:left="6" w:right="113"/>
              <w:jc w:val="both"/>
              <w:rPr>
                <w:rFonts w:ascii="Arial" w:hAnsi="Arial" w:cs="Arial"/>
                <w:sz w:val="20"/>
                <w:szCs w:val="20"/>
              </w:rPr>
            </w:pPr>
            <w:r w:rsidRPr="00416C15">
              <w:rPr>
                <w:rFonts w:ascii="Arial" w:hAnsi="Arial" w:cs="Arial"/>
                <w:sz w:val="20"/>
                <w:szCs w:val="20"/>
              </w:rPr>
              <w:t xml:space="preserve">Expressed as $ per </w:t>
            </w:r>
            <w:r>
              <w:rPr>
                <w:rFonts w:ascii="Arial" w:hAnsi="Arial" w:cs="Arial"/>
                <w:sz w:val="20"/>
                <w:szCs w:val="20"/>
              </w:rPr>
              <w:t>hour of service</w:t>
            </w:r>
            <w:r w:rsidRPr="00416C15">
              <w:rPr>
                <w:rFonts w:ascii="Arial" w:hAnsi="Arial" w:cs="Arial"/>
                <w:sz w:val="20"/>
                <w:szCs w:val="20"/>
              </w:rPr>
              <w:t xml:space="preserve">. </w:t>
            </w:r>
            <w:r w:rsidRPr="00702AE8">
              <w:rPr>
                <w:rFonts w:ascii="Arial" w:hAnsi="Arial" w:cs="Arial"/>
                <w:sz w:val="20"/>
                <w:szCs w:val="20"/>
              </w:rPr>
              <w:t>Numerator/Denominator.</w:t>
            </w:r>
          </w:p>
          <w:p w:rsidR="00210E4E" w:rsidRPr="0015008E" w:rsidRDefault="00210E4E" w:rsidP="00237358">
            <w:pPr>
              <w:keepNext/>
              <w:keepLines/>
              <w:spacing w:after="120" w:line="220" w:lineRule="atLeast"/>
              <w:ind w:left="6" w:right="113"/>
              <w:jc w:val="both"/>
              <w:rPr>
                <w:rFonts w:ascii="Arial" w:hAnsi="Arial"/>
                <w:sz w:val="20"/>
                <w:szCs w:val="20"/>
              </w:rPr>
            </w:pPr>
            <w:r w:rsidRPr="0015008E">
              <w:rPr>
                <w:rFonts w:ascii="Arial" w:hAnsi="Arial"/>
                <w:sz w:val="20"/>
                <w:szCs w:val="20"/>
              </w:rPr>
              <w:t>Real</w:t>
            </w:r>
            <w:r>
              <w:rPr>
                <w:rFonts w:ascii="Arial" w:hAnsi="Arial"/>
                <w:sz w:val="20"/>
                <w:szCs w:val="20"/>
              </w:rPr>
              <w:t xml:space="preserve"> funding </w:t>
            </w:r>
            <w:r w:rsidRPr="0015008E">
              <w:rPr>
                <w:rFonts w:ascii="Arial" w:hAnsi="Arial"/>
                <w:sz w:val="20"/>
                <w:szCs w:val="20"/>
              </w:rPr>
              <w:t>is reported across years. The general formula for applying the deflator (used in the attachment tables) to convert nominal dollars to real dollars is:</w:t>
            </w:r>
          </w:p>
          <w:p w:rsidR="00210E4E" w:rsidRPr="0015008E" w:rsidRDefault="00940437" w:rsidP="00E87B88">
            <w:pPr>
              <w:spacing w:after="60"/>
              <w:rPr>
                <w:szCs w:val="22"/>
                <w:lang w:val="en-US"/>
              </w:rPr>
            </w:pPr>
            <w:r>
              <w:rPr>
                <w:position w:val="-3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5.25pt">
                  <v:imagedata r:id="rId9" o:title=""/>
                </v:shape>
              </w:pict>
            </w:r>
          </w:p>
          <w:p w:rsidR="00210E4E" w:rsidRPr="0015008E" w:rsidRDefault="00210E4E" w:rsidP="00E87B88">
            <w:pPr>
              <w:keepNext/>
              <w:keepLines/>
              <w:spacing w:after="60" w:line="220" w:lineRule="atLeast"/>
              <w:ind w:left="6" w:right="113"/>
              <w:rPr>
                <w:rFonts w:ascii="Arial" w:hAnsi="Arial"/>
                <w:sz w:val="20"/>
                <w:szCs w:val="20"/>
              </w:rPr>
            </w:pPr>
            <w:r w:rsidRPr="0015008E">
              <w:rPr>
                <w:rFonts w:ascii="Arial" w:hAnsi="Arial"/>
                <w:sz w:val="20"/>
                <w:szCs w:val="20"/>
              </w:rPr>
              <w:t>Where:</w:t>
            </w:r>
          </w:p>
          <w:p w:rsidR="00210E4E" w:rsidRPr="0015008E" w:rsidRDefault="00940437" w:rsidP="00E87B88">
            <w:pPr>
              <w:spacing w:after="60"/>
              <w:rPr>
                <w:rFonts w:ascii="Arial" w:hAnsi="Arial" w:cs="Arial"/>
                <w:sz w:val="20"/>
                <w:szCs w:val="20"/>
                <w:lang w:val="en-US"/>
              </w:rPr>
            </w:pPr>
            <w:r>
              <w:rPr>
                <w:position w:val="-12"/>
                <w:sz w:val="20"/>
                <w:szCs w:val="20"/>
                <w:lang w:val="en-US"/>
              </w:rPr>
              <w:pict>
                <v:shape id="_x0000_i1026" type="#_x0000_t75" style="width:15.75pt;height:18.75pt">
                  <v:imagedata r:id="rId10" o:title=""/>
                </v:shape>
              </w:pict>
            </w:r>
            <w:r w:rsidR="00210E4E" w:rsidRPr="0015008E">
              <w:rPr>
                <w:rFonts w:ascii="Arial" w:hAnsi="Arial" w:cs="Arial"/>
                <w:sz w:val="20"/>
                <w:szCs w:val="20"/>
                <w:lang w:val="en-US"/>
              </w:rPr>
              <w:t>is real dollars in year t</w:t>
            </w:r>
          </w:p>
          <w:p w:rsidR="00210E4E" w:rsidRPr="0015008E" w:rsidRDefault="00940437" w:rsidP="00E87B88">
            <w:pPr>
              <w:spacing w:after="60"/>
              <w:rPr>
                <w:rFonts w:ascii="Arial" w:hAnsi="Arial" w:cs="Arial"/>
                <w:sz w:val="20"/>
                <w:szCs w:val="20"/>
                <w:lang w:val="en-US"/>
              </w:rPr>
            </w:pPr>
            <w:r>
              <w:rPr>
                <w:rFonts w:ascii="Arial" w:hAnsi="Arial" w:cs="Arial"/>
                <w:position w:val="-12"/>
                <w:sz w:val="20"/>
                <w:szCs w:val="20"/>
                <w:lang w:val="en-US"/>
              </w:rPr>
              <w:pict>
                <v:shape id="_x0000_i1027" type="#_x0000_t75" style="width:15.75pt;height:18.75pt">
                  <v:imagedata r:id="rId11" o:title=""/>
                </v:shape>
              </w:pict>
            </w:r>
            <w:r w:rsidR="00210E4E" w:rsidRPr="0015008E">
              <w:rPr>
                <w:rFonts w:ascii="Arial" w:hAnsi="Arial" w:cs="Arial"/>
                <w:sz w:val="20"/>
                <w:szCs w:val="20"/>
                <w:lang w:val="en-US"/>
              </w:rPr>
              <w:t>is nominal dollars in year t</w:t>
            </w:r>
          </w:p>
          <w:p w:rsidR="00210E4E" w:rsidRDefault="00940437" w:rsidP="00E87B88">
            <w:pPr>
              <w:keepNext/>
              <w:keepLines/>
              <w:spacing w:line="220" w:lineRule="atLeast"/>
              <w:ind w:left="6" w:right="113"/>
              <w:jc w:val="both"/>
              <w:rPr>
                <w:rFonts w:ascii="Arial" w:hAnsi="Arial" w:cs="Arial"/>
                <w:sz w:val="20"/>
                <w:szCs w:val="20"/>
              </w:rPr>
            </w:pPr>
            <w:r>
              <w:rPr>
                <w:rFonts w:ascii="Arial" w:hAnsi="Arial" w:cs="Arial"/>
                <w:position w:val="-12"/>
                <w:sz w:val="20"/>
                <w:szCs w:val="20"/>
                <w:lang w:val="en-US"/>
              </w:rPr>
              <w:pict>
                <v:shape id="_x0000_i1028" type="#_x0000_t75" style="width:15.75pt;height:18.75pt">
                  <v:imagedata r:id="rId12" o:title=""/>
                </v:shape>
              </w:pict>
            </w:r>
            <w:r w:rsidR="00210E4E" w:rsidRPr="0015008E">
              <w:rPr>
                <w:rFonts w:ascii="Arial" w:hAnsi="Arial" w:cs="Arial"/>
                <w:sz w:val="20"/>
                <w:szCs w:val="20"/>
                <w:lang w:val="en-US"/>
              </w:rPr>
              <w:t xml:space="preserve"> is the new index based in year </w:t>
            </w:r>
            <w:r w:rsidR="00210E4E">
              <w:rPr>
                <w:rFonts w:ascii="Arial" w:hAnsi="Arial" w:cs="Arial"/>
                <w:sz w:val="20"/>
                <w:szCs w:val="20"/>
                <w:lang w:val="en-US"/>
              </w:rPr>
              <w:t xml:space="preserve">t </w:t>
            </w:r>
            <w:r w:rsidR="00210E4E" w:rsidRPr="0015008E">
              <w:rPr>
                <w:rFonts w:ascii="Arial" w:hAnsi="Arial" w:cs="Arial"/>
                <w:sz w:val="20"/>
                <w:szCs w:val="20"/>
                <w:lang w:val="en-US"/>
              </w:rPr>
              <w:t>(20</w:t>
            </w:r>
            <w:r w:rsidR="00210E4E">
              <w:rPr>
                <w:rFonts w:ascii="Arial" w:hAnsi="Arial" w:cs="Arial"/>
                <w:sz w:val="20"/>
                <w:szCs w:val="20"/>
                <w:lang w:val="en-US"/>
              </w:rPr>
              <w:t>11</w:t>
            </w:r>
            <w:r w:rsidR="00104B60">
              <w:rPr>
                <w:rFonts w:ascii="Arial" w:hAnsi="Arial" w:cs="Arial"/>
                <w:sz w:val="20"/>
                <w:szCs w:val="20"/>
                <w:lang w:val="en-US"/>
              </w:rPr>
              <w:noBreakHyphen/>
            </w:r>
            <w:r w:rsidR="00210E4E" w:rsidRPr="0015008E">
              <w:rPr>
                <w:rFonts w:ascii="Arial" w:hAnsi="Arial" w:cs="Arial"/>
                <w:sz w:val="20"/>
                <w:szCs w:val="20"/>
                <w:lang w:val="en-US"/>
              </w:rPr>
              <w:t>1</w:t>
            </w:r>
            <w:r w:rsidR="00210E4E">
              <w:rPr>
                <w:rFonts w:ascii="Arial" w:hAnsi="Arial" w:cs="Arial"/>
                <w:sz w:val="20"/>
                <w:szCs w:val="20"/>
                <w:lang w:val="en-US"/>
              </w:rPr>
              <w:t>2</w:t>
            </w:r>
            <w:r w:rsidR="00210E4E" w:rsidRPr="0015008E">
              <w:rPr>
                <w:rFonts w:ascii="Arial" w:hAnsi="Arial" w:cs="Arial"/>
                <w:sz w:val="20"/>
                <w:szCs w:val="20"/>
                <w:lang w:val="en-US"/>
              </w:rPr>
              <w:t>=100).</w:t>
            </w:r>
          </w:p>
          <w:p w:rsidR="00210E4E" w:rsidRPr="006978F2" w:rsidRDefault="00210E4E" w:rsidP="00E87B88">
            <w:pPr>
              <w:keepNext/>
              <w:keepLines/>
              <w:spacing w:line="220" w:lineRule="atLeast"/>
              <w:ind w:left="6" w:right="113"/>
              <w:jc w:val="both"/>
              <w:rPr>
                <w:rFonts w:ascii="Arial" w:hAnsi="Arial" w:cs="Arial"/>
                <w:sz w:val="20"/>
                <w:szCs w:val="20"/>
              </w:rPr>
            </w:pP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Data source/s</w:t>
            </w:r>
          </w:p>
        </w:tc>
        <w:tc>
          <w:tcPr>
            <w:tcW w:w="7020" w:type="dxa"/>
            <w:tcBorders>
              <w:top w:val="nil"/>
              <w:left w:val="nil"/>
              <w:bottom w:val="nil"/>
              <w:right w:val="nil"/>
            </w:tcBorders>
          </w:tcPr>
          <w:p w:rsidR="00210E4E" w:rsidRPr="0072586A" w:rsidRDefault="00210E4E" w:rsidP="00237358">
            <w:pPr>
              <w:keepNext/>
              <w:keepLines/>
              <w:spacing w:after="120" w:line="220" w:lineRule="atLeast"/>
              <w:ind w:left="6" w:right="113"/>
              <w:rPr>
                <w:rFonts w:ascii="Arial" w:hAnsi="Arial" w:cs="Arial"/>
                <w:sz w:val="20"/>
                <w:szCs w:val="20"/>
              </w:rPr>
            </w:pPr>
            <w:r>
              <w:rPr>
                <w:rFonts w:ascii="Arial" w:hAnsi="Arial" w:cs="Arial"/>
                <w:sz w:val="20"/>
                <w:szCs w:val="20"/>
              </w:rPr>
              <w:t>DSS using data r</w:t>
            </w:r>
            <w:r w:rsidRPr="0072586A">
              <w:rPr>
                <w:rFonts w:ascii="Arial" w:hAnsi="Arial" w:cs="Arial"/>
                <w:sz w:val="20"/>
                <w:szCs w:val="20"/>
              </w:rPr>
              <w:t xml:space="preserve">eported </w:t>
            </w:r>
            <w:r>
              <w:rPr>
                <w:rFonts w:ascii="Arial" w:hAnsi="Arial" w:cs="Arial"/>
                <w:sz w:val="20"/>
                <w:szCs w:val="20"/>
              </w:rPr>
              <w:t>by S</w:t>
            </w:r>
            <w:r w:rsidRPr="0072586A">
              <w:rPr>
                <w:rFonts w:ascii="Arial" w:hAnsi="Arial" w:cs="Arial"/>
                <w:sz w:val="20"/>
                <w:szCs w:val="20"/>
              </w:rPr>
              <w:t>tate</w:t>
            </w:r>
            <w:r>
              <w:rPr>
                <w:rFonts w:ascii="Arial" w:hAnsi="Arial" w:cs="Arial"/>
                <w:sz w:val="20"/>
                <w:szCs w:val="20"/>
              </w:rPr>
              <w:t>s</w:t>
            </w:r>
            <w:r w:rsidRPr="0072586A">
              <w:rPr>
                <w:rFonts w:ascii="Arial" w:hAnsi="Arial" w:cs="Arial"/>
                <w:sz w:val="20"/>
                <w:szCs w:val="20"/>
              </w:rPr>
              <w:t xml:space="preserve"> or </w:t>
            </w:r>
            <w:r>
              <w:rPr>
                <w:rFonts w:ascii="Arial" w:hAnsi="Arial" w:cs="Arial"/>
                <w:sz w:val="20"/>
                <w:szCs w:val="20"/>
              </w:rPr>
              <w:t>T</w:t>
            </w:r>
            <w:r w:rsidRPr="0072586A">
              <w:rPr>
                <w:rFonts w:ascii="Arial" w:hAnsi="Arial" w:cs="Arial"/>
                <w:sz w:val="20"/>
                <w:szCs w:val="20"/>
              </w:rPr>
              <w:t>erritor</w:t>
            </w:r>
            <w:r>
              <w:rPr>
                <w:rFonts w:ascii="Arial" w:hAnsi="Arial" w:cs="Arial"/>
                <w:sz w:val="20"/>
                <w:szCs w:val="20"/>
              </w:rPr>
              <w:t>ies</w:t>
            </w:r>
            <w:r w:rsidRPr="0072586A">
              <w:rPr>
                <w:rFonts w:ascii="Arial" w:hAnsi="Arial" w:cs="Arial"/>
                <w:sz w:val="20"/>
                <w:szCs w:val="20"/>
              </w:rPr>
              <w:t xml:space="preserve"> </w:t>
            </w:r>
            <w:r>
              <w:rPr>
                <w:rFonts w:ascii="Arial" w:hAnsi="Arial" w:cs="Arial"/>
                <w:sz w:val="20"/>
                <w:szCs w:val="20"/>
              </w:rPr>
              <w:t xml:space="preserve">in their </w:t>
            </w:r>
            <w:r w:rsidRPr="0072586A">
              <w:rPr>
                <w:rFonts w:ascii="Arial" w:hAnsi="Arial" w:cs="Arial"/>
                <w:sz w:val="20"/>
                <w:szCs w:val="20"/>
              </w:rPr>
              <w:t xml:space="preserve">annual </w:t>
            </w:r>
            <w:r>
              <w:rPr>
                <w:rFonts w:ascii="Arial" w:hAnsi="Arial" w:cs="Arial"/>
                <w:sz w:val="20"/>
                <w:szCs w:val="20"/>
              </w:rPr>
              <w:t xml:space="preserve">HACC </w:t>
            </w:r>
            <w:r w:rsidRPr="0072586A">
              <w:rPr>
                <w:rFonts w:ascii="Arial" w:hAnsi="Arial" w:cs="Arial"/>
                <w:sz w:val="20"/>
                <w:szCs w:val="20"/>
              </w:rPr>
              <w:t>business report</w:t>
            </w:r>
            <w:r>
              <w:rPr>
                <w:rFonts w:ascii="Arial" w:hAnsi="Arial" w:cs="Arial"/>
                <w:sz w:val="20"/>
                <w:szCs w:val="20"/>
              </w:rPr>
              <w:t>s.</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210E4E" w:rsidRPr="006978F2"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cs="Arial"/>
                <w:b/>
                <w:sz w:val="20"/>
                <w:szCs w:val="20"/>
                <w:u w:val="single"/>
              </w:rPr>
            </w:pPr>
            <w:r w:rsidRPr="006978F2">
              <w:rPr>
                <w:rFonts w:ascii="Arial" w:hAnsi="Arial"/>
                <w:b/>
                <w:sz w:val="20"/>
                <w:szCs w:val="20"/>
                <w:u w:val="single"/>
              </w:rPr>
              <w:t>Data Quality Framework Dimensions</w:t>
            </w:r>
            <w:r w:rsidRPr="006978F2">
              <w:rPr>
                <w:rFonts w:ascii="Arial" w:hAnsi="Arial" w:cs="Arial"/>
                <w:b/>
                <w:sz w:val="20"/>
                <w:szCs w:val="20"/>
                <w:u w:val="single"/>
              </w:rPr>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Institutional environment </w:t>
            </w:r>
          </w:p>
        </w:tc>
        <w:tc>
          <w:tcPr>
            <w:tcW w:w="7020" w:type="dxa"/>
            <w:tcBorders>
              <w:top w:val="nil"/>
              <w:left w:val="nil"/>
              <w:bottom w:val="nil"/>
              <w:right w:val="nil"/>
            </w:tcBorders>
          </w:tcPr>
          <w:p w:rsidR="00210E4E" w:rsidRPr="00A57145" w:rsidRDefault="00210E4E" w:rsidP="00237358">
            <w:pPr>
              <w:keepNext/>
              <w:keepLines/>
              <w:spacing w:after="120" w:line="220" w:lineRule="atLeast"/>
              <w:ind w:left="6" w:right="113"/>
              <w:jc w:val="both"/>
              <w:rPr>
                <w:rFonts w:ascii="Arial" w:hAnsi="Arial"/>
                <w:sz w:val="20"/>
                <w:szCs w:val="20"/>
              </w:rPr>
            </w:pPr>
            <w:r w:rsidRPr="00711247">
              <w:rPr>
                <w:rFonts w:ascii="Arial" w:hAnsi="Arial"/>
                <w:sz w:val="20"/>
                <w:szCs w:val="20"/>
              </w:rPr>
              <w:t>The Australian Government (</w:t>
            </w:r>
            <w:r>
              <w:rPr>
                <w:rFonts w:ascii="Arial" w:hAnsi="Arial"/>
                <w:sz w:val="20"/>
                <w:szCs w:val="20"/>
              </w:rPr>
              <w:t>DSS</w:t>
            </w:r>
            <w:r w:rsidRPr="00711247">
              <w:rPr>
                <w:rFonts w:ascii="Arial" w:hAnsi="Arial"/>
                <w:sz w:val="20"/>
                <w:szCs w:val="20"/>
              </w:rPr>
              <w:t xml:space="preserve">) </w:t>
            </w:r>
            <w:r w:rsidRPr="00A57145">
              <w:rPr>
                <w:rFonts w:ascii="Arial" w:hAnsi="Arial"/>
                <w:sz w:val="20"/>
                <w:szCs w:val="20"/>
              </w:rPr>
              <w:t>has funding and program responsibility for the Commonwealth HACC program for older people in all jurisdictions is responsible for the policy oversight and regulation of HACC aged care services except in Victoria and WA where it is a joint Australian Government, and State governments’ initiative administered under the Home and Community Care Review Agreement 2007. HACC service providers vary from small community</w:t>
            </w:r>
            <w:r w:rsidR="00104B60">
              <w:rPr>
                <w:rFonts w:ascii="Arial" w:hAnsi="Arial"/>
                <w:sz w:val="20"/>
                <w:szCs w:val="20"/>
              </w:rPr>
              <w:noBreakHyphen/>
            </w:r>
            <w:r w:rsidRPr="00A57145">
              <w:rPr>
                <w:rFonts w:ascii="Arial" w:hAnsi="Arial"/>
                <w:sz w:val="20"/>
                <w:szCs w:val="20"/>
              </w:rPr>
              <w:t>based groups to large charitable and public sector organisations.</w:t>
            </w:r>
            <w:r w:rsidR="00104B60">
              <w:rPr>
                <w:rFonts w:ascii="Arial" w:hAnsi="Arial"/>
                <w:sz w:val="20"/>
                <w:szCs w:val="20"/>
              </w:rPr>
              <w:t xml:space="preserve"> </w:t>
            </w:r>
          </w:p>
          <w:p w:rsidR="00210E4E" w:rsidRPr="0038208F" w:rsidRDefault="00210E4E" w:rsidP="00237358">
            <w:pPr>
              <w:keepNext/>
              <w:keepLines/>
              <w:spacing w:after="120" w:line="220" w:lineRule="atLeast"/>
              <w:ind w:left="6" w:right="113"/>
              <w:jc w:val="both"/>
              <w:rPr>
                <w:rFonts w:ascii="Arial" w:hAnsi="Arial"/>
                <w:sz w:val="20"/>
                <w:szCs w:val="20"/>
              </w:rPr>
            </w:pPr>
            <w:r w:rsidRPr="00A57145">
              <w:rPr>
                <w:rFonts w:ascii="Arial" w:hAnsi="Arial"/>
                <w:sz w:val="20"/>
                <w:szCs w:val="20"/>
              </w:rPr>
              <w:t xml:space="preserve">Commonwealth HACC agencies service providers report to the Australian governments on outputs achieved. HACC service providers in Victoria and </w:t>
            </w:r>
            <w:r>
              <w:rPr>
                <w:rFonts w:ascii="Arial" w:hAnsi="Arial"/>
                <w:sz w:val="20"/>
                <w:szCs w:val="20"/>
              </w:rPr>
              <w:t>WA</w:t>
            </w:r>
            <w:r w:rsidRPr="00A57145">
              <w:rPr>
                <w:rFonts w:ascii="Arial" w:hAnsi="Arial"/>
                <w:sz w:val="20"/>
                <w:szCs w:val="20"/>
              </w:rPr>
              <w:t xml:space="preserve"> report to the state government, who collate this into regional information, which is forwarded to the Australian Government Health Minister in an Annual Business Report. The data for this indicator in </w:t>
            </w:r>
            <w:r w:rsidRPr="00A57145">
              <w:rPr>
                <w:rFonts w:ascii="Arial" w:hAnsi="Arial"/>
                <w:sz w:val="20"/>
                <w:szCs w:val="20"/>
              </w:rPr>
              <w:lastRenderedPageBreak/>
              <w:t>Victoria and Western Australia are accessed from these annual reports.</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lastRenderedPageBreak/>
              <w:t xml:space="preserve">Relevance </w:t>
            </w:r>
          </w:p>
        </w:tc>
        <w:tc>
          <w:tcPr>
            <w:tcW w:w="7020" w:type="dxa"/>
            <w:tcBorders>
              <w:top w:val="nil"/>
              <w:left w:val="nil"/>
              <w:bottom w:val="nil"/>
              <w:right w:val="nil"/>
            </w:tcBorders>
          </w:tcPr>
          <w:p w:rsidR="00210E4E"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Expenditure and hours data relate to services provided to all service users that is for older people and younger people with disability. Funding per hour of HACC service for the service types reported (</w:t>
            </w:r>
            <w:r w:rsidRPr="00E115C7">
              <w:rPr>
                <w:rFonts w:ascii="Arial" w:hAnsi="Arial" w:cs="Arial"/>
                <w:sz w:val="20"/>
                <w:szCs w:val="20"/>
              </w:rPr>
              <w:t>nursing, allied health, domestic assistance and personal care)</w:t>
            </w:r>
            <w:r>
              <w:rPr>
                <w:rFonts w:ascii="Arial" w:hAnsi="Arial" w:cs="Arial"/>
                <w:sz w:val="20"/>
                <w:szCs w:val="20"/>
              </w:rPr>
              <w:t xml:space="preserve"> is not expected to vary significantly across the older or younger aged cohorts.</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Funding only includes that provided by Australian, State or Territory governments and does not include any non</w:t>
            </w:r>
            <w:r w:rsidR="00104B60">
              <w:rPr>
                <w:rFonts w:ascii="Arial" w:hAnsi="Arial" w:cs="Arial"/>
                <w:sz w:val="20"/>
                <w:szCs w:val="20"/>
              </w:rPr>
              <w:noBreakHyphen/>
            </w:r>
            <w:r>
              <w:rPr>
                <w:rFonts w:ascii="Arial" w:hAnsi="Arial" w:cs="Arial"/>
                <w:sz w:val="20"/>
                <w:szCs w:val="20"/>
              </w:rPr>
              <w:t>government or local government expenditure on HACC services.</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Timeliness</w:t>
            </w:r>
            <w:r w:rsidRPr="006978F2">
              <w:rPr>
                <w:rFonts w:ascii="Arial" w:hAnsi="Arial" w:cs="Arial"/>
                <w:sz w:val="20"/>
                <w:szCs w:val="20"/>
                <w:lang w:val="en-US" w:eastAsia="en-US"/>
              </w:rPr>
              <w:t xml:space="preserve"> </w:t>
            </w:r>
          </w:p>
        </w:tc>
        <w:tc>
          <w:tcPr>
            <w:tcW w:w="7020" w:type="dxa"/>
            <w:tcBorders>
              <w:top w:val="nil"/>
              <w:left w:val="nil"/>
              <w:bottom w:val="nil"/>
              <w:right w:val="nil"/>
            </w:tcBorders>
          </w:tcPr>
          <w:p w:rsidR="00210E4E" w:rsidRPr="006978F2" w:rsidRDefault="00210E4E" w:rsidP="00E87B88">
            <w:pPr>
              <w:keepNext/>
              <w:keepLines/>
              <w:spacing w:after="120" w:line="220" w:lineRule="atLeast"/>
              <w:ind w:left="6" w:right="113"/>
              <w:rPr>
                <w:rFonts w:ascii="Arial" w:hAnsi="Arial" w:cs="Arial"/>
                <w:sz w:val="20"/>
                <w:szCs w:val="20"/>
              </w:rPr>
            </w:pPr>
            <w:r>
              <w:rPr>
                <w:rFonts w:ascii="Arial" w:hAnsi="Arial" w:cs="Arial"/>
                <w:sz w:val="20"/>
                <w:szCs w:val="20"/>
              </w:rPr>
              <w:t xml:space="preserve">Business reports are submitted annually six months after the end of the reference period. </w:t>
            </w:r>
            <w:r w:rsidRPr="00D23468">
              <w:rPr>
                <w:rFonts w:ascii="Arial" w:hAnsi="Arial" w:cs="Arial"/>
                <w:sz w:val="20"/>
                <w:szCs w:val="20"/>
              </w:rPr>
              <w:t>The reference period for the latest data is 201</w:t>
            </w:r>
            <w:r>
              <w:rPr>
                <w:rFonts w:ascii="Arial" w:hAnsi="Arial" w:cs="Arial"/>
                <w:sz w:val="20"/>
                <w:szCs w:val="20"/>
              </w:rPr>
              <w:t>1</w:t>
            </w:r>
            <w:r w:rsidR="00104B60">
              <w:rPr>
                <w:rFonts w:ascii="Arial" w:hAnsi="Arial" w:cs="Arial"/>
                <w:sz w:val="20"/>
                <w:szCs w:val="20"/>
              </w:rPr>
              <w:noBreakHyphen/>
            </w:r>
            <w:r w:rsidRPr="00D23468">
              <w:rPr>
                <w:rFonts w:ascii="Arial" w:hAnsi="Arial" w:cs="Arial"/>
                <w:sz w:val="20"/>
                <w:szCs w:val="20"/>
              </w:rPr>
              <w:t>1</w:t>
            </w:r>
            <w:r>
              <w:rPr>
                <w:rFonts w:ascii="Arial" w:hAnsi="Arial" w:cs="Arial"/>
                <w:sz w:val="20"/>
                <w:szCs w:val="20"/>
              </w:rPr>
              <w:t>2</w:t>
            </w:r>
            <w:r w:rsidRPr="00D23468">
              <w:rPr>
                <w:rFonts w:ascii="Arial" w:hAnsi="Arial" w:cs="Arial"/>
                <w:sz w:val="20"/>
                <w:szCs w:val="20"/>
              </w:rPr>
              <w:t>.</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Accuracy </w:t>
            </w:r>
          </w:p>
        </w:tc>
        <w:tc>
          <w:tcPr>
            <w:tcW w:w="7020" w:type="dxa"/>
            <w:tcBorders>
              <w:top w:val="nil"/>
              <w:left w:val="nil"/>
              <w:bottom w:val="nil"/>
              <w:right w:val="nil"/>
            </w:tcBorders>
          </w:tcPr>
          <w:p w:rsidR="00210E4E" w:rsidRDefault="00210E4E" w:rsidP="00E87B88">
            <w:pPr>
              <w:keepNext/>
              <w:keepLines/>
              <w:spacing w:after="120" w:line="220" w:lineRule="atLeast"/>
              <w:ind w:left="6" w:right="113"/>
              <w:jc w:val="both"/>
              <w:rPr>
                <w:rFonts w:ascii="Arial" w:hAnsi="Arial" w:cs="Arial"/>
                <w:sz w:val="20"/>
                <w:szCs w:val="20"/>
              </w:rPr>
            </w:pPr>
            <w:r w:rsidRPr="00D01029">
              <w:rPr>
                <w:rFonts w:ascii="Arial" w:hAnsi="Arial" w:cs="Arial"/>
                <w:sz w:val="20"/>
                <w:szCs w:val="20"/>
              </w:rPr>
              <w:t xml:space="preserve">Data </w:t>
            </w:r>
            <w:r>
              <w:rPr>
                <w:rFonts w:ascii="Arial" w:hAnsi="Arial" w:cs="Arial"/>
                <w:sz w:val="20"/>
                <w:szCs w:val="20"/>
              </w:rPr>
              <w:t>are</w:t>
            </w:r>
            <w:r w:rsidRPr="00D01029">
              <w:rPr>
                <w:rFonts w:ascii="Arial" w:hAnsi="Arial" w:cs="Arial"/>
                <w:sz w:val="20"/>
                <w:szCs w:val="20"/>
              </w:rPr>
              <w:t xml:space="preserve"> collected by service providers either electronically or via paper forms. Data </w:t>
            </w:r>
            <w:r>
              <w:rPr>
                <w:rFonts w:ascii="Arial" w:hAnsi="Arial" w:cs="Arial"/>
                <w:sz w:val="20"/>
                <w:szCs w:val="20"/>
              </w:rPr>
              <w:t>are</w:t>
            </w:r>
            <w:r w:rsidRPr="00D01029">
              <w:rPr>
                <w:rFonts w:ascii="Arial" w:hAnsi="Arial" w:cs="Arial"/>
                <w:sz w:val="20"/>
                <w:szCs w:val="20"/>
              </w:rPr>
              <w:t xml:space="preserve"> collected</w:t>
            </w:r>
            <w:r>
              <w:rPr>
                <w:rFonts w:ascii="Arial" w:hAnsi="Arial" w:cs="Arial"/>
                <w:sz w:val="20"/>
                <w:szCs w:val="20"/>
              </w:rPr>
              <w:t xml:space="preserve"> </w:t>
            </w:r>
            <w:r w:rsidRPr="00D01029">
              <w:rPr>
                <w:rFonts w:ascii="Arial" w:hAnsi="Arial" w:cs="Arial"/>
                <w:sz w:val="20"/>
                <w:szCs w:val="20"/>
              </w:rPr>
              <w:t>progressively and aggregated for transmission in accordance with a quarterly collection cycle.</w:t>
            </w:r>
            <w:r>
              <w:rPr>
                <w:rFonts w:ascii="Arial" w:hAnsi="Arial" w:cs="Arial"/>
                <w:sz w:val="20"/>
                <w:szCs w:val="20"/>
              </w:rPr>
              <w:t xml:space="preserve"> </w:t>
            </w:r>
            <w:r w:rsidRPr="00D01029">
              <w:rPr>
                <w:rFonts w:ascii="Arial" w:hAnsi="Arial" w:cs="Arial"/>
                <w:sz w:val="20"/>
                <w:szCs w:val="20"/>
              </w:rPr>
              <w:t xml:space="preserve">Aggregated data </w:t>
            </w:r>
            <w:r>
              <w:rPr>
                <w:rFonts w:ascii="Arial" w:hAnsi="Arial" w:cs="Arial"/>
                <w:sz w:val="20"/>
                <w:szCs w:val="20"/>
              </w:rPr>
              <w:t>are</w:t>
            </w:r>
            <w:r w:rsidRPr="00D01029">
              <w:rPr>
                <w:rFonts w:ascii="Arial" w:hAnsi="Arial" w:cs="Arial"/>
                <w:sz w:val="20"/>
                <w:szCs w:val="20"/>
              </w:rPr>
              <w:t xml:space="preserve"> transmitted during the collection months immediately following each quarterly</w:t>
            </w:r>
            <w:r>
              <w:rPr>
                <w:rFonts w:ascii="Arial" w:hAnsi="Arial" w:cs="Arial"/>
                <w:sz w:val="20"/>
                <w:szCs w:val="20"/>
              </w:rPr>
              <w:t xml:space="preserve"> </w:t>
            </w:r>
            <w:r w:rsidRPr="00D01029">
              <w:rPr>
                <w:rFonts w:ascii="Arial" w:hAnsi="Arial" w:cs="Arial"/>
                <w:sz w:val="20"/>
                <w:szCs w:val="20"/>
              </w:rPr>
              <w:t>activity period.</w:t>
            </w:r>
          </w:p>
          <w:p w:rsidR="00210E4E" w:rsidRDefault="00210E4E" w:rsidP="00E87B88">
            <w:pPr>
              <w:keepNext/>
              <w:keepLines/>
              <w:spacing w:after="120" w:line="220" w:lineRule="atLeast"/>
              <w:ind w:left="6" w:right="113"/>
              <w:jc w:val="both"/>
              <w:rPr>
                <w:rFonts w:ascii="Arial" w:hAnsi="Arial" w:cs="Arial"/>
                <w:sz w:val="20"/>
                <w:szCs w:val="20"/>
              </w:rPr>
            </w:pPr>
            <w:r w:rsidRPr="00CA0752">
              <w:rPr>
                <w:rFonts w:ascii="Arial" w:hAnsi="Arial" w:cs="Arial"/>
                <w:sz w:val="20"/>
                <w:szCs w:val="20"/>
              </w:rPr>
              <w:t xml:space="preserve">The proportion of HACC agencies that submitted data </w:t>
            </w:r>
            <w:r>
              <w:rPr>
                <w:rFonts w:ascii="Arial" w:hAnsi="Arial" w:cs="Arial"/>
                <w:sz w:val="20"/>
                <w:szCs w:val="20"/>
              </w:rPr>
              <w:t xml:space="preserve">may </w:t>
            </w:r>
            <w:r w:rsidRPr="00CA0752">
              <w:rPr>
                <w:rFonts w:ascii="Arial" w:hAnsi="Arial" w:cs="Arial"/>
                <w:sz w:val="20"/>
                <w:szCs w:val="20"/>
              </w:rPr>
              <w:t>var</w:t>
            </w:r>
            <w:r>
              <w:rPr>
                <w:rFonts w:ascii="Arial" w:hAnsi="Arial" w:cs="Arial"/>
                <w:sz w:val="20"/>
                <w:szCs w:val="20"/>
              </w:rPr>
              <w:t>y</w:t>
            </w:r>
            <w:r w:rsidRPr="00CA0752">
              <w:rPr>
                <w:rFonts w:ascii="Arial" w:hAnsi="Arial" w:cs="Arial"/>
                <w:sz w:val="20"/>
                <w:szCs w:val="20"/>
              </w:rPr>
              <w:t xml:space="preserve"> across years and between jurisdictions and actual service levels may be higher than stated.</w:t>
            </w:r>
          </w:p>
          <w:p w:rsidR="00210E4E" w:rsidRPr="006978F2" w:rsidRDefault="00210E4E" w:rsidP="00E87B88">
            <w:pPr>
              <w:keepNext/>
              <w:keepLines/>
              <w:spacing w:after="120" w:line="220" w:lineRule="atLeast"/>
              <w:ind w:left="6" w:right="113"/>
              <w:jc w:val="both"/>
              <w:rPr>
                <w:rFonts w:ascii="Arial" w:hAnsi="Arial" w:cs="Arial"/>
                <w:sz w:val="20"/>
                <w:szCs w:val="20"/>
              </w:rPr>
            </w:pPr>
            <w:r w:rsidRPr="00E115C7">
              <w:rPr>
                <w:rFonts w:ascii="Arial" w:hAnsi="Arial" w:cs="Arial"/>
                <w:sz w:val="20"/>
                <w:szCs w:val="20"/>
              </w:rPr>
              <w:t xml:space="preserve">The unit costs reported </w:t>
            </w:r>
            <w:r>
              <w:rPr>
                <w:rFonts w:ascii="Arial" w:hAnsi="Arial" w:cs="Arial"/>
                <w:sz w:val="20"/>
                <w:szCs w:val="20"/>
              </w:rPr>
              <w:t xml:space="preserve">for Victoria </w:t>
            </w:r>
            <w:r w:rsidRPr="00E115C7">
              <w:rPr>
                <w:rFonts w:ascii="Arial" w:hAnsi="Arial" w:cs="Arial"/>
                <w:sz w:val="20"/>
                <w:szCs w:val="20"/>
              </w:rPr>
              <w:t xml:space="preserve">do not correspond to Victoria’s HACC unit prices published by the </w:t>
            </w:r>
            <w:r w:rsidR="009530AA">
              <w:rPr>
                <w:rFonts w:ascii="Arial" w:hAnsi="Arial" w:cs="Arial"/>
                <w:sz w:val="20"/>
                <w:szCs w:val="20"/>
              </w:rPr>
              <w:t xml:space="preserve">Victorian </w:t>
            </w:r>
            <w:r w:rsidRPr="00E115C7">
              <w:rPr>
                <w:rFonts w:ascii="Arial" w:hAnsi="Arial" w:cs="Arial"/>
                <w:sz w:val="20"/>
                <w:szCs w:val="20"/>
              </w:rPr>
              <w:t>Department of Health</w:t>
            </w:r>
            <w:r>
              <w:rPr>
                <w:rFonts w:ascii="Arial" w:hAnsi="Arial" w:cs="Arial"/>
                <w:sz w:val="20"/>
                <w:szCs w:val="20"/>
              </w:rPr>
              <w:t xml:space="preserve"> as</w:t>
            </w:r>
            <w:r w:rsidRPr="00E115C7">
              <w:rPr>
                <w:rFonts w:ascii="Arial" w:hAnsi="Arial" w:cs="Arial"/>
                <w:sz w:val="20"/>
                <w:szCs w:val="20"/>
              </w:rPr>
              <w:t xml:space="preserve"> they are ba</w:t>
            </w:r>
            <w:r>
              <w:rPr>
                <w:rFonts w:ascii="Arial" w:hAnsi="Arial" w:cs="Arial"/>
                <w:sz w:val="20"/>
                <w:szCs w:val="20"/>
              </w:rPr>
              <w:t>sed on a different method.</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Pr>
                <w:rFonts w:ascii="Arial" w:hAnsi="Arial" w:cs="Arial"/>
                <w:b/>
                <w:sz w:val="20"/>
                <w:szCs w:val="20"/>
              </w:rPr>
              <w:t>Coherence</w:t>
            </w:r>
          </w:p>
        </w:tc>
        <w:tc>
          <w:tcPr>
            <w:tcW w:w="7020" w:type="dxa"/>
            <w:tcBorders>
              <w:top w:val="nil"/>
              <w:left w:val="nil"/>
              <w:bottom w:val="nil"/>
              <w:right w:val="nil"/>
            </w:tcBorders>
          </w:tcPr>
          <w:p w:rsidR="00210E4E" w:rsidRDefault="00210E4E" w:rsidP="00E87B88">
            <w:pPr>
              <w:keepNext/>
              <w:keepLines/>
              <w:spacing w:after="120" w:line="220" w:lineRule="atLeast"/>
              <w:ind w:left="6" w:right="113"/>
              <w:jc w:val="both"/>
              <w:rPr>
                <w:rFonts w:ascii="Arial" w:hAnsi="Arial" w:cs="Arial"/>
                <w:sz w:val="20"/>
                <w:szCs w:val="20"/>
              </w:rPr>
            </w:pPr>
            <w:r w:rsidRPr="00E115C7">
              <w:rPr>
                <w:rFonts w:ascii="Arial" w:hAnsi="Arial" w:cs="Arial"/>
                <w:sz w:val="20"/>
                <w:szCs w:val="20"/>
              </w:rPr>
              <w:t xml:space="preserve">There is no commonly agreed method for calculating </w:t>
            </w:r>
            <w:r>
              <w:rPr>
                <w:rFonts w:ascii="Arial" w:hAnsi="Arial" w:cs="Arial"/>
                <w:sz w:val="20"/>
                <w:szCs w:val="20"/>
              </w:rPr>
              <w:t xml:space="preserve">the funding per hour of service. Results may vary </w:t>
            </w:r>
            <w:r w:rsidRPr="00E115C7">
              <w:rPr>
                <w:rFonts w:ascii="Arial" w:hAnsi="Arial" w:cs="Arial"/>
                <w:sz w:val="20"/>
                <w:szCs w:val="20"/>
              </w:rPr>
              <w:t>across juri</w:t>
            </w:r>
            <w:r>
              <w:rPr>
                <w:rFonts w:ascii="Arial" w:hAnsi="Arial" w:cs="Arial"/>
                <w:sz w:val="20"/>
                <w:szCs w:val="20"/>
              </w:rPr>
              <w:t xml:space="preserve">sdictions and are not comparable. </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Results for </w:t>
            </w:r>
            <w:r w:rsidRPr="00E115C7">
              <w:rPr>
                <w:rFonts w:ascii="Arial" w:hAnsi="Arial" w:cs="Arial"/>
                <w:sz w:val="20"/>
                <w:szCs w:val="20"/>
              </w:rPr>
              <w:t xml:space="preserve">WA and the NT </w:t>
            </w:r>
            <w:r>
              <w:rPr>
                <w:rFonts w:ascii="Arial" w:hAnsi="Arial" w:cs="Arial"/>
                <w:sz w:val="20"/>
                <w:szCs w:val="20"/>
              </w:rPr>
              <w:t xml:space="preserve">differ to other jurisdictions as they contract by service group and the data are an </w:t>
            </w:r>
            <w:r w:rsidRPr="00E115C7">
              <w:rPr>
                <w:rFonts w:ascii="Arial" w:hAnsi="Arial" w:cs="Arial"/>
                <w:sz w:val="20"/>
                <w:szCs w:val="20"/>
              </w:rPr>
              <w:t xml:space="preserve">average across all services in the group. </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Accessibility</w:t>
            </w:r>
          </w:p>
        </w:tc>
        <w:tc>
          <w:tcPr>
            <w:tcW w:w="7020" w:type="dxa"/>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iCs/>
                <w:sz w:val="20"/>
                <w:szCs w:val="20"/>
              </w:rPr>
            </w:pPr>
            <w:r w:rsidRPr="00D01029">
              <w:rPr>
                <w:rFonts w:ascii="Arial" w:hAnsi="Arial" w:cs="Arial"/>
                <w:sz w:val="20"/>
                <w:szCs w:val="20"/>
              </w:rPr>
              <w:t xml:space="preserve">Further information on </w:t>
            </w:r>
            <w:r>
              <w:rPr>
                <w:rFonts w:ascii="Arial" w:hAnsi="Arial" w:cs="Arial"/>
                <w:sz w:val="20"/>
                <w:szCs w:val="20"/>
              </w:rPr>
              <w:t xml:space="preserve">this indicator is available in the </w:t>
            </w:r>
            <w:r w:rsidRPr="002358A8">
              <w:rPr>
                <w:rFonts w:ascii="Arial" w:hAnsi="Arial" w:cs="Arial"/>
                <w:i/>
                <w:sz w:val="20"/>
                <w:szCs w:val="20"/>
              </w:rPr>
              <w:t>2007</w:t>
            </w:r>
            <w:r w:rsidR="00104B60">
              <w:rPr>
                <w:rFonts w:ascii="Arial" w:hAnsi="Arial" w:cs="Arial"/>
                <w:i/>
                <w:sz w:val="20"/>
                <w:szCs w:val="20"/>
              </w:rPr>
              <w:noBreakHyphen/>
            </w:r>
            <w:r w:rsidRPr="002358A8">
              <w:rPr>
                <w:rFonts w:ascii="Arial" w:hAnsi="Arial" w:cs="Arial"/>
                <w:i/>
                <w:sz w:val="20"/>
                <w:szCs w:val="20"/>
              </w:rPr>
              <w:t>08</w:t>
            </w:r>
            <w:r>
              <w:rPr>
                <w:rFonts w:ascii="Arial" w:hAnsi="Arial" w:cs="Arial"/>
                <w:i/>
                <w:sz w:val="20"/>
                <w:szCs w:val="20"/>
              </w:rPr>
              <w:t>/2008</w:t>
            </w:r>
            <w:r w:rsidR="00104B60">
              <w:rPr>
                <w:rFonts w:ascii="Arial" w:hAnsi="Arial" w:cs="Arial"/>
                <w:i/>
                <w:sz w:val="20"/>
                <w:szCs w:val="20"/>
              </w:rPr>
              <w:noBreakHyphen/>
            </w:r>
            <w:r>
              <w:rPr>
                <w:rFonts w:ascii="Arial" w:hAnsi="Arial" w:cs="Arial"/>
                <w:i/>
                <w:sz w:val="20"/>
                <w:szCs w:val="20"/>
              </w:rPr>
              <w:t xml:space="preserve">09 </w:t>
            </w:r>
            <w:r w:rsidRPr="002358A8">
              <w:rPr>
                <w:rFonts w:ascii="Arial" w:hAnsi="Arial" w:cs="Arial"/>
                <w:i/>
                <w:sz w:val="20"/>
                <w:szCs w:val="20"/>
              </w:rPr>
              <w:t>HACC</w:t>
            </w:r>
            <w:r>
              <w:rPr>
                <w:rFonts w:ascii="Arial" w:hAnsi="Arial" w:cs="Arial"/>
                <w:i/>
                <w:sz w:val="20"/>
                <w:szCs w:val="20"/>
              </w:rPr>
              <w:t xml:space="preserve"> </w:t>
            </w:r>
            <w:r w:rsidRPr="002358A8">
              <w:rPr>
                <w:rFonts w:ascii="Arial" w:hAnsi="Arial" w:cs="Arial"/>
                <w:i/>
                <w:sz w:val="20"/>
                <w:szCs w:val="20"/>
              </w:rPr>
              <w:t>Annual Report</w:t>
            </w:r>
            <w:r>
              <w:rPr>
                <w:rFonts w:ascii="Arial" w:hAnsi="Arial" w:cs="Arial"/>
                <w:i/>
                <w:sz w:val="20"/>
                <w:szCs w:val="20"/>
              </w:rPr>
              <w:t>s.</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Interpretability</w:t>
            </w:r>
          </w:p>
        </w:tc>
        <w:tc>
          <w:tcPr>
            <w:tcW w:w="7020" w:type="dxa"/>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cs="Arial"/>
                <w:sz w:val="20"/>
                <w:szCs w:val="20"/>
              </w:rPr>
            </w:pPr>
            <w:r w:rsidRPr="00D01029">
              <w:rPr>
                <w:rFonts w:ascii="Arial" w:hAnsi="Arial" w:cs="Arial"/>
                <w:sz w:val="20"/>
                <w:szCs w:val="20"/>
              </w:rPr>
              <w:t xml:space="preserve">Further information on </w:t>
            </w:r>
            <w:r>
              <w:rPr>
                <w:rFonts w:ascii="Arial" w:hAnsi="Arial" w:cs="Arial"/>
                <w:sz w:val="20"/>
                <w:szCs w:val="20"/>
              </w:rPr>
              <w:t>this indicator is available in the HACC Review Agreements and t</w:t>
            </w:r>
            <w:r w:rsidRPr="002358A8">
              <w:rPr>
                <w:rFonts w:ascii="Arial" w:hAnsi="Arial" w:cs="Arial"/>
                <w:sz w:val="20"/>
                <w:szCs w:val="20"/>
              </w:rPr>
              <w:t xml:space="preserve">he </w:t>
            </w:r>
            <w:r w:rsidRPr="002358A8">
              <w:rPr>
                <w:rFonts w:ascii="Arial" w:hAnsi="Arial" w:cs="Arial"/>
                <w:i/>
                <w:sz w:val="20"/>
                <w:szCs w:val="20"/>
              </w:rPr>
              <w:t>2007</w:t>
            </w:r>
            <w:r w:rsidR="00104B60">
              <w:rPr>
                <w:rFonts w:ascii="Arial" w:hAnsi="Arial" w:cs="Arial"/>
                <w:i/>
                <w:sz w:val="20"/>
                <w:szCs w:val="20"/>
              </w:rPr>
              <w:noBreakHyphen/>
            </w:r>
            <w:r w:rsidRPr="002358A8">
              <w:rPr>
                <w:rFonts w:ascii="Arial" w:hAnsi="Arial" w:cs="Arial"/>
                <w:i/>
                <w:sz w:val="20"/>
                <w:szCs w:val="20"/>
              </w:rPr>
              <w:t>08 HACC Annual Report</w:t>
            </w:r>
            <w:r>
              <w:rPr>
                <w:rFonts w:ascii="Arial" w:hAnsi="Arial" w:cs="Arial"/>
                <w:sz w:val="20"/>
                <w:szCs w:val="20"/>
              </w:rPr>
              <w:t>.</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210E4E" w:rsidRPr="00801F93"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b/>
                <w:sz w:val="20"/>
                <w:szCs w:val="20"/>
              </w:rPr>
            </w:pPr>
            <w:r w:rsidRPr="00801F93">
              <w:rPr>
                <w:rFonts w:ascii="Arial" w:hAnsi="Arial"/>
                <w:b/>
                <w:sz w:val="20"/>
                <w:szCs w:val="20"/>
                <w:u w:val="single"/>
              </w:rPr>
              <w:t>Data Gaps/Issues Analysis</w:t>
            </w:r>
          </w:p>
        </w:tc>
      </w:tr>
      <w:tr w:rsidR="00210E4E" w:rsidRPr="006978F2" w:rsidTr="00E87B88">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210E4E" w:rsidRPr="006978F2" w:rsidRDefault="00210E4E" w:rsidP="00E87B88">
            <w:pPr>
              <w:keepNext/>
              <w:keepLines/>
              <w:spacing w:before="120" w:line="220" w:lineRule="atLeast"/>
              <w:ind w:right="113"/>
              <w:jc w:val="both"/>
              <w:rPr>
                <w:rFonts w:ascii="Arial" w:hAnsi="Arial" w:cs="Arial"/>
                <w:b/>
                <w:sz w:val="20"/>
                <w:szCs w:val="22"/>
              </w:rPr>
            </w:pPr>
            <w:r w:rsidRPr="006978F2">
              <w:rPr>
                <w:rFonts w:ascii="Arial" w:hAnsi="Arial" w:cs="Arial"/>
                <w:b/>
                <w:sz w:val="20"/>
                <w:szCs w:val="22"/>
              </w:rPr>
              <w:t>Key data gaps/issues</w:t>
            </w:r>
          </w:p>
        </w:tc>
        <w:tc>
          <w:tcPr>
            <w:tcW w:w="7020" w:type="dxa"/>
            <w:tcBorders>
              <w:top w:val="nil"/>
              <w:left w:val="nil"/>
              <w:bottom w:val="nil"/>
              <w:right w:val="nil"/>
            </w:tcBorders>
          </w:tcPr>
          <w:p w:rsidR="00210E4E" w:rsidRPr="00B479F5" w:rsidRDefault="00210E4E" w:rsidP="00E87B88">
            <w:pPr>
              <w:pStyle w:val="TableBodyText"/>
              <w:spacing w:after="60"/>
              <w:jc w:val="both"/>
              <w:rPr>
                <w:rFonts w:cs="Arial"/>
              </w:rPr>
            </w:pPr>
            <w:r>
              <w:rPr>
                <w:rFonts w:cs="Arial"/>
              </w:rPr>
              <w:t>The Steering Committee notes the following issue:</w:t>
            </w:r>
            <w:r w:rsidRPr="00B479F5">
              <w:rPr>
                <w:rFonts w:cs="Arial"/>
              </w:rPr>
              <w:t xml:space="preserve"> </w:t>
            </w:r>
          </w:p>
          <w:p w:rsidR="00210E4E" w:rsidRPr="00DC4C91" w:rsidRDefault="00210E4E" w:rsidP="00E87B88">
            <w:pPr>
              <w:pStyle w:val="TableBullet"/>
              <w:rPr>
                <w:rStyle w:val="DraftingNote"/>
                <w:b w:val="0"/>
                <w:color w:val="auto"/>
                <w:sz w:val="20"/>
                <w:u w:val="none"/>
              </w:rPr>
            </w:pPr>
            <w:r w:rsidRPr="00345AD7">
              <w:rPr>
                <w:shd w:val="clear" w:color="auto" w:fill="FFFFFF" w:themeFill="background1"/>
              </w:rPr>
              <w:t>There is no commonly agreed method for calculating the funding per hour of service. Results may vary across jurisdictions and are not comparable.</w:t>
            </w:r>
            <w:r w:rsidR="00104B60">
              <w:t xml:space="preserve"> </w:t>
            </w:r>
          </w:p>
        </w:tc>
      </w:tr>
    </w:tbl>
    <w:p w:rsidR="00210E4E" w:rsidRPr="006978F2" w:rsidRDefault="00210E4E" w:rsidP="00210E4E">
      <w:pPr>
        <w:pStyle w:val="BodyText"/>
      </w:pPr>
      <w:r w:rsidRPr="006978F2">
        <w:rPr>
          <w:rFonts w:ascii="Book Antiqua" w:hAnsi="Book Antiqua"/>
          <w:color w:val="000000"/>
          <w:sz w:val="22"/>
          <w:szCs w:val="24"/>
        </w:rPr>
        <w:br w:type="page"/>
      </w:r>
    </w:p>
    <w:p w:rsidR="00210E4E" w:rsidRDefault="00210E4E" w:rsidP="00210E4E">
      <w:pPr>
        <w:pStyle w:val="Heading3"/>
        <w:spacing w:before="120"/>
        <w:jc w:val="both"/>
      </w:pPr>
      <w:bookmarkStart w:id="43" w:name="_Toc373422522"/>
      <w:bookmarkStart w:id="44" w:name="_Toc377383331"/>
      <w:r w:rsidRPr="00FB3F50">
        <w:lastRenderedPageBreak/>
        <w:t xml:space="preserve">Expenditure per head of </w:t>
      </w:r>
      <w:r>
        <w:t xml:space="preserve">aged care </w:t>
      </w:r>
      <w:r w:rsidRPr="00FB3F50">
        <w:t>target population — HACC</w:t>
      </w:r>
      <w:bookmarkEnd w:id="43"/>
      <w:bookmarkEnd w:id="44"/>
    </w:p>
    <w:p w:rsidR="00210E4E" w:rsidRPr="00EA5574" w:rsidRDefault="00EA5574" w:rsidP="00EA5574">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210E4E" w:rsidRPr="00EA5574">
        <w:rPr>
          <w:rFonts w:ascii="Arial" w:hAnsi="Arial"/>
          <w:color w:val="000000"/>
        </w:rPr>
        <w:t xml:space="preserve"> for this indicator has been drafted by the Australian Government DSS, Victorian and WA governments with additional Steering Committee comments.</w:t>
      </w:r>
    </w:p>
    <w:p w:rsidR="00210E4E" w:rsidRPr="006978F2" w:rsidRDefault="00210E4E" w:rsidP="00210E4E">
      <w:pPr>
        <w:keepNext/>
        <w:keepLines/>
        <w:spacing w:before="120" w:line="320" w:lineRule="atLeast"/>
        <w:jc w:val="both"/>
        <w:rPr>
          <w:rFonts w:ascii="Arial" w:hAnsi="Arial" w:cs="Arial"/>
          <w:szCs w:val="22"/>
        </w:rPr>
      </w:pPr>
    </w:p>
    <w:tbl>
      <w:tblPr>
        <w:tblW w:w="5000" w:type="pct"/>
        <w:tblCellMar>
          <w:left w:w="0" w:type="dxa"/>
          <w:right w:w="0" w:type="dxa"/>
        </w:tblCellMar>
        <w:tblLook w:val="0000" w:firstRow="0" w:lastRow="0" w:firstColumn="0" w:lastColumn="0" w:noHBand="0" w:noVBand="0"/>
      </w:tblPr>
      <w:tblGrid>
        <w:gridCol w:w="1777"/>
        <w:gridCol w:w="6936"/>
        <w:gridCol w:w="76"/>
      </w:tblGrid>
      <w:tr w:rsidR="00210E4E" w:rsidRPr="006978F2" w:rsidTr="00E87B88">
        <w:tc>
          <w:tcPr>
            <w:tcW w:w="5000" w:type="pct"/>
            <w:gridSpan w:val="3"/>
          </w:tcPr>
          <w:p w:rsidR="00210E4E" w:rsidRPr="006978F2"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sz w:val="20"/>
                <w:szCs w:val="20"/>
              </w:rPr>
            </w:pPr>
            <w:r w:rsidRPr="006978F2">
              <w:rPr>
                <w:rFonts w:ascii="Arial" w:hAnsi="Arial"/>
                <w:b/>
                <w:sz w:val="20"/>
                <w:szCs w:val="20"/>
                <w:u w:val="single"/>
              </w:rPr>
              <w:t>Indicator definition and description</w:t>
            </w:r>
            <w:r w:rsidRPr="006978F2">
              <w:rPr>
                <w:rFonts w:ascii="Arial" w:hAnsi="Arial" w:cs="Arial"/>
                <w:b/>
                <w:szCs w:val="22"/>
                <w:u w:val="single"/>
              </w:rPr>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Element</w:t>
            </w:r>
          </w:p>
        </w:tc>
        <w:tc>
          <w:tcPr>
            <w:tcW w:w="3946" w:type="pct"/>
            <w:tcBorders>
              <w:top w:val="nil"/>
              <w:left w:val="nil"/>
              <w:bottom w:val="nil"/>
              <w:right w:val="nil"/>
            </w:tcBorders>
          </w:tcPr>
          <w:p w:rsidR="00210E4E" w:rsidRPr="006978F2" w:rsidRDefault="00210E4E" w:rsidP="00E87B88">
            <w:pPr>
              <w:keepNext/>
              <w:keepLines/>
              <w:spacing w:after="120" w:line="220" w:lineRule="atLeast"/>
              <w:ind w:left="6" w:right="113"/>
              <w:rPr>
                <w:rFonts w:ascii="Arial" w:hAnsi="Arial" w:cs="Arial"/>
                <w:sz w:val="20"/>
                <w:szCs w:val="20"/>
              </w:rPr>
            </w:pPr>
            <w:r w:rsidRPr="006F3969">
              <w:rPr>
                <w:rFonts w:ascii="Arial" w:hAnsi="Arial" w:cs="Arial"/>
                <w:sz w:val="20"/>
                <w:szCs w:val="20"/>
              </w:rPr>
              <w:t xml:space="preserve">Efficiency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Indicator </w:t>
            </w:r>
          </w:p>
        </w:tc>
        <w:tc>
          <w:tcPr>
            <w:tcW w:w="3946" w:type="pct"/>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cs="Arial"/>
                <w:sz w:val="20"/>
                <w:szCs w:val="20"/>
              </w:rPr>
            </w:pPr>
            <w:r w:rsidRPr="00116D80">
              <w:rPr>
                <w:rFonts w:ascii="Arial" w:hAnsi="Arial" w:cs="Arial"/>
                <w:sz w:val="20"/>
                <w:szCs w:val="20"/>
              </w:rPr>
              <w:t xml:space="preserve">Efficiency </w:t>
            </w:r>
            <w:r>
              <w:rPr>
                <w:rFonts w:ascii="Calibri" w:hAnsi="Calibri" w:cs="Arial"/>
                <w:sz w:val="20"/>
                <w:szCs w:val="20"/>
              </w:rPr>
              <w:t>—</w:t>
            </w:r>
            <w:r>
              <w:rPr>
                <w:rFonts w:ascii="Arial" w:hAnsi="Arial" w:cs="Arial"/>
                <w:sz w:val="20"/>
                <w:szCs w:val="20"/>
              </w:rPr>
              <w:t xml:space="preserve"> e</w:t>
            </w:r>
            <w:r w:rsidRPr="00116D80">
              <w:rPr>
                <w:rFonts w:ascii="Arial" w:hAnsi="Arial" w:cs="Arial"/>
                <w:sz w:val="20"/>
                <w:szCs w:val="20"/>
              </w:rPr>
              <w:t>xpenditure per head of aged care target population</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Height w:val="6191"/>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Measure (computation)</w:t>
            </w:r>
          </w:p>
        </w:tc>
        <w:tc>
          <w:tcPr>
            <w:tcW w:w="3946" w:type="pct"/>
            <w:tcBorders>
              <w:top w:val="nil"/>
              <w:left w:val="nil"/>
              <w:bottom w:val="nil"/>
              <w:right w:val="nil"/>
            </w:tcBorders>
          </w:tcPr>
          <w:p w:rsidR="00210E4E" w:rsidRPr="006978F2" w:rsidRDefault="00210E4E" w:rsidP="00E87B88">
            <w:pPr>
              <w:keepNext/>
              <w:keepLines/>
              <w:spacing w:after="60" w:line="220" w:lineRule="atLeast"/>
              <w:ind w:left="6" w:right="113"/>
              <w:jc w:val="both"/>
              <w:rPr>
                <w:rFonts w:ascii="Arial" w:hAnsi="Arial" w:cs="Arial"/>
                <w:sz w:val="20"/>
                <w:szCs w:val="20"/>
                <w:u w:val="single"/>
              </w:rPr>
            </w:pPr>
            <w:r w:rsidRPr="006978F2">
              <w:rPr>
                <w:rFonts w:ascii="Arial" w:hAnsi="Arial" w:cs="Arial"/>
                <w:sz w:val="20"/>
                <w:szCs w:val="20"/>
                <w:u w:val="single"/>
              </w:rPr>
              <w:t>Definition</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Australian, State and Territory g</w:t>
            </w:r>
            <w:r w:rsidRPr="005C2352">
              <w:rPr>
                <w:rFonts w:ascii="Arial" w:hAnsi="Arial" w:cs="Arial"/>
                <w:sz w:val="20"/>
                <w:szCs w:val="20"/>
              </w:rPr>
              <w:t>overnment</w:t>
            </w:r>
            <w:r>
              <w:rPr>
                <w:rFonts w:ascii="Arial" w:hAnsi="Arial" w:cs="Arial"/>
                <w:sz w:val="20"/>
                <w:szCs w:val="20"/>
              </w:rPr>
              <w:t>s’</w:t>
            </w:r>
            <w:r w:rsidRPr="005C2352">
              <w:rPr>
                <w:rFonts w:ascii="Arial" w:hAnsi="Arial" w:cs="Arial"/>
                <w:sz w:val="20"/>
                <w:szCs w:val="20"/>
              </w:rPr>
              <w:t xml:space="preserve"> </w:t>
            </w:r>
            <w:r>
              <w:rPr>
                <w:rFonts w:ascii="Arial" w:hAnsi="Arial" w:cs="Arial"/>
                <w:sz w:val="20"/>
                <w:szCs w:val="20"/>
              </w:rPr>
              <w:t>expenditure on HACC services, per head of aged care target population</w:t>
            </w:r>
            <w:r w:rsidRPr="006978F2">
              <w:rPr>
                <w:rFonts w:ascii="Arial" w:hAnsi="Arial" w:cs="Arial"/>
                <w:sz w:val="20"/>
                <w:szCs w:val="20"/>
              </w:rPr>
              <w:t>.</w:t>
            </w:r>
          </w:p>
          <w:p w:rsidR="00210E4E" w:rsidRDefault="00210E4E" w:rsidP="00E87B88">
            <w:pPr>
              <w:spacing w:before="120" w:after="60"/>
              <w:jc w:val="both"/>
              <w:rPr>
                <w:rFonts w:ascii="Arial" w:hAnsi="Arial" w:cs="Arial"/>
                <w:sz w:val="20"/>
              </w:rPr>
            </w:pPr>
            <w:r w:rsidRPr="006978F2">
              <w:rPr>
                <w:rFonts w:ascii="Arial" w:hAnsi="Arial" w:cs="Arial"/>
                <w:sz w:val="20"/>
                <w:u w:val="single"/>
              </w:rPr>
              <w:t>Numerator</w:t>
            </w:r>
            <w:r w:rsidRPr="006978F2">
              <w:rPr>
                <w:rFonts w:ascii="Arial" w:hAnsi="Arial" w:cs="Arial"/>
                <w:sz w:val="20"/>
              </w:rPr>
              <w:t xml:space="preserve">: </w:t>
            </w:r>
          </w:p>
          <w:p w:rsidR="00210E4E" w:rsidRDefault="00210E4E" w:rsidP="00E87B88">
            <w:pPr>
              <w:keepNext/>
              <w:keepLines/>
              <w:spacing w:after="120" w:line="220" w:lineRule="atLeast"/>
              <w:ind w:left="6" w:right="113"/>
              <w:jc w:val="both"/>
              <w:rPr>
                <w:rFonts w:ascii="Arial" w:hAnsi="Arial" w:cs="Arial"/>
                <w:sz w:val="20"/>
                <w:szCs w:val="20"/>
              </w:rPr>
            </w:pPr>
            <w:r w:rsidRPr="006C1B4B">
              <w:rPr>
                <w:rFonts w:ascii="Arial" w:hAnsi="Arial" w:cs="Arial"/>
                <w:sz w:val="20"/>
                <w:szCs w:val="20"/>
              </w:rPr>
              <w:t>Australian, State and Territory government</w:t>
            </w:r>
            <w:r>
              <w:rPr>
                <w:rFonts w:ascii="Arial" w:hAnsi="Arial" w:cs="Arial"/>
                <w:sz w:val="20"/>
                <w:szCs w:val="20"/>
              </w:rPr>
              <w:t>s’ expenditure on HACC services for older people.</w:t>
            </w:r>
          </w:p>
          <w:p w:rsidR="00210E4E" w:rsidRDefault="00210E4E" w:rsidP="00E87B88">
            <w:pPr>
              <w:spacing w:before="120" w:after="60"/>
              <w:jc w:val="both"/>
              <w:rPr>
                <w:rFonts w:ascii="Arial" w:hAnsi="Arial" w:cs="Arial"/>
                <w:sz w:val="20"/>
                <w:u w:val="single"/>
              </w:rPr>
            </w:pPr>
            <w:r w:rsidRPr="006978F2">
              <w:rPr>
                <w:rFonts w:ascii="Arial" w:hAnsi="Arial" w:cs="Arial"/>
                <w:sz w:val="20"/>
                <w:u w:val="single"/>
              </w:rPr>
              <w:t xml:space="preserve">Denominator: </w:t>
            </w:r>
          </w:p>
          <w:p w:rsidR="00210E4E" w:rsidRPr="00702AE8"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Number of people aged 65 years or over and Indigenous Australians </w:t>
            </w:r>
            <w:r>
              <w:rPr>
                <w:rFonts w:ascii="Arial" w:hAnsi="Arial" w:cs="Arial"/>
                <w:sz w:val="20"/>
                <w:szCs w:val="20"/>
              </w:rPr>
              <w:br/>
              <w:t>50–65 years</w:t>
            </w:r>
            <w:r w:rsidRPr="00702AE8">
              <w:rPr>
                <w:rFonts w:ascii="Arial" w:hAnsi="Arial" w:cs="Arial"/>
                <w:sz w:val="20"/>
                <w:szCs w:val="20"/>
              </w:rPr>
              <w:t>.</w:t>
            </w:r>
          </w:p>
          <w:p w:rsidR="00210E4E" w:rsidRDefault="00210E4E" w:rsidP="00E87B88">
            <w:pPr>
              <w:spacing w:before="120" w:after="60"/>
              <w:jc w:val="both"/>
              <w:rPr>
                <w:rFonts w:ascii="Arial" w:hAnsi="Arial" w:cs="Arial"/>
                <w:sz w:val="20"/>
                <w:u w:val="single"/>
              </w:rPr>
            </w:pPr>
            <w:r w:rsidRPr="006978F2">
              <w:rPr>
                <w:rFonts w:ascii="Arial" w:hAnsi="Arial" w:cs="Arial"/>
                <w:sz w:val="20"/>
                <w:u w:val="single"/>
              </w:rPr>
              <w:t>Computation:</w:t>
            </w:r>
          </w:p>
          <w:p w:rsidR="00210E4E" w:rsidRPr="00702AE8" w:rsidRDefault="00210E4E" w:rsidP="00E87B88">
            <w:pPr>
              <w:keepNext/>
              <w:keepLines/>
              <w:spacing w:after="120" w:line="220" w:lineRule="atLeast"/>
              <w:ind w:left="6" w:right="113"/>
              <w:jc w:val="both"/>
              <w:rPr>
                <w:rFonts w:ascii="Arial" w:hAnsi="Arial" w:cs="Arial"/>
                <w:sz w:val="20"/>
                <w:szCs w:val="20"/>
              </w:rPr>
            </w:pPr>
            <w:r w:rsidRPr="00416C15">
              <w:rPr>
                <w:rFonts w:ascii="Arial" w:hAnsi="Arial" w:cs="Arial"/>
                <w:sz w:val="20"/>
                <w:szCs w:val="20"/>
              </w:rPr>
              <w:t xml:space="preserve">Expressed as $ per </w:t>
            </w:r>
            <w:r>
              <w:rPr>
                <w:rFonts w:ascii="Arial" w:hAnsi="Arial" w:cs="Arial"/>
                <w:sz w:val="20"/>
                <w:szCs w:val="20"/>
              </w:rPr>
              <w:t>head of aged care target population</w:t>
            </w:r>
            <w:r w:rsidRPr="00416C15">
              <w:rPr>
                <w:rFonts w:ascii="Arial" w:hAnsi="Arial" w:cs="Arial"/>
                <w:sz w:val="20"/>
                <w:szCs w:val="20"/>
              </w:rPr>
              <w:t xml:space="preserve">. </w:t>
            </w:r>
            <w:r w:rsidRPr="00702AE8">
              <w:rPr>
                <w:rFonts w:ascii="Arial" w:hAnsi="Arial" w:cs="Arial"/>
                <w:sz w:val="20"/>
                <w:szCs w:val="20"/>
              </w:rPr>
              <w:t>Numerator/Denominator.</w:t>
            </w:r>
          </w:p>
          <w:p w:rsidR="00210E4E" w:rsidRPr="0015008E" w:rsidRDefault="00210E4E" w:rsidP="00E87B88">
            <w:pPr>
              <w:keepNext/>
              <w:keepLines/>
              <w:spacing w:after="60" w:line="220" w:lineRule="atLeast"/>
              <w:ind w:left="6" w:right="113"/>
              <w:rPr>
                <w:rFonts w:ascii="Arial" w:hAnsi="Arial"/>
                <w:sz w:val="20"/>
                <w:szCs w:val="20"/>
              </w:rPr>
            </w:pPr>
            <w:r w:rsidRPr="0015008E">
              <w:rPr>
                <w:rFonts w:ascii="Arial" w:hAnsi="Arial"/>
                <w:sz w:val="20"/>
                <w:szCs w:val="20"/>
              </w:rPr>
              <w:t>Real</w:t>
            </w:r>
            <w:r>
              <w:rPr>
                <w:rFonts w:ascii="Arial" w:hAnsi="Arial"/>
                <w:sz w:val="20"/>
                <w:szCs w:val="20"/>
              </w:rPr>
              <w:t xml:space="preserve"> expenditure </w:t>
            </w:r>
            <w:r w:rsidRPr="0015008E">
              <w:rPr>
                <w:rFonts w:ascii="Arial" w:hAnsi="Arial"/>
                <w:sz w:val="20"/>
                <w:szCs w:val="20"/>
              </w:rPr>
              <w:t>is reported across years. The general formula for applying the deflator (used in the attachment tables) to convert nominal dollars to real dollars is:</w:t>
            </w:r>
          </w:p>
          <w:p w:rsidR="00210E4E" w:rsidRPr="0015008E" w:rsidRDefault="00940437" w:rsidP="00E87B88">
            <w:pPr>
              <w:spacing w:after="60"/>
              <w:rPr>
                <w:szCs w:val="22"/>
                <w:lang w:val="en-US"/>
              </w:rPr>
            </w:pPr>
            <w:r>
              <w:rPr>
                <w:position w:val="-30"/>
                <w:sz w:val="20"/>
                <w:szCs w:val="20"/>
                <w:lang w:val="en-US"/>
              </w:rPr>
              <w:pict>
                <v:shape id="_x0000_i1029" type="#_x0000_t75" style="width:72.75pt;height:35.25pt">
                  <v:imagedata r:id="rId9" o:title=""/>
                </v:shape>
              </w:pict>
            </w:r>
          </w:p>
          <w:p w:rsidR="00210E4E" w:rsidRPr="0015008E" w:rsidRDefault="00210E4E" w:rsidP="00E87B88">
            <w:pPr>
              <w:keepNext/>
              <w:keepLines/>
              <w:spacing w:after="60" w:line="220" w:lineRule="atLeast"/>
              <w:ind w:left="6" w:right="113"/>
              <w:rPr>
                <w:rFonts w:ascii="Arial" w:hAnsi="Arial"/>
                <w:sz w:val="20"/>
                <w:szCs w:val="20"/>
              </w:rPr>
            </w:pPr>
            <w:r w:rsidRPr="0015008E">
              <w:rPr>
                <w:rFonts w:ascii="Arial" w:hAnsi="Arial"/>
                <w:sz w:val="20"/>
                <w:szCs w:val="20"/>
              </w:rPr>
              <w:t>Where:</w:t>
            </w:r>
          </w:p>
          <w:p w:rsidR="00210E4E" w:rsidRPr="0015008E" w:rsidRDefault="00940437" w:rsidP="00E87B88">
            <w:pPr>
              <w:spacing w:after="60"/>
              <w:rPr>
                <w:rFonts w:ascii="Arial" w:hAnsi="Arial" w:cs="Arial"/>
                <w:sz w:val="20"/>
                <w:szCs w:val="20"/>
                <w:lang w:val="en-US"/>
              </w:rPr>
            </w:pPr>
            <w:r>
              <w:rPr>
                <w:position w:val="-12"/>
                <w:sz w:val="20"/>
                <w:szCs w:val="20"/>
                <w:lang w:val="en-US"/>
              </w:rPr>
              <w:pict>
                <v:shape id="_x0000_i1030" type="#_x0000_t75" style="width:15.75pt;height:18.75pt">
                  <v:imagedata r:id="rId10" o:title=""/>
                </v:shape>
              </w:pict>
            </w:r>
            <w:r w:rsidR="00210E4E" w:rsidRPr="0015008E">
              <w:rPr>
                <w:rFonts w:ascii="Arial" w:hAnsi="Arial" w:cs="Arial"/>
                <w:sz w:val="20"/>
                <w:szCs w:val="20"/>
                <w:lang w:val="en-US"/>
              </w:rPr>
              <w:t>is real dollars in year t</w:t>
            </w:r>
          </w:p>
          <w:p w:rsidR="00210E4E" w:rsidRPr="0015008E" w:rsidRDefault="00940437" w:rsidP="00E87B88">
            <w:pPr>
              <w:spacing w:after="60"/>
              <w:rPr>
                <w:rFonts w:ascii="Arial" w:hAnsi="Arial" w:cs="Arial"/>
                <w:sz w:val="20"/>
                <w:szCs w:val="20"/>
                <w:lang w:val="en-US"/>
              </w:rPr>
            </w:pPr>
            <w:r>
              <w:rPr>
                <w:rFonts w:ascii="Arial" w:hAnsi="Arial" w:cs="Arial"/>
                <w:position w:val="-12"/>
                <w:sz w:val="20"/>
                <w:szCs w:val="20"/>
                <w:lang w:val="en-US"/>
              </w:rPr>
              <w:pict>
                <v:shape id="_x0000_i1031" type="#_x0000_t75" style="width:15.75pt;height:18.75pt">
                  <v:imagedata r:id="rId11" o:title=""/>
                </v:shape>
              </w:pict>
            </w:r>
            <w:r w:rsidR="00210E4E" w:rsidRPr="0015008E">
              <w:rPr>
                <w:rFonts w:ascii="Arial" w:hAnsi="Arial" w:cs="Arial"/>
                <w:sz w:val="20"/>
                <w:szCs w:val="20"/>
                <w:lang w:val="en-US"/>
              </w:rPr>
              <w:t>is nominal dollars in year t</w:t>
            </w:r>
          </w:p>
          <w:p w:rsidR="00210E4E" w:rsidRDefault="00940437" w:rsidP="00E87B88">
            <w:pPr>
              <w:keepNext/>
              <w:keepLines/>
              <w:spacing w:line="220" w:lineRule="atLeast"/>
              <w:ind w:left="6" w:right="113"/>
              <w:jc w:val="both"/>
              <w:rPr>
                <w:rFonts w:ascii="Arial" w:hAnsi="Arial" w:cs="Arial"/>
                <w:sz w:val="20"/>
                <w:szCs w:val="20"/>
              </w:rPr>
            </w:pPr>
            <w:r>
              <w:rPr>
                <w:rFonts w:ascii="Arial" w:hAnsi="Arial" w:cs="Arial"/>
                <w:position w:val="-12"/>
                <w:sz w:val="20"/>
                <w:szCs w:val="20"/>
                <w:lang w:val="en-US"/>
              </w:rPr>
              <w:pict>
                <v:shape id="_x0000_i1032" type="#_x0000_t75" style="width:15.75pt;height:18.75pt">
                  <v:imagedata r:id="rId12" o:title=""/>
                </v:shape>
              </w:pict>
            </w:r>
            <w:r w:rsidR="00210E4E" w:rsidRPr="0015008E">
              <w:rPr>
                <w:rFonts w:ascii="Arial" w:hAnsi="Arial" w:cs="Arial"/>
                <w:sz w:val="20"/>
                <w:szCs w:val="20"/>
                <w:lang w:val="en-US"/>
              </w:rPr>
              <w:t xml:space="preserve"> is the new index based in year </w:t>
            </w:r>
            <w:r w:rsidR="00210E4E">
              <w:rPr>
                <w:rFonts w:ascii="Arial" w:hAnsi="Arial" w:cs="Arial"/>
                <w:sz w:val="20"/>
                <w:szCs w:val="20"/>
                <w:lang w:val="en-US"/>
              </w:rPr>
              <w:t xml:space="preserve">t </w:t>
            </w:r>
            <w:r w:rsidR="00210E4E" w:rsidRPr="0015008E">
              <w:rPr>
                <w:rFonts w:ascii="Arial" w:hAnsi="Arial" w:cs="Arial"/>
                <w:sz w:val="20"/>
                <w:szCs w:val="20"/>
                <w:lang w:val="en-US"/>
              </w:rPr>
              <w:t>(20</w:t>
            </w:r>
            <w:r w:rsidR="00210E4E">
              <w:rPr>
                <w:rFonts w:ascii="Arial" w:hAnsi="Arial" w:cs="Arial"/>
                <w:sz w:val="20"/>
                <w:szCs w:val="20"/>
                <w:lang w:val="en-US"/>
              </w:rPr>
              <w:t>12</w:t>
            </w:r>
            <w:r w:rsidR="00104B60">
              <w:rPr>
                <w:rFonts w:ascii="Arial" w:hAnsi="Arial" w:cs="Arial"/>
                <w:sz w:val="20"/>
                <w:szCs w:val="20"/>
                <w:lang w:val="en-US"/>
              </w:rPr>
              <w:noBreakHyphen/>
            </w:r>
            <w:r w:rsidR="00210E4E" w:rsidRPr="0015008E">
              <w:rPr>
                <w:rFonts w:ascii="Arial" w:hAnsi="Arial" w:cs="Arial"/>
                <w:sz w:val="20"/>
                <w:szCs w:val="20"/>
                <w:lang w:val="en-US"/>
              </w:rPr>
              <w:t>1</w:t>
            </w:r>
            <w:r w:rsidR="00210E4E">
              <w:rPr>
                <w:rFonts w:ascii="Arial" w:hAnsi="Arial" w:cs="Arial"/>
                <w:sz w:val="20"/>
                <w:szCs w:val="20"/>
                <w:lang w:val="en-US"/>
              </w:rPr>
              <w:t>3</w:t>
            </w:r>
            <w:r w:rsidR="00210E4E" w:rsidRPr="0015008E">
              <w:rPr>
                <w:rFonts w:ascii="Arial" w:hAnsi="Arial" w:cs="Arial"/>
                <w:sz w:val="20"/>
                <w:szCs w:val="20"/>
                <w:lang w:val="en-US"/>
              </w:rPr>
              <w:t>=100).</w:t>
            </w:r>
          </w:p>
          <w:p w:rsidR="00210E4E" w:rsidRPr="006978F2" w:rsidRDefault="00210E4E" w:rsidP="00E87B88">
            <w:pPr>
              <w:keepNext/>
              <w:keepLines/>
              <w:spacing w:line="220" w:lineRule="atLeast"/>
              <w:ind w:left="6" w:right="113"/>
              <w:jc w:val="both"/>
              <w:rPr>
                <w:rFonts w:ascii="Arial" w:hAnsi="Arial" w:cs="Arial"/>
                <w:sz w:val="20"/>
                <w:szCs w:val="20"/>
              </w:rPr>
            </w:pP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Data source/s</w:t>
            </w:r>
          </w:p>
        </w:tc>
        <w:tc>
          <w:tcPr>
            <w:tcW w:w="3946" w:type="pct"/>
            <w:tcBorders>
              <w:top w:val="nil"/>
              <w:left w:val="nil"/>
              <w:bottom w:val="nil"/>
              <w:right w:val="nil"/>
            </w:tcBorders>
          </w:tcPr>
          <w:p w:rsidR="00210E4E" w:rsidRPr="006C1B4B" w:rsidRDefault="00210E4E" w:rsidP="00E87B88">
            <w:pPr>
              <w:keepNext/>
              <w:keepLines/>
              <w:spacing w:after="60" w:line="220" w:lineRule="atLeast"/>
              <w:ind w:left="6" w:right="113"/>
              <w:jc w:val="both"/>
              <w:rPr>
                <w:rFonts w:ascii="Arial" w:hAnsi="Arial" w:cs="Arial"/>
                <w:sz w:val="20"/>
                <w:szCs w:val="20"/>
                <w:u w:val="single"/>
              </w:rPr>
            </w:pPr>
            <w:r w:rsidRPr="006C1B4B">
              <w:rPr>
                <w:rFonts w:ascii="Arial" w:hAnsi="Arial" w:cs="Arial"/>
                <w:sz w:val="20"/>
                <w:szCs w:val="20"/>
                <w:u w:val="single"/>
              </w:rPr>
              <w:t xml:space="preserve">Numerators: </w:t>
            </w:r>
          </w:p>
          <w:p w:rsidR="00210E4E" w:rsidRPr="006C1B4B" w:rsidRDefault="00210E4E" w:rsidP="00E87B88">
            <w:pPr>
              <w:keepNext/>
              <w:keepLines/>
              <w:spacing w:line="220" w:lineRule="atLeast"/>
              <w:ind w:left="6" w:right="113"/>
              <w:jc w:val="both"/>
              <w:rPr>
                <w:rFonts w:ascii="Arial" w:hAnsi="Arial" w:cs="Arial"/>
                <w:sz w:val="20"/>
                <w:szCs w:val="20"/>
              </w:rPr>
            </w:pPr>
            <w:r>
              <w:rPr>
                <w:rFonts w:ascii="Arial" w:hAnsi="Arial" w:cs="Arial"/>
                <w:sz w:val="20"/>
                <w:szCs w:val="20"/>
              </w:rPr>
              <w:t>DSS unpublished</w:t>
            </w:r>
            <w:r w:rsidRPr="006C1B4B">
              <w:rPr>
                <w:rFonts w:ascii="Arial" w:hAnsi="Arial" w:cs="Arial"/>
                <w:sz w:val="20"/>
                <w:szCs w:val="20"/>
              </w:rPr>
              <w:t>.</w:t>
            </w:r>
          </w:p>
          <w:p w:rsidR="00210E4E" w:rsidRPr="006C1B4B" w:rsidRDefault="00210E4E" w:rsidP="00E87B88">
            <w:pPr>
              <w:spacing w:before="120" w:after="60"/>
              <w:jc w:val="both"/>
              <w:rPr>
                <w:rFonts w:ascii="Arial" w:hAnsi="Arial" w:cs="Arial"/>
                <w:sz w:val="20"/>
                <w:u w:val="single"/>
              </w:rPr>
            </w:pPr>
            <w:r w:rsidRPr="006C1B4B">
              <w:rPr>
                <w:rFonts w:ascii="Arial" w:hAnsi="Arial" w:cs="Arial"/>
                <w:sz w:val="20"/>
                <w:u w:val="single"/>
              </w:rPr>
              <w:t xml:space="preserve">Denominators: </w:t>
            </w:r>
          </w:p>
          <w:p w:rsidR="00210E4E" w:rsidRPr="006C1B4B" w:rsidRDefault="00210E4E" w:rsidP="00E87B88">
            <w:pPr>
              <w:keepNext/>
              <w:keepLines/>
              <w:spacing w:line="220" w:lineRule="atLeast"/>
              <w:ind w:left="6" w:right="113"/>
              <w:jc w:val="both"/>
              <w:rPr>
                <w:rFonts w:ascii="Arial" w:hAnsi="Arial" w:cs="Arial"/>
                <w:sz w:val="20"/>
                <w:szCs w:val="20"/>
              </w:rPr>
            </w:pPr>
            <w:r w:rsidRPr="006C1B4B">
              <w:rPr>
                <w:rFonts w:ascii="Arial" w:hAnsi="Arial" w:cs="Arial"/>
                <w:sz w:val="20"/>
                <w:szCs w:val="20"/>
              </w:rPr>
              <w:t>D</w:t>
            </w:r>
            <w:r>
              <w:rPr>
                <w:rFonts w:ascii="Arial" w:hAnsi="Arial" w:cs="Arial"/>
                <w:sz w:val="20"/>
                <w:szCs w:val="20"/>
              </w:rPr>
              <w:t>SS</w:t>
            </w:r>
            <w:r w:rsidRPr="006C1B4B">
              <w:rPr>
                <w:rFonts w:ascii="Arial" w:hAnsi="Arial" w:cs="Arial"/>
                <w:sz w:val="20"/>
                <w:szCs w:val="20"/>
              </w:rPr>
              <w:t xml:space="preserve"> population projections. </w:t>
            </w:r>
          </w:p>
          <w:p w:rsidR="00210E4E" w:rsidRPr="006C1B4B" w:rsidRDefault="00210E4E" w:rsidP="00E87B88">
            <w:pPr>
              <w:pStyle w:val="TableBullet"/>
              <w:rPr>
                <w:rFonts w:cs="Arial"/>
              </w:rPr>
            </w:pPr>
            <w:r w:rsidRPr="006C1B4B">
              <w:rPr>
                <w:rFonts w:cs="Arial"/>
              </w:rPr>
              <w:t>Total population projections 65 years or over</w:t>
            </w:r>
          </w:p>
          <w:p w:rsidR="00210E4E" w:rsidRPr="006C1B4B" w:rsidRDefault="00210E4E" w:rsidP="00237358">
            <w:pPr>
              <w:pStyle w:val="BoxListBullet2"/>
              <w:spacing w:before="0" w:after="120" w:line="240" w:lineRule="auto"/>
              <w:ind w:left="568" w:hanging="284"/>
              <w:rPr>
                <w:sz w:val="20"/>
              </w:rPr>
            </w:pPr>
            <w:r w:rsidRPr="006C1B4B">
              <w:rPr>
                <w:sz w:val="20"/>
              </w:rPr>
              <w:t xml:space="preserve">From June 2013 ― projections based on the 2011 Census as prepared for </w:t>
            </w:r>
            <w:r>
              <w:rPr>
                <w:sz w:val="20"/>
              </w:rPr>
              <w:t>DSS</w:t>
            </w:r>
            <w:r w:rsidRPr="006C1B4B">
              <w:rPr>
                <w:sz w:val="20"/>
              </w:rPr>
              <w:t xml:space="preserve"> by the ABS according to the assumptions agreed to by </w:t>
            </w:r>
            <w:r>
              <w:rPr>
                <w:sz w:val="20"/>
              </w:rPr>
              <w:t>DSS</w:t>
            </w:r>
            <w:r w:rsidRPr="006C1B4B">
              <w:rPr>
                <w:sz w:val="20"/>
              </w:rPr>
              <w:t>.</w:t>
            </w:r>
          </w:p>
          <w:p w:rsidR="00210E4E" w:rsidRPr="006C1B4B" w:rsidRDefault="00210E4E" w:rsidP="00237358">
            <w:pPr>
              <w:pStyle w:val="BoxListBullet2"/>
              <w:spacing w:before="0" w:after="120" w:line="240" w:lineRule="auto"/>
              <w:ind w:left="568" w:hanging="284"/>
              <w:rPr>
                <w:sz w:val="20"/>
              </w:rPr>
            </w:pPr>
            <w:r w:rsidRPr="006C1B4B">
              <w:rPr>
                <w:sz w:val="20"/>
              </w:rPr>
              <w:t xml:space="preserve">June 2008–June 2012 ― projections based on the 2006 Census as prepared for </w:t>
            </w:r>
            <w:r>
              <w:rPr>
                <w:sz w:val="20"/>
              </w:rPr>
              <w:t>DSS</w:t>
            </w:r>
            <w:r w:rsidRPr="006C1B4B">
              <w:rPr>
                <w:sz w:val="20"/>
              </w:rPr>
              <w:t xml:space="preserve"> by the ABS according to the assumptions agreed to by </w:t>
            </w:r>
            <w:r>
              <w:rPr>
                <w:sz w:val="20"/>
              </w:rPr>
              <w:t>DSS</w:t>
            </w:r>
            <w:r w:rsidRPr="006C1B4B">
              <w:rPr>
                <w:sz w:val="20"/>
              </w:rPr>
              <w:t>.</w:t>
            </w:r>
          </w:p>
          <w:p w:rsidR="00210E4E" w:rsidRPr="006C1B4B" w:rsidRDefault="00210E4E" w:rsidP="00237358">
            <w:pPr>
              <w:pStyle w:val="BoxListBullet2"/>
              <w:spacing w:before="0" w:after="120" w:line="240" w:lineRule="auto"/>
              <w:ind w:left="568" w:hanging="284"/>
              <w:rPr>
                <w:sz w:val="20"/>
              </w:rPr>
            </w:pPr>
            <w:r w:rsidRPr="006C1B4B">
              <w:rPr>
                <w:sz w:val="20"/>
              </w:rPr>
              <w:t xml:space="preserve">Before June 2008 ― projections based on the 2001 Census as prepared for </w:t>
            </w:r>
            <w:r>
              <w:rPr>
                <w:sz w:val="20"/>
              </w:rPr>
              <w:t>DSS</w:t>
            </w:r>
            <w:r w:rsidRPr="006C1B4B">
              <w:rPr>
                <w:sz w:val="20"/>
              </w:rPr>
              <w:t xml:space="preserve"> by the ABS according to the assumptions agreed </w:t>
            </w:r>
            <w:r w:rsidRPr="006C1B4B">
              <w:rPr>
                <w:sz w:val="20"/>
              </w:rPr>
              <w:lastRenderedPageBreak/>
              <w:t xml:space="preserve">to by </w:t>
            </w:r>
            <w:r>
              <w:rPr>
                <w:sz w:val="20"/>
              </w:rPr>
              <w:t>DSS</w:t>
            </w:r>
            <w:r w:rsidRPr="006C1B4B">
              <w:rPr>
                <w:sz w:val="20"/>
              </w:rPr>
              <w:t>.</w:t>
            </w:r>
          </w:p>
          <w:p w:rsidR="00210E4E" w:rsidRPr="006C1B4B" w:rsidRDefault="00210E4E" w:rsidP="00237358">
            <w:pPr>
              <w:pStyle w:val="TableBullet"/>
              <w:spacing w:after="120"/>
              <w:rPr>
                <w:rFonts w:cs="Arial"/>
              </w:rPr>
            </w:pPr>
            <w:r w:rsidRPr="006C1B4B">
              <w:rPr>
                <w:rFonts w:cs="Arial"/>
              </w:rPr>
              <w:t>Indigenous</w:t>
            </w:r>
            <w:r w:rsidRPr="006C1B4B">
              <w:t xml:space="preserve"> population projections 50</w:t>
            </w:r>
            <w:r w:rsidRPr="006C1B4B">
              <w:rPr>
                <w:rFonts w:cs="Arial"/>
              </w:rPr>
              <w:t>–</w:t>
            </w:r>
            <w:r w:rsidRPr="006C1B4B">
              <w:t>64 year</w:t>
            </w:r>
            <w:r>
              <w:t>s</w:t>
            </w:r>
            <w:r w:rsidRPr="006C1B4B">
              <w:t xml:space="preserve"> old</w:t>
            </w:r>
          </w:p>
          <w:p w:rsidR="00210E4E" w:rsidRPr="00237358" w:rsidRDefault="00210E4E" w:rsidP="00237358">
            <w:pPr>
              <w:pStyle w:val="BoxListBullet2"/>
              <w:spacing w:before="0" w:after="120" w:line="240" w:lineRule="auto"/>
              <w:ind w:left="568" w:hanging="284"/>
              <w:rPr>
                <w:rFonts w:cs="Arial"/>
              </w:rPr>
            </w:pPr>
            <w:r w:rsidRPr="006C1B4B">
              <w:rPr>
                <w:sz w:val="20"/>
              </w:rPr>
              <w:t xml:space="preserve">June 2008–June 2013 ― based on ABS Indigenous Experimental 2006 ERP data at SLA level and aligned to published ABS Indigenous data Experimental Estimates and Projections (ABS Cat. </w:t>
            </w:r>
            <w:r>
              <w:rPr>
                <w:sz w:val="20"/>
              </w:rPr>
              <w:t>n</w:t>
            </w:r>
            <w:r w:rsidRPr="006C1B4B">
              <w:rPr>
                <w:sz w:val="20"/>
              </w:rPr>
              <w:t>o. 3238.0</w:t>
            </w:r>
            <w:r>
              <w:rPr>
                <w:sz w:val="20"/>
              </w:rPr>
              <w:t>,</w:t>
            </w:r>
            <w:r w:rsidRPr="006C1B4B">
              <w:rPr>
                <w:sz w:val="20"/>
              </w:rPr>
              <w:t xml:space="preserve"> series B).</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210E4E" w:rsidRPr="006978F2"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cs="Arial"/>
                <w:b/>
                <w:sz w:val="20"/>
                <w:szCs w:val="20"/>
                <w:u w:val="single"/>
              </w:rPr>
            </w:pPr>
            <w:r w:rsidRPr="006978F2">
              <w:rPr>
                <w:rFonts w:ascii="Arial" w:hAnsi="Arial"/>
                <w:b/>
                <w:sz w:val="20"/>
                <w:szCs w:val="20"/>
                <w:u w:val="single"/>
              </w:rPr>
              <w:t>Data Quality Framework Dimensions</w:t>
            </w:r>
            <w:r w:rsidRPr="006978F2">
              <w:rPr>
                <w:rFonts w:ascii="Arial" w:hAnsi="Arial" w:cs="Arial"/>
                <w:b/>
                <w:sz w:val="20"/>
                <w:szCs w:val="20"/>
                <w:u w:val="single"/>
              </w:rPr>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Institutional environment </w:t>
            </w:r>
          </w:p>
        </w:tc>
        <w:tc>
          <w:tcPr>
            <w:tcW w:w="3946" w:type="pct"/>
            <w:tcBorders>
              <w:top w:val="nil"/>
              <w:left w:val="nil"/>
              <w:bottom w:val="nil"/>
              <w:right w:val="nil"/>
            </w:tcBorders>
          </w:tcPr>
          <w:p w:rsidR="00210E4E" w:rsidRDefault="00210E4E" w:rsidP="003B2D5A">
            <w:pPr>
              <w:keepNext/>
              <w:keepLines/>
              <w:spacing w:after="120" w:line="220" w:lineRule="atLeast"/>
              <w:ind w:left="6" w:right="113"/>
              <w:jc w:val="both"/>
              <w:rPr>
                <w:rFonts w:ascii="Arial" w:hAnsi="Arial"/>
                <w:sz w:val="20"/>
                <w:szCs w:val="20"/>
              </w:rPr>
            </w:pPr>
            <w:r w:rsidRPr="00711247">
              <w:rPr>
                <w:rFonts w:ascii="Arial" w:hAnsi="Arial"/>
                <w:sz w:val="20"/>
                <w:szCs w:val="20"/>
              </w:rPr>
              <w:t>The Australian Government (</w:t>
            </w:r>
            <w:r>
              <w:rPr>
                <w:rFonts w:ascii="Arial" w:hAnsi="Arial"/>
                <w:sz w:val="20"/>
                <w:szCs w:val="20"/>
              </w:rPr>
              <w:t>DSS</w:t>
            </w:r>
            <w:r w:rsidRPr="00711247">
              <w:rPr>
                <w:rFonts w:ascii="Arial" w:hAnsi="Arial"/>
                <w:sz w:val="20"/>
                <w:szCs w:val="20"/>
              </w:rPr>
              <w:t xml:space="preserve">) is responsible for the policy oversight and regulation of HACC aged care services except in Victoria and WA where it is a joint Australian Government, and State governments’ initiative administered under the </w:t>
            </w:r>
            <w:r w:rsidRPr="005008D1">
              <w:rPr>
                <w:rFonts w:ascii="Arial" w:hAnsi="Arial"/>
                <w:i/>
                <w:sz w:val="20"/>
                <w:szCs w:val="20"/>
              </w:rPr>
              <w:t>Home and Community Care Review Agreement 2007</w:t>
            </w:r>
            <w:r w:rsidRPr="00711247">
              <w:rPr>
                <w:rFonts w:ascii="Arial" w:hAnsi="Arial"/>
                <w:sz w:val="20"/>
                <w:szCs w:val="20"/>
              </w:rPr>
              <w:t xml:space="preserve">. HACC service providers vary from </w:t>
            </w:r>
            <w:r w:rsidRPr="003B2D5A">
              <w:rPr>
                <w:rFonts w:ascii="Arial" w:hAnsi="Arial" w:cs="Arial"/>
                <w:sz w:val="20"/>
                <w:szCs w:val="20"/>
              </w:rPr>
              <w:t>small</w:t>
            </w:r>
            <w:r w:rsidRPr="00711247">
              <w:rPr>
                <w:rFonts w:ascii="Arial" w:hAnsi="Arial"/>
                <w:sz w:val="20"/>
                <w:szCs w:val="20"/>
              </w:rPr>
              <w:t xml:space="preserve"> community</w:t>
            </w:r>
            <w:r w:rsidR="00104B60">
              <w:rPr>
                <w:rFonts w:ascii="Arial" w:hAnsi="Arial"/>
                <w:sz w:val="20"/>
                <w:szCs w:val="20"/>
              </w:rPr>
              <w:noBreakHyphen/>
            </w:r>
            <w:r w:rsidRPr="00711247">
              <w:rPr>
                <w:rFonts w:ascii="Arial" w:hAnsi="Arial"/>
                <w:sz w:val="20"/>
                <w:szCs w:val="20"/>
              </w:rPr>
              <w:t>based groups to large charitable and public sector organisations.</w:t>
            </w:r>
            <w:r w:rsidR="00104B60">
              <w:rPr>
                <w:rFonts w:ascii="Arial" w:hAnsi="Arial"/>
                <w:sz w:val="20"/>
                <w:szCs w:val="20"/>
              </w:rPr>
              <w:t xml:space="preserve"> </w:t>
            </w:r>
          </w:p>
          <w:p w:rsidR="00210E4E" w:rsidRPr="0038208F" w:rsidRDefault="00210E4E" w:rsidP="003B2D5A">
            <w:pPr>
              <w:keepNext/>
              <w:keepLines/>
              <w:spacing w:after="120" w:line="220" w:lineRule="atLeast"/>
              <w:ind w:left="6" w:right="113"/>
              <w:jc w:val="both"/>
              <w:rPr>
                <w:rFonts w:ascii="Arial" w:hAnsi="Arial"/>
                <w:sz w:val="20"/>
                <w:szCs w:val="20"/>
              </w:rPr>
            </w:pPr>
            <w:r w:rsidRPr="005401A2">
              <w:rPr>
                <w:rFonts w:ascii="Arial" w:hAnsi="Arial"/>
                <w:sz w:val="20"/>
                <w:szCs w:val="20"/>
              </w:rPr>
              <w:t xml:space="preserve">HACC </w:t>
            </w:r>
            <w:r>
              <w:rPr>
                <w:rFonts w:ascii="Arial" w:hAnsi="Arial"/>
                <w:sz w:val="20"/>
                <w:szCs w:val="20"/>
              </w:rPr>
              <w:t>agencies</w:t>
            </w:r>
            <w:r w:rsidRPr="005401A2">
              <w:rPr>
                <w:rFonts w:ascii="Arial" w:hAnsi="Arial"/>
                <w:sz w:val="20"/>
                <w:szCs w:val="20"/>
              </w:rPr>
              <w:t xml:space="preserve"> report to the </w:t>
            </w:r>
            <w:r>
              <w:rPr>
                <w:rFonts w:ascii="Arial" w:hAnsi="Arial"/>
                <w:sz w:val="20"/>
                <w:szCs w:val="20"/>
              </w:rPr>
              <w:t>S</w:t>
            </w:r>
            <w:r w:rsidRPr="005401A2">
              <w:rPr>
                <w:rFonts w:ascii="Arial" w:hAnsi="Arial"/>
                <w:sz w:val="20"/>
                <w:szCs w:val="20"/>
              </w:rPr>
              <w:t xml:space="preserve">tate and </w:t>
            </w:r>
            <w:r>
              <w:rPr>
                <w:rFonts w:ascii="Arial" w:hAnsi="Arial"/>
                <w:sz w:val="20"/>
                <w:szCs w:val="20"/>
              </w:rPr>
              <w:t>T</w:t>
            </w:r>
            <w:r w:rsidRPr="005401A2">
              <w:rPr>
                <w:rFonts w:ascii="Arial" w:hAnsi="Arial"/>
                <w:sz w:val="20"/>
                <w:szCs w:val="20"/>
              </w:rPr>
              <w:t>erritory governments on outputs achieved.</w:t>
            </w:r>
            <w:r>
              <w:rPr>
                <w:rFonts w:ascii="Arial" w:hAnsi="Arial"/>
                <w:sz w:val="20"/>
                <w:szCs w:val="20"/>
              </w:rPr>
              <w:t xml:space="preserve"> </w:t>
            </w:r>
            <w:r w:rsidRPr="003B2D5A">
              <w:rPr>
                <w:rFonts w:ascii="Arial" w:hAnsi="Arial" w:cs="Arial"/>
                <w:sz w:val="20"/>
                <w:szCs w:val="20"/>
              </w:rPr>
              <w:t>The</w:t>
            </w:r>
            <w:r w:rsidRPr="005401A2">
              <w:rPr>
                <w:rFonts w:ascii="Arial" w:hAnsi="Arial"/>
                <w:sz w:val="20"/>
                <w:szCs w:val="20"/>
              </w:rPr>
              <w:t xml:space="preserve"> </w:t>
            </w:r>
            <w:r>
              <w:rPr>
                <w:rFonts w:ascii="Arial" w:hAnsi="Arial"/>
                <w:sz w:val="20"/>
                <w:szCs w:val="20"/>
              </w:rPr>
              <w:t>State and Territory governments</w:t>
            </w:r>
            <w:r w:rsidRPr="005401A2">
              <w:rPr>
                <w:rFonts w:ascii="Arial" w:hAnsi="Arial"/>
                <w:sz w:val="20"/>
                <w:szCs w:val="20"/>
              </w:rPr>
              <w:t xml:space="preserve"> then collate this into regional information, which is forwarded to the Australian Government </w:t>
            </w:r>
            <w:r>
              <w:rPr>
                <w:rFonts w:ascii="Arial" w:hAnsi="Arial"/>
                <w:sz w:val="20"/>
                <w:szCs w:val="20"/>
              </w:rPr>
              <w:t xml:space="preserve">Health </w:t>
            </w:r>
            <w:r w:rsidRPr="005401A2">
              <w:rPr>
                <w:rFonts w:ascii="Arial" w:hAnsi="Arial"/>
                <w:sz w:val="20"/>
                <w:szCs w:val="20"/>
              </w:rPr>
              <w:t>Minister in an Annual Business Report.</w:t>
            </w:r>
            <w:r>
              <w:rPr>
                <w:rFonts w:ascii="Arial" w:hAnsi="Arial"/>
                <w:sz w:val="20"/>
                <w:szCs w:val="20"/>
              </w:rPr>
              <w:t xml:space="preserve"> The data for this indicator are accessed from these annual reports.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Relevance </w:t>
            </w:r>
          </w:p>
        </w:tc>
        <w:tc>
          <w:tcPr>
            <w:tcW w:w="3946" w:type="pct"/>
            <w:tcBorders>
              <w:top w:val="nil"/>
              <w:left w:val="nil"/>
              <w:bottom w:val="nil"/>
              <w:right w:val="nil"/>
            </w:tcBorders>
          </w:tcPr>
          <w:p w:rsidR="00210E4E" w:rsidRDefault="00210E4E" w:rsidP="00E87B88">
            <w:pPr>
              <w:keepNext/>
              <w:keepLines/>
              <w:spacing w:after="120" w:line="220" w:lineRule="atLeast"/>
              <w:ind w:left="6" w:right="113"/>
              <w:jc w:val="both"/>
              <w:rPr>
                <w:rFonts w:ascii="Arial" w:hAnsi="Arial" w:cs="Arial"/>
                <w:sz w:val="20"/>
                <w:szCs w:val="20"/>
              </w:rPr>
            </w:pPr>
            <w:r w:rsidRPr="0003333B">
              <w:rPr>
                <w:rFonts w:ascii="Arial" w:hAnsi="Arial" w:cs="Arial"/>
                <w:sz w:val="20"/>
                <w:szCs w:val="20"/>
              </w:rPr>
              <w:t>Expenditure</w:t>
            </w:r>
            <w:r>
              <w:rPr>
                <w:rFonts w:ascii="Arial" w:hAnsi="Arial" w:cs="Arial"/>
                <w:sz w:val="20"/>
                <w:szCs w:val="20"/>
              </w:rPr>
              <w:t xml:space="preserve"> </w:t>
            </w:r>
            <w:r w:rsidRPr="0003333B">
              <w:rPr>
                <w:rFonts w:ascii="Arial" w:hAnsi="Arial" w:cs="Arial"/>
                <w:sz w:val="20"/>
                <w:szCs w:val="20"/>
              </w:rPr>
              <w:t>is for services provided to people aged 65 years or over and Indigenous Australians aged 50–64 years. Data for NSW, Qld, SA, Tasmania, the ACT and the NT are actual/estimated Australian Government expenditure in these jurisdictions under the Commonwealth HACC</w:t>
            </w:r>
            <w:r>
              <w:rPr>
                <w:rFonts w:ascii="Arial" w:hAnsi="Arial" w:cs="Arial"/>
                <w:sz w:val="20"/>
                <w:szCs w:val="20"/>
              </w:rPr>
              <w:t xml:space="preserve"> </w:t>
            </w:r>
            <w:r w:rsidRPr="0003333B">
              <w:rPr>
                <w:rFonts w:ascii="Arial" w:hAnsi="Arial" w:cs="Arial"/>
                <w:sz w:val="20"/>
                <w:szCs w:val="20"/>
              </w:rPr>
              <w:t>program. Expenditure in Victoria and WA is derived using an estimate of the proportion of activity that is for older people. Victoria provides this estimate based on their own modelling work and for WA it is based on the proportion of total hours that are accounted for by older people. These proportions are applied to the Australian Government and the State governments (Victoria and WA) total HACC program expenditure.</w:t>
            </w:r>
            <w:r w:rsidR="00104B60">
              <w:rPr>
                <w:rFonts w:ascii="Arial" w:hAnsi="Arial" w:cs="Arial"/>
                <w:sz w:val="20"/>
                <w:szCs w:val="20"/>
              </w:rPr>
              <w:t xml:space="preserve"> </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Funding only includes that provided by Australian, State or Territory governments and does not include any non</w:t>
            </w:r>
            <w:r w:rsidR="00104B60">
              <w:rPr>
                <w:rFonts w:ascii="Arial" w:hAnsi="Arial" w:cs="Arial"/>
                <w:sz w:val="20"/>
                <w:szCs w:val="20"/>
              </w:rPr>
              <w:noBreakHyphen/>
            </w:r>
            <w:r>
              <w:rPr>
                <w:rFonts w:ascii="Arial" w:hAnsi="Arial" w:cs="Arial"/>
                <w:sz w:val="20"/>
                <w:szCs w:val="20"/>
              </w:rPr>
              <w:t>government or local government expenditure on HACC services.</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Timeliness</w:t>
            </w:r>
            <w:r w:rsidRPr="006978F2">
              <w:rPr>
                <w:rFonts w:ascii="Arial" w:hAnsi="Arial" w:cs="Arial"/>
                <w:sz w:val="20"/>
                <w:szCs w:val="20"/>
                <w:lang w:val="en-US" w:eastAsia="en-US"/>
              </w:rPr>
              <w:t xml:space="preserve"> </w:t>
            </w:r>
          </w:p>
        </w:tc>
        <w:tc>
          <w:tcPr>
            <w:tcW w:w="3946" w:type="pct"/>
            <w:tcBorders>
              <w:top w:val="nil"/>
              <w:left w:val="nil"/>
              <w:bottom w:val="nil"/>
              <w:right w:val="nil"/>
            </w:tcBorders>
          </w:tcPr>
          <w:p w:rsidR="00210E4E" w:rsidRPr="006978F2" w:rsidRDefault="00210E4E" w:rsidP="00E87B88">
            <w:pPr>
              <w:keepNext/>
              <w:keepLines/>
              <w:spacing w:after="120" w:line="220" w:lineRule="atLeast"/>
              <w:ind w:left="6" w:right="113"/>
              <w:rPr>
                <w:rFonts w:ascii="Arial" w:hAnsi="Arial" w:cs="Arial"/>
                <w:sz w:val="20"/>
                <w:szCs w:val="20"/>
              </w:rPr>
            </w:pPr>
            <w:r w:rsidRPr="00D23468">
              <w:rPr>
                <w:rFonts w:ascii="Arial" w:hAnsi="Arial" w:cs="Arial"/>
                <w:sz w:val="20"/>
                <w:szCs w:val="20"/>
              </w:rPr>
              <w:t>The reference period for the latest data is 201</w:t>
            </w:r>
            <w:r>
              <w:rPr>
                <w:rFonts w:ascii="Arial" w:hAnsi="Arial" w:cs="Arial"/>
                <w:sz w:val="20"/>
                <w:szCs w:val="20"/>
              </w:rPr>
              <w:t>2</w:t>
            </w:r>
            <w:r w:rsidR="00104B60">
              <w:rPr>
                <w:rFonts w:ascii="Arial" w:hAnsi="Arial" w:cs="Arial"/>
                <w:sz w:val="20"/>
                <w:szCs w:val="20"/>
              </w:rPr>
              <w:noBreakHyphen/>
            </w:r>
            <w:r w:rsidRPr="00D23468">
              <w:rPr>
                <w:rFonts w:ascii="Arial" w:hAnsi="Arial" w:cs="Arial"/>
                <w:sz w:val="20"/>
                <w:szCs w:val="20"/>
              </w:rPr>
              <w:t>1</w:t>
            </w:r>
            <w:r>
              <w:rPr>
                <w:rFonts w:ascii="Arial" w:hAnsi="Arial" w:cs="Arial"/>
                <w:sz w:val="20"/>
                <w:szCs w:val="20"/>
              </w:rPr>
              <w:t>3.</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 xml:space="preserve">Accuracy </w:t>
            </w:r>
          </w:p>
        </w:tc>
        <w:tc>
          <w:tcPr>
            <w:tcW w:w="3946" w:type="pct"/>
            <w:tcBorders>
              <w:top w:val="nil"/>
              <w:left w:val="nil"/>
              <w:bottom w:val="nil"/>
              <w:right w:val="nil"/>
            </w:tcBorders>
          </w:tcPr>
          <w:p w:rsidR="00210E4E" w:rsidRPr="003B2D5A" w:rsidRDefault="00210E4E" w:rsidP="003B2D5A">
            <w:pPr>
              <w:keepNext/>
              <w:keepLines/>
              <w:spacing w:after="120" w:line="220" w:lineRule="atLeast"/>
              <w:ind w:left="6" w:right="113"/>
              <w:jc w:val="both"/>
            </w:pPr>
            <w:r w:rsidRPr="003B2D5A">
              <w:rPr>
                <w:rFonts w:ascii="Arial" w:hAnsi="Arial" w:cs="Arial"/>
                <w:sz w:val="20"/>
                <w:szCs w:val="20"/>
              </w:rPr>
              <w:t>The Australian Government expenditure data for NSW, Qld, SA, Tasmania, the ACT and the NT are estimates only for 2011</w:t>
            </w:r>
            <w:r w:rsidR="00104B60">
              <w:rPr>
                <w:rFonts w:ascii="Arial" w:hAnsi="Arial" w:cs="Arial"/>
                <w:sz w:val="20"/>
                <w:szCs w:val="20"/>
              </w:rPr>
              <w:noBreakHyphen/>
            </w:r>
            <w:r w:rsidRPr="003B2D5A">
              <w:rPr>
                <w:rFonts w:ascii="Arial" w:hAnsi="Arial" w:cs="Arial"/>
                <w:sz w:val="20"/>
                <w:szCs w:val="20"/>
              </w:rPr>
              <w:t>12. Expenditure data for Victoria and WA are estimates for 2011</w:t>
            </w:r>
            <w:r w:rsidR="00104B60">
              <w:rPr>
                <w:rFonts w:ascii="Arial" w:hAnsi="Arial" w:cs="Arial"/>
                <w:sz w:val="20"/>
                <w:szCs w:val="20"/>
              </w:rPr>
              <w:noBreakHyphen/>
            </w:r>
            <w:r w:rsidRPr="003B2D5A">
              <w:rPr>
                <w:rFonts w:ascii="Arial" w:hAnsi="Arial" w:cs="Arial"/>
                <w:sz w:val="20"/>
                <w:szCs w:val="20"/>
              </w:rPr>
              <w:t xml:space="preserve">12 and </w:t>
            </w:r>
            <w:r w:rsidRPr="003B2D5A">
              <w:rPr>
                <w:rFonts w:ascii="Arial" w:hAnsi="Arial" w:cs="Arial"/>
                <w:sz w:val="20"/>
                <w:szCs w:val="20"/>
              </w:rPr>
              <w:br/>
              <w:t>2012</w:t>
            </w:r>
            <w:r w:rsidR="00104B60">
              <w:rPr>
                <w:rFonts w:ascii="Arial" w:hAnsi="Arial" w:cs="Arial"/>
                <w:sz w:val="20"/>
                <w:szCs w:val="20"/>
              </w:rPr>
              <w:noBreakHyphen/>
            </w:r>
            <w:r w:rsidRPr="003B2D5A">
              <w:rPr>
                <w:rFonts w:ascii="Arial" w:hAnsi="Arial" w:cs="Arial"/>
                <w:sz w:val="20"/>
                <w:szCs w:val="20"/>
              </w:rPr>
              <w:t>13.</w:t>
            </w:r>
            <w:r w:rsidRPr="003B2D5A">
              <w:t xml:space="preserve">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Pr>
                <w:rFonts w:ascii="Arial" w:hAnsi="Arial" w:cs="Arial"/>
                <w:b/>
                <w:sz w:val="20"/>
                <w:szCs w:val="20"/>
              </w:rPr>
              <w:t>Coherence</w:t>
            </w:r>
          </w:p>
        </w:tc>
        <w:tc>
          <w:tcPr>
            <w:tcW w:w="3946" w:type="pct"/>
            <w:tcBorders>
              <w:top w:val="nil"/>
              <w:left w:val="nil"/>
              <w:bottom w:val="nil"/>
              <w:right w:val="nil"/>
            </w:tcBorders>
          </w:tcPr>
          <w:p w:rsidR="00210E4E" w:rsidRDefault="00210E4E" w:rsidP="00E87B88">
            <w:pPr>
              <w:keepNext/>
              <w:keepLines/>
              <w:spacing w:after="120" w:line="220" w:lineRule="atLeast"/>
              <w:ind w:left="6" w:right="113"/>
              <w:jc w:val="both"/>
              <w:rPr>
                <w:rFonts w:ascii="Arial" w:hAnsi="Arial" w:cs="Arial"/>
                <w:sz w:val="20"/>
                <w:szCs w:val="20"/>
              </w:rPr>
            </w:pPr>
            <w:r w:rsidRPr="007D6986">
              <w:rPr>
                <w:rFonts w:ascii="Arial" w:hAnsi="Arial" w:cs="Arial"/>
                <w:sz w:val="20"/>
                <w:szCs w:val="20"/>
              </w:rPr>
              <w:t xml:space="preserve">The method for determining expenditure differs across Commonwealth HACC program jurisdictions and Victoria and WA (see relevance section). This may have a small effect on the comparability of the results across jurisdictions. </w:t>
            </w:r>
          </w:p>
          <w:p w:rsidR="00210E4E"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The population projections used to calculate this indicator are not comparable overtime when based on different Censuses (2011, 2006 and 2001). Data for June 2013 (based on the 2011 Census) are not comparable to earlier years and data for 2008–2012 (based on the </w:t>
            </w:r>
            <w:r>
              <w:rPr>
                <w:rFonts w:ascii="Arial" w:hAnsi="Arial" w:cs="Arial"/>
                <w:sz w:val="20"/>
                <w:szCs w:val="20"/>
              </w:rPr>
              <w:br/>
              <w:t>2006</w:t>
            </w:r>
            <w:r w:rsidRPr="00711247">
              <w:rPr>
                <w:rFonts w:ascii="Arial" w:hAnsi="Arial" w:cs="Arial"/>
                <w:sz w:val="20"/>
                <w:szCs w:val="20"/>
              </w:rPr>
              <w:t xml:space="preserve"> </w:t>
            </w:r>
            <w:r w:rsidRPr="00AC35C4">
              <w:rPr>
                <w:rFonts w:ascii="Arial" w:hAnsi="Arial" w:cs="Arial"/>
                <w:sz w:val="20"/>
                <w:szCs w:val="20"/>
              </w:rPr>
              <w:t>Census</w:t>
            </w:r>
            <w:r>
              <w:rPr>
                <w:rFonts w:ascii="Arial" w:hAnsi="Arial" w:cs="Arial"/>
                <w:sz w:val="20"/>
                <w:szCs w:val="20"/>
              </w:rPr>
              <w:t xml:space="preserve">) are not comparable to data before 2008 (based on the </w:t>
            </w:r>
            <w:r>
              <w:rPr>
                <w:rFonts w:ascii="Arial" w:hAnsi="Arial" w:cs="Arial"/>
                <w:sz w:val="20"/>
                <w:szCs w:val="20"/>
              </w:rPr>
              <w:br/>
              <w:t xml:space="preserve">2001 Census). </w:t>
            </w:r>
          </w:p>
          <w:p w:rsidR="00210E4E" w:rsidRPr="006978F2" w:rsidRDefault="00210E4E" w:rsidP="00E87B88">
            <w:pPr>
              <w:keepNext/>
              <w:keepLines/>
              <w:spacing w:after="120" w:line="220" w:lineRule="atLeast"/>
              <w:ind w:left="6" w:right="113"/>
              <w:jc w:val="both"/>
              <w:rPr>
                <w:rFonts w:ascii="Arial" w:hAnsi="Arial" w:cs="Arial"/>
                <w:sz w:val="20"/>
                <w:szCs w:val="20"/>
              </w:rPr>
            </w:pPr>
            <w:r>
              <w:rPr>
                <w:rFonts w:ascii="Arial" w:hAnsi="Arial" w:cs="Arial"/>
                <w:sz w:val="20"/>
                <w:szCs w:val="20"/>
              </w:rPr>
              <w:t xml:space="preserve">From 2010, </w:t>
            </w:r>
            <w:r w:rsidRPr="007008EA">
              <w:rPr>
                <w:rFonts w:ascii="Arial" w:hAnsi="Arial" w:cs="Arial"/>
                <w:sz w:val="20"/>
                <w:szCs w:val="20"/>
              </w:rPr>
              <w:t xml:space="preserve">Indigenous population projections </w:t>
            </w:r>
            <w:r>
              <w:rPr>
                <w:rFonts w:ascii="Arial" w:hAnsi="Arial" w:cs="Arial"/>
                <w:sz w:val="20"/>
                <w:szCs w:val="20"/>
              </w:rPr>
              <w:t>were</w:t>
            </w:r>
            <w:r w:rsidRPr="007008EA">
              <w:rPr>
                <w:rFonts w:ascii="Arial" w:hAnsi="Arial" w:cs="Arial"/>
                <w:sz w:val="20"/>
                <w:szCs w:val="20"/>
              </w:rPr>
              <w:t xml:space="preserve"> calculated using a different method compared with that used in previous years. This will have a small effect on comparability with results from previous years.</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lastRenderedPageBreak/>
              <w:t>Accessibility</w:t>
            </w:r>
          </w:p>
        </w:tc>
        <w:tc>
          <w:tcPr>
            <w:tcW w:w="3946" w:type="pct"/>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iCs/>
                <w:sz w:val="20"/>
                <w:szCs w:val="20"/>
              </w:rPr>
            </w:pPr>
            <w:r w:rsidRPr="00D53391">
              <w:rPr>
                <w:rFonts w:ascii="Arial" w:hAnsi="Arial"/>
                <w:iCs/>
                <w:sz w:val="20"/>
                <w:szCs w:val="20"/>
              </w:rPr>
              <w:t>Aggregated HACC data are published in the HACC MDS Statistical Bulletin on an annual basis.</w:t>
            </w:r>
            <w:r>
              <w:rPr>
                <w:rFonts w:ascii="Arial" w:hAnsi="Arial"/>
                <w:iCs/>
                <w:sz w:val="20"/>
                <w:szCs w:val="20"/>
              </w:rPr>
              <w:t xml:space="preserve"> The last annual Bulletin contains 2010</w:t>
            </w:r>
            <w:r w:rsidR="00104B60">
              <w:rPr>
                <w:rFonts w:ascii="Arial" w:hAnsi="Arial"/>
                <w:iCs/>
                <w:sz w:val="20"/>
                <w:szCs w:val="20"/>
              </w:rPr>
              <w:noBreakHyphen/>
            </w:r>
            <w:r>
              <w:rPr>
                <w:rFonts w:ascii="Arial" w:hAnsi="Arial"/>
                <w:iCs/>
                <w:sz w:val="20"/>
                <w:szCs w:val="20"/>
              </w:rPr>
              <w:t xml:space="preserve">11 data. </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line="220" w:lineRule="atLeast"/>
              <w:ind w:right="113"/>
              <w:jc w:val="both"/>
              <w:rPr>
                <w:rFonts w:ascii="Arial" w:hAnsi="Arial" w:cs="Arial"/>
                <w:b/>
                <w:sz w:val="20"/>
                <w:szCs w:val="20"/>
              </w:rPr>
            </w:pPr>
            <w:r w:rsidRPr="006978F2">
              <w:rPr>
                <w:rFonts w:ascii="Arial" w:hAnsi="Arial" w:cs="Arial"/>
                <w:b/>
                <w:sz w:val="20"/>
                <w:szCs w:val="20"/>
              </w:rPr>
              <w:t>Interpretability</w:t>
            </w:r>
          </w:p>
        </w:tc>
        <w:tc>
          <w:tcPr>
            <w:tcW w:w="3946" w:type="pct"/>
            <w:tcBorders>
              <w:top w:val="nil"/>
              <w:left w:val="nil"/>
              <w:bottom w:val="nil"/>
              <w:right w:val="nil"/>
            </w:tcBorders>
          </w:tcPr>
          <w:p w:rsidR="00210E4E" w:rsidRPr="006978F2" w:rsidRDefault="00210E4E" w:rsidP="00E87B88">
            <w:pPr>
              <w:keepNext/>
              <w:keepLines/>
              <w:spacing w:after="120" w:line="220" w:lineRule="atLeast"/>
              <w:ind w:left="6" w:right="113"/>
              <w:jc w:val="both"/>
              <w:rPr>
                <w:rFonts w:ascii="Arial" w:hAnsi="Arial" w:cs="Arial"/>
                <w:sz w:val="20"/>
                <w:szCs w:val="20"/>
              </w:rPr>
            </w:pPr>
            <w:r w:rsidRPr="00D01029">
              <w:rPr>
                <w:rFonts w:ascii="Arial" w:hAnsi="Arial" w:cs="Arial"/>
                <w:sz w:val="20"/>
                <w:szCs w:val="20"/>
              </w:rPr>
              <w:t>Further information on definitions is available in the HACC Data Dictionary</w:t>
            </w:r>
            <w:r>
              <w:rPr>
                <w:rFonts w:ascii="Arial" w:hAnsi="Arial" w:cs="Arial"/>
                <w:sz w:val="20"/>
                <w:szCs w:val="20"/>
              </w:rPr>
              <w:t xml:space="preserve"> and the HACC MDS Statistical Bulletin</w:t>
            </w:r>
            <w:r w:rsidRPr="00D01029">
              <w:rPr>
                <w:rFonts w:ascii="Arial" w:hAnsi="Arial" w:cs="Arial"/>
                <w:sz w:val="20"/>
                <w:szCs w:val="20"/>
              </w:rPr>
              <w:t>.</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210E4E" w:rsidRPr="00801F93" w:rsidRDefault="00210E4E" w:rsidP="00E87B88">
            <w:pPr>
              <w:keepNext/>
              <w:keepLines/>
              <w:spacing w:line="220" w:lineRule="atLeast"/>
              <w:ind w:left="6" w:right="113"/>
              <w:jc w:val="both"/>
              <w:rPr>
                <w:rFonts w:ascii="Arial" w:hAnsi="Arial"/>
                <w:b/>
                <w:sz w:val="20"/>
                <w:szCs w:val="20"/>
                <w:u w:val="single"/>
              </w:rPr>
            </w:pPr>
          </w:p>
          <w:p w:rsidR="00210E4E" w:rsidRPr="006978F2" w:rsidRDefault="00210E4E" w:rsidP="00E87B88">
            <w:pPr>
              <w:keepNext/>
              <w:keepLines/>
              <w:spacing w:line="220" w:lineRule="atLeast"/>
              <w:ind w:left="6" w:right="113"/>
              <w:jc w:val="both"/>
              <w:rPr>
                <w:rFonts w:ascii="Arial" w:hAnsi="Arial"/>
                <w:b/>
                <w:sz w:val="20"/>
                <w:szCs w:val="20"/>
              </w:rPr>
            </w:pPr>
            <w:r w:rsidRPr="00801F93">
              <w:rPr>
                <w:rFonts w:ascii="Arial" w:hAnsi="Arial"/>
                <w:b/>
                <w:sz w:val="20"/>
                <w:szCs w:val="20"/>
                <w:u w:val="single"/>
              </w:rPr>
              <w:t>Data Gaps/Issues Analysis</w:t>
            </w:r>
          </w:p>
        </w:tc>
      </w:tr>
      <w:tr w:rsidR="00210E4E" w:rsidRPr="006978F2" w:rsidTr="00E87B88">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210E4E" w:rsidRPr="006978F2" w:rsidRDefault="00210E4E" w:rsidP="00E87B88">
            <w:pPr>
              <w:keepNext/>
              <w:keepLines/>
              <w:spacing w:before="120" w:line="220" w:lineRule="atLeast"/>
              <w:ind w:right="113"/>
              <w:jc w:val="both"/>
              <w:rPr>
                <w:rFonts w:ascii="Arial" w:hAnsi="Arial" w:cs="Arial"/>
                <w:b/>
                <w:sz w:val="20"/>
                <w:szCs w:val="22"/>
              </w:rPr>
            </w:pPr>
            <w:r w:rsidRPr="006978F2">
              <w:rPr>
                <w:rFonts w:ascii="Arial" w:hAnsi="Arial" w:cs="Arial"/>
                <w:b/>
                <w:sz w:val="20"/>
                <w:szCs w:val="22"/>
              </w:rPr>
              <w:t>Key data gaps/issues</w:t>
            </w:r>
          </w:p>
        </w:tc>
        <w:tc>
          <w:tcPr>
            <w:tcW w:w="3946" w:type="pct"/>
            <w:tcBorders>
              <w:top w:val="nil"/>
              <w:left w:val="nil"/>
              <w:bottom w:val="nil"/>
              <w:right w:val="nil"/>
            </w:tcBorders>
          </w:tcPr>
          <w:p w:rsidR="00210E4E" w:rsidRPr="00DC4C91" w:rsidRDefault="00210E4E" w:rsidP="00E87B88">
            <w:pPr>
              <w:keepNext/>
              <w:keepLines/>
              <w:spacing w:after="120" w:line="220" w:lineRule="atLeast"/>
              <w:ind w:left="6" w:right="113"/>
              <w:jc w:val="both"/>
              <w:rPr>
                <w:rFonts w:ascii="Arial" w:hAnsi="Arial" w:cs="Arial"/>
                <w:sz w:val="20"/>
                <w:szCs w:val="20"/>
              </w:rPr>
            </w:pPr>
            <w:r w:rsidRPr="00DC4C91">
              <w:rPr>
                <w:rFonts w:ascii="Arial" w:hAnsi="Arial" w:cs="Arial"/>
                <w:sz w:val="20"/>
                <w:szCs w:val="20"/>
              </w:rPr>
              <w:t>The Steering Commi</w:t>
            </w:r>
            <w:r>
              <w:rPr>
                <w:rFonts w:ascii="Arial" w:hAnsi="Arial" w:cs="Arial"/>
                <w:sz w:val="20"/>
                <w:szCs w:val="20"/>
              </w:rPr>
              <w:t>ttee notes the following issues:</w:t>
            </w:r>
            <w:r w:rsidRPr="00DC4C91">
              <w:rPr>
                <w:rFonts w:ascii="Arial" w:hAnsi="Arial" w:cs="Arial"/>
                <w:sz w:val="20"/>
                <w:szCs w:val="20"/>
              </w:rPr>
              <w:t xml:space="preserve"> </w:t>
            </w:r>
          </w:p>
          <w:p w:rsidR="00210E4E" w:rsidRPr="002C59E1" w:rsidRDefault="00210E4E" w:rsidP="00345AD7">
            <w:pPr>
              <w:pStyle w:val="TableBullet"/>
              <w:shd w:val="clear" w:color="auto" w:fill="FFFFFF" w:themeFill="background1"/>
              <w:jc w:val="both"/>
            </w:pPr>
            <w:r w:rsidRPr="002C59E1">
              <w:t>Annual data are available. The most recent data available are for 20</w:t>
            </w:r>
            <w:r>
              <w:t>12</w:t>
            </w:r>
            <w:r>
              <w:noBreakHyphen/>
              <w:t>13</w:t>
            </w:r>
            <w:r w:rsidRPr="002C59E1">
              <w:t xml:space="preserve">. </w:t>
            </w:r>
          </w:p>
          <w:p w:rsidR="00210E4E" w:rsidRPr="002C59E1" w:rsidRDefault="00210E4E" w:rsidP="00345AD7">
            <w:pPr>
              <w:pStyle w:val="TableBullet"/>
              <w:shd w:val="clear" w:color="auto" w:fill="FFFFFF" w:themeFill="background1"/>
              <w:jc w:val="both"/>
            </w:pPr>
            <w:r w:rsidRPr="002C59E1">
              <w:t xml:space="preserve">The data are consistent and comparable over time. </w:t>
            </w:r>
          </w:p>
          <w:p w:rsidR="00210E4E" w:rsidRPr="00DC4C91" w:rsidRDefault="00210E4E" w:rsidP="00345AD7">
            <w:pPr>
              <w:pStyle w:val="TableBullet"/>
              <w:shd w:val="clear" w:color="auto" w:fill="FFFFFF" w:themeFill="background1"/>
              <w:jc w:val="both"/>
              <w:rPr>
                <w:b/>
              </w:rPr>
            </w:pPr>
            <w:r w:rsidRPr="002C59E1">
              <w:t>No significant data gaps or issues are identified.</w:t>
            </w:r>
          </w:p>
        </w:tc>
      </w:tr>
    </w:tbl>
    <w:p w:rsidR="00210E4E" w:rsidRPr="00916AB8" w:rsidRDefault="00210E4E" w:rsidP="00210E4E">
      <w:pPr>
        <w:pStyle w:val="BodyText"/>
      </w:pPr>
      <w:r w:rsidRPr="006978F2">
        <w:rPr>
          <w:rFonts w:ascii="Book Antiqua" w:hAnsi="Book Antiqua"/>
          <w:color w:val="000000"/>
          <w:sz w:val="22"/>
          <w:szCs w:val="24"/>
        </w:rPr>
        <w:br w:type="page"/>
      </w:r>
    </w:p>
    <w:p w:rsidR="0076174D" w:rsidRPr="009E0E68" w:rsidRDefault="0076174D" w:rsidP="0097691F">
      <w:pPr>
        <w:pStyle w:val="Heading3"/>
        <w:shd w:val="clear" w:color="auto" w:fill="FFFFFF" w:themeFill="background1"/>
        <w:spacing w:before="120"/>
        <w:jc w:val="both"/>
      </w:pPr>
      <w:bookmarkStart w:id="45" w:name="_Toc332795544"/>
      <w:bookmarkStart w:id="46" w:name="_Toc377383332"/>
      <w:r w:rsidRPr="009E0E68">
        <w:lastRenderedPageBreak/>
        <w:t xml:space="preserve">Maintenance of individual </w:t>
      </w:r>
      <w:r w:rsidRPr="001A3164">
        <w:t>physical function</w:t>
      </w:r>
      <w:bookmarkEnd w:id="45"/>
      <w:bookmarkEnd w:id="46"/>
      <w:r w:rsidRPr="009E0E68">
        <w:t xml:space="preserve"> </w:t>
      </w:r>
    </w:p>
    <w:p w:rsidR="0076174D" w:rsidRPr="00EA5574" w:rsidRDefault="00EA5574" w:rsidP="0076174D">
      <w:pPr>
        <w:pStyle w:val="BodyText"/>
        <w:keepNext/>
        <w:keepLines/>
        <w:spacing w:before="120" w:line="240" w:lineRule="auto"/>
        <w:rPr>
          <w:rFonts w:ascii="Arial" w:hAnsi="Arial"/>
          <w:color w:val="000000"/>
        </w:rPr>
      </w:pPr>
      <w:proofErr w:type="spellStart"/>
      <w:r w:rsidRPr="00EA5574">
        <w:rPr>
          <w:rFonts w:ascii="Arial" w:hAnsi="Arial"/>
          <w:color w:val="000000"/>
        </w:rPr>
        <w:t>DQI</w:t>
      </w:r>
      <w:proofErr w:type="spellEnd"/>
      <w:r w:rsidR="0076174D" w:rsidRPr="00EA5574">
        <w:rPr>
          <w:rFonts w:ascii="Arial" w:hAnsi="Arial"/>
          <w:color w:val="000000"/>
        </w:rPr>
        <w:t xml:space="preserve"> for this indicator has been drafted by the Australian Government </w:t>
      </w:r>
      <w:r w:rsidR="00DC4C91" w:rsidRPr="00EA5574">
        <w:rPr>
          <w:rFonts w:ascii="Arial" w:hAnsi="Arial"/>
          <w:color w:val="000000"/>
        </w:rPr>
        <w:t>DSS</w:t>
      </w:r>
      <w:r w:rsidR="0076174D" w:rsidRPr="00EA5574">
        <w:rPr>
          <w:rFonts w:ascii="Arial" w:hAnsi="Arial"/>
          <w:color w:val="000000"/>
        </w:rPr>
        <w:t>, with additional Steering Committee comments.</w:t>
      </w:r>
    </w:p>
    <w:p w:rsidR="00345AD7" w:rsidRPr="004E4DEE" w:rsidRDefault="00345AD7" w:rsidP="0076174D">
      <w:pPr>
        <w:pStyle w:val="BodyText"/>
        <w:keepNext/>
        <w:keepLines/>
        <w:spacing w:before="120" w:line="240" w:lineRule="auto"/>
        <w:rPr>
          <w:rFonts w:ascii="Arial" w:hAnsi="Arial" w:cs="Arial"/>
          <w:sz w:val="22"/>
          <w:szCs w:val="22"/>
        </w:rPr>
      </w:pPr>
    </w:p>
    <w:tbl>
      <w:tblPr>
        <w:tblW w:w="5000" w:type="pct"/>
        <w:tblCellMar>
          <w:left w:w="0" w:type="dxa"/>
          <w:right w:w="0" w:type="dxa"/>
        </w:tblCellMar>
        <w:tblLook w:val="0000" w:firstRow="0" w:lastRow="0" w:firstColumn="0" w:lastColumn="0" w:noHBand="0" w:noVBand="0"/>
      </w:tblPr>
      <w:tblGrid>
        <w:gridCol w:w="1800"/>
        <w:gridCol w:w="6989"/>
      </w:tblGrid>
      <w:tr w:rsidR="0076174D" w:rsidRPr="004E4DEE" w:rsidTr="00F06A16">
        <w:tc>
          <w:tcPr>
            <w:tcW w:w="5000" w:type="pct"/>
            <w:gridSpan w:val="2"/>
          </w:tcPr>
          <w:p w:rsidR="0076174D" w:rsidRPr="002677A9" w:rsidRDefault="0076174D" w:rsidP="00F06A16">
            <w:pPr>
              <w:pStyle w:val="TableBodyText"/>
              <w:jc w:val="both"/>
              <w:rPr>
                <w:b/>
                <w:u w:val="single"/>
              </w:rPr>
            </w:pPr>
          </w:p>
          <w:p w:rsidR="0076174D" w:rsidRPr="002677A9" w:rsidRDefault="0076174D" w:rsidP="00F06A16">
            <w:pPr>
              <w:pStyle w:val="TableBodyText"/>
              <w:jc w:val="both"/>
            </w:pPr>
            <w:r w:rsidRPr="002677A9">
              <w:rPr>
                <w:b/>
                <w:u w:val="single"/>
              </w:rPr>
              <w:t>Indicator definition and description</w:t>
            </w:r>
            <w:r w:rsidRPr="002677A9">
              <w:rPr>
                <w:rFonts w:cs="Arial"/>
                <w:b/>
                <w:sz w:val="22"/>
                <w:szCs w:val="22"/>
                <w:u w:val="single"/>
              </w:rPr>
              <w:t xml:space="preserve"> </w:t>
            </w:r>
          </w:p>
        </w:tc>
      </w:tr>
      <w:tr w:rsidR="0076174D" w:rsidRPr="004E4DEE"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Element</w:t>
            </w:r>
          </w:p>
        </w:tc>
        <w:tc>
          <w:tcPr>
            <w:tcW w:w="3976" w:type="pct"/>
          </w:tcPr>
          <w:p w:rsidR="0076174D" w:rsidRPr="002677A9" w:rsidRDefault="0076174D" w:rsidP="001A3164">
            <w:pPr>
              <w:keepNext/>
              <w:keepLines/>
              <w:spacing w:after="120"/>
              <w:jc w:val="both"/>
              <w:rPr>
                <w:rFonts w:ascii="Arial" w:hAnsi="Arial" w:cs="Arial"/>
                <w:sz w:val="20"/>
                <w:szCs w:val="20"/>
              </w:rPr>
            </w:pPr>
            <w:r w:rsidRPr="002677A9">
              <w:rPr>
                <w:rFonts w:ascii="Arial" w:hAnsi="Arial" w:cs="Arial"/>
                <w:sz w:val="20"/>
                <w:szCs w:val="20"/>
              </w:rPr>
              <w:t xml:space="preserve">Outcome </w:t>
            </w:r>
          </w:p>
        </w:tc>
      </w:tr>
      <w:tr w:rsidR="0076174D" w:rsidRPr="004E4DEE"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 xml:space="preserve">Indicator </w:t>
            </w:r>
          </w:p>
        </w:tc>
        <w:tc>
          <w:tcPr>
            <w:tcW w:w="3976" w:type="pct"/>
          </w:tcPr>
          <w:p w:rsidR="0076174D" w:rsidRPr="002677A9" w:rsidRDefault="0076174D" w:rsidP="001A3164">
            <w:pPr>
              <w:keepNext/>
              <w:keepLines/>
              <w:spacing w:after="120"/>
              <w:jc w:val="both"/>
              <w:rPr>
                <w:rFonts w:cs="Arial"/>
              </w:rPr>
            </w:pPr>
            <w:r w:rsidRPr="001A3164">
              <w:rPr>
                <w:rFonts w:ascii="Arial" w:hAnsi="Arial" w:cs="Arial"/>
                <w:sz w:val="20"/>
                <w:szCs w:val="20"/>
              </w:rPr>
              <w:t>Maintenance of individual physical function Transition Care Program (TCP)</w:t>
            </w:r>
          </w:p>
        </w:tc>
      </w:tr>
      <w:tr w:rsidR="0076174D" w:rsidRPr="004E4DEE"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Measure (computation)</w:t>
            </w:r>
          </w:p>
        </w:tc>
        <w:tc>
          <w:tcPr>
            <w:tcW w:w="3976" w:type="pct"/>
          </w:tcPr>
          <w:p w:rsidR="0076174D" w:rsidRPr="002677A9" w:rsidRDefault="0076174D" w:rsidP="00F06A16">
            <w:pPr>
              <w:pStyle w:val="TableBodyText"/>
              <w:jc w:val="both"/>
              <w:rPr>
                <w:rFonts w:cs="Arial"/>
                <w:u w:val="single"/>
              </w:rPr>
            </w:pPr>
            <w:r w:rsidRPr="002677A9">
              <w:rPr>
                <w:rFonts w:cs="Arial"/>
                <w:u w:val="single"/>
              </w:rPr>
              <w:t xml:space="preserve">Definition: </w:t>
            </w:r>
          </w:p>
          <w:p w:rsidR="0076174D" w:rsidRPr="002677A9" w:rsidRDefault="0076174D" w:rsidP="00F06A16">
            <w:pPr>
              <w:pStyle w:val="TableBodyText"/>
              <w:jc w:val="both"/>
              <w:rPr>
                <w:rFonts w:cs="Arial"/>
              </w:rPr>
            </w:pPr>
            <w:r w:rsidRPr="002677A9">
              <w:rPr>
                <w:rFonts w:cs="Arial"/>
              </w:rPr>
              <w:t>Improvement in the TCP clients level of functioning.</w:t>
            </w:r>
          </w:p>
          <w:p w:rsidR="0076174D" w:rsidRPr="002677A9" w:rsidRDefault="0076174D" w:rsidP="00F06A16">
            <w:pPr>
              <w:pStyle w:val="TableBodyText"/>
              <w:jc w:val="both"/>
              <w:rPr>
                <w:rFonts w:cs="Arial"/>
                <w:u w:val="single"/>
              </w:rPr>
            </w:pPr>
            <w:r w:rsidRPr="002677A9">
              <w:rPr>
                <w:rFonts w:cs="Arial"/>
                <w:u w:val="single"/>
              </w:rPr>
              <w:t>Numerators:</w:t>
            </w:r>
          </w:p>
          <w:p w:rsidR="0076174D" w:rsidRPr="002677A9" w:rsidRDefault="0076174D" w:rsidP="00F06A16">
            <w:pPr>
              <w:pStyle w:val="TableBodyText"/>
              <w:jc w:val="both"/>
              <w:rPr>
                <w:rFonts w:cs="Arial"/>
              </w:rPr>
            </w:pPr>
            <w:r w:rsidRPr="002677A9">
              <w:rPr>
                <w:rFonts w:cs="Arial"/>
              </w:rPr>
              <w:t xml:space="preserve">Average Modified </w:t>
            </w:r>
            <w:proofErr w:type="spellStart"/>
            <w:r w:rsidRPr="002677A9">
              <w:rPr>
                <w:rFonts w:cs="Arial"/>
              </w:rPr>
              <w:t>Barthel</w:t>
            </w:r>
            <w:proofErr w:type="spellEnd"/>
            <w:r w:rsidRPr="002677A9">
              <w:rPr>
                <w:rFonts w:cs="Arial"/>
              </w:rPr>
              <w:t xml:space="preserve"> Index (</w:t>
            </w:r>
            <w:proofErr w:type="spellStart"/>
            <w:r w:rsidRPr="002677A9">
              <w:rPr>
                <w:rFonts w:cs="Arial"/>
              </w:rPr>
              <w:t>MBI</w:t>
            </w:r>
            <w:proofErr w:type="spellEnd"/>
            <w:r w:rsidRPr="002677A9">
              <w:rPr>
                <w:rFonts w:cs="Arial"/>
              </w:rPr>
              <w:t>) score</w:t>
            </w:r>
            <w:r w:rsidRPr="002677A9">
              <w:rPr>
                <w:rStyle w:val="NoteLabel"/>
              </w:rPr>
              <w:t>a</w:t>
            </w:r>
            <w:r w:rsidRPr="002677A9">
              <w:rPr>
                <w:rFonts w:cs="Arial"/>
              </w:rPr>
              <w:t xml:space="preserve"> on entry to the TCP. </w:t>
            </w:r>
          </w:p>
          <w:p w:rsidR="0076174D" w:rsidRPr="002677A9" w:rsidRDefault="0076174D" w:rsidP="00F06A16">
            <w:pPr>
              <w:pStyle w:val="TableBodyText"/>
              <w:jc w:val="both"/>
              <w:rPr>
                <w:rFonts w:cs="Arial"/>
              </w:rPr>
            </w:pPr>
            <w:r w:rsidRPr="002677A9">
              <w:rPr>
                <w:rFonts w:cs="Arial"/>
              </w:rPr>
              <w:t xml:space="preserve">Average </w:t>
            </w:r>
            <w:proofErr w:type="spellStart"/>
            <w:r w:rsidRPr="002677A9">
              <w:rPr>
                <w:rFonts w:cs="Arial"/>
              </w:rPr>
              <w:t>MBI</w:t>
            </w:r>
            <w:proofErr w:type="spellEnd"/>
            <w:r w:rsidRPr="002677A9">
              <w:rPr>
                <w:rFonts w:cs="Arial"/>
              </w:rPr>
              <w:t xml:space="preserve"> score</w:t>
            </w:r>
            <w:r w:rsidRPr="002677A9">
              <w:rPr>
                <w:rStyle w:val="NoteLabel"/>
              </w:rPr>
              <w:t>a</w:t>
            </w:r>
            <w:r w:rsidRPr="002677A9">
              <w:rPr>
                <w:rFonts w:cs="Arial"/>
              </w:rPr>
              <w:t xml:space="preserve"> on exit from the TCP. </w:t>
            </w:r>
          </w:p>
          <w:p w:rsidR="0076174D" w:rsidRPr="002677A9" w:rsidRDefault="0076174D" w:rsidP="00F06A16">
            <w:pPr>
              <w:pStyle w:val="TableBodyText"/>
              <w:jc w:val="both"/>
              <w:rPr>
                <w:rFonts w:cs="Arial"/>
                <w:u w:val="single"/>
              </w:rPr>
            </w:pPr>
            <w:r w:rsidRPr="002677A9">
              <w:rPr>
                <w:rFonts w:cs="Arial"/>
                <w:u w:val="single"/>
              </w:rPr>
              <w:t>Computation:</w:t>
            </w:r>
          </w:p>
          <w:p w:rsidR="0076174D" w:rsidRPr="002677A9" w:rsidRDefault="0076174D" w:rsidP="00F06A16">
            <w:pPr>
              <w:pStyle w:val="TableBodyText"/>
              <w:jc w:val="both"/>
              <w:rPr>
                <w:rFonts w:cs="Arial"/>
              </w:rPr>
            </w:pPr>
            <w:r w:rsidRPr="002677A9">
              <w:rPr>
                <w:rFonts w:cs="Arial"/>
              </w:rPr>
              <w:t xml:space="preserve">Comparison of </w:t>
            </w:r>
            <w:proofErr w:type="spellStart"/>
            <w:r w:rsidRPr="002677A9">
              <w:rPr>
                <w:rFonts w:cs="Arial"/>
              </w:rPr>
              <w:t>MBI</w:t>
            </w:r>
            <w:proofErr w:type="spellEnd"/>
            <w:r w:rsidRPr="002677A9">
              <w:rPr>
                <w:rFonts w:cs="Arial"/>
              </w:rPr>
              <w:t xml:space="preserve"> score on entry to </w:t>
            </w:r>
            <w:proofErr w:type="spellStart"/>
            <w:r w:rsidRPr="002677A9">
              <w:rPr>
                <w:rFonts w:cs="Arial"/>
              </w:rPr>
              <w:t>MBI</w:t>
            </w:r>
            <w:proofErr w:type="spellEnd"/>
            <w:r w:rsidRPr="002677A9">
              <w:rPr>
                <w:rFonts w:cs="Arial"/>
              </w:rPr>
              <w:t xml:space="preserve"> score on exit.</w:t>
            </w:r>
          </w:p>
          <w:p w:rsidR="0076174D" w:rsidRPr="002677A9" w:rsidRDefault="0076174D" w:rsidP="00F06A16">
            <w:pPr>
              <w:pStyle w:val="TableBodyText"/>
              <w:jc w:val="both"/>
              <w:rPr>
                <w:rFonts w:cs="Arial"/>
                <w:u w:val="single"/>
              </w:rPr>
            </w:pPr>
            <w:r w:rsidRPr="002677A9">
              <w:rPr>
                <w:rFonts w:cs="Arial"/>
                <w:u w:val="single"/>
              </w:rPr>
              <w:t>Notes:</w:t>
            </w:r>
          </w:p>
          <w:p w:rsidR="0076174D" w:rsidRPr="002677A9" w:rsidRDefault="0076174D" w:rsidP="001A3164">
            <w:pPr>
              <w:keepNext/>
              <w:keepLines/>
              <w:spacing w:after="120" w:line="220" w:lineRule="atLeast"/>
              <w:ind w:left="6" w:right="113"/>
              <w:jc w:val="both"/>
              <w:rPr>
                <w:rFonts w:ascii="Arial" w:hAnsi="Arial"/>
                <w:sz w:val="20"/>
                <w:szCs w:val="20"/>
              </w:rPr>
            </w:pPr>
            <w:proofErr w:type="spellStart"/>
            <w:r w:rsidRPr="002677A9">
              <w:rPr>
                <w:rStyle w:val="NoteLabel"/>
              </w:rPr>
              <w:t>a</w:t>
            </w:r>
            <w:proofErr w:type="spellEnd"/>
            <w:r w:rsidRPr="002677A9">
              <w:rPr>
                <w:rFonts w:cs="Arial"/>
              </w:rPr>
              <w:t xml:space="preserve"> </w:t>
            </w:r>
            <w:r w:rsidRPr="002677A9">
              <w:rPr>
                <w:rFonts w:ascii="Arial" w:hAnsi="Arial" w:cs="Arial"/>
                <w:sz w:val="20"/>
                <w:szCs w:val="20"/>
              </w:rPr>
              <w:t xml:space="preserve">The minimum </w:t>
            </w:r>
            <w:proofErr w:type="spellStart"/>
            <w:r w:rsidRPr="002677A9">
              <w:rPr>
                <w:rFonts w:ascii="Arial" w:hAnsi="Arial" w:cs="Arial"/>
                <w:sz w:val="20"/>
                <w:szCs w:val="20"/>
              </w:rPr>
              <w:t>MBI</w:t>
            </w:r>
            <w:proofErr w:type="spellEnd"/>
            <w:r w:rsidRPr="002677A9">
              <w:rPr>
                <w:rFonts w:ascii="Arial" w:hAnsi="Arial" w:cs="Arial"/>
                <w:sz w:val="20"/>
                <w:szCs w:val="20"/>
              </w:rPr>
              <w:t xml:space="preserve"> score is 0 (fully dependent) and the maximum score is 100 (fully independent).</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Data source/s</w:t>
            </w:r>
          </w:p>
        </w:tc>
        <w:tc>
          <w:tcPr>
            <w:tcW w:w="3976" w:type="pct"/>
          </w:tcPr>
          <w:p w:rsidR="0076174D" w:rsidRPr="002677A9" w:rsidRDefault="0076174D" w:rsidP="008045E2">
            <w:pPr>
              <w:keepNext/>
              <w:keepLines/>
              <w:spacing w:after="120" w:line="220" w:lineRule="atLeast"/>
              <w:ind w:left="6" w:right="113"/>
              <w:jc w:val="both"/>
              <w:rPr>
                <w:rFonts w:ascii="Arial" w:hAnsi="Arial"/>
                <w:sz w:val="20"/>
                <w:szCs w:val="20"/>
              </w:rPr>
            </w:pPr>
            <w:r w:rsidRPr="002677A9">
              <w:rPr>
                <w:rFonts w:ascii="Arial" w:hAnsi="Arial"/>
                <w:sz w:val="20"/>
                <w:szCs w:val="20"/>
              </w:rPr>
              <w:t xml:space="preserve">Australian Government </w:t>
            </w:r>
            <w:r w:rsidR="008045E2">
              <w:rPr>
                <w:rFonts w:ascii="Arial" w:hAnsi="Arial"/>
                <w:sz w:val="20"/>
                <w:szCs w:val="20"/>
              </w:rPr>
              <w:t>DSS</w:t>
            </w:r>
            <w:r w:rsidRPr="002677A9">
              <w:rPr>
                <w:rFonts w:ascii="Arial" w:hAnsi="Arial"/>
                <w:sz w:val="20"/>
                <w:szCs w:val="20"/>
              </w:rPr>
              <w:t xml:space="preserve"> aged care data warehouse.</w:t>
            </w:r>
          </w:p>
        </w:tc>
      </w:tr>
      <w:tr w:rsidR="0076174D" w:rsidRPr="00622971" w:rsidTr="00F06A16">
        <w:tblPrEx>
          <w:tblCellMar>
            <w:left w:w="108" w:type="dxa"/>
            <w:right w:w="108" w:type="dxa"/>
          </w:tblCellMar>
          <w:tblLook w:val="01E0" w:firstRow="1" w:lastRow="1" w:firstColumn="1" w:lastColumn="1" w:noHBand="0" w:noVBand="0"/>
        </w:tblPrEx>
        <w:trPr>
          <w:trHeight w:val="269"/>
        </w:trPr>
        <w:tc>
          <w:tcPr>
            <w:tcW w:w="5000" w:type="pct"/>
            <w:gridSpan w:val="2"/>
          </w:tcPr>
          <w:p w:rsidR="0076174D" w:rsidRDefault="0076174D" w:rsidP="001A3164">
            <w:pPr>
              <w:pStyle w:val="TableBodyText"/>
              <w:jc w:val="both"/>
              <w:rPr>
                <w:rFonts w:cs="Arial"/>
                <w:b/>
                <w:bCs/>
                <w:u w:val="single"/>
              </w:rPr>
            </w:pPr>
          </w:p>
          <w:p w:rsidR="0076174D" w:rsidRPr="004F09C0" w:rsidRDefault="0076174D" w:rsidP="00F06A16">
            <w:pPr>
              <w:keepNext/>
              <w:keepLines/>
              <w:jc w:val="both"/>
              <w:rPr>
                <w:rFonts w:ascii="Arial" w:hAnsi="Arial" w:cs="Arial"/>
                <w:b/>
                <w:bCs/>
                <w:sz w:val="20"/>
                <w:u w:val="single"/>
              </w:rPr>
            </w:pPr>
            <w:r w:rsidRPr="002677A9">
              <w:rPr>
                <w:rFonts w:ascii="Arial" w:hAnsi="Arial" w:cs="Arial"/>
                <w:b/>
                <w:bCs/>
                <w:sz w:val="20"/>
                <w:u w:val="single"/>
              </w:rPr>
              <w:t>Data Quality Framework Dimensions</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Institutional Environment</w:t>
            </w:r>
          </w:p>
        </w:tc>
        <w:tc>
          <w:tcPr>
            <w:tcW w:w="3976" w:type="pct"/>
          </w:tcPr>
          <w:p w:rsidR="0076174D" w:rsidRPr="002677A9" w:rsidRDefault="0076174D" w:rsidP="008045E2">
            <w:pPr>
              <w:keepNext/>
              <w:keepLines/>
              <w:spacing w:after="120" w:line="220" w:lineRule="atLeast"/>
              <w:ind w:left="6" w:right="113"/>
              <w:jc w:val="both"/>
              <w:rPr>
                <w:rFonts w:ascii="Arial" w:hAnsi="Arial"/>
                <w:sz w:val="20"/>
                <w:szCs w:val="20"/>
              </w:rPr>
            </w:pPr>
            <w:r w:rsidRPr="002677A9">
              <w:rPr>
                <w:rFonts w:ascii="Arial" w:hAnsi="Arial"/>
                <w:sz w:val="20"/>
                <w:szCs w:val="20"/>
              </w:rPr>
              <w:t xml:space="preserve">The flexible care places used in the Transition Care Program are legislated by the Act and the Principles made under the Act. The Transition Care Program is </w:t>
            </w:r>
            <w:r>
              <w:rPr>
                <w:rFonts w:ascii="Arial" w:hAnsi="Arial"/>
                <w:sz w:val="20"/>
                <w:szCs w:val="20"/>
              </w:rPr>
              <w:t xml:space="preserve">jointly </w:t>
            </w:r>
            <w:r w:rsidRPr="002677A9">
              <w:rPr>
                <w:rFonts w:ascii="Arial" w:hAnsi="Arial"/>
                <w:sz w:val="20"/>
                <w:szCs w:val="20"/>
              </w:rPr>
              <w:t xml:space="preserve">funded </w:t>
            </w:r>
            <w:r>
              <w:rPr>
                <w:rFonts w:ascii="Arial" w:hAnsi="Arial"/>
                <w:sz w:val="20"/>
                <w:szCs w:val="20"/>
              </w:rPr>
              <w:t>by</w:t>
            </w:r>
            <w:r w:rsidRPr="002677A9">
              <w:rPr>
                <w:rFonts w:ascii="Arial" w:hAnsi="Arial"/>
                <w:sz w:val="20"/>
                <w:szCs w:val="20"/>
              </w:rPr>
              <w:t xml:space="preserve"> the Australian and State and Territory governments. Service providers submit claims to </w:t>
            </w:r>
            <w:r>
              <w:rPr>
                <w:rFonts w:ascii="Arial" w:hAnsi="Arial"/>
                <w:sz w:val="20"/>
                <w:szCs w:val="20"/>
              </w:rPr>
              <w:t xml:space="preserve">the </w:t>
            </w:r>
            <w:proofErr w:type="spellStart"/>
            <w:r w:rsidR="008045E2">
              <w:rPr>
                <w:rFonts w:ascii="Arial" w:hAnsi="Arial"/>
                <w:sz w:val="20"/>
                <w:szCs w:val="20"/>
              </w:rPr>
              <w:t>DHS</w:t>
            </w:r>
            <w:proofErr w:type="spellEnd"/>
            <w:r>
              <w:rPr>
                <w:rFonts w:ascii="Arial" w:hAnsi="Arial"/>
                <w:sz w:val="20"/>
                <w:szCs w:val="20"/>
              </w:rPr>
              <w:t xml:space="preserve"> </w:t>
            </w:r>
            <w:r w:rsidR="00104B60">
              <w:rPr>
                <w:rFonts w:ascii="Arial" w:hAnsi="Arial"/>
                <w:sz w:val="20"/>
                <w:szCs w:val="20"/>
              </w:rPr>
              <w:noBreakHyphen/>
            </w:r>
            <w:r>
              <w:rPr>
                <w:rFonts w:ascii="Arial" w:hAnsi="Arial"/>
                <w:sz w:val="20"/>
                <w:szCs w:val="20"/>
              </w:rPr>
              <w:t xml:space="preserve"> Medicare</w:t>
            </w:r>
            <w:r w:rsidRPr="002677A9">
              <w:rPr>
                <w:rFonts w:ascii="Arial" w:hAnsi="Arial"/>
                <w:sz w:val="20"/>
                <w:szCs w:val="20"/>
              </w:rPr>
              <w:t xml:space="preserve"> to claim for services delivered under the Transition Care Program. These data are provided to the </w:t>
            </w:r>
            <w:r w:rsidR="008045E2">
              <w:rPr>
                <w:rFonts w:ascii="Arial" w:hAnsi="Arial"/>
                <w:sz w:val="20"/>
                <w:szCs w:val="20"/>
              </w:rPr>
              <w:t>DSS</w:t>
            </w:r>
            <w:r w:rsidRPr="002677A9">
              <w:rPr>
                <w:rFonts w:ascii="Arial" w:hAnsi="Arial"/>
                <w:sz w:val="20"/>
                <w:szCs w:val="20"/>
              </w:rPr>
              <w:t xml:space="preserve"> and are stored in the Ageing and Aged Care data warehouse.</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Relevance</w:t>
            </w:r>
          </w:p>
        </w:tc>
        <w:tc>
          <w:tcPr>
            <w:tcW w:w="3976" w:type="pct"/>
          </w:tcPr>
          <w:p w:rsidR="0076174D" w:rsidRPr="002677A9" w:rsidRDefault="0076174D" w:rsidP="00F06A16">
            <w:pPr>
              <w:keepNext/>
              <w:keepLines/>
              <w:spacing w:line="220" w:lineRule="atLeast"/>
              <w:ind w:left="6" w:right="113"/>
              <w:jc w:val="both"/>
              <w:rPr>
                <w:rFonts w:ascii="Arial" w:hAnsi="Arial"/>
                <w:sz w:val="20"/>
                <w:szCs w:val="20"/>
              </w:rPr>
            </w:pPr>
            <w:r w:rsidRPr="002677A9">
              <w:rPr>
                <w:rFonts w:ascii="Arial" w:hAnsi="Arial"/>
                <w:sz w:val="20"/>
                <w:szCs w:val="20"/>
              </w:rPr>
              <w:t>The data provides complete coverage of aged care services subsidised by the Australian Government under the Transition Care Program.</w:t>
            </w:r>
          </w:p>
          <w:p w:rsidR="0076174D" w:rsidRPr="001A3164" w:rsidRDefault="0076174D" w:rsidP="00C41167">
            <w:pPr>
              <w:keepNext/>
              <w:keepLines/>
              <w:spacing w:after="120" w:line="220" w:lineRule="atLeast"/>
              <w:ind w:left="6" w:right="113"/>
              <w:jc w:val="both"/>
              <w:rPr>
                <w:rFonts w:ascii="Arial" w:hAnsi="Arial"/>
                <w:sz w:val="20"/>
                <w:szCs w:val="20"/>
              </w:rPr>
            </w:pPr>
            <w:r w:rsidRPr="002677A9">
              <w:rPr>
                <w:rFonts w:ascii="Arial" w:hAnsi="Arial"/>
                <w:sz w:val="20"/>
                <w:szCs w:val="20"/>
              </w:rPr>
              <w:t xml:space="preserve">Transition Care Program clients can move from one facility to another during their care. </w:t>
            </w:r>
            <w:r>
              <w:rPr>
                <w:rFonts w:ascii="Arial" w:hAnsi="Arial"/>
                <w:sz w:val="20"/>
                <w:szCs w:val="20"/>
              </w:rPr>
              <w:t>F</w:t>
            </w:r>
            <w:r w:rsidR="00C41167">
              <w:rPr>
                <w:rFonts w:ascii="Arial" w:hAnsi="Arial"/>
                <w:sz w:val="20"/>
                <w:szCs w:val="20"/>
              </w:rPr>
              <w:t>rom</w:t>
            </w:r>
            <w:r w:rsidRPr="002677A9">
              <w:rPr>
                <w:rFonts w:ascii="Arial" w:hAnsi="Arial"/>
                <w:sz w:val="20"/>
                <w:szCs w:val="20"/>
              </w:rPr>
              <w:t xml:space="preserve"> 2011</w:t>
            </w:r>
            <w:r w:rsidR="00104B60">
              <w:rPr>
                <w:rFonts w:ascii="Arial" w:hAnsi="Arial"/>
                <w:sz w:val="20"/>
                <w:szCs w:val="20"/>
              </w:rPr>
              <w:noBreakHyphen/>
            </w:r>
            <w:r w:rsidRPr="002677A9">
              <w:rPr>
                <w:rFonts w:ascii="Arial" w:hAnsi="Arial"/>
                <w:sz w:val="20"/>
                <w:szCs w:val="20"/>
              </w:rPr>
              <w:t>12</w:t>
            </w:r>
            <w:r>
              <w:rPr>
                <w:rFonts w:ascii="Arial" w:hAnsi="Arial"/>
                <w:sz w:val="20"/>
                <w:szCs w:val="20"/>
              </w:rPr>
              <w:t xml:space="preserve"> data, c</w:t>
            </w:r>
            <w:r w:rsidRPr="002677A9">
              <w:rPr>
                <w:rFonts w:ascii="Arial" w:hAnsi="Arial"/>
                <w:sz w:val="20"/>
                <w:szCs w:val="20"/>
              </w:rPr>
              <w:t>lient</w:t>
            </w:r>
            <w:r>
              <w:rPr>
                <w:rFonts w:ascii="Arial" w:hAnsi="Arial"/>
                <w:sz w:val="20"/>
                <w:szCs w:val="20"/>
              </w:rPr>
              <w:t>s</w:t>
            </w:r>
            <w:r w:rsidRPr="002677A9">
              <w:rPr>
                <w:rFonts w:ascii="Arial" w:hAnsi="Arial"/>
                <w:sz w:val="20"/>
                <w:szCs w:val="20"/>
              </w:rPr>
              <w:t xml:space="preserve"> who transfer are excluded so that there is no double counting. This applies to a very small proportion of clients, approximately 2 per cent.</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Timeliness</w:t>
            </w:r>
          </w:p>
        </w:tc>
        <w:tc>
          <w:tcPr>
            <w:tcW w:w="3976" w:type="pct"/>
          </w:tcPr>
          <w:p w:rsidR="0076174D" w:rsidRPr="001A3164" w:rsidRDefault="0076174D" w:rsidP="001A3164">
            <w:pPr>
              <w:keepNext/>
              <w:keepLines/>
              <w:spacing w:after="120" w:line="220" w:lineRule="atLeast"/>
              <w:ind w:left="6" w:right="113"/>
              <w:jc w:val="both"/>
              <w:rPr>
                <w:rFonts w:ascii="Arial" w:hAnsi="Arial"/>
                <w:sz w:val="20"/>
                <w:szCs w:val="20"/>
              </w:rPr>
            </w:pPr>
            <w:r w:rsidRPr="002677A9">
              <w:rPr>
                <w:rFonts w:ascii="Arial" w:hAnsi="Arial"/>
                <w:sz w:val="20"/>
                <w:szCs w:val="20"/>
              </w:rPr>
              <w:t>Claims are submitted by service providers on a monthly basis for services delivered under the Transition Care Program. Data for the current reporting period is available October each year.</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Accuracy</w:t>
            </w:r>
          </w:p>
        </w:tc>
        <w:tc>
          <w:tcPr>
            <w:tcW w:w="3976" w:type="pct"/>
          </w:tcPr>
          <w:p w:rsidR="0076174D" w:rsidRPr="002677A9" w:rsidRDefault="0076174D" w:rsidP="003B2D5A">
            <w:pPr>
              <w:keepNext/>
              <w:keepLines/>
              <w:spacing w:after="120" w:line="220" w:lineRule="atLeast"/>
              <w:ind w:left="6" w:right="113"/>
              <w:jc w:val="both"/>
              <w:rPr>
                <w:rFonts w:ascii="Arial" w:hAnsi="Arial"/>
                <w:sz w:val="20"/>
                <w:szCs w:val="20"/>
              </w:rPr>
            </w:pPr>
            <w:r w:rsidRPr="002677A9">
              <w:rPr>
                <w:rFonts w:ascii="Arial" w:hAnsi="Arial"/>
                <w:sz w:val="20"/>
                <w:szCs w:val="20"/>
              </w:rPr>
              <w:t xml:space="preserve">Subsidies to service providers of Transition Care under the Act and the Principles </w:t>
            </w:r>
            <w:r>
              <w:rPr>
                <w:rFonts w:ascii="Arial" w:hAnsi="Arial"/>
                <w:sz w:val="20"/>
                <w:szCs w:val="20"/>
              </w:rPr>
              <w:t>are</w:t>
            </w:r>
            <w:r w:rsidRPr="002677A9">
              <w:rPr>
                <w:rFonts w:ascii="Arial" w:hAnsi="Arial"/>
                <w:sz w:val="20"/>
                <w:szCs w:val="20"/>
              </w:rPr>
              <w:t xml:space="preserve"> contingent on their submitting claims to </w:t>
            </w:r>
            <w:r>
              <w:rPr>
                <w:rFonts w:ascii="Arial" w:hAnsi="Arial"/>
                <w:sz w:val="20"/>
                <w:szCs w:val="20"/>
              </w:rPr>
              <w:t xml:space="preserve">the </w:t>
            </w:r>
            <w:proofErr w:type="spellStart"/>
            <w:r w:rsidR="008045E2">
              <w:rPr>
                <w:rFonts w:ascii="Arial" w:hAnsi="Arial"/>
                <w:sz w:val="20"/>
                <w:szCs w:val="20"/>
              </w:rPr>
              <w:t>DHS</w:t>
            </w:r>
            <w:proofErr w:type="spellEnd"/>
            <w:r>
              <w:rPr>
                <w:rFonts w:ascii="Arial" w:hAnsi="Arial"/>
                <w:sz w:val="20"/>
                <w:szCs w:val="20"/>
              </w:rPr>
              <w:t xml:space="preserve"> </w:t>
            </w:r>
            <w:r w:rsidR="00237358">
              <w:rPr>
                <w:rFonts w:ascii="Calibri" w:hAnsi="Calibri"/>
                <w:sz w:val="20"/>
                <w:szCs w:val="20"/>
              </w:rPr>
              <w:t>―</w:t>
            </w:r>
            <w:r>
              <w:rPr>
                <w:rFonts w:ascii="Arial" w:hAnsi="Arial"/>
                <w:sz w:val="20"/>
                <w:szCs w:val="20"/>
              </w:rPr>
              <w:t xml:space="preserve"> Medicare</w:t>
            </w:r>
            <w:r w:rsidRPr="002677A9">
              <w:rPr>
                <w:rFonts w:ascii="Arial" w:hAnsi="Arial"/>
                <w:sz w:val="20"/>
                <w:szCs w:val="20"/>
              </w:rPr>
              <w:t>. Service providers’ claims are audited annually.</w:t>
            </w:r>
          </w:p>
          <w:p w:rsidR="0076174D" w:rsidRPr="002677A9" w:rsidRDefault="0076174D" w:rsidP="001A3164">
            <w:pPr>
              <w:keepNext/>
              <w:keepLines/>
              <w:spacing w:after="120" w:line="220" w:lineRule="atLeast"/>
              <w:ind w:left="6" w:right="113"/>
              <w:jc w:val="both"/>
              <w:rPr>
                <w:rFonts w:ascii="Arial" w:hAnsi="Arial"/>
                <w:sz w:val="20"/>
                <w:szCs w:val="20"/>
              </w:rPr>
            </w:pPr>
            <w:r>
              <w:rPr>
                <w:rFonts w:ascii="Arial" w:hAnsi="Arial"/>
                <w:sz w:val="20"/>
                <w:szCs w:val="20"/>
              </w:rPr>
              <w:t xml:space="preserve">Clients who transferred across facilities </w:t>
            </w:r>
            <w:r w:rsidRPr="002677A9">
              <w:rPr>
                <w:rFonts w:ascii="Arial" w:hAnsi="Arial"/>
                <w:sz w:val="20"/>
                <w:szCs w:val="20"/>
              </w:rPr>
              <w:t>are double count</w:t>
            </w:r>
            <w:r>
              <w:rPr>
                <w:rFonts w:ascii="Arial" w:hAnsi="Arial"/>
                <w:sz w:val="20"/>
                <w:szCs w:val="20"/>
              </w:rPr>
              <w:t>ed in the data before 2</w:t>
            </w:r>
            <w:r w:rsidRPr="002677A9">
              <w:rPr>
                <w:rFonts w:ascii="Arial" w:hAnsi="Arial"/>
                <w:sz w:val="20"/>
                <w:szCs w:val="20"/>
              </w:rPr>
              <w:t>011</w:t>
            </w:r>
            <w:r w:rsidR="00104B60">
              <w:rPr>
                <w:rFonts w:ascii="Arial" w:hAnsi="Arial"/>
                <w:sz w:val="20"/>
                <w:szCs w:val="20"/>
              </w:rPr>
              <w:noBreakHyphen/>
            </w:r>
            <w:r w:rsidRPr="002677A9">
              <w:rPr>
                <w:rFonts w:ascii="Arial" w:hAnsi="Arial"/>
                <w:sz w:val="20"/>
                <w:szCs w:val="20"/>
              </w:rPr>
              <w:t>12. This applies to a very small proportion of clients, approximately 2 per cent</w:t>
            </w:r>
            <w:r>
              <w:rPr>
                <w:rFonts w:ascii="Arial" w:hAnsi="Arial"/>
                <w:sz w:val="20"/>
                <w:szCs w:val="20"/>
              </w:rPr>
              <w:t>.</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2677A9" w:rsidRDefault="0076174D" w:rsidP="00F06A16">
            <w:pPr>
              <w:pStyle w:val="TableBodyText"/>
              <w:ind w:left="0"/>
              <w:jc w:val="both"/>
              <w:rPr>
                <w:rFonts w:cs="Arial"/>
                <w:b/>
              </w:rPr>
            </w:pPr>
            <w:r w:rsidRPr="002677A9">
              <w:rPr>
                <w:rFonts w:cs="Arial"/>
                <w:b/>
              </w:rPr>
              <w:t>Coherence</w:t>
            </w:r>
          </w:p>
        </w:tc>
        <w:tc>
          <w:tcPr>
            <w:tcW w:w="3976" w:type="pct"/>
          </w:tcPr>
          <w:p w:rsidR="0076174D" w:rsidRPr="0015160E" w:rsidRDefault="0076174D" w:rsidP="003B2D5A">
            <w:pPr>
              <w:keepNext/>
              <w:keepLines/>
              <w:spacing w:after="120" w:line="220" w:lineRule="atLeast"/>
              <w:ind w:left="6" w:right="113"/>
              <w:jc w:val="both"/>
              <w:rPr>
                <w:rFonts w:ascii="Arial" w:hAnsi="Arial"/>
                <w:sz w:val="20"/>
                <w:szCs w:val="20"/>
              </w:rPr>
            </w:pPr>
            <w:r w:rsidRPr="0015160E">
              <w:rPr>
                <w:rFonts w:ascii="Arial" w:hAnsi="Arial"/>
                <w:sz w:val="20"/>
                <w:szCs w:val="20"/>
              </w:rPr>
              <w:t>The data items used to construct this performance indicator will be consistent and comparable over time.</w:t>
            </w:r>
          </w:p>
          <w:p w:rsidR="0076174D" w:rsidRDefault="0076174D" w:rsidP="00237358">
            <w:pPr>
              <w:keepNext/>
              <w:keepLines/>
              <w:spacing w:after="120" w:line="220" w:lineRule="atLeast"/>
              <w:ind w:left="6" w:right="113"/>
              <w:jc w:val="both"/>
              <w:rPr>
                <w:rFonts w:ascii="Arial" w:hAnsi="Arial"/>
                <w:sz w:val="20"/>
                <w:szCs w:val="20"/>
              </w:rPr>
            </w:pPr>
            <w:r>
              <w:rPr>
                <w:rFonts w:ascii="Arial" w:hAnsi="Arial"/>
                <w:sz w:val="20"/>
                <w:szCs w:val="20"/>
              </w:rPr>
              <w:t xml:space="preserve">Clients who transfer between facilities are excluded </w:t>
            </w:r>
            <w:r w:rsidRPr="002677A9">
              <w:rPr>
                <w:rFonts w:ascii="Arial" w:hAnsi="Arial"/>
                <w:sz w:val="20"/>
                <w:szCs w:val="20"/>
              </w:rPr>
              <w:t>from 2011</w:t>
            </w:r>
            <w:r w:rsidR="00104B60">
              <w:rPr>
                <w:rFonts w:ascii="Arial" w:hAnsi="Arial"/>
                <w:sz w:val="20"/>
                <w:szCs w:val="20"/>
              </w:rPr>
              <w:noBreakHyphen/>
            </w:r>
            <w:r w:rsidRPr="002677A9">
              <w:rPr>
                <w:rFonts w:ascii="Arial" w:hAnsi="Arial"/>
                <w:sz w:val="20"/>
                <w:szCs w:val="20"/>
              </w:rPr>
              <w:t>12</w:t>
            </w:r>
            <w:r>
              <w:rPr>
                <w:rFonts w:ascii="Arial" w:hAnsi="Arial"/>
                <w:sz w:val="20"/>
                <w:szCs w:val="20"/>
              </w:rPr>
              <w:t>.</w:t>
            </w:r>
            <w:r w:rsidRPr="002677A9">
              <w:rPr>
                <w:rFonts w:ascii="Arial" w:hAnsi="Arial"/>
                <w:sz w:val="20"/>
                <w:szCs w:val="20"/>
              </w:rPr>
              <w:t xml:space="preserve"> </w:t>
            </w:r>
            <w:r w:rsidRPr="0015160E">
              <w:rPr>
                <w:rFonts w:ascii="Arial" w:hAnsi="Arial"/>
                <w:sz w:val="20"/>
                <w:szCs w:val="20"/>
              </w:rPr>
              <w:t>This will have a small effect on comparability with results from previous years.</w:t>
            </w:r>
          </w:p>
          <w:p w:rsidR="0076174D" w:rsidRPr="0015160E" w:rsidRDefault="0076174D" w:rsidP="00237358">
            <w:pPr>
              <w:keepNext/>
              <w:keepLines/>
              <w:spacing w:after="120" w:line="220" w:lineRule="atLeast"/>
              <w:ind w:left="6" w:right="113"/>
              <w:jc w:val="both"/>
              <w:rPr>
                <w:rFonts w:ascii="Arial" w:hAnsi="Arial"/>
                <w:sz w:val="20"/>
                <w:szCs w:val="20"/>
              </w:rPr>
            </w:pPr>
            <w:r w:rsidRPr="0015160E">
              <w:rPr>
                <w:rFonts w:ascii="Arial" w:hAnsi="Arial"/>
                <w:sz w:val="20"/>
                <w:szCs w:val="20"/>
              </w:rPr>
              <w:lastRenderedPageBreak/>
              <w:t>Different health and aged care service systems, local operating procedures and client groups can have an impact on the outcomes of the Transition Care Program across jurisdictions.</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F82D90" w:rsidRDefault="0076174D" w:rsidP="00F06A16">
            <w:pPr>
              <w:pStyle w:val="TableBodyText"/>
              <w:ind w:left="0"/>
              <w:jc w:val="both"/>
              <w:rPr>
                <w:rFonts w:cs="Arial"/>
                <w:b/>
              </w:rPr>
            </w:pPr>
            <w:r w:rsidRPr="00F82D90">
              <w:rPr>
                <w:rFonts w:cs="Arial"/>
                <w:b/>
              </w:rPr>
              <w:lastRenderedPageBreak/>
              <w:t>Accessibility</w:t>
            </w:r>
          </w:p>
        </w:tc>
        <w:tc>
          <w:tcPr>
            <w:tcW w:w="3976" w:type="pct"/>
          </w:tcPr>
          <w:p w:rsidR="0076174D" w:rsidRPr="001A3164" w:rsidRDefault="0076174D" w:rsidP="008045E2">
            <w:pPr>
              <w:keepNext/>
              <w:keepLines/>
              <w:spacing w:after="120" w:line="220" w:lineRule="atLeast"/>
              <w:ind w:left="6" w:right="113"/>
              <w:jc w:val="both"/>
              <w:rPr>
                <w:rFonts w:ascii="Arial" w:hAnsi="Arial"/>
                <w:sz w:val="20"/>
                <w:szCs w:val="20"/>
              </w:rPr>
            </w:pPr>
            <w:r w:rsidRPr="00003CE0">
              <w:rPr>
                <w:rFonts w:ascii="Arial" w:hAnsi="Arial"/>
                <w:sz w:val="20"/>
                <w:szCs w:val="20"/>
              </w:rPr>
              <w:t xml:space="preserve">Aggregated </w:t>
            </w:r>
            <w:r>
              <w:rPr>
                <w:rFonts w:ascii="Arial" w:hAnsi="Arial"/>
                <w:sz w:val="20"/>
                <w:szCs w:val="20"/>
              </w:rPr>
              <w:t>data items are published in the</w:t>
            </w:r>
            <w:r w:rsidRPr="00003CE0">
              <w:rPr>
                <w:rFonts w:ascii="Arial" w:hAnsi="Arial"/>
                <w:sz w:val="20"/>
                <w:szCs w:val="20"/>
              </w:rPr>
              <w:t xml:space="preserve"> </w:t>
            </w:r>
            <w:r w:rsidRPr="00A74884">
              <w:rPr>
                <w:rFonts w:ascii="Arial" w:hAnsi="Arial"/>
                <w:i/>
                <w:sz w:val="20"/>
                <w:szCs w:val="20"/>
              </w:rPr>
              <w:t>Reports on the Operation of the Aged Care Act 1997</w:t>
            </w:r>
            <w:r w:rsidRPr="00003CE0">
              <w:rPr>
                <w:rFonts w:ascii="Arial" w:hAnsi="Arial"/>
                <w:sz w:val="20"/>
                <w:szCs w:val="20"/>
              </w:rPr>
              <w:t xml:space="preserve"> prepared by the </w:t>
            </w:r>
            <w:r w:rsidR="008045E2">
              <w:rPr>
                <w:rFonts w:ascii="Arial" w:hAnsi="Arial"/>
                <w:sz w:val="20"/>
                <w:szCs w:val="20"/>
              </w:rPr>
              <w:t>DSS</w:t>
            </w:r>
            <w:r w:rsidRPr="00003CE0">
              <w:rPr>
                <w:rFonts w:ascii="Arial" w:hAnsi="Arial"/>
                <w:sz w:val="20"/>
                <w:szCs w:val="20"/>
              </w:rPr>
              <w:t xml:space="preserve">, and </w:t>
            </w:r>
            <w:r>
              <w:rPr>
                <w:rFonts w:ascii="Arial" w:hAnsi="Arial"/>
                <w:sz w:val="20"/>
                <w:szCs w:val="20"/>
              </w:rPr>
              <w:t xml:space="preserve">detailed data are </w:t>
            </w:r>
            <w:r w:rsidRPr="00003CE0">
              <w:rPr>
                <w:rFonts w:ascii="Arial" w:hAnsi="Arial"/>
                <w:sz w:val="20"/>
                <w:szCs w:val="20"/>
              </w:rPr>
              <w:t xml:space="preserve">in the AIHW aged care statistic series. </w:t>
            </w:r>
          </w:p>
        </w:tc>
      </w:tr>
      <w:tr w:rsidR="0076174D" w:rsidRPr="00622971" w:rsidTr="00F06A16">
        <w:tblPrEx>
          <w:tblCellMar>
            <w:left w:w="108" w:type="dxa"/>
            <w:right w:w="108" w:type="dxa"/>
          </w:tblCellMar>
          <w:tblLook w:val="01E0" w:firstRow="1" w:lastRow="1" w:firstColumn="1" w:lastColumn="1" w:noHBand="0" w:noVBand="0"/>
        </w:tblPrEx>
        <w:tc>
          <w:tcPr>
            <w:tcW w:w="1024" w:type="pct"/>
          </w:tcPr>
          <w:p w:rsidR="0076174D" w:rsidRPr="00F82D90" w:rsidRDefault="0076174D" w:rsidP="00F06A16">
            <w:pPr>
              <w:pStyle w:val="TableBodyText"/>
              <w:ind w:left="0"/>
              <w:jc w:val="both"/>
              <w:rPr>
                <w:rFonts w:cs="Arial"/>
                <w:b/>
              </w:rPr>
            </w:pPr>
            <w:r w:rsidRPr="00F82D90">
              <w:rPr>
                <w:rFonts w:cs="Arial"/>
                <w:b/>
              </w:rPr>
              <w:t>Interpretability</w:t>
            </w:r>
          </w:p>
        </w:tc>
        <w:tc>
          <w:tcPr>
            <w:tcW w:w="3976" w:type="pct"/>
          </w:tcPr>
          <w:p w:rsidR="0076174D" w:rsidRPr="001A3164" w:rsidRDefault="0076174D" w:rsidP="003B2D5A">
            <w:pPr>
              <w:keepNext/>
              <w:keepLines/>
              <w:spacing w:after="120" w:line="220" w:lineRule="atLeast"/>
              <w:ind w:left="6" w:right="113"/>
              <w:jc w:val="both"/>
              <w:rPr>
                <w:rFonts w:ascii="Arial" w:hAnsi="Arial"/>
                <w:sz w:val="20"/>
                <w:szCs w:val="20"/>
              </w:rPr>
            </w:pPr>
            <w:r w:rsidRPr="00003CE0">
              <w:rPr>
                <w:rFonts w:ascii="Arial" w:hAnsi="Arial"/>
                <w:sz w:val="20"/>
                <w:szCs w:val="20"/>
              </w:rPr>
              <w:t xml:space="preserve">Further information on definitions is available in the: </w:t>
            </w:r>
            <w:r w:rsidRPr="00003CE0">
              <w:rPr>
                <w:rFonts w:ascii="Arial" w:hAnsi="Arial"/>
                <w:i/>
                <w:sz w:val="20"/>
                <w:szCs w:val="20"/>
              </w:rPr>
              <w:t>Aged Care Act 1997</w:t>
            </w:r>
            <w:r w:rsidRPr="00003CE0">
              <w:rPr>
                <w:rFonts w:ascii="Arial" w:hAnsi="Arial"/>
                <w:sz w:val="20"/>
                <w:szCs w:val="20"/>
              </w:rPr>
              <w:t xml:space="preserve"> and Aged Care Principles</w:t>
            </w:r>
            <w:r>
              <w:rPr>
                <w:rFonts w:ascii="Arial" w:hAnsi="Arial"/>
                <w:sz w:val="20"/>
                <w:szCs w:val="20"/>
              </w:rPr>
              <w:t xml:space="preserve"> </w:t>
            </w:r>
            <w:r w:rsidRPr="00003CE0">
              <w:rPr>
                <w:rFonts w:ascii="Arial" w:hAnsi="Arial"/>
                <w:sz w:val="20"/>
                <w:szCs w:val="20"/>
              </w:rPr>
              <w:t>and the Transition Care Guidelines</w:t>
            </w:r>
            <w:r>
              <w:rPr>
                <w:rFonts w:ascii="Arial" w:hAnsi="Arial"/>
                <w:sz w:val="20"/>
                <w:szCs w:val="20"/>
              </w:rPr>
              <w:t xml:space="preserve"> 2011</w:t>
            </w:r>
            <w:r w:rsidRPr="00003CE0">
              <w:rPr>
                <w:rFonts w:ascii="Arial" w:hAnsi="Arial"/>
                <w:sz w:val="20"/>
                <w:szCs w:val="20"/>
              </w:rPr>
              <w:t>.</w:t>
            </w:r>
          </w:p>
        </w:tc>
      </w:tr>
      <w:tr w:rsidR="0076174D" w:rsidRPr="00622971" w:rsidTr="00F06A16">
        <w:tblPrEx>
          <w:tblCellMar>
            <w:left w:w="108" w:type="dxa"/>
            <w:right w:w="108" w:type="dxa"/>
          </w:tblCellMar>
          <w:tblLook w:val="01E0" w:firstRow="1" w:lastRow="1" w:firstColumn="1" w:lastColumn="1" w:noHBand="0" w:noVBand="0"/>
        </w:tblPrEx>
        <w:trPr>
          <w:trHeight w:val="225"/>
        </w:trPr>
        <w:tc>
          <w:tcPr>
            <w:tcW w:w="5000" w:type="pct"/>
            <w:gridSpan w:val="2"/>
          </w:tcPr>
          <w:p w:rsidR="001A3164" w:rsidRDefault="001A3164" w:rsidP="001A3164">
            <w:pPr>
              <w:pStyle w:val="TableBodyText"/>
              <w:jc w:val="both"/>
              <w:rPr>
                <w:rFonts w:cs="Arial"/>
                <w:b/>
                <w:szCs w:val="22"/>
                <w:u w:val="single"/>
              </w:rPr>
            </w:pPr>
          </w:p>
          <w:p w:rsidR="0076174D" w:rsidRPr="00F82D90" w:rsidRDefault="0076174D" w:rsidP="00F06A16">
            <w:pPr>
              <w:pStyle w:val="TableBodyText"/>
              <w:spacing w:before="120"/>
              <w:ind w:left="0"/>
              <w:jc w:val="both"/>
              <w:rPr>
                <w:rFonts w:cs="Arial"/>
                <w:b/>
                <w:szCs w:val="22"/>
                <w:u w:val="single"/>
              </w:rPr>
            </w:pPr>
            <w:r w:rsidRPr="00F82D90">
              <w:rPr>
                <w:rFonts w:cs="Arial"/>
                <w:b/>
                <w:szCs w:val="22"/>
                <w:u w:val="single"/>
              </w:rPr>
              <w:t>Data Gaps/Issues Analysis</w:t>
            </w:r>
          </w:p>
        </w:tc>
      </w:tr>
      <w:tr w:rsidR="0076174D" w:rsidRPr="00622971" w:rsidTr="001A3164">
        <w:tblPrEx>
          <w:tblCellMar>
            <w:left w:w="108" w:type="dxa"/>
            <w:right w:w="108" w:type="dxa"/>
          </w:tblCellMar>
          <w:tblLook w:val="01E0" w:firstRow="1" w:lastRow="1" w:firstColumn="1" w:lastColumn="1" w:noHBand="0" w:noVBand="0"/>
        </w:tblPrEx>
        <w:tc>
          <w:tcPr>
            <w:tcW w:w="1024" w:type="pct"/>
          </w:tcPr>
          <w:p w:rsidR="0076174D" w:rsidRPr="00F82D90" w:rsidRDefault="0076174D" w:rsidP="001A3164">
            <w:pPr>
              <w:pStyle w:val="TableBodyText"/>
              <w:ind w:left="0"/>
              <w:jc w:val="both"/>
              <w:rPr>
                <w:rFonts w:cs="Arial"/>
                <w:b/>
                <w:szCs w:val="22"/>
              </w:rPr>
            </w:pPr>
            <w:r w:rsidRPr="00F82D90">
              <w:rPr>
                <w:rFonts w:cs="Arial"/>
                <w:b/>
                <w:szCs w:val="22"/>
              </w:rPr>
              <w:t>Key data gaps/issues</w:t>
            </w:r>
          </w:p>
        </w:tc>
        <w:tc>
          <w:tcPr>
            <w:tcW w:w="3976" w:type="pct"/>
            <w:shd w:val="clear" w:color="auto" w:fill="auto"/>
          </w:tcPr>
          <w:p w:rsidR="0076174D" w:rsidRPr="00F82D90" w:rsidRDefault="0076174D" w:rsidP="00F06A16">
            <w:pPr>
              <w:pStyle w:val="TableBodyText"/>
              <w:spacing w:after="60"/>
              <w:jc w:val="both"/>
              <w:rPr>
                <w:rFonts w:cs="Arial"/>
              </w:rPr>
            </w:pPr>
            <w:r w:rsidRPr="00F82D90">
              <w:rPr>
                <w:rFonts w:cs="Arial"/>
              </w:rPr>
              <w:t xml:space="preserve">The Steering Committee notes the following issues: </w:t>
            </w:r>
          </w:p>
          <w:p w:rsidR="0076174D" w:rsidRPr="002C59E1" w:rsidRDefault="0076174D" w:rsidP="00F06A16">
            <w:pPr>
              <w:pStyle w:val="TableBullet"/>
              <w:keepNext w:val="0"/>
              <w:keepLines w:val="0"/>
              <w:jc w:val="both"/>
            </w:pPr>
            <w:r w:rsidRPr="002C59E1">
              <w:t xml:space="preserve">Annual data are available. The most recent data available are for </w:t>
            </w:r>
            <w:r>
              <w:br/>
              <w:t>201</w:t>
            </w:r>
            <w:r w:rsidR="00C41167">
              <w:t>2</w:t>
            </w:r>
            <w:r w:rsidR="00104B60">
              <w:noBreakHyphen/>
            </w:r>
            <w:r>
              <w:t>1</w:t>
            </w:r>
            <w:r w:rsidR="00C41167">
              <w:t>3</w:t>
            </w:r>
            <w:r>
              <w:t>.</w:t>
            </w:r>
            <w:r w:rsidRPr="002C59E1">
              <w:t xml:space="preserve"> </w:t>
            </w:r>
          </w:p>
          <w:p w:rsidR="0076174D" w:rsidRPr="00F82D90" w:rsidRDefault="0076174D" w:rsidP="00F06A16">
            <w:pPr>
              <w:pStyle w:val="TableBullet"/>
              <w:keepNext w:val="0"/>
              <w:keepLines w:val="0"/>
              <w:jc w:val="both"/>
            </w:pPr>
            <w:r w:rsidRPr="0015160E">
              <w:t xml:space="preserve">Different health and aged care service systems, local operating procedures and client groups can have an impact on the outcomes of the Transition Care Program </w:t>
            </w:r>
            <w:r>
              <w:t xml:space="preserve">results </w:t>
            </w:r>
            <w:r w:rsidRPr="0015160E">
              <w:t>across jurisdictions.</w:t>
            </w:r>
          </w:p>
        </w:tc>
      </w:tr>
    </w:tbl>
    <w:p w:rsidR="0076174D" w:rsidRPr="00CC65B8" w:rsidRDefault="0076174D" w:rsidP="0076174D">
      <w:pPr>
        <w:pStyle w:val="BodyText"/>
        <w:spacing w:before="120"/>
        <w:rPr>
          <w:rFonts w:ascii="Arial" w:hAnsi="Arial"/>
          <w:color w:val="1F497D" w:themeColor="text2"/>
          <w:sz w:val="22"/>
        </w:rPr>
      </w:pPr>
    </w:p>
    <w:p w:rsidR="00147C97" w:rsidRPr="0058260A" w:rsidRDefault="00147C97" w:rsidP="00BE5B08">
      <w:pPr>
        <w:jc w:val="both"/>
      </w:pPr>
    </w:p>
    <w:sectPr w:rsidR="00147C97" w:rsidRPr="0058260A" w:rsidSect="0028710F">
      <w:headerReference w:type="even" r:id="rId13"/>
      <w:headerReference w:type="default" r:id="rId14"/>
      <w:footerReference w:type="even" r:id="rId15"/>
      <w:footerReference w:type="default" r:id="rId16"/>
      <w:headerReference w:type="first" r:id="rId17"/>
      <w:footerReference w:type="first" r:id="rId1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B60" w:rsidRDefault="00104B60">
      <w:r>
        <w:separator/>
      </w:r>
    </w:p>
  </w:endnote>
  <w:endnote w:type="continuationSeparator" w:id="0">
    <w:p w:rsidR="00104B60" w:rsidRDefault="0010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04B60" w:rsidTr="0038073B">
      <w:trPr>
        <w:trHeight w:hRule="exact" w:val="740"/>
      </w:trPr>
      <w:tc>
        <w:tcPr>
          <w:tcW w:w="510" w:type="dxa"/>
          <w:tcBorders>
            <w:top w:val="single" w:sz="6" w:space="0" w:color="auto"/>
          </w:tcBorders>
        </w:tcPr>
        <w:p w:rsidR="00104B60" w:rsidRDefault="00104B60" w:rsidP="003807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940437">
            <w:rPr>
              <w:rStyle w:val="PageNumber"/>
              <w:noProof/>
            </w:rPr>
            <w:t>2</w:t>
          </w:r>
          <w:r>
            <w:rPr>
              <w:rStyle w:val="PageNumber"/>
            </w:rPr>
            <w:fldChar w:fldCharType="end"/>
          </w:r>
        </w:p>
      </w:tc>
      <w:tc>
        <w:tcPr>
          <w:tcW w:w="1644" w:type="dxa"/>
          <w:tcBorders>
            <w:top w:val="single" w:sz="6" w:space="0" w:color="auto"/>
          </w:tcBorders>
        </w:tcPr>
        <w:p w:rsidR="00104B60" w:rsidRDefault="00104B60" w:rsidP="00C66915">
          <w:pPr>
            <w:pStyle w:val="Footer"/>
          </w:pPr>
          <w:r w:rsidRPr="000056F1">
            <w:t>REPORT ON GOVERNMENT SERVICES</w:t>
          </w:r>
          <w:r>
            <w:t xml:space="preserve"> 2014</w:t>
          </w:r>
        </w:p>
      </w:tc>
      <w:tc>
        <w:tcPr>
          <w:tcW w:w="6634" w:type="dxa"/>
        </w:tcPr>
        <w:p w:rsidR="00104B60" w:rsidRDefault="00104B60" w:rsidP="0038073B">
          <w:pPr>
            <w:pStyle w:val="Footer"/>
          </w:pPr>
        </w:p>
      </w:tc>
    </w:tr>
  </w:tbl>
  <w:p w:rsidR="00104B60" w:rsidRDefault="00104B60" w:rsidP="0038073B">
    <w:pPr>
      <w:pStyle w:val="Footer"/>
      <w:spacing w:before="0" w:line="2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04B60" w:rsidTr="0038073B">
      <w:trPr>
        <w:trHeight w:hRule="exact" w:val="740"/>
      </w:trPr>
      <w:tc>
        <w:tcPr>
          <w:tcW w:w="6634" w:type="dxa"/>
        </w:tcPr>
        <w:p w:rsidR="00104B60" w:rsidRDefault="00104B60" w:rsidP="0038073B">
          <w:pPr>
            <w:pStyle w:val="Footer"/>
            <w:ind w:right="360" w:firstLine="360"/>
          </w:pPr>
        </w:p>
      </w:tc>
      <w:tc>
        <w:tcPr>
          <w:tcW w:w="1644" w:type="dxa"/>
          <w:tcBorders>
            <w:top w:val="single" w:sz="6" w:space="0" w:color="auto"/>
          </w:tcBorders>
        </w:tcPr>
        <w:p w:rsidR="00104B60" w:rsidRDefault="00104B60" w:rsidP="0038073B">
          <w:pPr>
            <w:pStyle w:val="Footer"/>
          </w:pPr>
          <w:r>
            <w:t xml:space="preserve">aged care services </w:t>
          </w:r>
          <w:proofErr w:type="spellStart"/>
          <w:r>
            <w:t>DQI</w:t>
          </w:r>
          <w:proofErr w:type="spellEnd"/>
        </w:p>
      </w:tc>
      <w:tc>
        <w:tcPr>
          <w:tcW w:w="510" w:type="dxa"/>
          <w:tcBorders>
            <w:top w:val="single" w:sz="6" w:space="0" w:color="auto"/>
          </w:tcBorders>
        </w:tcPr>
        <w:p w:rsidR="00104B60" w:rsidRDefault="00104B60" w:rsidP="0038073B">
          <w:pPr>
            <w:pStyle w:val="Footer"/>
            <w:jc w:val="right"/>
          </w:pPr>
          <w:r>
            <w:rPr>
              <w:rStyle w:val="PageNumber"/>
            </w:rPr>
            <w:fldChar w:fldCharType="begin"/>
          </w:r>
          <w:r>
            <w:rPr>
              <w:rStyle w:val="PageNumber"/>
            </w:rPr>
            <w:instrText xml:space="preserve">PAGE  </w:instrText>
          </w:r>
          <w:r>
            <w:rPr>
              <w:rStyle w:val="PageNumber"/>
            </w:rPr>
            <w:fldChar w:fldCharType="separate"/>
          </w:r>
          <w:r w:rsidR="00940437">
            <w:rPr>
              <w:rStyle w:val="PageNumber"/>
              <w:noProof/>
            </w:rPr>
            <w:t>1</w:t>
          </w:r>
          <w:r>
            <w:rPr>
              <w:rStyle w:val="PageNumber"/>
            </w:rPr>
            <w:fldChar w:fldCharType="end"/>
          </w:r>
        </w:p>
      </w:tc>
    </w:tr>
  </w:tbl>
  <w:p w:rsidR="00104B60" w:rsidRDefault="00104B60" w:rsidP="003C3739">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04B60" w:rsidTr="003C3739">
      <w:trPr>
        <w:trHeight w:hRule="exact" w:val="740"/>
      </w:trPr>
      <w:tc>
        <w:tcPr>
          <w:tcW w:w="6634" w:type="dxa"/>
        </w:tcPr>
        <w:p w:rsidR="00104B60" w:rsidRDefault="00104B60" w:rsidP="003C3739">
          <w:pPr>
            <w:pStyle w:val="Footer"/>
            <w:ind w:right="360" w:firstLine="360"/>
          </w:pPr>
        </w:p>
      </w:tc>
      <w:tc>
        <w:tcPr>
          <w:tcW w:w="1644" w:type="dxa"/>
          <w:tcBorders>
            <w:top w:val="single" w:sz="6" w:space="0" w:color="auto"/>
          </w:tcBorders>
        </w:tcPr>
        <w:p w:rsidR="00104B60" w:rsidRDefault="00104B60" w:rsidP="003C3739">
          <w:pPr>
            <w:pStyle w:val="Footer"/>
          </w:pPr>
          <w:r>
            <w:fldChar w:fldCharType="begin"/>
          </w:r>
          <w:r>
            <w:instrText xml:space="preserve"> TITLE  \* MERGEFORMAT </w:instrText>
          </w:r>
          <w:r>
            <w:fldChar w:fldCharType="separate"/>
          </w:r>
          <w:r>
            <w:t xml:space="preserve">Public Hospitals </w:t>
          </w:r>
          <w:proofErr w:type="spellStart"/>
          <w:r>
            <w:t>DQI</w:t>
          </w:r>
          <w:proofErr w:type="spellEnd"/>
          <w:r>
            <w:fldChar w:fldCharType="end"/>
          </w:r>
        </w:p>
      </w:tc>
      <w:tc>
        <w:tcPr>
          <w:tcW w:w="510" w:type="dxa"/>
          <w:tcBorders>
            <w:top w:val="single" w:sz="6" w:space="0" w:color="auto"/>
          </w:tcBorders>
        </w:tcPr>
        <w:p w:rsidR="00104B60" w:rsidRDefault="00104B60" w:rsidP="003C3739">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104B60" w:rsidRDefault="00104B60" w:rsidP="003C3739">
    <w:pPr>
      <w:pStyle w:val="Footer"/>
      <w:spacing w:before="0" w:line="2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B60" w:rsidRDefault="00104B60">
      <w:r>
        <w:separator/>
      </w:r>
    </w:p>
  </w:footnote>
  <w:footnote w:type="continuationSeparator" w:id="0">
    <w:p w:rsidR="00104B60" w:rsidRDefault="00104B60">
      <w:r>
        <w:continuationSeparator/>
      </w:r>
    </w:p>
  </w:footnote>
  <w:footnote w:id="1">
    <w:p w:rsidR="00104B60" w:rsidRDefault="00104B60" w:rsidP="0058260A">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 w:id="2">
    <w:p w:rsidR="00104B60" w:rsidRDefault="00104B60" w:rsidP="0058260A">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 w:id="3">
    <w:p w:rsidR="00104B60" w:rsidRDefault="00104B60" w:rsidP="006D6087">
      <w:pPr>
        <w:pStyle w:val="FootnoteText"/>
      </w:pPr>
      <w:r>
        <w:rPr>
          <w:rStyle w:val="FootnoteReference"/>
        </w:rPr>
        <w:footnoteRef/>
      </w:r>
      <w:r>
        <w:t xml:space="preserve"> Note that the term ‘the HACC program’ in this document relates to both the Commonwealth HACC program and services for older people (aged 65 years and over or 50 years and over for Indigenous Australians) delivered under the jointly funded HACC program in Victoria and WA.</w:t>
      </w:r>
    </w:p>
  </w:footnote>
  <w:footnote w:id="4">
    <w:p w:rsidR="00104B60" w:rsidRDefault="00104B60" w:rsidP="0058260A">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4B60" w:rsidTr="0028710F">
      <w:tc>
        <w:tcPr>
          <w:tcW w:w="2155" w:type="dxa"/>
          <w:tcBorders>
            <w:top w:val="single" w:sz="24" w:space="0" w:color="auto"/>
          </w:tcBorders>
        </w:tcPr>
        <w:p w:rsidR="00104B60" w:rsidRDefault="00104B60" w:rsidP="0028710F">
          <w:pPr>
            <w:pStyle w:val="HeaderEven"/>
          </w:pPr>
        </w:p>
      </w:tc>
      <w:tc>
        <w:tcPr>
          <w:tcW w:w="6634" w:type="dxa"/>
          <w:tcBorders>
            <w:top w:val="single" w:sz="6" w:space="0" w:color="auto"/>
          </w:tcBorders>
        </w:tcPr>
        <w:p w:rsidR="00104B60" w:rsidRDefault="00104B60" w:rsidP="0028710F">
          <w:pPr>
            <w:pStyle w:val="HeaderEven"/>
            <w:jc w:val="right"/>
          </w:pPr>
        </w:p>
      </w:tc>
    </w:tr>
  </w:tbl>
  <w:p w:rsidR="00104B60" w:rsidRDefault="00104B60" w:rsidP="0028710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4B60" w:rsidTr="00E87B88">
      <w:tc>
        <w:tcPr>
          <w:tcW w:w="6634" w:type="dxa"/>
          <w:tcBorders>
            <w:top w:val="single" w:sz="6" w:space="0" w:color="auto"/>
          </w:tcBorders>
        </w:tcPr>
        <w:p w:rsidR="00104B60" w:rsidRDefault="00104B60" w:rsidP="00940437">
          <w:pPr>
            <w:pStyle w:val="HeaderOdd"/>
          </w:pPr>
        </w:p>
      </w:tc>
      <w:tc>
        <w:tcPr>
          <w:tcW w:w="2155" w:type="dxa"/>
          <w:tcBorders>
            <w:top w:val="single" w:sz="24" w:space="0" w:color="auto"/>
          </w:tcBorders>
        </w:tcPr>
        <w:p w:rsidR="00104B60" w:rsidRDefault="00104B60" w:rsidP="00E87B88">
          <w:pPr>
            <w:pStyle w:val="HeaderOdd"/>
          </w:pPr>
        </w:p>
      </w:tc>
    </w:tr>
  </w:tbl>
  <w:p w:rsidR="00104B60" w:rsidRPr="00C91B6B" w:rsidRDefault="00104B60" w:rsidP="00173431">
    <w:pPr>
      <w:pStyle w:val="Note"/>
      <w:spacing w:before="0" w:line="20" w:lineRule="exact"/>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4B60" w:rsidTr="00C91B6B">
      <w:tc>
        <w:tcPr>
          <w:tcW w:w="6634" w:type="dxa"/>
          <w:tcBorders>
            <w:top w:val="single" w:sz="6" w:space="0" w:color="auto"/>
          </w:tcBorders>
        </w:tcPr>
        <w:p w:rsidR="00104B60" w:rsidRDefault="00104B60" w:rsidP="00C91B6B">
          <w:pPr>
            <w:pStyle w:val="HeaderOdd"/>
          </w:pPr>
        </w:p>
      </w:tc>
      <w:tc>
        <w:tcPr>
          <w:tcW w:w="2155" w:type="dxa"/>
          <w:tcBorders>
            <w:top w:val="single" w:sz="24" w:space="0" w:color="auto"/>
          </w:tcBorders>
        </w:tcPr>
        <w:p w:rsidR="00104B60" w:rsidRDefault="00104B60" w:rsidP="00C91B6B">
          <w:pPr>
            <w:pStyle w:val="HeaderOdd"/>
          </w:pPr>
        </w:p>
      </w:tc>
    </w:tr>
  </w:tbl>
  <w:p w:rsidR="00104B60" w:rsidRPr="00C91B6B" w:rsidRDefault="00104B60" w:rsidP="00173431">
    <w:pPr>
      <w:pStyle w:val="Note"/>
      <w:spacing w:before="0"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B341AC"/>
    <w:multiLevelType w:val="hybridMultilevel"/>
    <w:tmpl w:val="57AE1FDC"/>
    <w:lvl w:ilvl="0" w:tplc="EDC424FE">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B13CD462" w:tentative="1">
      <w:start w:val="1"/>
      <w:numFmt w:val="bullet"/>
      <w:lvlText w:val="o"/>
      <w:lvlJc w:val="left"/>
      <w:pPr>
        <w:tabs>
          <w:tab w:val="num" w:pos="1440"/>
        </w:tabs>
        <w:ind w:left="1440" w:hanging="360"/>
      </w:pPr>
      <w:rPr>
        <w:rFonts w:ascii="Courier New" w:hAnsi="Courier New" w:cs="Courier New" w:hint="default"/>
      </w:rPr>
    </w:lvl>
    <w:lvl w:ilvl="2" w:tplc="52B69DA4" w:tentative="1">
      <w:start w:val="1"/>
      <w:numFmt w:val="bullet"/>
      <w:lvlText w:val=""/>
      <w:lvlJc w:val="left"/>
      <w:pPr>
        <w:tabs>
          <w:tab w:val="num" w:pos="2160"/>
        </w:tabs>
        <w:ind w:left="2160" w:hanging="360"/>
      </w:pPr>
      <w:rPr>
        <w:rFonts w:ascii="Wingdings" w:hAnsi="Wingdings" w:hint="default"/>
      </w:rPr>
    </w:lvl>
    <w:lvl w:ilvl="3" w:tplc="491055A0" w:tentative="1">
      <w:start w:val="1"/>
      <w:numFmt w:val="bullet"/>
      <w:lvlText w:val=""/>
      <w:lvlJc w:val="left"/>
      <w:pPr>
        <w:tabs>
          <w:tab w:val="num" w:pos="2880"/>
        </w:tabs>
        <w:ind w:left="2880" w:hanging="360"/>
      </w:pPr>
      <w:rPr>
        <w:rFonts w:ascii="Symbol" w:hAnsi="Symbol" w:hint="default"/>
      </w:rPr>
    </w:lvl>
    <w:lvl w:ilvl="4" w:tplc="6AFCAFAE" w:tentative="1">
      <w:start w:val="1"/>
      <w:numFmt w:val="bullet"/>
      <w:lvlText w:val="o"/>
      <w:lvlJc w:val="left"/>
      <w:pPr>
        <w:tabs>
          <w:tab w:val="num" w:pos="3600"/>
        </w:tabs>
        <w:ind w:left="3600" w:hanging="360"/>
      </w:pPr>
      <w:rPr>
        <w:rFonts w:ascii="Courier New" w:hAnsi="Courier New" w:cs="Courier New" w:hint="default"/>
      </w:rPr>
    </w:lvl>
    <w:lvl w:ilvl="5" w:tplc="27A8D440" w:tentative="1">
      <w:start w:val="1"/>
      <w:numFmt w:val="bullet"/>
      <w:lvlText w:val=""/>
      <w:lvlJc w:val="left"/>
      <w:pPr>
        <w:tabs>
          <w:tab w:val="num" w:pos="4320"/>
        </w:tabs>
        <w:ind w:left="4320" w:hanging="360"/>
      </w:pPr>
      <w:rPr>
        <w:rFonts w:ascii="Wingdings" w:hAnsi="Wingdings" w:hint="default"/>
      </w:rPr>
    </w:lvl>
    <w:lvl w:ilvl="6" w:tplc="5A6AF85E" w:tentative="1">
      <w:start w:val="1"/>
      <w:numFmt w:val="bullet"/>
      <w:lvlText w:val=""/>
      <w:lvlJc w:val="left"/>
      <w:pPr>
        <w:tabs>
          <w:tab w:val="num" w:pos="5040"/>
        </w:tabs>
        <w:ind w:left="5040" w:hanging="360"/>
      </w:pPr>
      <w:rPr>
        <w:rFonts w:ascii="Symbol" w:hAnsi="Symbol" w:hint="default"/>
      </w:rPr>
    </w:lvl>
    <w:lvl w:ilvl="7" w:tplc="E8521D38" w:tentative="1">
      <w:start w:val="1"/>
      <w:numFmt w:val="bullet"/>
      <w:lvlText w:val="o"/>
      <w:lvlJc w:val="left"/>
      <w:pPr>
        <w:tabs>
          <w:tab w:val="num" w:pos="5760"/>
        </w:tabs>
        <w:ind w:left="5760" w:hanging="360"/>
      </w:pPr>
      <w:rPr>
        <w:rFonts w:ascii="Courier New" w:hAnsi="Courier New" w:cs="Courier New" w:hint="default"/>
      </w:rPr>
    </w:lvl>
    <w:lvl w:ilvl="8" w:tplc="4940876C" w:tentative="1">
      <w:start w:val="1"/>
      <w:numFmt w:val="bullet"/>
      <w:lvlText w:val=""/>
      <w:lvlJc w:val="left"/>
      <w:pPr>
        <w:tabs>
          <w:tab w:val="num" w:pos="6480"/>
        </w:tabs>
        <w:ind w:left="6480" w:hanging="360"/>
      </w:pPr>
      <w:rPr>
        <w:rFonts w:ascii="Wingdings" w:hAnsi="Wingdings" w:hint="default"/>
      </w:rPr>
    </w:lvl>
  </w:abstractNum>
  <w:abstractNum w:abstractNumId="19">
    <w:nsid w:val="19B02FB5"/>
    <w:multiLevelType w:val="hybridMultilevel"/>
    <w:tmpl w:val="F83A8AF8"/>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33B79A6"/>
    <w:multiLevelType w:val="hybridMultilevel"/>
    <w:tmpl w:val="65D64CEA"/>
    <w:lvl w:ilvl="0" w:tplc="13364AB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51F74561"/>
    <w:multiLevelType w:val="singleLevel"/>
    <w:tmpl w:val="ED98921A"/>
    <w:lvl w:ilvl="0">
      <w:start w:val="1"/>
      <w:numFmt w:val="decimal"/>
      <w:lvlText w:val="%1."/>
      <w:legacy w:legacy="1" w:legacySpace="0" w:legacyIndent="340"/>
      <w:lvlJc w:val="left"/>
      <w:pPr>
        <w:ind w:left="340" w:hanging="34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6">
    <w:nsid w:val="5A096576"/>
    <w:multiLevelType w:val="singleLevel"/>
    <w:tmpl w:val="ED98921A"/>
    <w:lvl w:ilvl="0">
      <w:start w:val="1"/>
      <w:numFmt w:val="decimal"/>
      <w:lvlText w:val="%1."/>
      <w:legacy w:legacy="1" w:legacySpace="0" w:legacyIndent="340"/>
      <w:lvlJc w:val="left"/>
      <w:pPr>
        <w:ind w:left="340" w:hanging="340"/>
      </w:pPr>
    </w:lvl>
  </w:abstractNum>
  <w:abstractNum w:abstractNumId="37">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0055F7F"/>
    <w:multiLevelType w:val="singleLevel"/>
    <w:tmpl w:val="ED98921A"/>
    <w:lvl w:ilvl="0">
      <w:start w:val="1"/>
      <w:numFmt w:val="decimal"/>
      <w:lvlText w:val="%1."/>
      <w:legacy w:legacy="1" w:legacySpace="0" w:legacyIndent="340"/>
      <w:lvlJc w:val="left"/>
      <w:pPr>
        <w:ind w:left="340" w:hanging="340"/>
      </w:pPr>
    </w:lvl>
  </w:abstractNum>
  <w:abstractNum w:abstractNumId="39">
    <w:nsid w:val="608E741E"/>
    <w:multiLevelType w:val="singleLevel"/>
    <w:tmpl w:val="ED98921A"/>
    <w:lvl w:ilvl="0">
      <w:start w:val="1"/>
      <w:numFmt w:val="decimal"/>
      <w:lvlText w:val="%1."/>
      <w:legacy w:legacy="1" w:legacySpace="0" w:legacyIndent="340"/>
      <w:lvlJc w:val="left"/>
      <w:pPr>
        <w:ind w:left="340" w:hanging="340"/>
      </w:p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4">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5">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1"/>
  </w:num>
  <w:num w:numId="3">
    <w:abstractNumId w:val="47"/>
  </w:num>
  <w:num w:numId="4">
    <w:abstractNumId w:val="8"/>
  </w:num>
  <w:num w:numId="5">
    <w:abstractNumId w:val="30"/>
  </w:num>
  <w:num w:numId="6">
    <w:abstractNumId w:val="10"/>
  </w:num>
  <w:num w:numId="7">
    <w:abstractNumId w:val="42"/>
  </w:num>
  <w:num w:numId="8">
    <w:abstractNumId w:val="33"/>
  </w:num>
  <w:num w:numId="9">
    <w:abstractNumId w:val="48"/>
  </w:num>
  <w:num w:numId="10">
    <w:abstractNumId w:val="17"/>
  </w:num>
  <w:num w:numId="11">
    <w:abstractNumId w:val="31"/>
  </w:num>
  <w:num w:numId="12">
    <w:abstractNumId w:val="16"/>
  </w:num>
  <w:num w:numId="13">
    <w:abstractNumId w:val="15"/>
  </w:num>
  <w:num w:numId="14">
    <w:abstractNumId w:val="20"/>
  </w:num>
  <w:num w:numId="15">
    <w:abstractNumId w:val="18"/>
  </w:num>
  <w:num w:numId="16">
    <w:abstractNumId w:val="2"/>
  </w:num>
  <w:num w:numId="17">
    <w:abstractNumId w:val="19"/>
  </w:num>
  <w:num w:numId="18">
    <w:abstractNumId w:val="26"/>
  </w:num>
  <w:num w:numId="19">
    <w:abstractNumId w:val="25"/>
  </w:num>
  <w:num w:numId="20">
    <w:abstractNumId w:val="22"/>
  </w:num>
  <w:num w:numId="21">
    <w:abstractNumId w:val="27"/>
  </w:num>
  <w:num w:numId="22">
    <w:abstractNumId w:val="35"/>
  </w:num>
  <w:num w:numId="23">
    <w:abstractNumId w:val="6"/>
  </w:num>
  <w:num w:numId="24">
    <w:abstractNumId w:val="4"/>
  </w:num>
  <w:num w:numId="25">
    <w:abstractNumId w:val="3"/>
  </w:num>
  <w:num w:numId="26">
    <w:abstractNumId w:val="5"/>
  </w:num>
  <w:num w:numId="27">
    <w:abstractNumId w:val="1"/>
  </w:num>
  <w:num w:numId="28">
    <w:abstractNumId w:val="0"/>
  </w:num>
  <w:num w:numId="29">
    <w:abstractNumId w:val="13"/>
  </w:num>
  <w:num w:numId="30">
    <w:abstractNumId w:val="39"/>
  </w:num>
  <w:num w:numId="31">
    <w:abstractNumId w:val="41"/>
  </w:num>
  <w:num w:numId="32">
    <w:abstractNumId w:val="29"/>
  </w:num>
  <w:num w:numId="33">
    <w:abstractNumId w:val="32"/>
  </w:num>
  <w:num w:numId="34">
    <w:abstractNumId w:val="34"/>
  </w:num>
  <w:num w:numId="35">
    <w:abstractNumId w:val="46"/>
  </w:num>
  <w:num w:numId="36">
    <w:abstractNumId w:val="38"/>
  </w:num>
  <w:num w:numId="37">
    <w:abstractNumId w:val="43"/>
  </w:num>
  <w:num w:numId="38">
    <w:abstractNumId w:val="44"/>
  </w:num>
  <w:num w:numId="39">
    <w:abstractNumId w:val="36"/>
  </w:num>
  <w:num w:numId="40">
    <w:abstractNumId w:val="24"/>
  </w:num>
  <w:num w:numId="41">
    <w:abstractNumId w:val="49"/>
  </w:num>
  <w:num w:numId="42">
    <w:abstractNumId w:val="9"/>
  </w:num>
  <w:num w:numId="43">
    <w:abstractNumId w:val="21"/>
  </w:num>
  <w:num w:numId="44">
    <w:abstractNumId w:val="45"/>
  </w:num>
  <w:num w:numId="45">
    <w:abstractNumId w:val="37"/>
  </w:num>
  <w:num w:numId="46">
    <w:abstractNumId w:val="14"/>
  </w:num>
  <w:num w:numId="47">
    <w:abstractNumId w:val="40"/>
  </w:num>
  <w:num w:numId="48">
    <w:abstractNumId w:val="28"/>
  </w:num>
  <w:num w:numId="49">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DQI"/>
    <w:docVar w:name="ShortReportTitle" w:val="2012 Report on Government Services"/>
  </w:docVars>
  <w:rsids>
    <w:rsidRoot w:val="007C1897"/>
    <w:rsid w:val="000022F1"/>
    <w:rsid w:val="00003B7B"/>
    <w:rsid w:val="000056F1"/>
    <w:rsid w:val="00007324"/>
    <w:rsid w:val="00013358"/>
    <w:rsid w:val="00016559"/>
    <w:rsid w:val="00020C95"/>
    <w:rsid w:val="00026A5D"/>
    <w:rsid w:val="00032C83"/>
    <w:rsid w:val="0003333B"/>
    <w:rsid w:val="0003664B"/>
    <w:rsid w:val="00037217"/>
    <w:rsid w:val="0004111F"/>
    <w:rsid w:val="00044366"/>
    <w:rsid w:val="00056CC2"/>
    <w:rsid w:val="00057763"/>
    <w:rsid w:val="00057A7A"/>
    <w:rsid w:val="0006539C"/>
    <w:rsid w:val="00067159"/>
    <w:rsid w:val="0007150B"/>
    <w:rsid w:val="000820F6"/>
    <w:rsid w:val="00087274"/>
    <w:rsid w:val="00092C40"/>
    <w:rsid w:val="000938F5"/>
    <w:rsid w:val="00095015"/>
    <w:rsid w:val="000A5CBA"/>
    <w:rsid w:val="000B601B"/>
    <w:rsid w:val="000B6C15"/>
    <w:rsid w:val="000C0B7E"/>
    <w:rsid w:val="000C207E"/>
    <w:rsid w:val="000D2917"/>
    <w:rsid w:val="000D44A6"/>
    <w:rsid w:val="000D4A97"/>
    <w:rsid w:val="000E609E"/>
    <w:rsid w:val="000F4CB6"/>
    <w:rsid w:val="000F4F9C"/>
    <w:rsid w:val="000F5C94"/>
    <w:rsid w:val="00102627"/>
    <w:rsid w:val="001037C0"/>
    <w:rsid w:val="00104B60"/>
    <w:rsid w:val="00110116"/>
    <w:rsid w:val="00111C0A"/>
    <w:rsid w:val="00112C7A"/>
    <w:rsid w:val="00115320"/>
    <w:rsid w:val="00116D80"/>
    <w:rsid w:val="00120EAC"/>
    <w:rsid w:val="0012473B"/>
    <w:rsid w:val="00125826"/>
    <w:rsid w:val="00126EB8"/>
    <w:rsid w:val="00130093"/>
    <w:rsid w:val="00135892"/>
    <w:rsid w:val="00135F1B"/>
    <w:rsid w:val="001363AA"/>
    <w:rsid w:val="00137AAF"/>
    <w:rsid w:val="00142E02"/>
    <w:rsid w:val="00143A9E"/>
    <w:rsid w:val="001455F0"/>
    <w:rsid w:val="00147C97"/>
    <w:rsid w:val="0015008E"/>
    <w:rsid w:val="00155539"/>
    <w:rsid w:val="00156D25"/>
    <w:rsid w:val="00161E4C"/>
    <w:rsid w:val="00173431"/>
    <w:rsid w:val="0019293B"/>
    <w:rsid w:val="001930A7"/>
    <w:rsid w:val="001965D8"/>
    <w:rsid w:val="001A3164"/>
    <w:rsid w:val="001A71F1"/>
    <w:rsid w:val="001B68CA"/>
    <w:rsid w:val="001C0865"/>
    <w:rsid w:val="001C3ABA"/>
    <w:rsid w:val="001C6913"/>
    <w:rsid w:val="001D35B6"/>
    <w:rsid w:val="001E0B8B"/>
    <w:rsid w:val="001E4EDD"/>
    <w:rsid w:val="001E7BE8"/>
    <w:rsid w:val="001F0248"/>
    <w:rsid w:val="001F51F4"/>
    <w:rsid w:val="00202C2C"/>
    <w:rsid w:val="00204691"/>
    <w:rsid w:val="00210E4E"/>
    <w:rsid w:val="00213483"/>
    <w:rsid w:val="00217D61"/>
    <w:rsid w:val="002207A9"/>
    <w:rsid w:val="002358A8"/>
    <w:rsid w:val="002361B4"/>
    <w:rsid w:val="00237358"/>
    <w:rsid w:val="00242279"/>
    <w:rsid w:val="00242550"/>
    <w:rsid w:val="002514C0"/>
    <w:rsid w:val="00251A85"/>
    <w:rsid w:val="0025414A"/>
    <w:rsid w:val="002603E3"/>
    <w:rsid w:val="0026738A"/>
    <w:rsid w:val="00271311"/>
    <w:rsid w:val="002742A2"/>
    <w:rsid w:val="002747C6"/>
    <w:rsid w:val="00282023"/>
    <w:rsid w:val="002870B9"/>
    <w:rsid w:val="0028710F"/>
    <w:rsid w:val="00290465"/>
    <w:rsid w:val="00291B40"/>
    <w:rsid w:val="002947BA"/>
    <w:rsid w:val="002A0B4D"/>
    <w:rsid w:val="002A1231"/>
    <w:rsid w:val="002A7DAF"/>
    <w:rsid w:val="002B4008"/>
    <w:rsid w:val="002C4A0D"/>
    <w:rsid w:val="002D0CD3"/>
    <w:rsid w:val="002D0E8E"/>
    <w:rsid w:val="002D74A4"/>
    <w:rsid w:val="002E0BC2"/>
    <w:rsid w:val="002E11E7"/>
    <w:rsid w:val="002E77F9"/>
    <w:rsid w:val="002F729C"/>
    <w:rsid w:val="00301189"/>
    <w:rsid w:val="00303C0B"/>
    <w:rsid w:val="00307206"/>
    <w:rsid w:val="00323E09"/>
    <w:rsid w:val="003306B4"/>
    <w:rsid w:val="00333932"/>
    <w:rsid w:val="00334A8F"/>
    <w:rsid w:val="003364A0"/>
    <w:rsid w:val="00337B92"/>
    <w:rsid w:val="00344908"/>
    <w:rsid w:val="00345AD7"/>
    <w:rsid w:val="0034787F"/>
    <w:rsid w:val="003518AA"/>
    <w:rsid w:val="003527F0"/>
    <w:rsid w:val="00353182"/>
    <w:rsid w:val="00356CE9"/>
    <w:rsid w:val="003602E1"/>
    <w:rsid w:val="0036431E"/>
    <w:rsid w:val="0036515D"/>
    <w:rsid w:val="00365743"/>
    <w:rsid w:val="00367996"/>
    <w:rsid w:val="00371240"/>
    <w:rsid w:val="003740B6"/>
    <w:rsid w:val="00374731"/>
    <w:rsid w:val="00376509"/>
    <w:rsid w:val="0038073B"/>
    <w:rsid w:val="003811F8"/>
    <w:rsid w:val="0038208F"/>
    <w:rsid w:val="0038276A"/>
    <w:rsid w:val="003862F6"/>
    <w:rsid w:val="00390D84"/>
    <w:rsid w:val="003A03AC"/>
    <w:rsid w:val="003A112F"/>
    <w:rsid w:val="003B2D5A"/>
    <w:rsid w:val="003B32E6"/>
    <w:rsid w:val="003B384B"/>
    <w:rsid w:val="003B5AE3"/>
    <w:rsid w:val="003C0A72"/>
    <w:rsid w:val="003C3739"/>
    <w:rsid w:val="003C38B5"/>
    <w:rsid w:val="003C5D99"/>
    <w:rsid w:val="003C64DA"/>
    <w:rsid w:val="003C6594"/>
    <w:rsid w:val="003C6D2D"/>
    <w:rsid w:val="003C7CA3"/>
    <w:rsid w:val="003D30BE"/>
    <w:rsid w:val="003E4AAF"/>
    <w:rsid w:val="003F0789"/>
    <w:rsid w:val="003F284B"/>
    <w:rsid w:val="003F37FD"/>
    <w:rsid w:val="003F48D9"/>
    <w:rsid w:val="00400F2E"/>
    <w:rsid w:val="00401882"/>
    <w:rsid w:val="00404084"/>
    <w:rsid w:val="004100C8"/>
    <w:rsid w:val="00412ACE"/>
    <w:rsid w:val="00413E6D"/>
    <w:rsid w:val="00416C15"/>
    <w:rsid w:val="00425B0E"/>
    <w:rsid w:val="00425C93"/>
    <w:rsid w:val="00431249"/>
    <w:rsid w:val="00431B65"/>
    <w:rsid w:val="004325AC"/>
    <w:rsid w:val="0043387B"/>
    <w:rsid w:val="00433FE9"/>
    <w:rsid w:val="00434C19"/>
    <w:rsid w:val="00437E6C"/>
    <w:rsid w:val="00445AAD"/>
    <w:rsid w:val="0045015C"/>
    <w:rsid w:val="00450810"/>
    <w:rsid w:val="00451AD2"/>
    <w:rsid w:val="0045330A"/>
    <w:rsid w:val="0045554E"/>
    <w:rsid w:val="00457F7A"/>
    <w:rsid w:val="00462ABE"/>
    <w:rsid w:val="004741C2"/>
    <w:rsid w:val="00477144"/>
    <w:rsid w:val="00484A79"/>
    <w:rsid w:val="00485CC3"/>
    <w:rsid w:val="00485DD3"/>
    <w:rsid w:val="00485E56"/>
    <w:rsid w:val="00487552"/>
    <w:rsid w:val="004909A6"/>
    <w:rsid w:val="0049247E"/>
    <w:rsid w:val="0049459F"/>
    <w:rsid w:val="00495EEF"/>
    <w:rsid w:val="004B1330"/>
    <w:rsid w:val="004B3832"/>
    <w:rsid w:val="004B43AE"/>
    <w:rsid w:val="004B4F03"/>
    <w:rsid w:val="004B69B2"/>
    <w:rsid w:val="004C30ED"/>
    <w:rsid w:val="004C6BC6"/>
    <w:rsid w:val="004D4377"/>
    <w:rsid w:val="004D5724"/>
    <w:rsid w:val="004E7EEA"/>
    <w:rsid w:val="004F065B"/>
    <w:rsid w:val="004F09C0"/>
    <w:rsid w:val="004F1A72"/>
    <w:rsid w:val="004F2BF6"/>
    <w:rsid w:val="004F76A7"/>
    <w:rsid w:val="005008D1"/>
    <w:rsid w:val="005103C5"/>
    <w:rsid w:val="00523BF0"/>
    <w:rsid w:val="00524E16"/>
    <w:rsid w:val="0052503A"/>
    <w:rsid w:val="0053591B"/>
    <w:rsid w:val="00536CE6"/>
    <w:rsid w:val="005401A2"/>
    <w:rsid w:val="0054248F"/>
    <w:rsid w:val="00553487"/>
    <w:rsid w:val="00556950"/>
    <w:rsid w:val="00556A06"/>
    <w:rsid w:val="00560CDF"/>
    <w:rsid w:val="005637B3"/>
    <w:rsid w:val="005662F4"/>
    <w:rsid w:val="005677AA"/>
    <w:rsid w:val="00567B32"/>
    <w:rsid w:val="005716BB"/>
    <w:rsid w:val="0058108C"/>
    <w:rsid w:val="0058260A"/>
    <w:rsid w:val="00583C39"/>
    <w:rsid w:val="00587267"/>
    <w:rsid w:val="0059068B"/>
    <w:rsid w:val="005909CF"/>
    <w:rsid w:val="00590FF6"/>
    <w:rsid w:val="00591E71"/>
    <w:rsid w:val="005A1967"/>
    <w:rsid w:val="005A338D"/>
    <w:rsid w:val="005A3752"/>
    <w:rsid w:val="005A5432"/>
    <w:rsid w:val="005A6386"/>
    <w:rsid w:val="005B29A6"/>
    <w:rsid w:val="005B2E85"/>
    <w:rsid w:val="005B3B6B"/>
    <w:rsid w:val="005B5672"/>
    <w:rsid w:val="005C2352"/>
    <w:rsid w:val="005C35DA"/>
    <w:rsid w:val="005D0A54"/>
    <w:rsid w:val="005D363D"/>
    <w:rsid w:val="005E08C1"/>
    <w:rsid w:val="005F28C6"/>
    <w:rsid w:val="00604BBA"/>
    <w:rsid w:val="00607BF1"/>
    <w:rsid w:val="006155A8"/>
    <w:rsid w:val="006178D5"/>
    <w:rsid w:val="00623B3E"/>
    <w:rsid w:val="00625129"/>
    <w:rsid w:val="00630D4D"/>
    <w:rsid w:val="00632A74"/>
    <w:rsid w:val="006416C1"/>
    <w:rsid w:val="006431C9"/>
    <w:rsid w:val="00647F17"/>
    <w:rsid w:val="00661222"/>
    <w:rsid w:val="00662A74"/>
    <w:rsid w:val="00666EA5"/>
    <w:rsid w:val="00681EA7"/>
    <w:rsid w:val="006978F2"/>
    <w:rsid w:val="006A36E6"/>
    <w:rsid w:val="006A4655"/>
    <w:rsid w:val="006A4AA3"/>
    <w:rsid w:val="006A5327"/>
    <w:rsid w:val="006A6533"/>
    <w:rsid w:val="006B33FD"/>
    <w:rsid w:val="006B5D3B"/>
    <w:rsid w:val="006C1B4B"/>
    <w:rsid w:val="006C7038"/>
    <w:rsid w:val="006D2A45"/>
    <w:rsid w:val="006D32B9"/>
    <w:rsid w:val="006D6087"/>
    <w:rsid w:val="006E395D"/>
    <w:rsid w:val="006E3AE3"/>
    <w:rsid w:val="006E6861"/>
    <w:rsid w:val="006E73EF"/>
    <w:rsid w:val="006F2DB6"/>
    <w:rsid w:val="006F3969"/>
    <w:rsid w:val="006F7085"/>
    <w:rsid w:val="007008EA"/>
    <w:rsid w:val="00700EB9"/>
    <w:rsid w:val="00702AE8"/>
    <w:rsid w:val="00711247"/>
    <w:rsid w:val="00713BAF"/>
    <w:rsid w:val="007154F9"/>
    <w:rsid w:val="00721ABE"/>
    <w:rsid w:val="007231FD"/>
    <w:rsid w:val="0072586A"/>
    <w:rsid w:val="00742553"/>
    <w:rsid w:val="007604BB"/>
    <w:rsid w:val="0076174D"/>
    <w:rsid w:val="00765309"/>
    <w:rsid w:val="00767551"/>
    <w:rsid w:val="00771C22"/>
    <w:rsid w:val="00774F85"/>
    <w:rsid w:val="00786020"/>
    <w:rsid w:val="0079565D"/>
    <w:rsid w:val="007A21EB"/>
    <w:rsid w:val="007B0F9D"/>
    <w:rsid w:val="007B19E2"/>
    <w:rsid w:val="007B4DF2"/>
    <w:rsid w:val="007C1897"/>
    <w:rsid w:val="007C1E3B"/>
    <w:rsid w:val="007C2793"/>
    <w:rsid w:val="007C36C9"/>
    <w:rsid w:val="007D5E40"/>
    <w:rsid w:val="007D6986"/>
    <w:rsid w:val="007D7B1A"/>
    <w:rsid w:val="007E01E4"/>
    <w:rsid w:val="007E0FDD"/>
    <w:rsid w:val="007E5AFB"/>
    <w:rsid w:val="007F41F3"/>
    <w:rsid w:val="007F4E70"/>
    <w:rsid w:val="007F7107"/>
    <w:rsid w:val="007F7D37"/>
    <w:rsid w:val="00801F93"/>
    <w:rsid w:val="00803B1A"/>
    <w:rsid w:val="008045E2"/>
    <w:rsid w:val="00805326"/>
    <w:rsid w:val="00806A83"/>
    <w:rsid w:val="0081030F"/>
    <w:rsid w:val="0082087D"/>
    <w:rsid w:val="0082117D"/>
    <w:rsid w:val="00822673"/>
    <w:rsid w:val="00822B72"/>
    <w:rsid w:val="00832A2E"/>
    <w:rsid w:val="0085018E"/>
    <w:rsid w:val="0085130C"/>
    <w:rsid w:val="0086082C"/>
    <w:rsid w:val="00864ADC"/>
    <w:rsid w:val="00865E54"/>
    <w:rsid w:val="00870855"/>
    <w:rsid w:val="00877D74"/>
    <w:rsid w:val="00880153"/>
    <w:rsid w:val="008807E8"/>
    <w:rsid w:val="00880BB3"/>
    <w:rsid w:val="00880F97"/>
    <w:rsid w:val="0088133A"/>
    <w:rsid w:val="00882796"/>
    <w:rsid w:val="0088624E"/>
    <w:rsid w:val="00887831"/>
    <w:rsid w:val="0089285E"/>
    <w:rsid w:val="0089436C"/>
    <w:rsid w:val="00894EE0"/>
    <w:rsid w:val="008972A0"/>
    <w:rsid w:val="008A759B"/>
    <w:rsid w:val="008B2E29"/>
    <w:rsid w:val="008C6E10"/>
    <w:rsid w:val="008C7434"/>
    <w:rsid w:val="008D5EFE"/>
    <w:rsid w:val="008F3FD4"/>
    <w:rsid w:val="008F6F22"/>
    <w:rsid w:val="00900DE9"/>
    <w:rsid w:val="009030BF"/>
    <w:rsid w:val="00906DAD"/>
    <w:rsid w:val="00907A7A"/>
    <w:rsid w:val="00914368"/>
    <w:rsid w:val="00916AB8"/>
    <w:rsid w:val="00921D09"/>
    <w:rsid w:val="00922D35"/>
    <w:rsid w:val="00927A55"/>
    <w:rsid w:val="00931076"/>
    <w:rsid w:val="0093350A"/>
    <w:rsid w:val="00934300"/>
    <w:rsid w:val="009345D9"/>
    <w:rsid w:val="00934B15"/>
    <w:rsid w:val="009361EC"/>
    <w:rsid w:val="00940437"/>
    <w:rsid w:val="00942B62"/>
    <w:rsid w:val="00946E06"/>
    <w:rsid w:val="009530AA"/>
    <w:rsid w:val="00955A7B"/>
    <w:rsid w:val="00956598"/>
    <w:rsid w:val="0095684F"/>
    <w:rsid w:val="00956A0C"/>
    <w:rsid w:val="00956BD9"/>
    <w:rsid w:val="00962489"/>
    <w:rsid w:val="0096307C"/>
    <w:rsid w:val="0096325E"/>
    <w:rsid w:val="00972F99"/>
    <w:rsid w:val="0097433A"/>
    <w:rsid w:val="0097691F"/>
    <w:rsid w:val="00980D28"/>
    <w:rsid w:val="00982D11"/>
    <w:rsid w:val="00987D30"/>
    <w:rsid w:val="009938BB"/>
    <w:rsid w:val="009B2D4C"/>
    <w:rsid w:val="009B382C"/>
    <w:rsid w:val="009D5F22"/>
    <w:rsid w:val="009E03BB"/>
    <w:rsid w:val="009E2A77"/>
    <w:rsid w:val="009E429E"/>
    <w:rsid w:val="009E63AC"/>
    <w:rsid w:val="009F27F7"/>
    <w:rsid w:val="009F696D"/>
    <w:rsid w:val="009F6BC6"/>
    <w:rsid w:val="00A04104"/>
    <w:rsid w:val="00A106E1"/>
    <w:rsid w:val="00A10BFC"/>
    <w:rsid w:val="00A14DED"/>
    <w:rsid w:val="00A17328"/>
    <w:rsid w:val="00A243FA"/>
    <w:rsid w:val="00A26CE0"/>
    <w:rsid w:val="00A2703A"/>
    <w:rsid w:val="00A335F6"/>
    <w:rsid w:val="00A33DFF"/>
    <w:rsid w:val="00A34631"/>
    <w:rsid w:val="00A35115"/>
    <w:rsid w:val="00A3552E"/>
    <w:rsid w:val="00A364EC"/>
    <w:rsid w:val="00A36CDF"/>
    <w:rsid w:val="00A407D7"/>
    <w:rsid w:val="00A4081F"/>
    <w:rsid w:val="00A43053"/>
    <w:rsid w:val="00A44502"/>
    <w:rsid w:val="00A504F3"/>
    <w:rsid w:val="00A521A8"/>
    <w:rsid w:val="00A554AB"/>
    <w:rsid w:val="00A57145"/>
    <w:rsid w:val="00A62DF7"/>
    <w:rsid w:val="00A66B42"/>
    <w:rsid w:val="00A677D4"/>
    <w:rsid w:val="00A873C5"/>
    <w:rsid w:val="00A923B7"/>
    <w:rsid w:val="00A94FA6"/>
    <w:rsid w:val="00A97785"/>
    <w:rsid w:val="00A97D38"/>
    <w:rsid w:val="00AA0FCC"/>
    <w:rsid w:val="00AA5571"/>
    <w:rsid w:val="00AA6710"/>
    <w:rsid w:val="00AB02F1"/>
    <w:rsid w:val="00AB0681"/>
    <w:rsid w:val="00AB2386"/>
    <w:rsid w:val="00AB56AC"/>
    <w:rsid w:val="00AC35C4"/>
    <w:rsid w:val="00AD1F87"/>
    <w:rsid w:val="00AD33A1"/>
    <w:rsid w:val="00AD4E80"/>
    <w:rsid w:val="00AD5385"/>
    <w:rsid w:val="00AD5EC9"/>
    <w:rsid w:val="00AE4B16"/>
    <w:rsid w:val="00AF24B6"/>
    <w:rsid w:val="00AF3535"/>
    <w:rsid w:val="00AF5441"/>
    <w:rsid w:val="00AF5965"/>
    <w:rsid w:val="00B02D1D"/>
    <w:rsid w:val="00B0316E"/>
    <w:rsid w:val="00B064B4"/>
    <w:rsid w:val="00B074E3"/>
    <w:rsid w:val="00B14839"/>
    <w:rsid w:val="00B15C28"/>
    <w:rsid w:val="00B2341F"/>
    <w:rsid w:val="00B25883"/>
    <w:rsid w:val="00B261E9"/>
    <w:rsid w:val="00B27429"/>
    <w:rsid w:val="00B34974"/>
    <w:rsid w:val="00B402F1"/>
    <w:rsid w:val="00B425AD"/>
    <w:rsid w:val="00B45CF2"/>
    <w:rsid w:val="00B47B15"/>
    <w:rsid w:val="00B53E7E"/>
    <w:rsid w:val="00B5618A"/>
    <w:rsid w:val="00B57320"/>
    <w:rsid w:val="00B62847"/>
    <w:rsid w:val="00B6342E"/>
    <w:rsid w:val="00B641F2"/>
    <w:rsid w:val="00B7113F"/>
    <w:rsid w:val="00B73023"/>
    <w:rsid w:val="00B77709"/>
    <w:rsid w:val="00B920C7"/>
    <w:rsid w:val="00BA0CA0"/>
    <w:rsid w:val="00BA5484"/>
    <w:rsid w:val="00BA73B6"/>
    <w:rsid w:val="00BB3656"/>
    <w:rsid w:val="00BB4FCD"/>
    <w:rsid w:val="00BB52CD"/>
    <w:rsid w:val="00BB6880"/>
    <w:rsid w:val="00BB75BC"/>
    <w:rsid w:val="00BC02BD"/>
    <w:rsid w:val="00BC2F4C"/>
    <w:rsid w:val="00BC348A"/>
    <w:rsid w:val="00BC5A45"/>
    <w:rsid w:val="00BD04D9"/>
    <w:rsid w:val="00BD13EA"/>
    <w:rsid w:val="00BD1C2D"/>
    <w:rsid w:val="00BD574F"/>
    <w:rsid w:val="00BE1F20"/>
    <w:rsid w:val="00BE3808"/>
    <w:rsid w:val="00BE5B08"/>
    <w:rsid w:val="00BF794C"/>
    <w:rsid w:val="00C05C52"/>
    <w:rsid w:val="00C062E9"/>
    <w:rsid w:val="00C13721"/>
    <w:rsid w:val="00C17C1D"/>
    <w:rsid w:val="00C204CF"/>
    <w:rsid w:val="00C21EAC"/>
    <w:rsid w:val="00C237F8"/>
    <w:rsid w:val="00C25FD0"/>
    <w:rsid w:val="00C35CA6"/>
    <w:rsid w:val="00C41167"/>
    <w:rsid w:val="00C41CA2"/>
    <w:rsid w:val="00C42207"/>
    <w:rsid w:val="00C51E11"/>
    <w:rsid w:val="00C543F4"/>
    <w:rsid w:val="00C60B33"/>
    <w:rsid w:val="00C6291C"/>
    <w:rsid w:val="00C633CB"/>
    <w:rsid w:val="00C66915"/>
    <w:rsid w:val="00C66E0E"/>
    <w:rsid w:val="00C71C2A"/>
    <w:rsid w:val="00C74B27"/>
    <w:rsid w:val="00C80FA4"/>
    <w:rsid w:val="00C828EF"/>
    <w:rsid w:val="00C8762C"/>
    <w:rsid w:val="00C91B6B"/>
    <w:rsid w:val="00C93759"/>
    <w:rsid w:val="00CA00F9"/>
    <w:rsid w:val="00CA0752"/>
    <w:rsid w:val="00CA09BE"/>
    <w:rsid w:val="00CA2961"/>
    <w:rsid w:val="00CA31A1"/>
    <w:rsid w:val="00CB4624"/>
    <w:rsid w:val="00CB50D7"/>
    <w:rsid w:val="00CB7177"/>
    <w:rsid w:val="00CC0CAF"/>
    <w:rsid w:val="00CC1998"/>
    <w:rsid w:val="00CC1F26"/>
    <w:rsid w:val="00CC4946"/>
    <w:rsid w:val="00CC596C"/>
    <w:rsid w:val="00CC65B8"/>
    <w:rsid w:val="00CD237A"/>
    <w:rsid w:val="00CD368A"/>
    <w:rsid w:val="00CD5E3A"/>
    <w:rsid w:val="00CE0D33"/>
    <w:rsid w:val="00CE4AE1"/>
    <w:rsid w:val="00CE4D33"/>
    <w:rsid w:val="00CF1E1A"/>
    <w:rsid w:val="00CF29EC"/>
    <w:rsid w:val="00D01029"/>
    <w:rsid w:val="00D04E0A"/>
    <w:rsid w:val="00D11BC6"/>
    <w:rsid w:val="00D13E27"/>
    <w:rsid w:val="00D20713"/>
    <w:rsid w:val="00D23468"/>
    <w:rsid w:val="00D270A4"/>
    <w:rsid w:val="00D32868"/>
    <w:rsid w:val="00D34E1B"/>
    <w:rsid w:val="00D36146"/>
    <w:rsid w:val="00D41D08"/>
    <w:rsid w:val="00D42F78"/>
    <w:rsid w:val="00D523C0"/>
    <w:rsid w:val="00D53391"/>
    <w:rsid w:val="00D6322B"/>
    <w:rsid w:val="00D63D73"/>
    <w:rsid w:val="00D6479C"/>
    <w:rsid w:val="00D648F6"/>
    <w:rsid w:val="00D66E1E"/>
    <w:rsid w:val="00D72506"/>
    <w:rsid w:val="00D735D2"/>
    <w:rsid w:val="00D75722"/>
    <w:rsid w:val="00D86440"/>
    <w:rsid w:val="00D86E6F"/>
    <w:rsid w:val="00D87CB1"/>
    <w:rsid w:val="00DA3315"/>
    <w:rsid w:val="00DA3640"/>
    <w:rsid w:val="00DA3A85"/>
    <w:rsid w:val="00DA4435"/>
    <w:rsid w:val="00DB67C9"/>
    <w:rsid w:val="00DC0C95"/>
    <w:rsid w:val="00DC0FD3"/>
    <w:rsid w:val="00DC4C91"/>
    <w:rsid w:val="00DC79CD"/>
    <w:rsid w:val="00DD0500"/>
    <w:rsid w:val="00DD6580"/>
    <w:rsid w:val="00DE7903"/>
    <w:rsid w:val="00E115C7"/>
    <w:rsid w:val="00E119DD"/>
    <w:rsid w:val="00E17C72"/>
    <w:rsid w:val="00E17F61"/>
    <w:rsid w:val="00E217F5"/>
    <w:rsid w:val="00E2356A"/>
    <w:rsid w:val="00E340C0"/>
    <w:rsid w:val="00E34227"/>
    <w:rsid w:val="00E35AC8"/>
    <w:rsid w:val="00E35F65"/>
    <w:rsid w:val="00E40C1F"/>
    <w:rsid w:val="00E42B70"/>
    <w:rsid w:val="00E505F6"/>
    <w:rsid w:val="00E54B16"/>
    <w:rsid w:val="00E669E2"/>
    <w:rsid w:val="00E70F11"/>
    <w:rsid w:val="00E76135"/>
    <w:rsid w:val="00E774F1"/>
    <w:rsid w:val="00E77EF6"/>
    <w:rsid w:val="00E80421"/>
    <w:rsid w:val="00E868E9"/>
    <w:rsid w:val="00E87B88"/>
    <w:rsid w:val="00E93722"/>
    <w:rsid w:val="00E94507"/>
    <w:rsid w:val="00E961D1"/>
    <w:rsid w:val="00EA1A56"/>
    <w:rsid w:val="00EA5574"/>
    <w:rsid w:val="00ED404B"/>
    <w:rsid w:val="00ED592D"/>
    <w:rsid w:val="00ED6346"/>
    <w:rsid w:val="00EE165F"/>
    <w:rsid w:val="00EE3671"/>
    <w:rsid w:val="00EE3F32"/>
    <w:rsid w:val="00EE58B6"/>
    <w:rsid w:val="00EF1D0C"/>
    <w:rsid w:val="00EF2629"/>
    <w:rsid w:val="00EF4BBB"/>
    <w:rsid w:val="00EF5FE3"/>
    <w:rsid w:val="00F056FC"/>
    <w:rsid w:val="00F06A16"/>
    <w:rsid w:val="00F135D8"/>
    <w:rsid w:val="00F142C1"/>
    <w:rsid w:val="00F210D5"/>
    <w:rsid w:val="00F2373A"/>
    <w:rsid w:val="00F25F09"/>
    <w:rsid w:val="00F31299"/>
    <w:rsid w:val="00F31FCE"/>
    <w:rsid w:val="00F3534A"/>
    <w:rsid w:val="00F37DA7"/>
    <w:rsid w:val="00F46C54"/>
    <w:rsid w:val="00F53ACF"/>
    <w:rsid w:val="00F552A0"/>
    <w:rsid w:val="00F67205"/>
    <w:rsid w:val="00F700BC"/>
    <w:rsid w:val="00F80D15"/>
    <w:rsid w:val="00F84551"/>
    <w:rsid w:val="00F85325"/>
    <w:rsid w:val="00F8748A"/>
    <w:rsid w:val="00F9142D"/>
    <w:rsid w:val="00F94EB6"/>
    <w:rsid w:val="00F965EE"/>
    <w:rsid w:val="00F9685B"/>
    <w:rsid w:val="00FA6F30"/>
    <w:rsid w:val="00FB3F50"/>
    <w:rsid w:val="00FB5D92"/>
    <w:rsid w:val="00FB7EA7"/>
    <w:rsid w:val="00FC2F74"/>
    <w:rsid w:val="00FC348A"/>
    <w:rsid w:val="00FC40A2"/>
    <w:rsid w:val="00FC7CF7"/>
    <w:rsid w:val="00FD025D"/>
    <w:rsid w:val="00FD22B1"/>
    <w:rsid w:val="00FD3CC5"/>
    <w:rsid w:val="00FE3C18"/>
    <w:rsid w:val="00FF0DF8"/>
    <w:rsid w:val="00FF10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40437"/>
    <w:rPr>
      <w:sz w:val="26"/>
      <w:szCs w:val="24"/>
    </w:rPr>
  </w:style>
  <w:style w:type="paragraph" w:styleId="Heading1">
    <w:name w:val="heading 1"/>
    <w:basedOn w:val="BodyText"/>
    <w:next w:val="BodyText"/>
    <w:rsid w:val="0094043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4043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40437"/>
    <w:pPr>
      <w:spacing w:before="560" w:line="320" w:lineRule="exact"/>
      <w:ind w:left="0" w:firstLine="0"/>
      <w:outlineLvl w:val="2"/>
    </w:pPr>
    <w:rPr>
      <w:sz w:val="26"/>
    </w:rPr>
  </w:style>
  <w:style w:type="paragraph" w:styleId="Heading4">
    <w:name w:val="heading 4"/>
    <w:basedOn w:val="Heading3"/>
    <w:next w:val="BodyText"/>
    <w:qFormat/>
    <w:rsid w:val="00940437"/>
    <w:pPr>
      <w:spacing w:before="480"/>
      <w:outlineLvl w:val="3"/>
    </w:pPr>
    <w:rPr>
      <w:b w:val="0"/>
      <w:i/>
      <w:sz w:val="24"/>
    </w:rPr>
  </w:style>
  <w:style w:type="paragraph" w:styleId="Heading5">
    <w:name w:val="heading 5"/>
    <w:basedOn w:val="Heading4"/>
    <w:next w:val="BodyText"/>
    <w:qFormat/>
    <w:rsid w:val="00940437"/>
    <w:pPr>
      <w:outlineLvl w:val="4"/>
    </w:pPr>
    <w:rPr>
      <w:rFonts w:ascii="Times New Roman" w:hAnsi="Times New Roman"/>
      <w:sz w:val="26"/>
    </w:rPr>
  </w:style>
  <w:style w:type="paragraph" w:styleId="Heading6">
    <w:name w:val="heading 6"/>
    <w:basedOn w:val="BodyText"/>
    <w:next w:val="BodyText"/>
    <w:rsid w:val="00940437"/>
    <w:pPr>
      <w:spacing w:after="60"/>
      <w:jc w:val="left"/>
      <w:outlineLvl w:val="5"/>
    </w:pPr>
    <w:rPr>
      <w:i/>
      <w:sz w:val="22"/>
    </w:rPr>
  </w:style>
  <w:style w:type="paragraph" w:styleId="Heading7">
    <w:name w:val="heading 7"/>
    <w:basedOn w:val="BodyText"/>
    <w:next w:val="BodyText"/>
    <w:rsid w:val="00940437"/>
    <w:pPr>
      <w:spacing w:after="60" w:line="240" w:lineRule="auto"/>
      <w:jc w:val="left"/>
      <w:outlineLvl w:val="6"/>
    </w:pPr>
    <w:rPr>
      <w:rFonts w:ascii="Arial" w:hAnsi="Arial"/>
      <w:sz w:val="20"/>
    </w:rPr>
  </w:style>
  <w:style w:type="paragraph" w:styleId="Heading8">
    <w:name w:val="heading 8"/>
    <w:basedOn w:val="BodyText"/>
    <w:next w:val="BodyText"/>
    <w:rsid w:val="00940437"/>
    <w:pPr>
      <w:spacing w:after="60" w:line="240" w:lineRule="auto"/>
      <w:jc w:val="left"/>
      <w:outlineLvl w:val="7"/>
    </w:pPr>
    <w:rPr>
      <w:rFonts w:ascii="Arial" w:hAnsi="Arial"/>
      <w:i/>
      <w:sz w:val="20"/>
    </w:rPr>
  </w:style>
  <w:style w:type="paragraph" w:styleId="Heading9">
    <w:name w:val="heading 9"/>
    <w:basedOn w:val="BodyText"/>
    <w:next w:val="BodyText"/>
    <w:rsid w:val="0094043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40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43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2"/>
    <w:qFormat/>
    <w:rsid w:val="00940437"/>
    <w:pPr>
      <w:spacing w:before="240" w:line="320" w:lineRule="atLeast"/>
      <w:jc w:val="both"/>
    </w:pPr>
    <w:rPr>
      <w:sz w:val="26"/>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link w:val="BodyText"/>
    <w:rsid w:val="0088624E"/>
    <w:rPr>
      <w:sz w:val="26"/>
    </w:rPr>
  </w:style>
  <w:style w:type="paragraph" w:customStyle="1" w:styleId="Chapter">
    <w:name w:val="Chapter"/>
    <w:basedOn w:val="Heading1"/>
    <w:next w:val="BodyText"/>
    <w:semiHidden/>
    <w:rsid w:val="00940437"/>
    <w:pPr>
      <w:ind w:left="0" w:firstLine="0"/>
      <w:outlineLvl w:val="9"/>
    </w:pPr>
  </w:style>
  <w:style w:type="character" w:customStyle="1" w:styleId="Heading3Char">
    <w:name w:val="Heading 3 Char"/>
    <w:basedOn w:val="DefaultParagraphFont"/>
    <w:link w:val="Heading3"/>
    <w:rsid w:val="0058260A"/>
    <w:rPr>
      <w:rFonts w:ascii="Arial" w:hAnsi="Arial"/>
      <w:b/>
      <w:sz w:val="26"/>
    </w:rPr>
  </w:style>
  <w:style w:type="paragraph" w:styleId="Footer">
    <w:name w:val="footer"/>
    <w:basedOn w:val="BodyText"/>
    <w:semiHidden/>
    <w:rsid w:val="00940437"/>
    <w:pPr>
      <w:spacing w:before="80" w:line="200" w:lineRule="exact"/>
      <w:ind w:right="6"/>
      <w:jc w:val="left"/>
    </w:pPr>
    <w:rPr>
      <w:caps/>
      <w:spacing w:val="-4"/>
      <w:sz w:val="16"/>
    </w:rPr>
  </w:style>
  <w:style w:type="paragraph" w:customStyle="1" w:styleId="FooterEnd">
    <w:name w:val="Footer End"/>
    <w:basedOn w:val="Footer"/>
    <w:rsid w:val="00940437"/>
    <w:pPr>
      <w:spacing w:before="0" w:line="20" w:lineRule="exact"/>
    </w:pPr>
  </w:style>
  <w:style w:type="paragraph" w:styleId="Header">
    <w:name w:val="header"/>
    <w:basedOn w:val="BodyText"/>
    <w:rsid w:val="0094043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40437"/>
    <w:pPr>
      <w:spacing w:line="20" w:lineRule="exact"/>
    </w:pPr>
    <w:rPr>
      <w:sz w:val="16"/>
    </w:rPr>
  </w:style>
  <w:style w:type="paragraph" w:customStyle="1" w:styleId="HeaderEven">
    <w:name w:val="Header Even"/>
    <w:basedOn w:val="Header"/>
    <w:semiHidden/>
    <w:rsid w:val="00940437"/>
  </w:style>
  <w:style w:type="paragraph" w:customStyle="1" w:styleId="HeaderOdd">
    <w:name w:val="Header Odd"/>
    <w:basedOn w:val="Header"/>
    <w:semiHidden/>
    <w:rsid w:val="00940437"/>
  </w:style>
  <w:style w:type="character" w:styleId="PageNumber">
    <w:name w:val="page number"/>
    <w:basedOn w:val="DefaultParagraphFont"/>
    <w:rsid w:val="00940437"/>
    <w:rPr>
      <w:rFonts w:ascii="Arial" w:hAnsi="Arial"/>
      <w:b/>
      <w:sz w:val="16"/>
    </w:rPr>
  </w:style>
  <w:style w:type="paragraph" w:customStyle="1" w:styleId="Abbreviation">
    <w:name w:val="Abbreviation"/>
    <w:basedOn w:val="BodyText"/>
    <w:rsid w:val="00940437"/>
    <w:pPr>
      <w:spacing w:before="120"/>
      <w:ind w:left="2381" w:hanging="2381"/>
      <w:jc w:val="left"/>
    </w:pPr>
  </w:style>
  <w:style w:type="paragraph" w:customStyle="1" w:styleId="Box">
    <w:name w:val="Box"/>
    <w:basedOn w:val="BodyText"/>
    <w:link w:val="BoxChar"/>
    <w:qFormat/>
    <w:rsid w:val="00940437"/>
    <w:pPr>
      <w:keepNext/>
      <w:spacing w:before="120" w:line="280" w:lineRule="atLeast"/>
    </w:pPr>
    <w:rPr>
      <w:rFonts w:ascii="Arial" w:hAnsi="Arial"/>
      <w:sz w:val="22"/>
    </w:rPr>
  </w:style>
  <w:style w:type="character" w:customStyle="1" w:styleId="BoxChar">
    <w:name w:val="Box Char"/>
    <w:basedOn w:val="DefaultParagraphFont"/>
    <w:link w:val="Box"/>
    <w:rsid w:val="0088624E"/>
    <w:rPr>
      <w:rFonts w:ascii="Arial" w:hAnsi="Arial"/>
      <w:sz w:val="22"/>
    </w:rPr>
  </w:style>
  <w:style w:type="paragraph" w:customStyle="1" w:styleId="BoxContinued">
    <w:name w:val="Box Continued"/>
    <w:basedOn w:val="BodyText"/>
    <w:next w:val="BodyText"/>
    <w:link w:val="BoxContinuedChar"/>
    <w:semiHidden/>
    <w:rsid w:val="00940437"/>
    <w:pPr>
      <w:spacing w:before="180" w:line="220" w:lineRule="exact"/>
      <w:jc w:val="right"/>
    </w:pPr>
    <w:rPr>
      <w:rFonts w:ascii="Arial" w:hAnsi="Arial"/>
      <w:sz w:val="18"/>
    </w:rPr>
  </w:style>
  <w:style w:type="character" w:customStyle="1" w:styleId="BoxContinuedChar">
    <w:name w:val="Box Continued Char"/>
    <w:link w:val="BoxContinued"/>
    <w:semiHidden/>
    <w:rsid w:val="0058260A"/>
    <w:rPr>
      <w:rFonts w:ascii="Arial" w:hAnsi="Arial"/>
      <w:sz w:val="18"/>
    </w:rPr>
  </w:style>
  <w:style w:type="paragraph" w:customStyle="1" w:styleId="BoxHeading1">
    <w:name w:val="Box Heading 1"/>
    <w:basedOn w:val="BodyText"/>
    <w:next w:val="Box"/>
    <w:rsid w:val="00940437"/>
    <w:pPr>
      <w:keepNext/>
      <w:spacing w:before="200" w:line="280" w:lineRule="atLeast"/>
    </w:pPr>
    <w:rPr>
      <w:rFonts w:ascii="Arial" w:hAnsi="Arial"/>
      <w:b/>
      <w:sz w:val="22"/>
    </w:rPr>
  </w:style>
  <w:style w:type="paragraph" w:customStyle="1" w:styleId="BoxHeading2">
    <w:name w:val="Box Heading 2"/>
    <w:basedOn w:val="BoxHeading1"/>
    <w:next w:val="Normal"/>
    <w:rsid w:val="00940437"/>
    <w:rPr>
      <w:b w:val="0"/>
      <w:i/>
    </w:rPr>
  </w:style>
  <w:style w:type="paragraph" w:customStyle="1" w:styleId="BoxListBullet">
    <w:name w:val="Box List Bullet"/>
    <w:basedOn w:val="BodyText"/>
    <w:link w:val="BoxListBulletChar"/>
    <w:rsid w:val="00940437"/>
    <w:pPr>
      <w:keepNext/>
      <w:numPr>
        <w:numId w:val="1"/>
      </w:numPr>
      <w:spacing w:before="60" w:line="280" w:lineRule="atLeast"/>
    </w:pPr>
    <w:rPr>
      <w:rFonts w:ascii="Arial" w:hAnsi="Arial"/>
      <w:sz w:val="22"/>
    </w:rPr>
  </w:style>
  <w:style w:type="character" w:customStyle="1" w:styleId="BoxListBulletChar">
    <w:name w:val="Box List Bullet Char"/>
    <w:link w:val="BoxListBullet"/>
    <w:rsid w:val="0058260A"/>
    <w:rPr>
      <w:rFonts w:ascii="Arial" w:hAnsi="Arial"/>
      <w:sz w:val="22"/>
    </w:rPr>
  </w:style>
  <w:style w:type="paragraph" w:customStyle="1" w:styleId="BoxListBullet2">
    <w:name w:val="Box List Bullet 2"/>
    <w:basedOn w:val="BodyText"/>
    <w:rsid w:val="00940437"/>
    <w:pPr>
      <w:keepNext/>
      <w:numPr>
        <w:numId w:val="2"/>
      </w:numPr>
      <w:spacing w:before="60" w:line="280" w:lineRule="atLeast"/>
    </w:pPr>
    <w:rPr>
      <w:rFonts w:ascii="Arial" w:hAnsi="Arial"/>
      <w:sz w:val="22"/>
    </w:rPr>
  </w:style>
  <w:style w:type="paragraph" w:customStyle="1" w:styleId="BoxListNumber">
    <w:name w:val="Box List Number"/>
    <w:basedOn w:val="BodyText"/>
    <w:rsid w:val="00940437"/>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940437"/>
    <w:pPr>
      <w:numPr>
        <w:ilvl w:val="1"/>
      </w:numPr>
    </w:pPr>
  </w:style>
  <w:style w:type="paragraph" w:customStyle="1" w:styleId="BoxQuote">
    <w:name w:val="Box Quote"/>
    <w:basedOn w:val="BodyText"/>
    <w:next w:val="Box"/>
    <w:rsid w:val="00940437"/>
    <w:pPr>
      <w:keepNext/>
      <w:spacing w:before="60" w:line="260" w:lineRule="exact"/>
      <w:ind w:left="284"/>
    </w:pPr>
    <w:rPr>
      <w:rFonts w:ascii="Arial" w:hAnsi="Arial"/>
      <w:sz w:val="20"/>
    </w:rPr>
  </w:style>
  <w:style w:type="paragraph" w:customStyle="1" w:styleId="Note">
    <w:name w:val="Note"/>
    <w:basedOn w:val="BodyText"/>
    <w:next w:val="BodyText"/>
    <w:link w:val="NoteChar"/>
    <w:rsid w:val="00940437"/>
    <w:pPr>
      <w:keepLines/>
      <w:spacing w:before="80" w:line="220" w:lineRule="exact"/>
    </w:pPr>
    <w:rPr>
      <w:rFonts w:ascii="Arial" w:hAnsi="Arial"/>
      <w:sz w:val="18"/>
    </w:rPr>
  </w:style>
  <w:style w:type="character" w:customStyle="1" w:styleId="NoteChar">
    <w:name w:val="Note Char"/>
    <w:basedOn w:val="BodyTextChar2"/>
    <w:link w:val="Note"/>
    <w:rsid w:val="0058260A"/>
    <w:rPr>
      <w:rFonts w:ascii="Arial" w:hAnsi="Arial"/>
      <w:sz w:val="18"/>
    </w:rPr>
  </w:style>
  <w:style w:type="paragraph" w:customStyle="1" w:styleId="Source">
    <w:name w:val="Source"/>
    <w:basedOn w:val="Note"/>
    <w:next w:val="BodyText"/>
    <w:link w:val="SourceChar"/>
    <w:rsid w:val="00940437"/>
    <w:pPr>
      <w:spacing w:after="120"/>
    </w:pPr>
  </w:style>
  <w:style w:type="character" w:customStyle="1" w:styleId="SourceChar">
    <w:name w:val="Source Char"/>
    <w:basedOn w:val="NoteChar"/>
    <w:link w:val="Source"/>
    <w:rsid w:val="0058260A"/>
    <w:rPr>
      <w:rFonts w:ascii="Arial" w:hAnsi="Arial"/>
      <w:sz w:val="18"/>
    </w:rPr>
  </w:style>
  <w:style w:type="paragraph" w:customStyle="1" w:styleId="BoxSource">
    <w:name w:val="Box Source"/>
    <w:basedOn w:val="Source"/>
    <w:next w:val="BodyText"/>
    <w:rsid w:val="00940437"/>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4043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40437"/>
    <w:pPr>
      <w:spacing w:before="120" w:after="0"/>
      <w:ind w:left="1304" w:hanging="1304"/>
    </w:pPr>
    <w:rPr>
      <w:sz w:val="24"/>
    </w:rPr>
  </w:style>
  <w:style w:type="paragraph" w:customStyle="1" w:styleId="BoxSubtitle">
    <w:name w:val="Box Subtitle"/>
    <w:basedOn w:val="BoxTitle"/>
    <w:next w:val="Normal"/>
    <w:rsid w:val="00940437"/>
    <w:pPr>
      <w:spacing w:after="80" w:line="200" w:lineRule="exact"/>
      <w:ind w:firstLine="0"/>
    </w:pPr>
    <w:rPr>
      <w:b w:val="0"/>
      <w:sz w:val="20"/>
    </w:rPr>
  </w:style>
  <w:style w:type="paragraph" w:customStyle="1" w:styleId="ChapterSummary">
    <w:name w:val="Chapter Summary"/>
    <w:basedOn w:val="BodyText"/>
    <w:rsid w:val="00940437"/>
    <w:pPr>
      <w:ind w:left="907"/>
    </w:pPr>
    <w:rPr>
      <w:rFonts w:ascii="Arial" w:hAnsi="Arial"/>
      <w:b/>
      <w:sz w:val="22"/>
    </w:rPr>
  </w:style>
  <w:style w:type="character" w:styleId="CommentReference">
    <w:name w:val="annotation reference"/>
    <w:basedOn w:val="DefaultParagraphFont"/>
    <w:semiHidden/>
    <w:rsid w:val="00940437"/>
    <w:rPr>
      <w:b/>
      <w:vanish/>
      <w:color w:val="FF00FF"/>
      <w:sz w:val="20"/>
    </w:rPr>
  </w:style>
  <w:style w:type="paragraph" w:styleId="CommentText">
    <w:name w:val="annotation text"/>
    <w:basedOn w:val="Normal"/>
    <w:link w:val="CommentTextChar"/>
    <w:semiHidden/>
    <w:rsid w:val="00940437"/>
    <w:pPr>
      <w:spacing w:before="120" w:line="240" w:lineRule="atLeast"/>
      <w:ind w:left="567" w:hanging="567"/>
    </w:pPr>
    <w:rPr>
      <w:sz w:val="20"/>
    </w:rPr>
  </w:style>
  <w:style w:type="paragraph" w:customStyle="1" w:styleId="Continued">
    <w:name w:val="Continued"/>
    <w:basedOn w:val="BoxContinued"/>
    <w:next w:val="BodyText"/>
    <w:link w:val="ContinuedChar"/>
    <w:rsid w:val="00940437"/>
  </w:style>
  <w:style w:type="character" w:customStyle="1" w:styleId="ContinuedChar">
    <w:name w:val="Continued Char"/>
    <w:basedOn w:val="DefaultParagraphFont"/>
    <w:link w:val="Continued"/>
    <w:rsid w:val="0058260A"/>
    <w:rPr>
      <w:rFonts w:ascii="Arial" w:hAnsi="Arial"/>
      <w:sz w:val="18"/>
    </w:rPr>
  </w:style>
  <w:style w:type="character" w:customStyle="1" w:styleId="DocumentInfo">
    <w:name w:val="Document Info"/>
    <w:basedOn w:val="DefaultParagraphFont"/>
    <w:semiHidden/>
    <w:rsid w:val="00940437"/>
    <w:rPr>
      <w:rFonts w:ascii="Arial" w:hAnsi="Arial"/>
      <w:sz w:val="14"/>
    </w:rPr>
  </w:style>
  <w:style w:type="character" w:customStyle="1" w:styleId="DraftingNote">
    <w:name w:val="Drafting Note"/>
    <w:basedOn w:val="DefaultParagraphFont"/>
    <w:rsid w:val="00940437"/>
    <w:rPr>
      <w:b/>
      <w:color w:val="FF0000"/>
      <w:sz w:val="24"/>
      <w:u w:val="dotted"/>
    </w:rPr>
  </w:style>
  <w:style w:type="paragraph" w:customStyle="1" w:styleId="Figure">
    <w:name w:val="Figure"/>
    <w:basedOn w:val="BodyText"/>
    <w:rsid w:val="00940437"/>
    <w:pPr>
      <w:keepNext/>
      <w:spacing w:before="120" w:after="120" w:line="240" w:lineRule="atLeast"/>
      <w:jc w:val="center"/>
    </w:pPr>
  </w:style>
  <w:style w:type="paragraph" w:customStyle="1" w:styleId="FigureTitle">
    <w:name w:val="Figure Title"/>
    <w:basedOn w:val="Caption"/>
    <w:next w:val="Subtitle"/>
    <w:rsid w:val="00940437"/>
    <w:rPr>
      <w:sz w:val="24"/>
    </w:rPr>
  </w:style>
  <w:style w:type="paragraph" w:styleId="Subtitle">
    <w:name w:val="Subtitle"/>
    <w:basedOn w:val="Caption"/>
    <w:link w:val="SubtitleChar"/>
    <w:rsid w:val="00940437"/>
    <w:pPr>
      <w:spacing w:before="0" w:line="200" w:lineRule="exact"/>
      <w:ind w:firstLine="0"/>
    </w:pPr>
    <w:rPr>
      <w:b w:val="0"/>
      <w:sz w:val="20"/>
    </w:rPr>
  </w:style>
  <w:style w:type="paragraph" w:customStyle="1" w:styleId="Finding">
    <w:name w:val="Finding"/>
    <w:basedOn w:val="BodyText"/>
    <w:rsid w:val="00940437"/>
    <w:pPr>
      <w:keepLines/>
      <w:spacing w:before="180"/>
    </w:pPr>
    <w:rPr>
      <w:i/>
    </w:rPr>
  </w:style>
  <w:style w:type="paragraph" w:customStyle="1" w:styleId="FindingBullet">
    <w:name w:val="Finding Bullet"/>
    <w:basedOn w:val="Finding"/>
    <w:rsid w:val="00940437"/>
    <w:pPr>
      <w:numPr>
        <w:numId w:val="3"/>
      </w:numPr>
      <w:spacing w:before="80"/>
    </w:pPr>
  </w:style>
  <w:style w:type="paragraph" w:customStyle="1" w:styleId="FindingNoTitle">
    <w:name w:val="Finding NoTitle"/>
    <w:basedOn w:val="Finding"/>
    <w:rsid w:val="00940437"/>
    <w:pPr>
      <w:spacing w:before="240"/>
    </w:pPr>
  </w:style>
  <w:style w:type="paragraph" w:customStyle="1" w:styleId="RecTitle">
    <w:name w:val="Rec Title"/>
    <w:basedOn w:val="BodyText"/>
    <w:next w:val="Normal"/>
    <w:rsid w:val="00940437"/>
    <w:pPr>
      <w:keepNext/>
      <w:keepLines/>
    </w:pPr>
    <w:rPr>
      <w:caps/>
      <w:sz w:val="20"/>
    </w:rPr>
  </w:style>
  <w:style w:type="paragraph" w:customStyle="1" w:styleId="FindingTitle">
    <w:name w:val="Finding Title"/>
    <w:basedOn w:val="RecTitle"/>
    <w:next w:val="Finding"/>
    <w:rsid w:val="00940437"/>
    <w:pPr>
      <w:framePr w:wrap="notBeside" w:hAnchor="text"/>
    </w:pPr>
  </w:style>
  <w:style w:type="character" w:styleId="FootnoteReference">
    <w:name w:val="footnote reference"/>
    <w:basedOn w:val="DefaultParagraphFont"/>
    <w:semiHidden/>
    <w:rsid w:val="00940437"/>
    <w:rPr>
      <w:rFonts w:ascii="Times New Roman" w:hAnsi="Times New Roman"/>
      <w:position w:val="6"/>
      <w:sz w:val="22"/>
      <w:vertAlign w:val="baseline"/>
    </w:rPr>
  </w:style>
  <w:style w:type="paragraph" w:styleId="FootnoteText">
    <w:name w:val="footnote text"/>
    <w:basedOn w:val="BodyText"/>
    <w:link w:val="FootnoteTextChar"/>
    <w:rsid w:val="00940437"/>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locked/>
    <w:rsid w:val="0058260A"/>
    <w:rPr>
      <w:sz w:val="22"/>
    </w:rPr>
  </w:style>
  <w:style w:type="paragraph" w:customStyle="1" w:styleId="InformationRequest">
    <w:name w:val="Information Request"/>
    <w:basedOn w:val="Finding"/>
    <w:next w:val="BodyText"/>
    <w:rsid w:val="00940437"/>
    <w:pPr>
      <w:spacing w:before="360" w:after="120"/>
    </w:pPr>
    <w:rPr>
      <w:rFonts w:ascii="Arial" w:hAnsi="Arial"/>
      <w:sz w:val="24"/>
    </w:rPr>
  </w:style>
  <w:style w:type="paragraph" w:customStyle="1" w:styleId="Jurisdictioncommentsbodytext">
    <w:name w:val="Jurisdiction comments body text"/>
    <w:rsid w:val="00940437"/>
    <w:pPr>
      <w:spacing w:after="140"/>
      <w:jc w:val="both"/>
    </w:pPr>
    <w:rPr>
      <w:rFonts w:ascii="Arial" w:hAnsi="Arial"/>
      <w:sz w:val="24"/>
      <w:lang w:eastAsia="en-US"/>
    </w:rPr>
  </w:style>
  <w:style w:type="paragraph" w:customStyle="1" w:styleId="Jurisdictioncommentsheading">
    <w:name w:val="Jurisdiction comments heading"/>
    <w:rsid w:val="0094043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4043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940437"/>
    <w:pPr>
      <w:numPr>
        <w:numId w:val="5"/>
      </w:numPr>
      <w:spacing w:before="120"/>
    </w:p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58260A"/>
    <w:rPr>
      <w:sz w:val="26"/>
    </w:rPr>
  </w:style>
  <w:style w:type="paragraph" w:styleId="ListBullet2">
    <w:name w:val="List Bullet 2"/>
    <w:basedOn w:val="BodyText"/>
    <w:rsid w:val="00940437"/>
    <w:pPr>
      <w:numPr>
        <w:numId w:val="6"/>
      </w:numPr>
      <w:spacing w:before="120"/>
    </w:pPr>
  </w:style>
  <w:style w:type="paragraph" w:styleId="ListBullet3">
    <w:name w:val="List Bullet 3"/>
    <w:basedOn w:val="BodyText"/>
    <w:rsid w:val="00940437"/>
    <w:pPr>
      <w:numPr>
        <w:numId w:val="7"/>
      </w:numPr>
      <w:spacing w:before="120"/>
    </w:pPr>
  </w:style>
  <w:style w:type="paragraph" w:styleId="ListNumber">
    <w:name w:val="List Number"/>
    <w:basedOn w:val="BodyText"/>
    <w:rsid w:val="00940437"/>
    <w:pPr>
      <w:numPr>
        <w:numId w:val="12"/>
      </w:numPr>
      <w:spacing w:before="120"/>
    </w:pPr>
  </w:style>
  <w:style w:type="paragraph" w:styleId="ListNumber2">
    <w:name w:val="List Number 2"/>
    <w:basedOn w:val="ListNumber"/>
    <w:rsid w:val="00940437"/>
    <w:pPr>
      <w:numPr>
        <w:ilvl w:val="1"/>
      </w:numPr>
    </w:pPr>
  </w:style>
  <w:style w:type="paragraph" w:styleId="ListNumber3">
    <w:name w:val="List Number 3"/>
    <w:basedOn w:val="ListNumber2"/>
    <w:rsid w:val="00940437"/>
    <w:pPr>
      <w:numPr>
        <w:ilvl w:val="2"/>
      </w:numPr>
    </w:pPr>
  </w:style>
  <w:style w:type="character" w:customStyle="1" w:styleId="NoteLabel">
    <w:name w:val="Note Label"/>
    <w:basedOn w:val="DefaultParagraphFont"/>
    <w:rsid w:val="00940437"/>
    <w:rPr>
      <w:rFonts w:ascii="Arial" w:hAnsi="Arial"/>
      <w:b/>
      <w:position w:val="6"/>
      <w:sz w:val="18"/>
    </w:rPr>
  </w:style>
  <w:style w:type="paragraph" w:customStyle="1" w:styleId="PartDivider">
    <w:name w:val="Part Divider"/>
    <w:basedOn w:val="BodyText"/>
    <w:next w:val="BodyText"/>
    <w:semiHidden/>
    <w:rsid w:val="00940437"/>
    <w:pPr>
      <w:spacing w:before="0" w:line="40" w:lineRule="exact"/>
      <w:jc w:val="right"/>
    </w:pPr>
    <w:rPr>
      <w:smallCaps/>
      <w:sz w:val="16"/>
    </w:rPr>
  </w:style>
  <w:style w:type="paragraph" w:customStyle="1" w:styleId="PartNumber">
    <w:name w:val="Part Number"/>
    <w:basedOn w:val="BodyText"/>
    <w:next w:val="BodyText"/>
    <w:semiHidden/>
    <w:rsid w:val="00940437"/>
    <w:pPr>
      <w:spacing w:before="4000" w:line="320" w:lineRule="exact"/>
      <w:ind w:left="6634"/>
      <w:jc w:val="right"/>
    </w:pPr>
    <w:rPr>
      <w:smallCaps/>
      <w:spacing w:val="60"/>
      <w:sz w:val="32"/>
    </w:rPr>
  </w:style>
  <w:style w:type="paragraph" w:customStyle="1" w:styleId="PartTitle">
    <w:name w:val="Part Title"/>
    <w:basedOn w:val="BodyText"/>
    <w:semiHidden/>
    <w:rsid w:val="00940437"/>
    <w:pPr>
      <w:spacing w:before="160" w:after="1360" w:line="520" w:lineRule="exact"/>
      <w:ind w:right="2381"/>
      <w:jc w:val="right"/>
    </w:pPr>
    <w:rPr>
      <w:smallCaps/>
      <w:sz w:val="52"/>
    </w:rPr>
  </w:style>
  <w:style w:type="paragraph" w:styleId="Quote">
    <w:name w:val="Quote"/>
    <w:basedOn w:val="BodyText"/>
    <w:next w:val="BodyText"/>
    <w:qFormat/>
    <w:rsid w:val="00940437"/>
    <w:pPr>
      <w:spacing w:before="120" w:line="280" w:lineRule="exact"/>
      <w:ind w:left="340"/>
    </w:pPr>
    <w:rPr>
      <w:sz w:val="24"/>
    </w:rPr>
  </w:style>
  <w:style w:type="paragraph" w:customStyle="1" w:styleId="QuoteBullet">
    <w:name w:val="Quote Bullet"/>
    <w:basedOn w:val="Quote"/>
    <w:rsid w:val="00940437"/>
    <w:pPr>
      <w:numPr>
        <w:numId w:val="8"/>
      </w:numPr>
    </w:pPr>
  </w:style>
  <w:style w:type="paragraph" w:customStyle="1" w:styleId="Rec">
    <w:name w:val="Rec"/>
    <w:basedOn w:val="BodyText"/>
    <w:rsid w:val="00940437"/>
    <w:pPr>
      <w:keepLines/>
      <w:spacing w:before="180"/>
    </w:pPr>
    <w:rPr>
      <w:b/>
      <w:i/>
    </w:rPr>
  </w:style>
  <w:style w:type="paragraph" w:customStyle="1" w:styleId="RecBullet">
    <w:name w:val="Rec Bullet"/>
    <w:basedOn w:val="Rec"/>
    <w:rsid w:val="00940437"/>
    <w:pPr>
      <w:numPr>
        <w:numId w:val="9"/>
      </w:numPr>
      <w:spacing w:before="80"/>
    </w:pPr>
  </w:style>
  <w:style w:type="paragraph" w:customStyle="1" w:styleId="RecB">
    <w:name w:val="RecB"/>
    <w:basedOn w:val="Normal"/>
    <w:rsid w:val="0094043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40437"/>
    <w:pPr>
      <w:numPr>
        <w:numId w:val="14"/>
      </w:numPr>
      <w:spacing w:before="80"/>
    </w:pPr>
  </w:style>
  <w:style w:type="paragraph" w:customStyle="1" w:styleId="RecBNoTitle">
    <w:name w:val="RecB NoTitle"/>
    <w:basedOn w:val="RecB"/>
    <w:rsid w:val="00940437"/>
    <w:pPr>
      <w:spacing w:before="240"/>
    </w:pPr>
  </w:style>
  <w:style w:type="paragraph" w:customStyle="1" w:styleId="Reference">
    <w:name w:val="Reference"/>
    <w:basedOn w:val="BodyText"/>
    <w:rsid w:val="00940437"/>
    <w:pPr>
      <w:spacing w:before="120"/>
      <w:ind w:left="340" w:hanging="340"/>
    </w:pPr>
  </w:style>
  <w:style w:type="paragraph" w:customStyle="1" w:styleId="SequenceInfo">
    <w:name w:val="Sequence Info"/>
    <w:basedOn w:val="BodyText"/>
    <w:semiHidden/>
    <w:rsid w:val="00940437"/>
    <w:rPr>
      <w:vanish/>
      <w:sz w:val="16"/>
    </w:rPr>
  </w:style>
  <w:style w:type="paragraph" w:customStyle="1" w:styleId="SideNote">
    <w:name w:val="Side Note"/>
    <w:basedOn w:val="BodyText"/>
    <w:next w:val="BodyText"/>
    <w:semiHidden/>
    <w:rsid w:val="0094043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40437"/>
    <w:pPr>
      <w:framePr w:wrap="around"/>
      <w:numPr>
        <w:numId w:val="10"/>
      </w:numPr>
      <w:tabs>
        <w:tab w:val="left" w:pos="227"/>
      </w:tabs>
    </w:pPr>
  </w:style>
  <w:style w:type="paragraph" w:customStyle="1" w:styleId="SideNoteGraphic">
    <w:name w:val="Side Note Graphic"/>
    <w:basedOn w:val="SideNote"/>
    <w:next w:val="BodyText"/>
    <w:semiHidden/>
    <w:rsid w:val="00940437"/>
    <w:pPr>
      <w:framePr w:wrap="around"/>
    </w:pPr>
  </w:style>
  <w:style w:type="paragraph" w:customStyle="1" w:styleId="TableBodyText">
    <w:name w:val="Table Body Text"/>
    <w:basedOn w:val="BodyText"/>
    <w:link w:val="TableBodyTextChar"/>
    <w:rsid w:val="00940437"/>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020C95"/>
    <w:rPr>
      <w:rFonts w:ascii="Arial" w:hAnsi="Arial"/>
    </w:rPr>
  </w:style>
  <w:style w:type="paragraph" w:customStyle="1" w:styleId="TableBullet">
    <w:name w:val="Table Bullet"/>
    <w:basedOn w:val="TableBodyText"/>
    <w:link w:val="TableBulletChar"/>
    <w:rsid w:val="00940437"/>
    <w:pPr>
      <w:numPr>
        <w:numId w:val="11"/>
      </w:numPr>
      <w:jc w:val="left"/>
    </w:pPr>
  </w:style>
  <w:style w:type="character" w:customStyle="1" w:styleId="TableBulletChar">
    <w:name w:val="Table Bullet Char"/>
    <w:basedOn w:val="TableBodyTextChar"/>
    <w:link w:val="TableBullet"/>
    <w:rsid w:val="00B402F1"/>
    <w:rPr>
      <w:rFonts w:ascii="Arial" w:hAnsi="Arial"/>
    </w:rPr>
  </w:style>
  <w:style w:type="paragraph" w:customStyle="1" w:styleId="TableColumnHeading">
    <w:name w:val="Table Column Heading"/>
    <w:basedOn w:val="TableBodyText"/>
    <w:rsid w:val="00940437"/>
    <w:pPr>
      <w:spacing w:before="80" w:after="80"/>
    </w:pPr>
    <w:rPr>
      <w:i/>
    </w:rPr>
  </w:style>
  <w:style w:type="paragraph" w:styleId="TOC2">
    <w:name w:val="toc 2"/>
    <w:basedOn w:val="BodyText"/>
    <w:rsid w:val="00940437"/>
    <w:pPr>
      <w:tabs>
        <w:tab w:val="right" w:pos="8789"/>
      </w:tabs>
      <w:ind w:left="510" w:right="851" w:hanging="510"/>
      <w:jc w:val="left"/>
    </w:pPr>
    <w:rPr>
      <w:b/>
    </w:rPr>
  </w:style>
  <w:style w:type="paragraph" w:styleId="TOC3">
    <w:name w:val="toc 3"/>
    <w:basedOn w:val="TOC2"/>
    <w:rsid w:val="00940437"/>
    <w:pPr>
      <w:spacing w:before="60"/>
      <w:ind w:left="1190" w:hanging="680"/>
    </w:pPr>
    <w:rPr>
      <w:b w:val="0"/>
    </w:rPr>
  </w:style>
  <w:style w:type="paragraph" w:styleId="TableofFigures">
    <w:name w:val="table of figures"/>
    <w:basedOn w:val="TOC3"/>
    <w:next w:val="BodyText"/>
    <w:semiHidden/>
    <w:rsid w:val="00940437"/>
    <w:pPr>
      <w:ind w:left="737" w:hanging="737"/>
    </w:pPr>
  </w:style>
  <w:style w:type="paragraph" w:customStyle="1" w:styleId="TableTitle">
    <w:name w:val="Table Title"/>
    <w:basedOn w:val="Caption"/>
    <w:next w:val="Subtitle"/>
    <w:rsid w:val="00940437"/>
    <w:rPr>
      <w:sz w:val="24"/>
    </w:rPr>
  </w:style>
  <w:style w:type="paragraph" w:customStyle="1" w:styleId="TableUnitsRow">
    <w:name w:val="Table Units Row"/>
    <w:basedOn w:val="TableBodyText"/>
    <w:rsid w:val="00940437"/>
    <w:pPr>
      <w:spacing w:before="80" w:after="80"/>
    </w:pPr>
  </w:style>
  <w:style w:type="paragraph" w:styleId="TOC1">
    <w:name w:val="toc 1"/>
    <w:basedOn w:val="Normal"/>
    <w:next w:val="TOC2"/>
    <w:semiHidden/>
    <w:rsid w:val="00940437"/>
    <w:pPr>
      <w:tabs>
        <w:tab w:val="right" w:pos="8789"/>
      </w:tabs>
      <w:spacing w:before="480" w:after="60" w:line="320" w:lineRule="exact"/>
      <w:ind w:left="1191" w:right="851" w:hanging="1191"/>
    </w:pPr>
    <w:rPr>
      <w:b/>
      <w:caps/>
    </w:rPr>
  </w:style>
  <w:style w:type="paragraph" w:styleId="TOC4">
    <w:name w:val="toc 4"/>
    <w:basedOn w:val="TOC3"/>
    <w:semiHidden/>
    <w:rsid w:val="00940437"/>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04BBA"/>
    <w:rPr>
      <w:color w:val="0000FF"/>
      <w:u w:val="single"/>
    </w:rPr>
  </w:style>
  <w:style w:type="paragraph" w:styleId="BalloonText">
    <w:name w:val="Balloon Text"/>
    <w:basedOn w:val="Normal"/>
    <w:link w:val="BalloonTextChar"/>
    <w:rsid w:val="00940437"/>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paragraph" w:customStyle="1" w:styleId="Bullet1">
    <w:name w:val="Bullet 1"/>
    <w:basedOn w:val="AIHWbodytext"/>
    <w:link w:val="Bullet1Char"/>
    <w:rsid w:val="00BC348A"/>
    <w:pPr>
      <w:numPr>
        <w:numId w:val="15"/>
      </w:numPr>
      <w:spacing w:before="40"/>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table" w:customStyle="1" w:styleId="TableGrid1">
    <w:name w:val="Table Grid1"/>
    <w:basedOn w:val="TableNormal"/>
    <w:next w:val="TableGrid"/>
    <w:rsid w:val="00886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58260A"/>
    <w:rPr>
      <w:sz w:val="26"/>
      <w:lang w:val="en-AU" w:eastAsia="en-US" w:bidi="ar-SA"/>
    </w:rPr>
  </w:style>
  <w:style w:type="character" w:customStyle="1" w:styleId="lastdate">
    <w:name w:val="last date"/>
    <w:basedOn w:val="DefaultParagraphFont"/>
    <w:rsid w:val="0058260A"/>
    <w:rPr>
      <w:rFonts w:ascii="Arial" w:hAnsi="Arial"/>
      <w:color w:val="808080"/>
      <w:sz w:val="20"/>
    </w:rPr>
  </w:style>
  <w:style w:type="character" w:customStyle="1" w:styleId="BodyTextChar">
    <w:name w:val="Body Text Char"/>
    <w:aliases w:val="Body Text2 Char,Body Text1 Char,Body Text21 Char,Body Text111 Char,Body Text11 Char Char,Body Text Char1 Char Char"/>
    <w:basedOn w:val="DefaultParagraphFont"/>
    <w:rsid w:val="0058260A"/>
    <w:rPr>
      <w:sz w:val="26"/>
      <w:lang w:val="en-AU" w:eastAsia="en-AU" w:bidi="ar-SA"/>
    </w:rPr>
  </w:style>
  <w:style w:type="paragraph" w:customStyle="1" w:styleId="RecBBullet2">
    <w:name w:val="RecB Bullet 2"/>
    <w:basedOn w:val="ListBullet2"/>
    <w:semiHidden/>
    <w:rsid w:val="00940437"/>
    <w:pPr>
      <w:pBdr>
        <w:left w:val="single" w:sz="24" w:space="29" w:color="C0C0C0"/>
      </w:pBdr>
    </w:pPr>
    <w:rPr>
      <w:b/>
      <w:i/>
    </w:rPr>
  </w:style>
  <w:style w:type="character" w:customStyle="1" w:styleId="BalloonTextChar">
    <w:name w:val="Balloon Text Char"/>
    <w:basedOn w:val="DefaultParagraphFont"/>
    <w:link w:val="BalloonText"/>
    <w:rsid w:val="00940437"/>
    <w:rPr>
      <w:rFonts w:ascii="Tahoma" w:hAnsi="Tahoma" w:cs="Tahoma"/>
      <w:sz w:val="16"/>
      <w:szCs w:val="16"/>
    </w:rPr>
  </w:style>
  <w:style w:type="paragraph" w:customStyle="1" w:styleId="BoxSpaceAbove">
    <w:name w:val="Box Space Above"/>
    <w:basedOn w:val="BodyText"/>
    <w:rsid w:val="00940437"/>
    <w:pPr>
      <w:keepNext/>
      <w:spacing w:before="360" w:line="80" w:lineRule="exact"/>
      <w:jc w:val="left"/>
    </w:pPr>
  </w:style>
  <w:style w:type="character" w:customStyle="1" w:styleId="SubtitleChar">
    <w:name w:val="Subtitle Char"/>
    <w:basedOn w:val="DefaultParagraphFont"/>
    <w:link w:val="Subtitle"/>
    <w:rsid w:val="00940437"/>
    <w:rPr>
      <w:rFonts w:ascii="Arial" w:hAnsi="Arial"/>
      <w:szCs w:val="24"/>
    </w:rPr>
  </w:style>
  <w:style w:type="paragraph" w:customStyle="1" w:styleId="BoxListBullet3">
    <w:name w:val="Box List Bullet 3"/>
    <w:basedOn w:val="ListBullet3"/>
    <w:rsid w:val="00940437"/>
    <w:pPr>
      <w:numPr>
        <w:numId w:val="22"/>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40437"/>
    <w:rPr>
      <w:i/>
      <w:iCs/>
    </w:rPr>
  </w:style>
  <w:style w:type="paragraph" w:customStyle="1" w:styleId="BoxQuoteBullet">
    <w:name w:val="Box Quote Bullet"/>
    <w:basedOn w:val="BoxQuote"/>
    <w:next w:val="Box"/>
    <w:rsid w:val="00940437"/>
    <w:pPr>
      <w:numPr>
        <w:numId w:val="20"/>
      </w:numPr>
      <w:ind w:left="568" w:hanging="284"/>
    </w:pPr>
  </w:style>
  <w:style w:type="paragraph" w:customStyle="1" w:styleId="InformationRequestBullet">
    <w:name w:val="Information Request Bullet"/>
    <w:basedOn w:val="ListBullet"/>
    <w:next w:val="BodyText"/>
    <w:rsid w:val="00940437"/>
    <w:pPr>
      <w:numPr>
        <w:numId w:val="21"/>
      </w:numPr>
      <w:ind w:left="340" w:hanging="340"/>
    </w:pPr>
    <w:rPr>
      <w:rFonts w:ascii="Arial" w:hAnsi="Arial"/>
      <w:i/>
      <w:sz w:val="24"/>
    </w:rPr>
  </w:style>
  <w:style w:type="paragraph" w:customStyle="1" w:styleId="BoxSpaceBelow">
    <w:name w:val="Box Space Below"/>
    <w:basedOn w:val="Box"/>
    <w:rsid w:val="00940437"/>
    <w:pPr>
      <w:keepNext w:val="0"/>
      <w:spacing w:before="60" w:after="60" w:line="80" w:lineRule="exact"/>
    </w:pPr>
    <w:rPr>
      <w:sz w:val="14"/>
    </w:rPr>
  </w:style>
  <w:style w:type="paragraph" w:styleId="CommentSubject">
    <w:name w:val="annotation subject"/>
    <w:basedOn w:val="CommentText"/>
    <w:next w:val="CommentText"/>
    <w:link w:val="CommentSubjectChar"/>
    <w:rsid w:val="00104B6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04B60"/>
    <w:rPr>
      <w:szCs w:val="24"/>
    </w:rPr>
  </w:style>
  <w:style w:type="character" w:customStyle="1" w:styleId="CommentSubjectChar">
    <w:name w:val="Comment Subject Char"/>
    <w:basedOn w:val="CommentTextChar"/>
    <w:link w:val="CommentSubject"/>
    <w:rsid w:val="00104B60"/>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40437"/>
    <w:rPr>
      <w:sz w:val="26"/>
      <w:szCs w:val="24"/>
    </w:rPr>
  </w:style>
  <w:style w:type="paragraph" w:styleId="Heading1">
    <w:name w:val="heading 1"/>
    <w:basedOn w:val="BodyText"/>
    <w:next w:val="BodyText"/>
    <w:rsid w:val="0094043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4043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40437"/>
    <w:pPr>
      <w:spacing w:before="560" w:line="320" w:lineRule="exact"/>
      <w:ind w:left="0" w:firstLine="0"/>
      <w:outlineLvl w:val="2"/>
    </w:pPr>
    <w:rPr>
      <w:sz w:val="26"/>
    </w:rPr>
  </w:style>
  <w:style w:type="paragraph" w:styleId="Heading4">
    <w:name w:val="heading 4"/>
    <w:basedOn w:val="Heading3"/>
    <w:next w:val="BodyText"/>
    <w:qFormat/>
    <w:rsid w:val="00940437"/>
    <w:pPr>
      <w:spacing w:before="480"/>
      <w:outlineLvl w:val="3"/>
    </w:pPr>
    <w:rPr>
      <w:b w:val="0"/>
      <w:i/>
      <w:sz w:val="24"/>
    </w:rPr>
  </w:style>
  <w:style w:type="paragraph" w:styleId="Heading5">
    <w:name w:val="heading 5"/>
    <w:basedOn w:val="Heading4"/>
    <w:next w:val="BodyText"/>
    <w:qFormat/>
    <w:rsid w:val="00940437"/>
    <w:pPr>
      <w:outlineLvl w:val="4"/>
    </w:pPr>
    <w:rPr>
      <w:rFonts w:ascii="Times New Roman" w:hAnsi="Times New Roman"/>
      <w:sz w:val="26"/>
    </w:rPr>
  </w:style>
  <w:style w:type="paragraph" w:styleId="Heading6">
    <w:name w:val="heading 6"/>
    <w:basedOn w:val="BodyText"/>
    <w:next w:val="BodyText"/>
    <w:rsid w:val="00940437"/>
    <w:pPr>
      <w:spacing w:after="60"/>
      <w:jc w:val="left"/>
      <w:outlineLvl w:val="5"/>
    </w:pPr>
    <w:rPr>
      <w:i/>
      <w:sz w:val="22"/>
    </w:rPr>
  </w:style>
  <w:style w:type="paragraph" w:styleId="Heading7">
    <w:name w:val="heading 7"/>
    <w:basedOn w:val="BodyText"/>
    <w:next w:val="BodyText"/>
    <w:rsid w:val="00940437"/>
    <w:pPr>
      <w:spacing w:after="60" w:line="240" w:lineRule="auto"/>
      <w:jc w:val="left"/>
      <w:outlineLvl w:val="6"/>
    </w:pPr>
    <w:rPr>
      <w:rFonts w:ascii="Arial" w:hAnsi="Arial"/>
      <w:sz w:val="20"/>
    </w:rPr>
  </w:style>
  <w:style w:type="paragraph" w:styleId="Heading8">
    <w:name w:val="heading 8"/>
    <w:basedOn w:val="BodyText"/>
    <w:next w:val="BodyText"/>
    <w:rsid w:val="00940437"/>
    <w:pPr>
      <w:spacing w:after="60" w:line="240" w:lineRule="auto"/>
      <w:jc w:val="left"/>
      <w:outlineLvl w:val="7"/>
    </w:pPr>
    <w:rPr>
      <w:rFonts w:ascii="Arial" w:hAnsi="Arial"/>
      <w:i/>
      <w:sz w:val="20"/>
    </w:rPr>
  </w:style>
  <w:style w:type="paragraph" w:styleId="Heading9">
    <w:name w:val="heading 9"/>
    <w:basedOn w:val="BodyText"/>
    <w:next w:val="BodyText"/>
    <w:rsid w:val="0094043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40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43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2"/>
    <w:qFormat/>
    <w:rsid w:val="00940437"/>
    <w:pPr>
      <w:spacing w:before="240" w:line="320" w:lineRule="atLeast"/>
      <w:jc w:val="both"/>
    </w:pPr>
    <w:rPr>
      <w:sz w:val="26"/>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link w:val="BodyText"/>
    <w:rsid w:val="0088624E"/>
    <w:rPr>
      <w:sz w:val="26"/>
    </w:rPr>
  </w:style>
  <w:style w:type="paragraph" w:customStyle="1" w:styleId="Chapter">
    <w:name w:val="Chapter"/>
    <w:basedOn w:val="Heading1"/>
    <w:next w:val="BodyText"/>
    <w:semiHidden/>
    <w:rsid w:val="00940437"/>
    <w:pPr>
      <w:ind w:left="0" w:firstLine="0"/>
      <w:outlineLvl w:val="9"/>
    </w:pPr>
  </w:style>
  <w:style w:type="character" w:customStyle="1" w:styleId="Heading3Char">
    <w:name w:val="Heading 3 Char"/>
    <w:basedOn w:val="DefaultParagraphFont"/>
    <w:link w:val="Heading3"/>
    <w:rsid w:val="0058260A"/>
    <w:rPr>
      <w:rFonts w:ascii="Arial" w:hAnsi="Arial"/>
      <w:b/>
      <w:sz w:val="26"/>
    </w:rPr>
  </w:style>
  <w:style w:type="paragraph" w:styleId="Footer">
    <w:name w:val="footer"/>
    <w:basedOn w:val="BodyText"/>
    <w:semiHidden/>
    <w:rsid w:val="00940437"/>
    <w:pPr>
      <w:spacing w:before="80" w:line="200" w:lineRule="exact"/>
      <w:ind w:right="6"/>
      <w:jc w:val="left"/>
    </w:pPr>
    <w:rPr>
      <w:caps/>
      <w:spacing w:val="-4"/>
      <w:sz w:val="16"/>
    </w:rPr>
  </w:style>
  <w:style w:type="paragraph" w:customStyle="1" w:styleId="FooterEnd">
    <w:name w:val="Footer End"/>
    <w:basedOn w:val="Footer"/>
    <w:rsid w:val="00940437"/>
    <w:pPr>
      <w:spacing w:before="0" w:line="20" w:lineRule="exact"/>
    </w:pPr>
  </w:style>
  <w:style w:type="paragraph" w:styleId="Header">
    <w:name w:val="header"/>
    <w:basedOn w:val="BodyText"/>
    <w:rsid w:val="0094043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40437"/>
    <w:pPr>
      <w:spacing w:line="20" w:lineRule="exact"/>
    </w:pPr>
    <w:rPr>
      <w:sz w:val="16"/>
    </w:rPr>
  </w:style>
  <w:style w:type="paragraph" w:customStyle="1" w:styleId="HeaderEven">
    <w:name w:val="Header Even"/>
    <w:basedOn w:val="Header"/>
    <w:semiHidden/>
    <w:rsid w:val="00940437"/>
  </w:style>
  <w:style w:type="paragraph" w:customStyle="1" w:styleId="HeaderOdd">
    <w:name w:val="Header Odd"/>
    <w:basedOn w:val="Header"/>
    <w:semiHidden/>
    <w:rsid w:val="00940437"/>
  </w:style>
  <w:style w:type="character" w:styleId="PageNumber">
    <w:name w:val="page number"/>
    <w:basedOn w:val="DefaultParagraphFont"/>
    <w:rsid w:val="00940437"/>
    <w:rPr>
      <w:rFonts w:ascii="Arial" w:hAnsi="Arial"/>
      <w:b/>
      <w:sz w:val="16"/>
    </w:rPr>
  </w:style>
  <w:style w:type="paragraph" w:customStyle="1" w:styleId="Abbreviation">
    <w:name w:val="Abbreviation"/>
    <w:basedOn w:val="BodyText"/>
    <w:rsid w:val="00940437"/>
    <w:pPr>
      <w:spacing w:before="120"/>
      <w:ind w:left="2381" w:hanging="2381"/>
      <w:jc w:val="left"/>
    </w:pPr>
  </w:style>
  <w:style w:type="paragraph" w:customStyle="1" w:styleId="Box">
    <w:name w:val="Box"/>
    <w:basedOn w:val="BodyText"/>
    <w:link w:val="BoxChar"/>
    <w:qFormat/>
    <w:rsid w:val="00940437"/>
    <w:pPr>
      <w:keepNext/>
      <w:spacing w:before="120" w:line="280" w:lineRule="atLeast"/>
    </w:pPr>
    <w:rPr>
      <w:rFonts w:ascii="Arial" w:hAnsi="Arial"/>
      <w:sz w:val="22"/>
    </w:rPr>
  </w:style>
  <w:style w:type="character" w:customStyle="1" w:styleId="BoxChar">
    <w:name w:val="Box Char"/>
    <w:basedOn w:val="DefaultParagraphFont"/>
    <w:link w:val="Box"/>
    <w:rsid w:val="0088624E"/>
    <w:rPr>
      <w:rFonts w:ascii="Arial" w:hAnsi="Arial"/>
      <w:sz w:val="22"/>
    </w:rPr>
  </w:style>
  <w:style w:type="paragraph" w:customStyle="1" w:styleId="BoxContinued">
    <w:name w:val="Box Continued"/>
    <w:basedOn w:val="BodyText"/>
    <w:next w:val="BodyText"/>
    <w:link w:val="BoxContinuedChar"/>
    <w:semiHidden/>
    <w:rsid w:val="00940437"/>
    <w:pPr>
      <w:spacing w:before="180" w:line="220" w:lineRule="exact"/>
      <w:jc w:val="right"/>
    </w:pPr>
    <w:rPr>
      <w:rFonts w:ascii="Arial" w:hAnsi="Arial"/>
      <w:sz w:val="18"/>
    </w:rPr>
  </w:style>
  <w:style w:type="character" w:customStyle="1" w:styleId="BoxContinuedChar">
    <w:name w:val="Box Continued Char"/>
    <w:link w:val="BoxContinued"/>
    <w:semiHidden/>
    <w:rsid w:val="0058260A"/>
    <w:rPr>
      <w:rFonts w:ascii="Arial" w:hAnsi="Arial"/>
      <w:sz w:val="18"/>
    </w:rPr>
  </w:style>
  <w:style w:type="paragraph" w:customStyle="1" w:styleId="BoxHeading1">
    <w:name w:val="Box Heading 1"/>
    <w:basedOn w:val="BodyText"/>
    <w:next w:val="Box"/>
    <w:rsid w:val="00940437"/>
    <w:pPr>
      <w:keepNext/>
      <w:spacing w:before="200" w:line="280" w:lineRule="atLeast"/>
    </w:pPr>
    <w:rPr>
      <w:rFonts w:ascii="Arial" w:hAnsi="Arial"/>
      <w:b/>
      <w:sz w:val="22"/>
    </w:rPr>
  </w:style>
  <w:style w:type="paragraph" w:customStyle="1" w:styleId="BoxHeading2">
    <w:name w:val="Box Heading 2"/>
    <w:basedOn w:val="BoxHeading1"/>
    <w:next w:val="Normal"/>
    <w:rsid w:val="00940437"/>
    <w:rPr>
      <w:b w:val="0"/>
      <w:i/>
    </w:rPr>
  </w:style>
  <w:style w:type="paragraph" w:customStyle="1" w:styleId="BoxListBullet">
    <w:name w:val="Box List Bullet"/>
    <w:basedOn w:val="BodyText"/>
    <w:link w:val="BoxListBulletChar"/>
    <w:rsid w:val="00940437"/>
    <w:pPr>
      <w:keepNext/>
      <w:numPr>
        <w:numId w:val="1"/>
      </w:numPr>
      <w:spacing w:before="60" w:line="280" w:lineRule="atLeast"/>
    </w:pPr>
    <w:rPr>
      <w:rFonts w:ascii="Arial" w:hAnsi="Arial"/>
      <w:sz w:val="22"/>
    </w:rPr>
  </w:style>
  <w:style w:type="character" w:customStyle="1" w:styleId="BoxListBulletChar">
    <w:name w:val="Box List Bullet Char"/>
    <w:link w:val="BoxListBullet"/>
    <w:rsid w:val="0058260A"/>
    <w:rPr>
      <w:rFonts w:ascii="Arial" w:hAnsi="Arial"/>
      <w:sz w:val="22"/>
    </w:rPr>
  </w:style>
  <w:style w:type="paragraph" w:customStyle="1" w:styleId="BoxListBullet2">
    <w:name w:val="Box List Bullet 2"/>
    <w:basedOn w:val="BodyText"/>
    <w:rsid w:val="00940437"/>
    <w:pPr>
      <w:keepNext/>
      <w:numPr>
        <w:numId w:val="2"/>
      </w:numPr>
      <w:spacing w:before="60" w:line="280" w:lineRule="atLeast"/>
    </w:pPr>
    <w:rPr>
      <w:rFonts w:ascii="Arial" w:hAnsi="Arial"/>
      <w:sz w:val="22"/>
    </w:rPr>
  </w:style>
  <w:style w:type="paragraph" w:customStyle="1" w:styleId="BoxListNumber">
    <w:name w:val="Box List Number"/>
    <w:basedOn w:val="BodyText"/>
    <w:rsid w:val="00940437"/>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940437"/>
    <w:pPr>
      <w:numPr>
        <w:ilvl w:val="1"/>
      </w:numPr>
    </w:pPr>
  </w:style>
  <w:style w:type="paragraph" w:customStyle="1" w:styleId="BoxQuote">
    <w:name w:val="Box Quote"/>
    <w:basedOn w:val="BodyText"/>
    <w:next w:val="Box"/>
    <w:rsid w:val="00940437"/>
    <w:pPr>
      <w:keepNext/>
      <w:spacing w:before="60" w:line="260" w:lineRule="exact"/>
      <w:ind w:left="284"/>
    </w:pPr>
    <w:rPr>
      <w:rFonts w:ascii="Arial" w:hAnsi="Arial"/>
      <w:sz w:val="20"/>
    </w:rPr>
  </w:style>
  <w:style w:type="paragraph" w:customStyle="1" w:styleId="Note">
    <w:name w:val="Note"/>
    <w:basedOn w:val="BodyText"/>
    <w:next w:val="BodyText"/>
    <w:link w:val="NoteChar"/>
    <w:rsid w:val="00940437"/>
    <w:pPr>
      <w:keepLines/>
      <w:spacing w:before="80" w:line="220" w:lineRule="exact"/>
    </w:pPr>
    <w:rPr>
      <w:rFonts w:ascii="Arial" w:hAnsi="Arial"/>
      <w:sz w:val="18"/>
    </w:rPr>
  </w:style>
  <w:style w:type="character" w:customStyle="1" w:styleId="NoteChar">
    <w:name w:val="Note Char"/>
    <w:basedOn w:val="BodyTextChar2"/>
    <w:link w:val="Note"/>
    <w:rsid w:val="0058260A"/>
    <w:rPr>
      <w:rFonts w:ascii="Arial" w:hAnsi="Arial"/>
      <w:sz w:val="18"/>
    </w:rPr>
  </w:style>
  <w:style w:type="paragraph" w:customStyle="1" w:styleId="Source">
    <w:name w:val="Source"/>
    <w:basedOn w:val="Note"/>
    <w:next w:val="BodyText"/>
    <w:link w:val="SourceChar"/>
    <w:rsid w:val="00940437"/>
    <w:pPr>
      <w:spacing w:after="120"/>
    </w:pPr>
  </w:style>
  <w:style w:type="character" w:customStyle="1" w:styleId="SourceChar">
    <w:name w:val="Source Char"/>
    <w:basedOn w:val="NoteChar"/>
    <w:link w:val="Source"/>
    <w:rsid w:val="0058260A"/>
    <w:rPr>
      <w:rFonts w:ascii="Arial" w:hAnsi="Arial"/>
      <w:sz w:val="18"/>
    </w:rPr>
  </w:style>
  <w:style w:type="paragraph" w:customStyle="1" w:styleId="BoxSource">
    <w:name w:val="Box Source"/>
    <w:basedOn w:val="Source"/>
    <w:next w:val="BodyText"/>
    <w:rsid w:val="00940437"/>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4043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40437"/>
    <w:pPr>
      <w:spacing w:before="120" w:after="0"/>
      <w:ind w:left="1304" w:hanging="1304"/>
    </w:pPr>
    <w:rPr>
      <w:sz w:val="24"/>
    </w:rPr>
  </w:style>
  <w:style w:type="paragraph" w:customStyle="1" w:styleId="BoxSubtitle">
    <w:name w:val="Box Subtitle"/>
    <w:basedOn w:val="BoxTitle"/>
    <w:next w:val="Normal"/>
    <w:rsid w:val="00940437"/>
    <w:pPr>
      <w:spacing w:after="80" w:line="200" w:lineRule="exact"/>
      <w:ind w:firstLine="0"/>
    </w:pPr>
    <w:rPr>
      <w:b w:val="0"/>
      <w:sz w:val="20"/>
    </w:rPr>
  </w:style>
  <w:style w:type="paragraph" w:customStyle="1" w:styleId="ChapterSummary">
    <w:name w:val="Chapter Summary"/>
    <w:basedOn w:val="BodyText"/>
    <w:rsid w:val="00940437"/>
    <w:pPr>
      <w:ind w:left="907"/>
    </w:pPr>
    <w:rPr>
      <w:rFonts w:ascii="Arial" w:hAnsi="Arial"/>
      <w:b/>
      <w:sz w:val="22"/>
    </w:rPr>
  </w:style>
  <w:style w:type="character" w:styleId="CommentReference">
    <w:name w:val="annotation reference"/>
    <w:basedOn w:val="DefaultParagraphFont"/>
    <w:semiHidden/>
    <w:rsid w:val="00940437"/>
    <w:rPr>
      <w:b/>
      <w:vanish/>
      <w:color w:val="FF00FF"/>
      <w:sz w:val="20"/>
    </w:rPr>
  </w:style>
  <w:style w:type="paragraph" w:styleId="CommentText">
    <w:name w:val="annotation text"/>
    <w:basedOn w:val="Normal"/>
    <w:link w:val="CommentTextChar"/>
    <w:semiHidden/>
    <w:rsid w:val="00940437"/>
    <w:pPr>
      <w:spacing w:before="120" w:line="240" w:lineRule="atLeast"/>
      <w:ind w:left="567" w:hanging="567"/>
    </w:pPr>
    <w:rPr>
      <w:sz w:val="20"/>
    </w:rPr>
  </w:style>
  <w:style w:type="paragraph" w:customStyle="1" w:styleId="Continued">
    <w:name w:val="Continued"/>
    <w:basedOn w:val="BoxContinued"/>
    <w:next w:val="BodyText"/>
    <w:link w:val="ContinuedChar"/>
    <w:rsid w:val="00940437"/>
  </w:style>
  <w:style w:type="character" w:customStyle="1" w:styleId="ContinuedChar">
    <w:name w:val="Continued Char"/>
    <w:basedOn w:val="DefaultParagraphFont"/>
    <w:link w:val="Continued"/>
    <w:rsid w:val="0058260A"/>
    <w:rPr>
      <w:rFonts w:ascii="Arial" w:hAnsi="Arial"/>
      <w:sz w:val="18"/>
    </w:rPr>
  </w:style>
  <w:style w:type="character" w:customStyle="1" w:styleId="DocumentInfo">
    <w:name w:val="Document Info"/>
    <w:basedOn w:val="DefaultParagraphFont"/>
    <w:semiHidden/>
    <w:rsid w:val="00940437"/>
    <w:rPr>
      <w:rFonts w:ascii="Arial" w:hAnsi="Arial"/>
      <w:sz w:val="14"/>
    </w:rPr>
  </w:style>
  <w:style w:type="character" w:customStyle="1" w:styleId="DraftingNote">
    <w:name w:val="Drafting Note"/>
    <w:basedOn w:val="DefaultParagraphFont"/>
    <w:rsid w:val="00940437"/>
    <w:rPr>
      <w:b/>
      <w:color w:val="FF0000"/>
      <w:sz w:val="24"/>
      <w:u w:val="dotted"/>
    </w:rPr>
  </w:style>
  <w:style w:type="paragraph" w:customStyle="1" w:styleId="Figure">
    <w:name w:val="Figure"/>
    <w:basedOn w:val="BodyText"/>
    <w:rsid w:val="00940437"/>
    <w:pPr>
      <w:keepNext/>
      <w:spacing w:before="120" w:after="120" w:line="240" w:lineRule="atLeast"/>
      <w:jc w:val="center"/>
    </w:pPr>
  </w:style>
  <w:style w:type="paragraph" w:customStyle="1" w:styleId="FigureTitle">
    <w:name w:val="Figure Title"/>
    <w:basedOn w:val="Caption"/>
    <w:next w:val="Subtitle"/>
    <w:rsid w:val="00940437"/>
    <w:rPr>
      <w:sz w:val="24"/>
    </w:rPr>
  </w:style>
  <w:style w:type="paragraph" w:styleId="Subtitle">
    <w:name w:val="Subtitle"/>
    <w:basedOn w:val="Caption"/>
    <w:link w:val="SubtitleChar"/>
    <w:rsid w:val="00940437"/>
    <w:pPr>
      <w:spacing w:before="0" w:line="200" w:lineRule="exact"/>
      <w:ind w:firstLine="0"/>
    </w:pPr>
    <w:rPr>
      <w:b w:val="0"/>
      <w:sz w:val="20"/>
    </w:rPr>
  </w:style>
  <w:style w:type="paragraph" w:customStyle="1" w:styleId="Finding">
    <w:name w:val="Finding"/>
    <w:basedOn w:val="BodyText"/>
    <w:rsid w:val="00940437"/>
    <w:pPr>
      <w:keepLines/>
      <w:spacing w:before="180"/>
    </w:pPr>
    <w:rPr>
      <w:i/>
    </w:rPr>
  </w:style>
  <w:style w:type="paragraph" w:customStyle="1" w:styleId="FindingBullet">
    <w:name w:val="Finding Bullet"/>
    <w:basedOn w:val="Finding"/>
    <w:rsid w:val="00940437"/>
    <w:pPr>
      <w:numPr>
        <w:numId w:val="3"/>
      </w:numPr>
      <w:spacing w:before="80"/>
    </w:pPr>
  </w:style>
  <w:style w:type="paragraph" w:customStyle="1" w:styleId="FindingNoTitle">
    <w:name w:val="Finding NoTitle"/>
    <w:basedOn w:val="Finding"/>
    <w:rsid w:val="00940437"/>
    <w:pPr>
      <w:spacing w:before="240"/>
    </w:pPr>
  </w:style>
  <w:style w:type="paragraph" w:customStyle="1" w:styleId="RecTitle">
    <w:name w:val="Rec Title"/>
    <w:basedOn w:val="BodyText"/>
    <w:next w:val="Normal"/>
    <w:rsid w:val="00940437"/>
    <w:pPr>
      <w:keepNext/>
      <w:keepLines/>
    </w:pPr>
    <w:rPr>
      <w:caps/>
      <w:sz w:val="20"/>
    </w:rPr>
  </w:style>
  <w:style w:type="paragraph" w:customStyle="1" w:styleId="FindingTitle">
    <w:name w:val="Finding Title"/>
    <w:basedOn w:val="RecTitle"/>
    <w:next w:val="Finding"/>
    <w:rsid w:val="00940437"/>
    <w:pPr>
      <w:framePr w:wrap="notBeside" w:hAnchor="text"/>
    </w:pPr>
  </w:style>
  <w:style w:type="character" w:styleId="FootnoteReference">
    <w:name w:val="footnote reference"/>
    <w:basedOn w:val="DefaultParagraphFont"/>
    <w:semiHidden/>
    <w:rsid w:val="00940437"/>
    <w:rPr>
      <w:rFonts w:ascii="Times New Roman" w:hAnsi="Times New Roman"/>
      <w:position w:val="6"/>
      <w:sz w:val="22"/>
      <w:vertAlign w:val="baseline"/>
    </w:rPr>
  </w:style>
  <w:style w:type="paragraph" w:styleId="FootnoteText">
    <w:name w:val="footnote text"/>
    <w:basedOn w:val="BodyText"/>
    <w:link w:val="FootnoteTextChar"/>
    <w:rsid w:val="00940437"/>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locked/>
    <w:rsid w:val="0058260A"/>
    <w:rPr>
      <w:sz w:val="22"/>
    </w:rPr>
  </w:style>
  <w:style w:type="paragraph" w:customStyle="1" w:styleId="InformationRequest">
    <w:name w:val="Information Request"/>
    <w:basedOn w:val="Finding"/>
    <w:next w:val="BodyText"/>
    <w:rsid w:val="00940437"/>
    <w:pPr>
      <w:spacing w:before="360" w:after="120"/>
    </w:pPr>
    <w:rPr>
      <w:rFonts w:ascii="Arial" w:hAnsi="Arial"/>
      <w:sz w:val="24"/>
    </w:rPr>
  </w:style>
  <w:style w:type="paragraph" w:customStyle="1" w:styleId="Jurisdictioncommentsbodytext">
    <w:name w:val="Jurisdiction comments body text"/>
    <w:rsid w:val="00940437"/>
    <w:pPr>
      <w:spacing w:after="140"/>
      <w:jc w:val="both"/>
    </w:pPr>
    <w:rPr>
      <w:rFonts w:ascii="Arial" w:hAnsi="Arial"/>
      <w:sz w:val="24"/>
      <w:lang w:eastAsia="en-US"/>
    </w:rPr>
  </w:style>
  <w:style w:type="paragraph" w:customStyle="1" w:styleId="Jurisdictioncommentsheading">
    <w:name w:val="Jurisdiction comments heading"/>
    <w:rsid w:val="0094043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4043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940437"/>
    <w:pPr>
      <w:numPr>
        <w:numId w:val="5"/>
      </w:numPr>
      <w:spacing w:before="120"/>
    </w:p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58260A"/>
    <w:rPr>
      <w:sz w:val="26"/>
    </w:rPr>
  </w:style>
  <w:style w:type="paragraph" w:styleId="ListBullet2">
    <w:name w:val="List Bullet 2"/>
    <w:basedOn w:val="BodyText"/>
    <w:rsid w:val="00940437"/>
    <w:pPr>
      <w:numPr>
        <w:numId w:val="6"/>
      </w:numPr>
      <w:spacing w:before="120"/>
    </w:pPr>
  </w:style>
  <w:style w:type="paragraph" w:styleId="ListBullet3">
    <w:name w:val="List Bullet 3"/>
    <w:basedOn w:val="BodyText"/>
    <w:rsid w:val="00940437"/>
    <w:pPr>
      <w:numPr>
        <w:numId w:val="7"/>
      </w:numPr>
      <w:spacing w:before="120"/>
    </w:pPr>
  </w:style>
  <w:style w:type="paragraph" w:styleId="ListNumber">
    <w:name w:val="List Number"/>
    <w:basedOn w:val="BodyText"/>
    <w:rsid w:val="00940437"/>
    <w:pPr>
      <w:numPr>
        <w:numId w:val="12"/>
      </w:numPr>
      <w:spacing w:before="120"/>
    </w:pPr>
  </w:style>
  <w:style w:type="paragraph" w:styleId="ListNumber2">
    <w:name w:val="List Number 2"/>
    <w:basedOn w:val="ListNumber"/>
    <w:rsid w:val="00940437"/>
    <w:pPr>
      <w:numPr>
        <w:ilvl w:val="1"/>
      </w:numPr>
    </w:pPr>
  </w:style>
  <w:style w:type="paragraph" w:styleId="ListNumber3">
    <w:name w:val="List Number 3"/>
    <w:basedOn w:val="ListNumber2"/>
    <w:rsid w:val="00940437"/>
    <w:pPr>
      <w:numPr>
        <w:ilvl w:val="2"/>
      </w:numPr>
    </w:pPr>
  </w:style>
  <w:style w:type="character" w:customStyle="1" w:styleId="NoteLabel">
    <w:name w:val="Note Label"/>
    <w:basedOn w:val="DefaultParagraphFont"/>
    <w:rsid w:val="00940437"/>
    <w:rPr>
      <w:rFonts w:ascii="Arial" w:hAnsi="Arial"/>
      <w:b/>
      <w:position w:val="6"/>
      <w:sz w:val="18"/>
    </w:rPr>
  </w:style>
  <w:style w:type="paragraph" w:customStyle="1" w:styleId="PartDivider">
    <w:name w:val="Part Divider"/>
    <w:basedOn w:val="BodyText"/>
    <w:next w:val="BodyText"/>
    <w:semiHidden/>
    <w:rsid w:val="00940437"/>
    <w:pPr>
      <w:spacing w:before="0" w:line="40" w:lineRule="exact"/>
      <w:jc w:val="right"/>
    </w:pPr>
    <w:rPr>
      <w:smallCaps/>
      <w:sz w:val="16"/>
    </w:rPr>
  </w:style>
  <w:style w:type="paragraph" w:customStyle="1" w:styleId="PartNumber">
    <w:name w:val="Part Number"/>
    <w:basedOn w:val="BodyText"/>
    <w:next w:val="BodyText"/>
    <w:semiHidden/>
    <w:rsid w:val="00940437"/>
    <w:pPr>
      <w:spacing w:before="4000" w:line="320" w:lineRule="exact"/>
      <w:ind w:left="6634"/>
      <w:jc w:val="right"/>
    </w:pPr>
    <w:rPr>
      <w:smallCaps/>
      <w:spacing w:val="60"/>
      <w:sz w:val="32"/>
    </w:rPr>
  </w:style>
  <w:style w:type="paragraph" w:customStyle="1" w:styleId="PartTitle">
    <w:name w:val="Part Title"/>
    <w:basedOn w:val="BodyText"/>
    <w:semiHidden/>
    <w:rsid w:val="00940437"/>
    <w:pPr>
      <w:spacing w:before="160" w:after="1360" w:line="520" w:lineRule="exact"/>
      <w:ind w:right="2381"/>
      <w:jc w:val="right"/>
    </w:pPr>
    <w:rPr>
      <w:smallCaps/>
      <w:sz w:val="52"/>
    </w:rPr>
  </w:style>
  <w:style w:type="paragraph" w:styleId="Quote">
    <w:name w:val="Quote"/>
    <w:basedOn w:val="BodyText"/>
    <w:next w:val="BodyText"/>
    <w:qFormat/>
    <w:rsid w:val="00940437"/>
    <w:pPr>
      <w:spacing w:before="120" w:line="280" w:lineRule="exact"/>
      <w:ind w:left="340"/>
    </w:pPr>
    <w:rPr>
      <w:sz w:val="24"/>
    </w:rPr>
  </w:style>
  <w:style w:type="paragraph" w:customStyle="1" w:styleId="QuoteBullet">
    <w:name w:val="Quote Bullet"/>
    <w:basedOn w:val="Quote"/>
    <w:rsid w:val="00940437"/>
    <w:pPr>
      <w:numPr>
        <w:numId w:val="8"/>
      </w:numPr>
    </w:pPr>
  </w:style>
  <w:style w:type="paragraph" w:customStyle="1" w:styleId="Rec">
    <w:name w:val="Rec"/>
    <w:basedOn w:val="BodyText"/>
    <w:rsid w:val="00940437"/>
    <w:pPr>
      <w:keepLines/>
      <w:spacing w:before="180"/>
    </w:pPr>
    <w:rPr>
      <w:b/>
      <w:i/>
    </w:rPr>
  </w:style>
  <w:style w:type="paragraph" w:customStyle="1" w:styleId="RecBullet">
    <w:name w:val="Rec Bullet"/>
    <w:basedOn w:val="Rec"/>
    <w:rsid w:val="00940437"/>
    <w:pPr>
      <w:numPr>
        <w:numId w:val="9"/>
      </w:numPr>
      <w:spacing w:before="80"/>
    </w:pPr>
  </w:style>
  <w:style w:type="paragraph" w:customStyle="1" w:styleId="RecB">
    <w:name w:val="RecB"/>
    <w:basedOn w:val="Normal"/>
    <w:rsid w:val="0094043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40437"/>
    <w:pPr>
      <w:numPr>
        <w:numId w:val="14"/>
      </w:numPr>
      <w:spacing w:before="80"/>
    </w:pPr>
  </w:style>
  <w:style w:type="paragraph" w:customStyle="1" w:styleId="RecBNoTitle">
    <w:name w:val="RecB NoTitle"/>
    <w:basedOn w:val="RecB"/>
    <w:rsid w:val="00940437"/>
    <w:pPr>
      <w:spacing w:before="240"/>
    </w:pPr>
  </w:style>
  <w:style w:type="paragraph" w:customStyle="1" w:styleId="Reference">
    <w:name w:val="Reference"/>
    <w:basedOn w:val="BodyText"/>
    <w:rsid w:val="00940437"/>
    <w:pPr>
      <w:spacing w:before="120"/>
      <w:ind w:left="340" w:hanging="340"/>
    </w:pPr>
  </w:style>
  <w:style w:type="paragraph" w:customStyle="1" w:styleId="SequenceInfo">
    <w:name w:val="Sequence Info"/>
    <w:basedOn w:val="BodyText"/>
    <w:semiHidden/>
    <w:rsid w:val="00940437"/>
    <w:rPr>
      <w:vanish/>
      <w:sz w:val="16"/>
    </w:rPr>
  </w:style>
  <w:style w:type="paragraph" w:customStyle="1" w:styleId="SideNote">
    <w:name w:val="Side Note"/>
    <w:basedOn w:val="BodyText"/>
    <w:next w:val="BodyText"/>
    <w:semiHidden/>
    <w:rsid w:val="0094043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40437"/>
    <w:pPr>
      <w:framePr w:wrap="around"/>
      <w:numPr>
        <w:numId w:val="10"/>
      </w:numPr>
      <w:tabs>
        <w:tab w:val="left" w:pos="227"/>
      </w:tabs>
    </w:pPr>
  </w:style>
  <w:style w:type="paragraph" w:customStyle="1" w:styleId="SideNoteGraphic">
    <w:name w:val="Side Note Graphic"/>
    <w:basedOn w:val="SideNote"/>
    <w:next w:val="BodyText"/>
    <w:semiHidden/>
    <w:rsid w:val="00940437"/>
    <w:pPr>
      <w:framePr w:wrap="around"/>
    </w:pPr>
  </w:style>
  <w:style w:type="paragraph" w:customStyle="1" w:styleId="TableBodyText">
    <w:name w:val="Table Body Text"/>
    <w:basedOn w:val="BodyText"/>
    <w:link w:val="TableBodyTextChar"/>
    <w:rsid w:val="00940437"/>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020C95"/>
    <w:rPr>
      <w:rFonts w:ascii="Arial" w:hAnsi="Arial"/>
    </w:rPr>
  </w:style>
  <w:style w:type="paragraph" w:customStyle="1" w:styleId="TableBullet">
    <w:name w:val="Table Bullet"/>
    <w:basedOn w:val="TableBodyText"/>
    <w:link w:val="TableBulletChar"/>
    <w:rsid w:val="00940437"/>
    <w:pPr>
      <w:numPr>
        <w:numId w:val="11"/>
      </w:numPr>
      <w:jc w:val="left"/>
    </w:pPr>
  </w:style>
  <w:style w:type="character" w:customStyle="1" w:styleId="TableBulletChar">
    <w:name w:val="Table Bullet Char"/>
    <w:basedOn w:val="TableBodyTextChar"/>
    <w:link w:val="TableBullet"/>
    <w:rsid w:val="00B402F1"/>
    <w:rPr>
      <w:rFonts w:ascii="Arial" w:hAnsi="Arial"/>
    </w:rPr>
  </w:style>
  <w:style w:type="paragraph" w:customStyle="1" w:styleId="TableColumnHeading">
    <w:name w:val="Table Column Heading"/>
    <w:basedOn w:val="TableBodyText"/>
    <w:rsid w:val="00940437"/>
    <w:pPr>
      <w:spacing w:before="80" w:after="80"/>
    </w:pPr>
    <w:rPr>
      <w:i/>
    </w:rPr>
  </w:style>
  <w:style w:type="paragraph" w:styleId="TOC2">
    <w:name w:val="toc 2"/>
    <w:basedOn w:val="BodyText"/>
    <w:rsid w:val="00940437"/>
    <w:pPr>
      <w:tabs>
        <w:tab w:val="right" w:pos="8789"/>
      </w:tabs>
      <w:ind w:left="510" w:right="851" w:hanging="510"/>
      <w:jc w:val="left"/>
    </w:pPr>
    <w:rPr>
      <w:b/>
    </w:rPr>
  </w:style>
  <w:style w:type="paragraph" w:styleId="TOC3">
    <w:name w:val="toc 3"/>
    <w:basedOn w:val="TOC2"/>
    <w:rsid w:val="00940437"/>
    <w:pPr>
      <w:spacing w:before="60"/>
      <w:ind w:left="1190" w:hanging="680"/>
    </w:pPr>
    <w:rPr>
      <w:b w:val="0"/>
    </w:rPr>
  </w:style>
  <w:style w:type="paragraph" w:styleId="TableofFigures">
    <w:name w:val="table of figures"/>
    <w:basedOn w:val="TOC3"/>
    <w:next w:val="BodyText"/>
    <w:semiHidden/>
    <w:rsid w:val="00940437"/>
    <w:pPr>
      <w:ind w:left="737" w:hanging="737"/>
    </w:pPr>
  </w:style>
  <w:style w:type="paragraph" w:customStyle="1" w:styleId="TableTitle">
    <w:name w:val="Table Title"/>
    <w:basedOn w:val="Caption"/>
    <w:next w:val="Subtitle"/>
    <w:rsid w:val="00940437"/>
    <w:rPr>
      <w:sz w:val="24"/>
    </w:rPr>
  </w:style>
  <w:style w:type="paragraph" w:customStyle="1" w:styleId="TableUnitsRow">
    <w:name w:val="Table Units Row"/>
    <w:basedOn w:val="TableBodyText"/>
    <w:rsid w:val="00940437"/>
    <w:pPr>
      <w:spacing w:before="80" w:after="80"/>
    </w:pPr>
  </w:style>
  <w:style w:type="paragraph" w:styleId="TOC1">
    <w:name w:val="toc 1"/>
    <w:basedOn w:val="Normal"/>
    <w:next w:val="TOC2"/>
    <w:semiHidden/>
    <w:rsid w:val="00940437"/>
    <w:pPr>
      <w:tabs>
        <w:tab w:val="right" w:pos="8789"/>
      </w:tabs>
      <w:spacing w:before="480" w:after="60" w:line="320" w:lineRule="exact"/>
      <w:ind w:left="1191" w:right="851" w:hanging="1191"/>
    </w:pPr>
    <w:rPr>
      <w:b/>
      <w:caps/>
    </w:rPr>
  </w:style>
  <w:style w:type="paragraph" w:styleId="TOC4">
    <w:name w:val="toc 4"/>
    <w:basedOn w:val="TOC3"/>
    <w:semiHidden/>
    <w:rsid w:val="00940437"/>
    <w:pPr>
      <w:ind w:left="1191" w:firstLine="0"/>
    </w:pPr>
  </w:style>
  <w:style w:type="table" w:styleId="TableGrid">
    <w:name w:val="Table Grid"/>
    <w:basedOn w:val="TableNormal"/>
    <w:rsid w:val="00870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04BBA"/>
    <w:rPr>
      <w:color w:val="0000FF"/>
      <w:u w:val="single"/>
    </w:rPr>
  </w:style>
  <w:style w:type="paragraph" w:styleId="BalloonText">
    <w:name w:val="Balloon Text"/>
    <w:basedOn w:val="Normal"/>
    <w:link w:val="BalloonTextChar"/>
    <w:rsid w:val="00940437"/>
    <w:rPr>
      <w:rFonts w:ascii="Tahoma" w:hAnsi="Tahoma" w:cs="Tahoma"/>
      <w:sz w:val="16"/>
      <w:szCs w:val="16"/>
    </w:rPr>
  </w:style>
  <w:style w:type="paragraph" w:customStyle="1" w:styleId="AIHWbodytext">
    <w:name w:val="AIHW body text"/>
    <w:link w:val="AIHWbodytextChar"/>
    <w:rsid w:val="00BC348A"/>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147C97"/>
    <w:rPr>
      <w:rFonts w:ascii="Book Antiqua" w:hAnsi="Book Antiqua"/>
      <w:color w:val="000000"/>
      <w:sz w:val="22"/>
      <w:lang w:val="en-AU" w:eastAsia="en-US" w:bidi="ar-SA"/>
    </w:rPr>
  </w:style>
  <w:style w:type="paragraph" w:customStyle="1" w:styleId="Bullet1">
    <w:name w:val="Bullet 1"/>
    <w:basedOn w:val="AIHWbodytext"/>
    <w:link w:val="Bullet1Char"/>
    <w:rsid w:val="00BC348A"/>
    <w:pPr>
      <w:numPr>
        <w:numId w:val="15"/>
      </w:numPr>
      <w:spacing w:before="40"/>
    </w:pPr>
  </w:style>
  <w:style w:type="character" w:customStyle="1" w:styleId="Bullet1Char">
    <w:name w:val="Bullet 1 Char"/>
    <w:basedOn w:val="AIHWbodytextChar"/>
    <w:link w:val="Bullet1"/>
    <w:rsid w:val="003D30BE"/>
    <w:rPr>
      <w:rFonts w:ascii="Book Antiqua" w:hAnsi="Book Antiqua"/>
      <w:color w:val="000000"/>
      <w:sz w:val="22"/>
      <w:lang w:val="en-AU" w:eastAsia="en-US" w:bidi="ar-SA"/>
    </w:rPr>
  </w:style>
  <w:style w:type="paragraph" w:customStyle="1" w:styleId="TableFigText">
    <w:name w:val="Table/Fig: Text"/>
    <w:basedOn w:val="AIHWbodytext"/>
    <w:link w:val="TableFigTextChar"/>
    <w:rsid w:val="00147C97"/>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147C97"/>
    <w:rPr>
      <w:rFonts w:ascii="Arial" w:hAnsi="Arial"/>
      <w:sz w:val="16"/>
      <w:lang w:val="en-AU" w:eastAsia="en-US" w:bidi="ar-SA"/>
    </w:rPr>
  </w:style>
  <w:style w:type="character" w:styleId="LineNumber">
    <w:name w:val="line number"/>
    <w:basedOn w:val="DefaultParagraphFont"/>
    <w:semiHidden/>
    <w:rsid w:val="008C6E10"/>
  </w:style>
  <w:style w:type="paragraph" w:styleId="ListBullet5">
    <w:name w:val="List Bullet 5"/>
    <w:basedOn w:val="Normal"/>
    <w:semiHidden/>
    <w:rsid w:val="008C6E10"/>
    <w:pPr>
      <w:numPr>
        <w:numId w:val="16"/>
      </w:numPr>
    </w:pPr>
  </w:style>
  <w:style w:type="table" w:customStyle="1" w:styleId="TableGrid1">
    <w:name w:val="Table Grid1"/>
    <w:basedOn w:val="TableNormal"/>
    <w:next w:val="TableGrid"/>
    <w:rsid w:val="00886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58260A"/>
    <w:rPr>
      <w:sz w:val="26"/>
      <w:lang w:val="en-AU" w:eastAsia="en-US" w:bidi="ar-SA"/>
    </w:rPr>
  </w:style>
  <w:style w:type="character" w:customStyle="1" w:styleId="lastdate">
    <w:name w:val="last date"/>
    <w:basedOn w:val="DefaultParagraphFont"/>
    <w:rsid w:val="0058260A"/>
    <w:rPr>
      <w:rFonts w:ascii="Arial" w:hAnsi="Arial"/>
      <w:color w:val="808080"/>
      <w:sz w:val="20"/>
    </w:rPr>
  </w:style>
  <w:style w:type="character" w:customStyle="1" w:styleId="BodyTextChar">
    <w:name w:val="Body Text Char"/>
    <w:aliases w:val="Body Text2 Char,Body Text1 Char,Body Text21 Char,Body Text111 Char,Body Text11 Char Char,Body Text Char1 Char Char"/>
    <w:basedOn w:val="DefaultParagraphFont"/>
    <w:rsid w:val="0058260A"/>
    <w:rPr>
      <w:sz w:val="26"/>
      <w:lang w:val="en-AU" w:eastAsia="en-AU" w:bidi="ar-SA"/>
    </w:rPr>
  </w:style>
  <w:style w:type="paragraph" w:customStyle="1" w:styleId="RecBBullet2">
    <w:name w:val="RecB Bullet 2"/>
    <w:basedOn w:val="ListBullet2"/>
    <w:semiHidden/>
    <w:rsid w:val="00940437"/>
    <w:pPr>
      <w:pBdr>
        <w:left w:val="single" w:sz="24" w:space="29" w:color="C0C0C0"/>
      </w:pBdr>
    </w:pPr>
    <w:rPr>
      <w:b/>
      <w:i/>
    </w:rPr>
  </w:style>
  <w:style w:type="character" w:customStyle="1" w:styleId="BalloonTextChar">
    <w:name w:val="Balloon Text Char"/>
    <w:basedOn w:val="DefaultParagraphFont"/>
    <w:link w:val="BalloonText"/>
    <w:rsid w:val="00940437"/>
    <w:rPr>
      <w:rFonts w:ascii="Tahoma" w:hAnsi="Tahoma" w:cs="Tahoma"/>
      <w:sz w:val="16"/>
      <w:szCs w:val="16"/>
    </w:rPr>
  </w:style>
  <w:style w:type="paragraph" w:customStyle="1" w:styleId="BoxSpaceAbove">
    <w:name w:val="Box Space Above"/>
    <w:basedOn w:val="BodyText"/>
    <w:rsid w:val="00940437"/>
    <w:pPr>
      <w:keepNext/>
      <w:spacing w:before="360" w:line="80" w:lineRule="exact"/>
      <w:jc w:val="left"/>
    </w:pPr>
  </w:style>
  <w:style w:type="character" w:customStyle="1" w:styleId="SubtitleChar">
    <w:name w:val="Subtitle Char"/>
    <w:basedOn w:val="DefaultParagraphFont"/>
    <w:link w:val="Subtitle"/>
    <w:rsid w:val="00940437"/>
    <w:rPr>
      <w:rFonts w:ascii="Arial" w:hAnsi="Arial"/>
      <w:szCs w:val="24"/>
    </w:rPr>
  </w:style>
  <w:style w:type="paragraph" w:customStyle="1" w:styleId="BoxListBullet3">
    <w:name w:val="Box List Bullet 3"/>
    <w:basedOn w:val="ListBullet3"/>
    <w:rsid w:val="00940437"/>
    <w:pPr>
      <w:numPr>
        <w:numId w:val="22"/>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40437"/>
    <w:rPr>
      <w:i/>
      <w:iCs/>
    </w:rPr>
  </w:style>
  <w:style w:type="paragraph" w:customStyle="1" w:styleId="BoxQuoteBullet">
    <w:name w:val="Box Quote Bullet"/>
    <w:basedOn w:val="BoxQuote"/>
    <w:next w:val="Box"/>
    <w:rsid w:val="00940437"/>
    <w:pPr>
      <w:numPr>
        <w:numId w:val="20"/>
      </w:numPr>
      <w:ind w:left="568" w:hanging="284"/>
    </w:pPr>
  </w:style>
  <w:style w:type="paragraph" w:customStyle="1" w:styleId="InformationRequestBullet">
    <w:name w:val="Information Request Bullet"/>
    <w:basedOn w:val="ListBullet"/>
    <w:next w:val="BodyText"/>
    <w:rsid w:val="00940437"/>
    <w:pPr>
      <w:numPr>
        <w:numId w:val="21"/>
      </w:numPr>
      <w:ind w:left="340" w:hanging="340"/>
    </w:pPr>
    <w:rPr>
      <w:rFonts w:ascii="Arial" w:hAnsi="Arial"/>
      <w:i/>
      <w:sz w:val="24"/>
    </w:rPr>
  </w:style>
  <w:style w:type="paragraph" w:customStyle="1" w:styleId="BoxSpaceBelow">
    <w:name w:val="Box Space Below"/>
    <w:basedOn w:val="Box"/>
    <w:rsid w:val="00940437"/>
    <w:pPr>
      <w:keepNext w:val="0"/>
      <w:spacing w:before="60" w:after="60" w:line="80" w:lineRule="exact"/>
    </w:pPr>
    <w:rPr>
      <w:sz w:val="14"/>
    </w:rPr>
  </w:style>
  <w:style w:type="paragraph" w:styleId="CommentSubject">
    <w:name w:val="annotation subject"/>
    <w:basedOn w:val="CommentText"/>
    <w:next w:val="CommentText"/>
    <w:link w:val="CommentSubjectChar"/>
    <w:rsid w:val="00104B6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04B60"/>
    <w:rPr>
      <w:szCs w:val="24"/>
    </w:rPr>
  </w:style>
  <w:style w:type="character" w:customStyle="1" w:styleId="CommentSubjectChar">
    <w:name w:val="Comment Subject Char"/>
    <w:basedOn w:val="CommentTextChar"/>
    <w:link w:val="CommentSubject"/>
    <w:rsid w:val="00104B60"/>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461664">
      <w:bodyDiv w:val="1"/>
      <w:marLeft w:val="0"/>
      <w:marRight w:val="0"/>
      <w:marTop w:val="0"/>
      <w:marBottom w:val="0"/>
      <w:divBdr>
        <w:top w:val="none" w:sz="0" w:space="0" w:color="auto"/>
        <w:left w:val="none" w:sz="0" w:space="0" w:color="auto"/>
        <w:bottom w:val="none" w:sz="0" w:space="0" w:color="auto"/>
        <w:right w:val="none" w:sz="0" w:space="0" w:color="auto"/>
      </w:divBdr>
      <w:divsChild>
        <w:div w:id="959266109">
          <w:marLeft w:val="0"/>
          <w:marRight w:val="0"/>
          <w:marTop w:val="0"/>
          <w:marBottom w:val="0"/>
          <w:divBdr>
            <w:top w:val="none" w:sz="0" w:space="0" w:color="auto"/>
            <w:left w:val="none" w:sz="0" w:space="0" w:color="auto"/>
            <w:bottom w:val="none" w:sz="0" w:space="0" w:color="auto"/>
            <w:right w:val="none" w:sz="0" w:space="0" w:color="auto"/>
          </w:divBdr>
          <w:divsChild>
            <w:div w:id="922880549">
              <w:marLeft w:val="0"/>
              <w:marRight w:val="0"/>
              <w:marTop w:val="0"/>
              <w:marBottom w:val="0"/>
              <w:divBdr>
                <w:top w:val="none" w:sz="0" w:space="0" w:color="auto"/>
                <w:left w:val="none" w:sz="0" w:space="0" w:color="auto"/>
                <w:bottom w:val="none" w:sz="0" w:space="0" w:color="auto"/>
                <w:right w:val="none" w:sz="0" w:space="0" w:color="auto"/>
              </w:divBdr>
              <w:divsChild>
                <w:div w:id="1047414613">
                  <w:marLeft w:val="0"/>
                  <w:marRight w:val="0"/>
                  <w:marTop w:val="0"/>
                  <w:marBottom w:val="0"/>
                  <w:divBdr>
                    <w:top w:val="none" w:sz="0" w:space="0" w:color="auto"/>
                    <w:left w:val="none" w:sz="0" w:space="0" w:color="auto"/>
                    <w:bottom w:val="none" w:sz="0" w:space="0" w:color="auto"/>
                    <w:right w:val="none" w:sz="0" w:space="0" w:color="auto"/>
                  </w:divBdr>
                  <w:divsChild>
                    <w:div w:id="12885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01FF8-CDF3-4620-9766-0FC8AA3A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TotalTime>
  <Pages>40</Pages>
  <Words>12507</Words>
  <Characters>70062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Public Hospitals DQI</vt:lpstr>
    </vt:vector>
  </TitlesOfParts>
  <Company>Productivity Commission</Company>
  <LinksUpToDate>false</LinksUpToDate>
  <CharactersWithSpaces>82405</CharactersWithSpaces>
  <SharedDoc>false</SharedDoc>
  <HLinks>
    <vt:vector size="54" baseType="variant">
      <vt:variant>
        <vt:i4>1900597</vt:i4>
      </vt:variant>
      <vt:variant>
        <vt:i4>50</vt:i4>
      </vt:variant>
      <vt:variant>
        <vt:i4>0</vt:i4>
      </vt:variant>
      <vt:variant>
        <vt:i4>5</vt:i4>
      </vt:variant>
      <vt:variant>
        <vt:lpwstr/>
      </vt:variant>
      <vt:variant>
        <vt:lpwstr>_Toc306802001</vt:lpwstr>
      </vt:variant>
      <vt:variant>
        <vt:i4>1900597</vt:i4>
      </vt:variant>
      <vt:variant>
        <vt:i4>44</vt:i4>
      </vt:variant>
      <vt:variant>
        <vt:i4>0</vt:i4>
      </vt:variant>
      <vt:variant>
        <vt:i4>5</vt:i4>
      </vt:variant>
      <vt:variant>
        <vt:lpwstr/>
      </vt:variant>
      <vt:variant>
        <vt:lpwstr>_Toc306802000</vt:lpwstr>
      </vt:variant>
      <vt:variant>
        <vt:i4>1507388</vt:i4>
      </vt:variant>
      <vt:variant>
        <vt:i4>38</vt:i4>
      </vt:variant>
      <vt:variant>
        <vt:i4>0</vt:i4>
      </vt:variant>
      <vt:variant>
        <vt:i4>5</vt:i4>
      </vt:variant>
      <vt:variant>
        <vt:lpwstr/>
      </vt:variant>
      <vt:variant>
        <vt:lpwstr>_Toc306801999</vt:lpwstr>
      </vt:variant>
      <vt:variant>
        <vt:i4>1507388</vt:i4>
      </vt:variant>
      <vt:variant>
        <vt:i4>32</vt:i4>
      </vt:variant>
      <vt:variant>
        <vt:i4>0</vt:i4>
      </vt:variant>
      <vt:variant>
        <vt:i4>5</vt:i4>
      </vt:variant>
      <vt:variant>
        <vt:lpwstr/>
      </vt:variant>
      <vt:variant>
        <vt:lpwstr>_Toc306801998</vt:lpwstr>
      </vt:variant>
      <vt:variant>
        <vt:i4>1507388</vt:i4>
      </vt:variant>
      <vt:variant>
        <vt:i4>26</vt:i4>
      </vt:variant>
      <vt:variant>
        <vt:i4>0</vt:i4>
      </vt:variant>
      <vt:variant>
        <vt:i4>5</vt:i4>
      </vt:variant>
      <vt:variant>
        <vt:lpwstr/>
      </vt:variant>
      <vt:variant>
        <vt:lpwstr>_Toc306801997</vt:lpwstr>
      </vt:variant>
      <vt:variant>
        <vt:i4>1507388</vt:i4>
      </vt:variant>
      <vt:variant>
        <vt:i4>20</vt:i4>
      </vt:variant>
      <vt:variant>
        <vt:i4>0</vt:i4>
      </vt:variant>
      <vt:variant>
        <vt:i4>5</vt:i4>
      </vt:variant>
      <vt:variant>
        <vt:lpwstr/>
      </vt:variant>
      <vt:variant>
        <vt:lpwstr>_Toc306801996</vt:lpwstr>
      </vt:variant>
      <vt:variant>
        <vt:i4>1507388</vt:i4>
      </vt:variant>
      <vt:variant>
        <vt:i4>14</vt:i4>
      </vt:variant>
      <vt:variant>
        <vt:i4>0</vt:i4>
      </vt:variant>
      <vt:variant>
        <vt:i4>5</vt:i4>
      </vt:variant>
      <vt:variant>
        <vt:lpwstr/>
      </vt:variant>
      <vt:variant>
        <vt:lpwstr>_Toc306801995</vt:lpwstr>
      </vt:variant>
      <vt:variant>
        <vt:i4>1507388</vt:i4>
      </vt:variant>
      <vt:variant>
        <vt:i4>8</vt:i4>
      </vt:variant>
      <vt:variant>
        <vt:i4>0</vt:i4>
      </vt:variant>
      <vt:variant>
        <vt:i4>5</vt:i4>
      </vt:variant>
      <vt:variant>
        <vt:lpwstr/>
      </vt:variant>
      <vt:variant>
        <vt:lpwstr>_Toc306801994</vt:lpwstr>
      </vt:variant>
      <vt:variant>
        <vt:i4>1507388</vt:i4>
      </vt:variant>
      <vt:variant>
        <vt:i4>2</vt:i4>
      </vt:variant>
      <vt:variant>
        <vt:i4>0</vt:i4>
      </vt:variant>
      <vt:variant>
        <vt:i4>5</vt:i4>
      </vt:variant>
      <vt:variant>
        <vt:lpwstr/>
      </vt:variant>
      <vt:variant>
        <vt:lpwstr>_Toc306801993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Hospitals DQI</dc:title>
  <dc:subject>2012 Report on Government Services</dc:subject>
  <dc:creator>Steering Committee for the Review of Government Service Provision</dc:creator>
  <dc:description>1.</dc:description>
  <cp:lastModifiedBy>Frech, Tanya</cp:lastModifiedBy>
  <cp:revision>11</cp:revision>
  <cp:lastPrinted>2014-01-10T02:36:00Z</cp:lastPrinted>
  <dcterms:created xsi:type="dcterms:W3CDTF">2014-01-13T02:34:00Z</dcterms:created>
  <dcterms:modified xsi:type="dcterms:W3CDTF">2014-01-21T01:53:00Z</dcterms:modified>
</cp:coreProperties>
</file>