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1F" w:rsidRDefault="002C781F" w:rsidP="002C781F">
      <w:pPr>
        <w:pStyle w:val="Heading2"/>
      </w:pPr>
      <w:bookmarkStart w:id="0" w:name="_Toc281994052"/>
      <w:bookmarkStart w:id="1" w:name="_Toc305413033"/>
      <w:bookmarkStart w:id="2" w:name="_Toc305414143"/>
      <w:bookmarkStart w:id="3" w:name="_Toc305414792"/>
      <w:r>
        <w:t>Data quality information — Homelessness services, chapter 1</w:t>
      </w:r>
      <w:bookmarkEnd w:id="0"/>
      <w:r>
        <w:t>8</w:t>
      </w:r>
      <w:bookmarkEnd w:id="1"/>
      <w:bookmarkEnd w:id="2"/>
      <w:bookmarkEnd w:id="3"/>
    </w:p>
    <w:p w:rsidR="002C781F" w:rsidRDefault="002C781F" w:rsidP="002C781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C781F" w:rsidTr="001E31B8">
        <w:tc>
          <w:tcPr>
            <w:tcW w:w="8771" w:type="dxa"/>
            <w:tcBorders>
              <w:top w:val="single" w:sz="6" w:space="0" w:color="auto"/>
              <w:bottom w:val="nil"/>
            </w:tcBorders>
          </w:tcPr>
          <w:p w:rsidR="002C781F" w:rsidRDefault="002C781F" w:rsidP="001E31B8">
            <w:pPr>
              <w:pStyle w:val="BoxTitle"/>
            </w:pPr>
            <w:r>
              <w:t>Data quality information</w:t>
            </w:r>
          </w:p>
        </w:tc>
      </w:tr>
      <w:tr w:rsidR="002C781F" w:rsidTr="001E31B8">
        <w:trPr>
          <w:cantSplit/>
        </w:trPr>
        <w:tc>
          <w:tcPr>
            <w:tcW w:w="8771" w:type="dxa"/>
            <w:tcBorders>
              <w:top w:val="nil"/>
              <w:left w:val="single" w:sz="6" w:space="0" w:color="auto"/>
              <w:bottom w:val="nil"/>
              <w:right w:val="single" w:sz="6" w:space="0" w:color="auto"/>
            </w:tcBorders>
          </w:tcPr>
          <w:p w:rsidR="002C781F" w:rsidRDefault="002C781F" w:rsidP="001E31B8">
            <w:pPr>
              <w:pStyle w:val="Box"/>
            </w:pPr>
            <w:r>
              <w:t>Data quality information (</w:t>
            </w:r>
            <w:proofErr w:type="spellStart"/>
            <w:r>
              <w:t>DQI</w:t>
            </w:r>
            <w:proofErr w:type="spellEnd"/>
            <w:r>
              <w:t xml:space="preserve">) provides information against the seven ABS data quality framework dimensions. </w:t>
            </w:r>
            <w:proofErr w:type="spellStart"/>
            <w:r>
              <w:t>DQI</w:t>
            </w:r>
            <w:proofErr w:type="spellEnd"/>
            <w:r>
              <w:t xml:space="preserve"> for Homelessness services performance indicators will be progressively introduced in future reports. Technical </w:t>
            </w:r>
            <w:proofErr w:type="spellStart"/>
            <w:r>
              <w:t>DQI</w:t>
            </w:r>
            <w:proofErr w:type="spellEnd"/>
            <w:r>
              <w:t xml:space="preserve"> has been supplied by relevant data providers. Additional Steering Committee commentary does not necessarily reflect the views of data providers.</w:t>
            </w:r>
          </w:p>
          <w:p w:rsidR="002C781F" w:rsidRPr="003043D1" w:rsidRDefault="002C781F" w:rsidP="001E31B8">
            <w:pPr>
              <w:pStyle w:val="Box"/>
            </w:pPr>
            <w:r w:rsidRPr="00FE3E9B">
              <w:t>Where R</w:t>
            </w:r>
            <w:r>
              <w:t xml:space="preserve">eport </w:t>
            </w:r>
            <w:r w:rsidRPr="00FE3E9B">
              <w:t>o</w:t>
            </w:r>
            <w:r>
              <w:t xml:space="preserve">n Government </w:t>
            </w:r>
            <w:r w:rsidRPr="00FE3E9B">
              <w:t>S</w:t>
            </w:r>
            <w:r>
              <w:t>ervices</w:t>
            </w:r>
            <w:r w:rsidRPr="00FE3E9B">
              <w:t xml:space="preserve"> </w:t>
            </w:r>
            <w:r>
              <w:t xml:space="preserve">reporting </w:t>
            </w:r>
            <w:r w:rsidRPr="00FE3E9B">
              <w:t>align</w:t>
            </w:r>
            <w:r>
              <w:t>s</w:t>
            </w:r>
            <w:r w:rsidRPr="00FE3E9B">
              <w:t xml:space="preserve"> with National Agreement </w:t>
            </w:r>
            <w:r>
              <w:t>reporting</w:t>
            </w:r>
            <w:r w:rsidRPr="00FE3E9B">
              <w:t xml:space="preserve">, similar data quality information is included in the Steering Committee’s reports on National Agreements to the </w:t>
            </w:r>
            <w:proofErr w:type="spellStart"/>
            <w:r w:rsidRPr="00FE3E9B">
              <w:t>COAG</w:t>
            </w:r>
            <w:proofErr w:type="spellEnd"/>
            <w:r w:rsidRPr="00FE3E9B">
              <w:t xml:space="preserve"> Reform Council.</w:t>
            </w:r>
          </w:p>
        </w:tc>
      </w:tr>
      <w:tr w:rsidR="002C781F" w:rsidTr="001E31B8">
        <w:trPr>
          <w:cantSplit/>
        </w:trPr>
        <w:tc>
          <w:tcPr>
            <w:tcW w:w="8771" w:type="dxa"/>
            <w:tcBorders>
              <w:top w:val="nil"/>
              <w:left w:val="single" w:sz="6" w:space="0" w:color="auto"/>
              <w:bottom w:val="single" w:sz="6" w:space="0" w:color="auto"/>
              <w:right w:val="single" w:sz="6" w:space="0" w:color="auto"/>
            </w:tcBorders>
          </w:tcPr>
          <w:p w:rsidR="002C781F" w:rsidRDefault="002C781F" w:rsidP="001E31B8">
            <w:pPr>
              <w:pStyle w:val="Box"/>
              <w:spacing w:before="0" w:line="120" w:lineRule="exact"/>
            </w:pPr>
          </w:p>
        </w:tc>
      </w:tr>
      <w:tr w:rsidR="002C781F" w:rsidTr="001E31B8">
        <w:tc>
          <w:tcPr>
            <w:tcW w:w="8771" w:type="dxa"/>
            <w:tcBorders>
              <w:top w:val="nil"/>
              <w:left w:val="nil"/>
              <w:bottom w:val="nil"/>
              <w:right w:val="nil"/>
            </w:tcBorders>
          </w:tcPr>
          <w:p w:rsidR="002C781F" w:rsidRDefault="002C781F" w:rsidP="001E31B8">
            <w:pPr>
              <w:pStyle w:val="Box"/>
              <w:keepNext w:val="0"/>
              <w:spacing w:before="60" w:after="60" w:line="80" w:lineRule="exact"/>
              <w:rPr>
                <w:b/>
                <w:color w:val="FF00FF"/>
                <w:sz w:val="14"/>
              </w:rPr>
            </w:pPr>
          </w:p>
        </w:tc>
      </w:tr>
    </w:tbl>
    <w:p w:rsidR="002C781F" w:rsidRPr="00CA5E50" w:rsidRDefault="002C781F" w:rsidP="002C781F">
      <w:pPr>
        <w:pStyle w:val="BodyText"/>
      </w:pPr>
      <w:proofErr w:type="spellStart"/>
      <w:r w:rsidRPr="00CA5E50">
        <w:t>DQI</w:t>
      </w:r>
      <w:proofErr w:type="spellEnd"/>
      <w:r w:rsidRPr="00CA5E50">
        <w:t xml:space="preserve"> are available for the following</w:t>
      </w:r>
      <w:r>
        <w:t xml:space="preserve"> data collections</w:t>
      </w:r>
      <w:r w:rsidRPr="00CA5E50">
        <w:t>:</w:t>
      </w:r>
    </w:p>
    <w:p w:rsidR="002C781F" w:rsidRDefault="002C781F" w:rsidP="002C781F">
      <w:pPr>
        <w:pStyle w:val="TOC2"/>
        <w:rPr>
          <w:b w:val="0"/>
          <w:noProof/>
          <w:sz w:val="24"/>
          <w:szCs w:val="24"/>
        </w:rPr>
      </w:pPr>
      <w:r w:rsidRPr="00EC496D">
        <w:rPr>
          <w:noProof/>
        </w:rPr>
        <w:t>Data collections</w:t>
      </w:r>
      <w:r>
        <w:rPr>
          <w:noProof/>
          <w:webHidden/>
        </w:rPr>
        <w:tab/>
      </w:r>
      <w:r w:rsidR="00A4139E">
        <w:rPr>
          <w:noProof/>
          <w:webHidden/>
        </w:rPr>
        <w:t>2</w:t>
      </w:r>
    </w:p>
    <w:p w:rsidR="002C781F" w:rsidRPr="005F4F3D" w:rsidRDefault="002C781F" w:rsidP="002C781F">
      <w:pPr>
        <w:pStyle w:val="TOC3"/>
        <w:rPr>
          <w:rStyle w:val="Hyperlink"/>
          <w:b/>
          <w:noProof/>
          <w:color w:val="000000"/>
          <w:u w:val="none"/>
        </w:rPr>
      </w:pPr>
      <w:r w:rsidRPr="005F4F3D">
        <w:rPr>
          <w:rStyle w:val="Hyperlink"/>
          <w:noProof/>
          <w:color w:val="000000"/>
          <w:u w:val="none"/>
        </w:rPr>
        <w:t>Specialist homelessness services client collection</w:t>
      </w:r>
      <w:r w:rsidRPr="005F4F3D">
        <w:rPr>
          <w:rStyle w:val="Hyperlink"/>
          <w:noProof/>
          <w:color w:val="000000"/>
          <w:u w:val="none"/>
        </w:rPr>
        <w:tab/>
      </w:r>
      <w:r w:rsidRPr="005F4F3D">
        <w:rPr>
          <w:rStyle w:val="Hyperlink"/>
          <w:b/>
          <w:noProof/>
          <w:color w:val="000000"/>
          <w:u w:val="none"/>
        </w:rPr>
        <w:t>2</w:t>
      </w:r>
    </w:p>
    <w:p w:rsidR="002C781F" w:rsidRPr="009F31D1" w:rsidRDefault="002C781F" w:rsidP="002C781F">
      <w:pPr>
        <w:pStyle w:val="Heading2"/>
        <w:ind w:left="0"/>
        <w:rPr>
          <w:color w:val="000000" w:themeColor="text1"/>
        </w:rPr>
      </w:pPr>
      <w:bookmarkStart w:id="4" w:name="_Toc305418141"/>
      <w:r>
        <w:br w:type="page"/>
      </w:r>
      <w:r w:rsidR="00E429EF">
        <w:lastRenderedPageBreak/>
        <w:tab/>
      </w:r>
      <w:r w:rsidRPr="009F31D1">
        <w:rPr>
          <w:color w:val="000000" w:themeColor="text1"/>
        </w:rPr>
        <w:t>Data collections</w:t>
      </w:r>
      <w:bookmarkStart w:id="5" w:name="_GoBack"/>
      <w:bookmarkEnd w:id="4"/>
      <w:bookmarkEnd w:id="5"/>
    </w:p>
    <w:p w:rsidR="002C781F" w:rsidRPr="009F31D1" w:rsidRDefault="002C781F" w:rsidP="002C781F">
      <w:pPr>
        <w:pStyle w:val="Heading3"/>
        <w:rPr>
          <w:color w:val="000000" w:themeColor="text1"/>
        </w:rPr>
      </w:pPr>
      <w:r w:rsidRPr="009F31D1">
        <w:rPr>
          <w:color w:val="000000" w:themeColor="text1"/>
        </w:rPr>
        <w:t>Specialist homelessness services client collection</w:t>
      </w:r>
    </w:p>
    <w:p w:rsidR="002C781F" w:rsidRPr="009F31D1" w:rsidRDefault="002C781F" w:rsidP="002C781F">
      <w:pPr>
        <w:pStyle w:val="Box"/>
        <w:rPr>
          <w:color w:val="000000" w:themeColor="text1"/>
        </w:rPr>
      </w:pPr>
      <w:r w:rsidRPr="009F31D1">
        <w:rPr>
          <w:color w:val="000000" w:themeColor="text1"/>
        </w:rPr>
        <w:t>Data quality information for this data collection has been drafted by the Australian Institute of Health and Welfare (</w:t>
      </w:r>
      <w:proofErr w:type="spellStart"/>
      <w:r w:rsidRPr="009F31D1">
        <w:rPr>
          <w:color w:val="000000" w:themeColor="text1"/>
        </w:rPr>
        <w:t>AIHW</w:t>
      </w:r>
      <w:proofErr w:type="spellEnd"/>
      <w:r w:rsidRPr="009F31D1">
        <w:rPr>
          <w:color w:val="000000" w:themeColor="text1"/>
        </w:rPr>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2C781F" w:rsidRPr="00ED03C6" w:rsidTr="001E31B8">
        <w:tc>
          <w:tcPr>
            <w:tcW w:w="5000" w:type="pct"/>
            <w:gridSpan w:val="2"/>
          </w:tcPr>
          <w:p w:rsidR="002C781F" w:rsidRPr="0063089E" w:rsidRDefault="002C781F" w:rsidP="001E31B8">
            <w:pPr>
              <w:pStyle w:val="TableBodyText"/>
              <w:jc w:val="left"/>
              <w:rPr>
                <w:b/>
                <w:u w:val="single"/>
              </w:rPr>
            </w:pPr>
          </w:p>
          <w:p w:rsidR="002C781F" w:rsidRPr="0063089E" w:rsidRDefault="002C781F" w:rsidP="001E31B8">
            <w:pPr>
              <w:pStyle w:val="TableBodyText"/>
              <w:jc w:val="left"/>
            </w:pPr>
            <w:r w:rsidRPr="0063089E">
              <w:rPr>
                <w:b/>
                <w:u w:val="single"/>
              </w:rPr>
              <w:t>Indicator definition and description</w:t>
            </w:r>
            <w:r w:rsidRPr="0063089E">
              <w:rPr>
                <w:rFonts w:cs="Arial"/>
                <w:b/>
                <w:sz w:val="22"/>
                <w:szCs w:val="22"/>
                <w:u w:val="single"/>
              </w:rPr>
              <w:t xml:space="preserve"> </w:t>
            </w:r>
          </w:p>
        </w:tc>
      </w:tr>
      <w:tr w:rsidR="002C781F" w:rsidRPr="00ED03C6" w:rsidTr="001E31B8">
        <w:tc>
          <w:tcPr>
            <w:tcW w:w="1024" w:type="pct"/>
          </w:tcPr>
          <w:p w:rsidR="002C781F" w:rsidRPr="0063089E" w:rsidRDefault="002C781F" w:rsidP="001E31B8">
            <w:pPr>
              <w:pStyle w:val="TableBodyText"/>
              <w:jc w:val="left"/>
              <w:rPr>
                <w:b/>
              </w:rPr>
            </w:pPr>
            <w:r w:rsidRPr="0063089E">
              <w:rPr>
                <w:b/>
              </w:rPr>
              <w:t>Element</w:t>
            </w:r>
          </w:p>
        </w:tc>
        <w:tc>
          <w:tcPr>
            <w:tcW w:w="3976" w:type="pct"/>
          </w:tcPr>
          <w:p w:rsidR="002C781F" w:rsidRPr="0063089E" w:rsidRDefault="002C781F" w:rsidP="001E31B8">
            <w:pPr>
              <w:pStyle w:val="TableBodyText"/>
              <w:jc w:val="left"/>
            </w:pPr>
            <w:r w:rsidRPr="0063089E">
              <w:t>Various</w:t>
            </w:r>
          </w:p>
        </w:tc>
      </w:tr>
      <w:tr w:rsidR="002C781F" w:rsidRPr="00ED03C6" w:rsidTr="001E31B8">
        <w:tc>
          <w:tcPr>
            <w:tcW w:w="1024" w:type="pct"/>
          </w:tcPr>
          <w:p w:rsidR="002C781F" w:rsidRPr="0063089E" w:rsidRDefault="002C781F" w:rsidP="001E31B8">
            <w:pPr>
              <w:pStyle w:val="TableBodyText"/>
              <w:jc w:val="left"/>
              <w:rPr>
                <w:b/>
              </w:rPr>
            </w:pPr>
            <w:r w:rsidRPr="0063089E">
              <w:rPr>
                <w:b/>
              </w:rPr>
              <w:t>Indicator</w:t>
            </w:r>
          </w:p>
        </w:tc>
        <w:tc>
          <w:tcPr>
            <w:tcW w:w="3976" w:type="pct"/>
          </w:tcPr>
          <w:p w:rsidR="002C781F" w:rsidRPr="0063089E" w:rsidRDefault="002C781F" w:rsidP="001E31B8">
            <w:pPr>
              <w:pStyle w:val="TableBodyText"/>
              <w:jc w:val="left"/>
            </w:pPr>
            <w:r w:rsidRPr="0063089E">
              <w:t>Various.</w:t>
            </w:r>
          </w:p>
        </w:tc>
      </w:tr>
      <w:tr w:rsidR="002C781F" w:rsidRPr="00ED03C6" w:rsidTr="001E31B8">
        <w:tc>
          <w:tcPr>
            <w:tcW w:w="1024" w:type="pct"/>
          </w:tcPr>
          <w:p w:rsidR="002C781F" w:rsidRPr="0063089E" w:rsidRDefault="002C781F" w:rsidP="001E31B8">
            <w:pPr>
              <w:pStyle w:val="TableBodyText"/>
              <w:jc w:val="left"/>
              <w:rPr>
                <w:b/>
              </w:rPr>
            </w:pPr>
            <w:r w:rsidRPr="0063089E">
              <w:rPr>
                <w:b/>
              </w:rPr>
              <w:t>Measure (computation)</w:t>
            </w:r>
          </w:p>
        </w:tc>
        <w:tc>
          <w:tcPr>
            <w:tcW w:w="3976" w:type="pct"/>
          </w:tcPr>
          <w:p w:rsidR="002C781F" w:rsidRPr="0063089E" w:rsidRDefault="002C781F" w:rsidP="001E31B8">
            <w:pPr>
              <w:pStyle w:val="TableBodyText"/>
              <w:jc w:val="left"/>
            </w:pPr>
            <w:r w:rsidRPr="0063089E">
              <w:t>Various</w:t>
            </w:r>
          </w:p>
        </w:tc>
      </w:tr>
      <w:tr w:rsidR="002C781F" w:rsidRPr="00ED03C6" w:rsidTr="001E31B8">
        <w:tc>
          <w:tcPr>
            <w:tcW w:w="1024" w:type="pct"/>
          </w:tcPr>
          <w:p w:rsidR="002C781F" w:rsidRPr="0063089E" w:rsidRDefault="002C781F" w:rsidP="001E31B8">
            <w:pPr>
              <w:pStyle w:val="TableBodyText"/>
              <w:jc w:val="left"/>
              <w:rPr>
                <w:b/>
              </w:rPr>
            </w:pPr>
            <w:r w:rsidRPr="0063089E">
              <w:rPr>
                <w:b/>
              </w:rPr>
              <w:t>Data source/s</w:t>
            </w:r>
          </w:p>
        </w:tc>
        <w:tc>
          <w:tcPr>
            <w:tcW w:w="3976" w:type="pct"/>
          </w:tcPr>
          <w:p w:rsidR="002C781F" w:rsidRPr="0063089E" w:rsidRDefault="002C781F" w:rsidP="001E31B8">
            <w:pPr>
              <w:pStyle w:val="TableBodyText"/>
              <w:jc w:val="both"/>
            </w:pPr>
            <w:r w:rsidRPr="0063089E">
              <w:t>Specialist Homelessness Services Client Collection.</w:t>
            </w:r>
          </w:p>
          <w:p w:rsidR="002C781F" w:rsidRPr="0063089E" w:rsidRDefault="002C781F" w:rsidP="007A4ABD">
            <w:pPr>
              <w:pStyle w:val="TableBodyText"/>
              <w:jc w:val="both"/>
            </w:pPr>
            <w:r w:rsidRPr="0063089E">
              <w:t xml:space="preserve">The </w:t>
            </w:r>
            <w:proofErr w:type="spellStart"/>
            <w:r w:rsidRPr="0063089E">
              <w:t>SHSC</w:t>
            </w:r>
            <w:proofErr w:type="spellEnd"/>
            <w:r w:rsidRPr="0063089E">
              <w:t xml:space="preserve"> collects information on people who receive services from agencies that are funded under the NAHA or the </w:t>
            </w:r>
            <w:proofErr w:type="spellStart"/>
            <w:r w:rsidRPr="0063089E">
              <w:t>NPAH</w:t>
            </w:r>
            <w:proofErr w:type="spellEnd"/>
            <w:r w:rsidRPr="0063089E">
              <w:t xml:space="preserve"> to provide specialist homelessness services. A limited amount of data is also collected about </w:t>
            </w:r>
            <w:r w:rsidR="007A4ABD">
              <w:t>people w</w:t>
            </w:r>
            <w:r w:rsidRPr="0063089E">
              <w:t>ho seek, but do not receive, assistance from a specialist homelessness agency. Data are collected monthly from agencies participating in the collection.</w:t>
            </w:r>
          </w:p>
        </w:tc>
      </w:tr>
      <w:tr w:rsidR="002C781F" w:rsidRPr="00ED03C6" w:rsidTr="001E31B8">
        <w:tc>
          <w:tcPr>
            <w:tcW w:w="5000" w:type="pct"/>
            <w:gridSpan w:val="2"/>
          </w:tcPr>
          <w:p w:rsidR="002C781F" w:rsidRPr="0063089E" w:rsidRDefault="002C781F" w:rsidP="001E31B8">
            <w:pPr>
              <w:pStyle w:val="TableBodyText"/>
              <w:jc w:val="left"/>
              <w:rPr>
                <w:b/>
                <w:u w:val="single"/>
              </w:rPr>
            </w:pPr>
          </w:p>
          <w:p w:rsidR="002C781F" w:rsidRPr="0063089E" w:rsidRDefault="002C781F" w:rsidP="001E31B8">
            <w:pPr>
              <w:pStyle w:val="TableBodyText"/>
              <w:jc w:val="left"/>
              <w:rPr>
                <w:b/>
                <w:u w:val="single"/>
              </w:rPr>
            </w:pPr>
            <w:r w:rsidRPr="0063089E">
              <w:rPr>
                <w:b/>
                <w:u w:val="single"/>
              </w:rPr>
              <w:t>Data Quality Framework Dimensions</w:t>
            </w:r>
          </w:p>
        </w:tc>
      </w:tr>
      <w:tr w:rsidR="002C781F" w:rsidRPr="00ED03C6" w:rsidTr="001E31B8">
        <w:tc>
          <w:tcPr>
            <w:tcW w:w="1024" w:type="pct"/>
          </w:tcPr>
          <w:p w:rsidR="002C781F" w:rsidRPr="0063089E" w:rsidRDefault="002C781F" w:rsidP="001E31B8">
            <w:pPr>
              <w:pStyle w:val="TableBodyText"/>
              <w:jc w:val="left"/>
              <w:rPr>
                <w:b/>
              </w:rPr>
            </w:pPr>
            <w:r w:rsidRPr="0063089E">
              <w:rPr>
                <w:b/>
              </w:rPr>
              <w:t>Institutional environment</w:t>
            </w:r>
          </w:p>
        </w:tc>
        <w:tc>
          <w:tcPr>
            <w:tcW w:w="3976" w:type="pct"/>
          </w:tcPr>
          <w:p w:rsidR="002C781F" w:rsidRPr="0063089E" w:rsidRDefault="002C781F" w:rsidP="001E31B8">
            <w:pPr>
              <w:pStyle w:val="TableBodyText"/>
              <w:jc w:val="both"/>
            </w:pPr>
            <w:r w:rsidRPr="0063089E">
              <w:t>The Australian Institute of Health and Welfare (</w:t>
            </w:r>
            <w:proofErr w:type="spellStart"/>
            <w:r w:rsidRPr="0063089E">
              <w:t>AIHW</w:t>
            </w:r>
            <w:proofErr w:type="spellEnd"/>
            <w:r w:rsidRPr="0063089E">
              <w:t xml:space="preserve">) is a major national agency set up by the Australian Government under the </w:t>
            </w:r>
            <w:r w:rsidRPr="00EC496D">
              <w:t>Australian Institute of Health and Welfare Act 1987</w:t>
            </w:r>
            <w:r w:rsidRPr="0063089E">
              <w:t xml:space="preserve">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2C781F" w:rsidRPr="0063089E" w:rsidRDefault="002C781F" w:rsidP="001E31B8">
            <w:pPr>
              <w:pStyle w:val="TableBodyText"/>
              <w:jc w:val="both"/>
            </w:pPr>
            <w:r w:rsidRPr="0063089E">
              <w:t xml:space="preserve">The </w:t>
            </w:r>
            <w:proofErr w:type="spellStart"/>
            <w:r w:rsidRPr="0063089E">
              <w:t>AIHW</w:t>
            </w:r>
            <w:proofErr w:type="spellEnd"/>
            <w:r w:rsidRPr="0063089E">
              <w:t xml:space="preserve"> aims to provide authoritative information and statistics to promote better health and wellbeing. The Institute collects and reports information on a wide range of topics and issues, ranging from health and welfare expenditure, hospitals, disease and injury, and mental health, to ageing, homelessness, disability and child protection.</w:t>
            </w:r>
          </w:p>
          <w:p w:rsidR="002C781F" w:rsidRPr="0063089E" w:rsidRDefault="002C781F" w:rsidP="001E31B8">
            <w:pPr>
              <w:pStyle w:val="TableBodyText"/>
              <w:jc w:val="both"/>
            </w:pPr>
            <w:r w:rsidRPr="0063089E">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2C781F" w:rsidRPr="0063089E" w:rsidRDefault="002C781F" w:rsidP="001E31B8">
            <w:pPr>
              <w:pStyle w:val="TableBodyText"/>
              <w:jc w:val="both"/>
            </w:pPr>
            <w:r w:rsidRPr="0063089E">
              <w:t xml:space="preserve">One of the main functions of the </w:t>
            </w:r>
            <w:proofErr w:type="spellStart"/>
            <w:r w:rsidRPr="0063089E">
              <w:t>AIHW</w:t>
            </w:r>
            <w:proofErr w:type="spellEnd"/>
            <w:r w:rsidRPr="0063089E">
              <w:t xml:space="preserve"> is to work with the states and territories to improve the quality of administrative data and, where possible, to compile national data sets based on data from each jurisdiction, to analyse these data sets and disseminate information and statistics.</w:t>
            </w:r>
          </w:p>
          <w:p w:rsidR="002C781F" w:rsidRPr="0063089E" w:rsidRDefault="002C781F" w:rsidP="001E31B8">
            <w:pPr>
              <w:pStyle w:val="TableBodyText"/>
              <w:jc w:val="both"/>
            </w:pPr>
            <w:r w:rsidRPr="0063089E">
              <w:t xml:space="preserve">The </w:t>
            </w:r>
            <w:r w:rsidRPr="00EC496D">
              <w:t>Australian Institute of Health and Welfare Act 1987</w:t>
            </w:r>
            <w:r w:rsidRPr="0063089E">
              <w:t xml:space="preserve">, in conjunction with compliance to the </w:t>
            </w:r>
            <w:r w:rsidRPr="00EC496D">
              <w:t>Privacy Act 1988</w:t>
            </w:r>
            <w:r w:rsidRPr="0063089E">
              <w:t xml:space="preserve">, ensures that the data collections managed by the </w:t>
            </w:r>
            <w:proofErr w:type="spellStart"/>
            <w:r w:rsidRPr="0063089E">
              <w:t>AIHW</w:t>
            </w:r>
            <w:proofErr w:type="spellEnd"/>
            <w:r w:rsidRPr="0063089E">
              <w:t xml:space="preserve"> are kept securely and under the strictest conditions with respect to privacy and confidentiality.</w:t>
            </w:r>
          </w:p>
          <w:p w:rsidR="002C781F" w:rsidRPr="0063089E" w:rsidRDefault="002C781F" w:rsidP="001E31B8">
            <w:pPr>
              <w:pStyle w:val="TableBodyText"/>
              <w:jc w:val="both"/>
            </w:pPr>
            <w:r w:rsidRPr="0063089E">
              <w:t xml:space="preserve">For further information see the </w:t>
            </w:r>
            <w:proofErr w:type="spellStart"/>
            <w:r w:rsidRPr="0063089E">
              <w:t>AIHW</w:t>
            </w:r>
            <w:proofErr w:type="spellEnd"/>
            <w:r w:rsidRPr="0063089E">
              <w:t xml:space="preserve"> website &lt;</w:t>
            </w:r>
            <w:proofErr w:type="spellStart"/>
            <w:r w:rsidRPr="00EC496D">
              <w:t>www.aihw.gov.au</w:t>
            </w:r>
            <w:proofErr w:type="spellEnd"/>
            <w:r w:rsidRPr="0063089E">
              <w:t>&gt;.</w:t>
            </w:r>
          </w:p>
          <w:p w:rsidR="002C781F" w:rsidRPr="0063089E" w:rsidRDefault="002C781F" w:rsidP="001E31B8">
            <w:pPr>
              <w:pStyle w:val="TableBodyText"/>
              <w:jc w:val="both"/>
            </w:pPr>
            <w:r w:rsidRPr="0063089E">
              <w:t xml:space="preserve">The </w:t>
            </w:r>
            <w:proofErr w:type="spellStart"/>
            <w:r w:rsidRPr="0063089E">
              <w:t>SHSC</w:t>
            </w:r>
            <w:proofErr w:type="spellEnd"/>
            <w:r w:rsidRPr="0063089E">
              <w:t xml:space="preserve"> was developed by </w:t>
            </w:r>
            <w:proofErr w:type="spellStart"/>
            <w:r w:rsidRPr="0063089E">
              <w:t>AIHW</w:t>
            </w:r>
            <w:proofErr w:type="spellEnd"/>
            <w:r w:rsidRPr="0063089E">
              <w:t xml:space="preserve"> in conjunction with the states and </w:t>
            </w:r>
            <w:r w:rsidRPr="0063089E">
              <w:lastRenderedPageBreak/>
              <w:t xml:space="preserve">territories and is administered by the </w:t>
            </w:r>
            <w:proofErr w:type="spellStart"/>
            <w:r w:rsidRPr="0063089E">
              <w:t>AIHW</w:t>
            </w:r>
            <w:proofErr w:type="spellEnd"/>
            <w:r w:rsidRPr="0063089E">
              <w:t>.</w:t>
            </w:r>
          </w:p>
        </w:tc>
      </w:tr>
      <w:tr w:rsidR="002C781F" w:rsidRPr="00ED03C6" w:rsidTr="001E31B8">
        <w:tc>
          <w:tcPr>
            <w:tcW w:w="1024" w:type="pct"/>
          </w:tcPr>
          <w:p w:rsidR="002C781F" w:rsidRPr="0063089E" w:rsidRDefault="002C781F" w:rsidP="001E31B8">
            <w:pPr>
              <w:pStyle w:val="TableBodyText"/>
              <w:jc w:val="left"/>
              <w:rPr>
                <w:b/>
              </w:rPr>
            </w:pPr>
            <w:r w:rsidRPr="0063089E">
              <w:rPr>
                <w:b/>
              </w:rPr>
              <w:lastRenderedPageBreak/>
              <w:t>Relevance</w:t>
            </w:r>
          </w:p>
        </w:tc>
        <w:tc>
          <w:tcPr>
            <w:tcW w:w="3976" w:type="pct"/>
          </w:tcPr>
          <w:p w:rsidR="002C781F" w:rsidRPr="0063089E" w:rsidRDefault="002C781F" w:rsidP="001E31B8">
            <w:pPr>
              <w:pStyle w:val="TableBodyText"/>
              <w:jc w:val="left"/>
              <w:rPr>
                <w:b/>
              </w:rPr>
            </w:pPr>
            <w:r w:rsidRPr="0063089E">
              <w:rPr>
                <w:b/>
              </w:rPr>
              <w:t>Scope and coverage―clients</w:t>
            </w:r>
          </w:p>
          <w:p w:rsidR="002C781F" w:rsidRPr="0063089E" w:rsidRDefault="002C781F" w:rsidP="00B55B5B">
            <w:pPr>
              <w:pStyle w:val="TableBodyText"/>
              <w:jc w:val="both"/>
            </w:pPr>
            <w:r w:rsidRPr="0063089E">
              <w:t xml:space="preserve">The </w:t>
            </w:r>
            <w:proofErr w:type="spellStart"/>
            <w:r w:rsidRPr="0063089E">
              <w:t>SHSC</w:t>
            </w:r>
            <w:proofErr w:type="spellEnd"/>
            <w:r w:rsidRPr="0063089E">
              <w:t xml:space="preserve"> collects information about clients of specialist homelessness agencies, that is, people who receive assistance from agencies funded by state and territory governments to respond to or prevent homelessness. In addition, some information is also collected about unassisted people, that is, any person who seeks services from a specialist homelessness agency and does not receive any services at that time.</w:t>
            </w:r>
          </w:p>
          <w:p w:rsidR="002C781F" w:rsidRPr="0063089E" w:rsidRDefault="002C781F" w:rsidP="00B55B5B">
            <w:pPr>
              <w:pStyle w:val="TableBodyText"/>
              <w:jc w:val="both"/>
            </w:pPr>
            <w:proofErr w:type="spellStart"/>
            <w:r w:rsidRPr="0063089E">
              <w:t>SHSC</w:t>
            </w:r>
            <w:proofErr w:type="spellEnd"/>
            <w:r w:rsidRPr="0063089E">
              <w:t xml:space="preserve"> data does not cover all homeless people and those at risk of homelessness, but only those who seek assistance from an </w:t>
            </w:r>
            <w:proofErr w:type="spellStart"/>
            <w:r w:rsidRPr="0063089E">
              <w:t>SHS</w:t>
            </w:r>
            <w:proofErr w:type="spellEnd"/>
            <w:r w:rsidRPr="0063089E">
              <w:t xml:space="preserve"> agency.  </w:t>
            </w:r>
          </w:p>
          <w:p w:rsidR="002C781F" w:rsidRPr="0063089E" w:rsidRDefault="002C781F" w:rsidP="00B55B5B">
            <w:pPr>
              <w:pStyle w:val="TableBodyText"/>
              <w:jc w:val="both"/>
            </w:pPr>
            <w:r w:rsidRPr="0063089E">
              <w:t xml:space="preserve">Not everyone in scope for </w:t>
            </w:r>
            <w:proofErr w:type="spellStart"/>
            <w:r w:rsidRPr="0063089E">
              <w:t>SHSC</w:t>
            </w:r>
            <w:proofErr w:type="spellEnd"/>
            <w:r w:rsidRPr="0063089E">
              <w:t xml:space="preserve"> is homeless, because specialist homelessness agencies provide services to people who are at risk of homelessness aimed at preventing them from becoming homeless, as well as to people who are currently homeless. </w:t>
            </w:r>
          </w:p>
          <w:p w:rsidR="002C781F" w:rsidRPr="0063089E" w:rsidRDefault="002C781F" w:rsidP="00B55B5B">
            <w:pPr>
              <w:pStyle w:val="TableBodyText"/>
              <w:jc w:val="both"/>
            </w:pPr>
            <w:r w:rsidRPr="0063089E">
              <w:t>Data about clients is submitted based on support periods―a period of support provided by a specialist homelessness service agency to a client. Information about clients is then linked together based on a statistical key (see ‘Statistical Linkage Key (</w:t>
            </w:r>
            <w:proofErr w:type="spellStart"/>
            <w:r w:rsidRPr="0063089E">
              <w:t>SLK</w:t>
            </w:r>
            <w:proofErr w:type="spellEnd"/>
            <w:r w:rsidRPr="0063089E">
              <w:t>) validity’ below).</w:t>
            </w:r>
          </w:p>
          <w:p w:rsidR="002C781F" w:rsidRPr="0063089E" w:rsidRDefault="002C781F" w:rsidP="00B55B5B">
            <w:pPr>
              <w:pStyle w:val="TableBodyText"/>
              <w:jc w:val="both"/>
            </w:pPr>
            <w:r w:rsidRPr="0063089E">
              <w:t>A client may be of any age—children are clients if they receive specialist homelessness assistance.</w:t>
            </w:r>
          </w:p>
          <w:p w:rsidR="002C781F" w:rsidRPr="0063089E" w:rsidRDefault="002C781F" w:rsidP="001E31B8">
            <w:pPr>
              <w:pStyle w:val="TableBodyText"/>
              <w:jc w:val="left"/>
              <w:rPr>
                <w:b/>
              </w:rPr>
            </w:pPr>
            <w:r w:rsidRPr="0063089E">
              <w:rPr>
                <w:b/>
              </w:rPr>
              <w:t>Scope and coverage―agencies</w:t>
            </w:r>
          </w:p>
          <w:p w:rsidR="002C781F" w:rsidRPr="0063089E" w:rsidRDefault="002C781F" w:rsidP="001E31B8">
            <w:pPr>
              <w:pStyle w:val="TableBodyText"/>
              <w:jc w:val="left"/>
            </w:pPr>
            <w:r w:rsidRPr="0063089E">
              <w:t xml:space="preserve">The </w:t>
            </w:r>
            <w:proofErr w:type="spellStart"/>
            <w:r w:rsidRPr="0063089E">
              <w:t>SHSC</w:t>
            </w:r>
            <w:proofErr w:type="spellEnd"/>
            <w:r w:rsidRPr="0063089E">
              <w:t xml:space="preserve"> collects information on people who seek and receive services from specialist homelessness agencies. All agencies that receive funding under the NAHA or </w:t>
            </w:r>
            <w:proofErr w:type="spellStart"/>
            <w:r w:rsidRPr="0063089E">
              <w:t>NPAH</w:t>
            </w:r>
            <w:proofErr w:type="spellEnd"/>
            <w:r w:rsidRPr="0063089E">
              <w:t xml:space="preserve"> to provide specialist homelessness services are in scope for the </w:t>
            </w:r>
            <w:proofErr w:type="spellStart"/>
            <w:r w:rsidRPr="0063089E">
              <w:t>SHSC</w:t>
            </w:r>
            <w:proofErr w:type="spellEnd"/>
            <w:r w:rsidRPr="0063089E">
              <w:t xml:space="preserve"> in general, but only those who received funding for at least four months during the 2012–13 financial year are in scope for the 2012–13 reporting period. Agencies that are in coverage are those in-scope agencies for which details have been provided to the </w:t>
            </w:r>
            <w:proofErr w:type="spellStart"/>
            <w:r w:rsidRPr="0063089E">
              <w:t>AIHW</w:t>
            </w:r>
            <w:proofErr w:type="spellEnd"/>
            <w:r w:rsidRPr="0063089E">
              <w:t xml:space="preserve"> by the relevant state/territory department. </w:t>
            </w:r>
          </w:p>
          <w:p w:rsidR="002C781F" w:rsidRPr="0063089E" w:rsidRDefault="002C781F" w:rsidP="001E31B8">
            <w:pPr>
              <w:pStyle w:val="TableBodyText"/>
              <w:jc w:val="both"/>
            </w:pPr>
            <w:r w:rsidRPr="00F227E5">
              <w:t>Of all agencies expected to participate in the collection in at least one month during the 2012–13 reporting period, 76% submitted information for all 12 collection months and 91% submitted data for at least one month.</w:t>
            </w:r>
          </w:p>
        </w:tc>
      </w:tr>
      <w:tr w:rsidR="002C781F" w:rsidRPr="00ED03C6" w:rsidTr="001E31B8">
        <w:tc>
          <w:tcPr>
            <w:tcW w:w="1024" w:type="pct"/>
          </w:tcPr>
          <w:p w:rsidR="002C781F" w:rsidRPr="0063089E" w:rsidRDefault="002C781F" w:rsidP="001E31B8">
            <w:pPr>
              <w:pStyle w:val="TableBodyText"/>
              <w:jc w:val="left"/>
              <w:rPr>
                <w:b/>
              </w:rPr>
            </w:pPr>
            <w:r w:rsidRPr="0063089E">
              <w:rPr>
                <w:b/>
              </w:rPr>
              <w:t>Timeliness</w:t>
            </w:r>
          </w:p>
        </w:tc>
        <w:tc>
          <w:tcPr>
            <w:tcW w:w="3976" w:type="pct"/>
          </w:tcPr>
          <w:p w:rsidR="002C781F" w:rsidRPr="0063089E" w:rsidRDefault="002C781F" w:rsidP="001E31B8">
            <w:pPr>
              <w:pStyle w:val="TableBodyText"/>
              <w:jc w:val="both"/>
            </w:pPr>
            <w:r w:rsidRPr="0063089E">
              <w:t xml:space="preserve">The </w:t>
            </w:r>
            <w:proofErr w:type="spellStart"/>
            <w:r w:rsidRPr="0063089E">
              <w:t>SHSC</w:t>
            </w:r>
            <w:proofErr w:type="spellEnd"/>
            <w:r w:rsidRPr="0063089E">
              <w:t xml:space="preserve"> began on 1 July 2011. Specialist homelessness agencies provide their data to the </w:t>
            </w:r>
            <w:proofErr w:type="spellStart"/>
            <w:r w:rsidRPr="0063089E">
              <w:t>AIHW</w:t>
            </w:r>
            <w:proofErr w:type="spellEnd"/>
            <w:r w:rsidRPr="0063089E">
              <w:t xml:space="preserve"> each month, once sufficient data is received and validated ‘snapshots’ are created at particular points in time for reporting purposes. </w:t>
            </w:r>
          </w:p>
          <w:p w:rsidR="002C781F" w:rsidRPr="0063089E" w:rsidRDefault="002C781F" w:rsidP="001E31B8">
            <w:pPr>
              <w:pStyle w:val="TableBodyText"/>
              <w:jc w:val="both"/>
            </w:pPr>
            <w:r w:rsidRPr="0063089E">
              <w:t xml:space="preserve">The 2012–13 snapshot contains data submitted to the </w:t>
            </w:r>
            <w:proofErr w:type="spellStart"/>
            <w:r w:rsidRPr="0063089E">
              <w:t>AIHW</w:t>
            </w:r>
            <w:proofErr w:type="spellEnd"/>
            <w:r w:rsidRPr="0063089E">
              <w:t xml:space="preserve"> for the July 2012 to June 2013 collection months, using responses received and validated as at 25 March 2013.</w:t>
            </w:r>
          </w:p>
        </w:tc>
      </w:tr>
      <w:tr w:rsidR="002C781F" w:rsidRPr="00ED03C6" w:rsidTr="001E31B8">
        <w:tc>
          <w:tcPr>
            <w:tcW w:w="1024" w:type="pct"/>
          </w:tcPr>
          <w:p w:rsidR="002C781F" w:rsidRPr="00ED03C6" w:rsidRDefault="002C781F" w:rsidP="001E31B8">
            <w:pPr>
              <w:pStyle w:val="TableBodyText"/>
              <w:jc w:val="left"/>
              <w:rPr>
                <w:b/>
                <w:color w:val="002060"/>
              </w:rPr>
            </w:pPr>
            <w:r w:rsidRPr="0063089E">
              <w:rPr>
                <w:b/>
              </w:rPr>
              <w:t>Accuracy</w:t>
            </w:r>
          </w:p>
        </w:tc>
        <w:tc>
          <w:tcPr>
            <w:tcW w:w="3976" w:type="pct"/>
          </w:tcPr>
          <w:p w:rsidR="002C781F" w:rsidRPr="0063089E" w:rsidRDefault="002C781F" w:rsidP="001E31B8">
            <w:pPr>
              <w:pStyle w:val="TableBodyText"/>
              <w:jc w:val="both"/>
              <w:rPr>
                <w:b/>
              </w:rPr>
            </w:pPr>
            <w:r w:rsidRPr="0063089E">
              <w:rPr>
                <w:b/>
              </w:rPr>
              <w:t>Potential sources of error</w:t>
            </w:r>
          </w:p>
          <w:p w:rsidR="002C781F" w:rsidRPr="0063089E" w:rsidRDefault="002C781F" w:rsidP="001E31B8">
            <w:pPr>
              <w:pStyle w:val="TableBodyText"/>
              <w:jc w:val="both"/>
            </w:pPr>
            <w:r w:rsidRPr="0063089E">
              <w:t xml:space="preserve">As with all data collections, the </w:t>
            </w:r>
            <w:proofErr w:type="spellStart"/>
            <w:r w:rsidRPr="0063089E">
              <w:t>SHSC</w:t>
            </w:r>
            <w:proofErr w:type="spellEnd"/>
            <w:r w:rsidRPr="0063089E">
              <w:t xml:space="preserve"> estimates are subject to error. These can arise from data coding and processing errors, inaccurate data or missing data. Reported findings are based on data reported by agency workers.</w:t>
            </w:r>
          </w:p>
          <w:p w:rsidR="002C781F" w:rsidRPr="0063089E" w:rsidRDefault="002C781F" w:rsidP="001E31B8">
            <w:pPr>
              <w:pStyle w:val="TableBodyText"/>
              <w:jc w:val="both"/>
              <w:rPr>
                <w:b/>
              </w:rPr>
            </w:pPr>
            <w:r w:rsidRPr="0063089E">
              <w:rPr>
                <w:b/>
              </w:rPr>
              <w:t>Data validation</w:t>
            </w:r>
          </w:p>
          <w:p w:rsidR="002C781F" w:rsidRPr="0063089E" w:rsidRDefault="002C781F" w:rsidP="001E31B8">
            <w:pPr>
              <w:pStyle w:val="TableBodyText"/>
              <w:jc w:val="both"/>
            </w:pPr>
            <w:r w:rsidRPr="0063089E">
              <w:t xml:space="preserve">The </w:t>
            </w:r>
            <w:proofErr w:type="spellStart"/>
            <w:r w:rsidRPr="0063089E">
              <w:t>AIHW</w:t>
            </w:r>
            <w:proofErr w:type="spellEnd"/>
            <w:r w:rsidRPr="0063089E">
              <w:t xml:space="preserve"> receives data from specialist homelessness agencies every month. These data go through two processes of data validation (error checking). Firstly, data validation is incorporated into the client management systems (</w:t>
            </w:r>
            <w:proofErr w:type="spellStart"/>
            <w:r w:rsidRPr="0063089E">
              <w:t>CMSs</w:t>
            </w:r>
            <w:proofErr w:type="spellEnd"/>
            <w:r w:rsidRPr="0063089E">
              <w:t xml:space="preserve">) most agencies use to record their data. Secondly, data are submitted through the </w:t>
            </w:r>
            <w:proofErr w:type="spellStart"/>
            <w:r w:rsidRPr="0063089E">
              <w:t>AIHW</w:t>
            </w:r>
            <w:proofErr w:type="spellEnd"/>
            <w:r w:rsidRPr="0063089E">
              <w:t xml:space="preserve"> online reporting web-portal, Specialist Homelessness Online Reporting (</w:t>
            </w:r>
            <w:proofErr w:type="spellStart"/>
            <w:r w:rsidRPr="0063089E">
              <w:t>SHOR</w:t>
            </w:r>
            <w:proofErr w:type="spellEnd"/>
            <w:r w:rsidRPr="0063089E">
              <w:t xml:space="preserve">). </w:t>
            </w:r>
            <w:proofErr w:type="spellStart"/>
            <w:r w:rsidRPr="0063089E">
              <w:t>SHOR</w:t>
            </w:r>
            <w:proofErr w:type="spellEnd"/>
            <w:r w:rsidRPr="0063089E">
              <w:t xml:space="preserve"> completes a more thorough data validation and reports (to staff of the homelessness agency) any errors that need correcting before data can be accepted. </w:t>
            </w:r>
          </w:p>
          <w:p w:rsidR="002C781F" w:rsidRPr="005335A1" w:rsidRDefault="002C781F" w:rsidP="001E31B8">
            <w:pPr>
              <w:pStyle w:val="TableBodyText"/>
              <w:jc w:val="both"/>
              <w:rPr>
                <w:b/>
              </w:rPr>
            </w:pPr>
            <w:r w:rsidRPr="005335A1">
              <w:rPr>
                <w:b/>
              </w:rPr>
              <w:t>Statistical Linkage Key (</w:t>
            </w:r>
            <w:proofErr w:type="spellStart"/>
            <w:r w:rsidRPr="005335A1">
              <w:rPr>
                <w:b/>
              </w:rPr>
              <w:t>SLK</w:t>
            </w:r>
            <w:proofErr w:type="spellEnd"/>
            <w:r w:rsidRPr="005335A1">
              <w:rPr>
                <w:b/>
              </w:rPr>
              <w:t>) validity</w:t>
            </w:r>
          </w:p>
          <w:p w:rsidR="002C781F" w:rsidRPr="005335A1" w:rsidRDefault="002C781F" w:rsidP="001E31B8">
            <w:pPr>
              <w:pStyle w:val="TableBodyText"/>
              <w:jc w:val="both"/>
            </w:pPr>
            <w:r w:rsidRPr="005335A1">
              <w:t xml:space="preserve">An individual client may seek or receive support on more than one </w:t>
            </w:r>
            <w:r w:rsidRPr="005335A1">
              <w:lastRenderedPageBreak/>
              <w:t>occasion—either from the same agency or from a different agency. Data from individual clients who presented at different agencies and/or at different times is matched based on a statistical linkage key (</w:t>
            </w:r>
            <w:proofErr w:type="spellStart"/>
            <w:r w:rsidRPr="005335A1">
              <w:t>SLK</w:t>
            </w:r>
            <w:proofErr w:type="spellEnd"/>
            <w:r w:rsidRPr="005335A1">
              <w:t xml:space="preserve">) which allows client level data to be created. The </w:t>
            </w:r>
            <w:proofErr w:type="spellStart"/>
            <w:r w:rsidRPr="005335A1">
              <w:t>SLK</w:t>
            </w:r>
            <w:proofErr w:type="spellEnd"/>
            <w:r w:rsidRPr="005335A1">
              <w:t xml:space="preserve"> is constructed from information about the client’s date of birth, sex and an </w:t>
            </w:r>
            <w:proofErr w:type="spellStart"/>
            <w:r w:rsidRPr="005335A1">
              <w:t>alphacode</w:t>
            </w:r>
            <w:proofErr w:type="spellEnd"/>
            <w:r w:rsidRPr="005335A1">
              <w:t xml:space="preserve"> based on selected letters of their name.</w:t>
            </w:r>
          </w:p>
          <w:p w:rsidR="002C781F" w:rsidRPr="005335A1" w:rsidRDefault="002C781F" w:rsidP="001E31B8">
            <w:pPr>
              <w:pStyle w:val="TableBodyText"/>
              <w:jc w:val="both"/>
            </w:pPr>
            <w:r w:rsidRPr="005335A1">
              <w:t xml:space="preserve">If a support period record does not have a valid </w:t>
            </w:r>
            <w:proofErr w:type="spellStart"/>
            <w:r w:rsidRPr="005335A1">
              <w:t>SLK</w:t>
            </w:r>
            <w:proofErr w:type="spellEnd"/>
            <w:r w:rsidRPr="005335A1">
              <w:t xml:space="preserve">, it cannot be linked to a client, and thus it is not included in client-level tables (although it is included in support period-level tables). Ninety-three per cent of support periods had a valid </w:t>
            </w:r>
            <w:proofErr w:type="spellStart"/>
            <w:r w:rsidRPr="005335A1">
              <w:t>SLK</w:t>
            </w:r>
            <w:proofErr w:type="spellEnd"/>
            <w:r w:rsidRPr="005335A1">
              <w:t xml:space="preserve"> in 2012–13.</w:t>
            </w:r>
          </w:p>
          <w:p w:rsidR="002C781F" w:rsidRPr="00172F48" w:rsidRDefault="002C781F" w:rsidP="001E31B8">
            <w:pPr>
              <w:pStyle w:val="TableBodyText"/>
              <w:jc w:val="both"/>
              <w:rPr>
                <w:b/>
              </w:rPr>
            </w:pPr>
            <w:r w:rsidRPr="00172F48">
              <w:rPr>
                <w:b/>
              </w:rPr>
              <w:t>Incomplete responses</w:t>
            </w:r>
          </w:p>
          <w:p w:rsidR="002C781F" w:rsidRPr="00172F48" w:rsidRDefault="002C781F" w:rsidP="001E31B8">
            <w:pPr>
              <w:pStyle w:val="TableBodyText"/>
              <w:jc w:val="both"/>
            </w:pPr>
            <w:r w:rsidRPr="00172F48">
              <w:t xml:space="preserve">In many support periods, in 2012–13, valid responses were not recorded for all questions—invalid responses were recorded, ‘don’t know’ was selected, or no response was recorded. Support periods with invalid/’don’t know’/missing responses were retained in the collection and, no attempt was made to deduce or impute the true value of invalid/’don’t know’/missing responses. </w:t>
            </w:r>
          </w:p>
          <w:p w:rsidR="002C781F" w:rsidRPr="00172F48" w:rsidRDefault="002C781F" w:rsidP="001E31B8">
            <w:pPr>
              <w:pStyle w:val="TableBodyText"/>
              <w:jc w:val="both"/>
            </w:pPr>
            <w:r w:rsidRPr="00172F48">
              <w:t>Where data relate to the total population the estimate includes clients with missing information. This information has been attributed in proportion with those clients for whom information is available. In tables where the population relates to clients with a particular need or accommodation circumstance, clients with missing needs information are excluded.</w:t>
            </w:r>
          </w:p>
          <w:p w:rsidR="002C781F" w:rsidRPr="0063089E" w:rsidRDefault="002C781F" w:rsidP="001E31B8">
            <w:pPr>
              <w:pStyle w:val="TableBodyText"/>
              <w:jc w:val="both"/>
              <w:rPr>
                <w:b/>
              </w:rPr>
            </w:pPr>
            <w:r w:rsidRPr="0063089E">
              <w:rPr>
                <w:b/>
              </w:rPr>
              <w:t>Non-response bias</w:t>
            </w:r>
          </w:p>
          <w:p w:rsidR="002C781F" w:rsidRPr="0063089E" w:rsidRDefault="002C781F" w:rsidP="001E31B8">
            <w:pPr>
              <w:pStyle w:val="TableBodyText"/>
              <w:jc w:val="both"/>
            </w:pPr>
            <w:r w:rsidRPr="0063089E">
              <w:t xml:space="preserve">Non-response occurs where there is less than 100% agency participation, less than 100% </w:t>
            </w:r>
            <w:proofErr w:type="spellStart"/>
            <w:r w:rsidRPr="0063089E">
              <w:t>SLK</w:t>
            </w:r>
            <w:proofErr w:type="spellEnd"/>
            <w:r w:rsidRPr="0063089E">
              <w:t xml:space="preserve"> validity and where there are incomplete responses. However estimates will not necessarily be biased. If the non-respondents are not systematically different in terms of how they would have answered the questions, then there will be no bias. However, no information is yet available to indicate whether or not there is any systematic bias in agency non-participation, </w:t>
            </w:r>
            <w:proofErr w:type="spellStart"/>
            <w:r w:rsidRPr="0063089E">
              <w:t>SLK</w:t>
            </w:r>
            <w:proofErr w:type="spellEnd"/>
            <w:r w:rsidRPr="0063089E">
              <w:t xml:space="preserve"> validity and incomplete responses.</w:t>
            </w:r>
          </w:p>
          <w:p w:rsidR="002C781F" w:rsidRPr="009965BF" w:rsidRDefault="002C781F" w:rsidP="001E31B8">
            <w:pPr>
              <w:pStyle w:val="TableBodyText"/>
              <w:jc w:val="both"/>
              <w:rPr>
                <w:b/>
              </w:rPr>
            </w:pPr>
            <w:r w:rsidRPr="009965BF">
              <w:rPr>
                <w:b/>
              </w:rPr>
              <w:t>Imputation</w:t>
            </w:r>
          </w:p>
          <w:p w:rsidR="002C781F" w:rsidRPr="009965BF" w:rsidRDefault="002C781F" w:rsidP="001E31B8">
            <w:pPr>
              <w:pStyle w:val="TableBodyText"/>
              <w:jc w:val="both"/>
            </w:pPr>
            <w:r w:rsidRPr="009965BF">
              <w:t>An imputation strategy is used to correct for two types of non-sampling error: agency non-response and data error in the statistical linkage key data item, which is used to link information about individual clients together to provide a complete picture for that client.</w:t>
            </w:r>
          </w:p>
          <w:p w:rsidR="002C781F" w:rsidRPr="009965BF" w:rsidRDefault="002C781F" w:rsidP="001E31B8">
            <w:pPr>
              <w:pStyle w:val="TableBodyText"/>
              <w:jc w:val="both"/>
            </w:pPr>
            <w:r w:rsidRPr="009965BF">
              <w:t>This strategy has two parts. The first part addresses agency non-response by using both explicit and implicit imputation and results in agency weights and some explicitly imputed service period records and end dates. The second part addresses the impact of invalid statistical linkage keys (</w:t>
            </w:r>
            <w:proofErr w:type="spellStart"/>
            <w:r w:rsidRPr="009965BF">
              <w:t>SLKs</w:t>
            </w:r>
            <w:proofErr w:type="spellEnd"/>
            <w:r w:rsidRPr="009965BF">
              <w:t>) on the total number of clients and results in client weights.</w:t>
            </w:r>
          </w:p>
          <w:p w:rsidR="002C781F" w:rsidRPr="00ED03C6" w:rsidRDefault="002C781F" w:rsidP="001E31B8">
            <w:pPr>
              <w:pStyle w:val="TableBodyText"/>
              <w:jc w:val="both"/>
              <w:rPr>
                <w:color w:val="002060"/>
              </w:rPr>
            </w:pPr>
            <w:r w:rsidRPr="009965BF">
              <w:t>Agencies that are out of scope for 9 months in 2012–13 are deemed to be out of scope for the whole period and excluded from all calculations.</w:t>
            </w:r>
          </w:p>
        </w:tc>
      </w:tr>
      <w:tr w:rsidR="002C781F" w:rsidRPr="00ED03C6" w:rsidTr="001E31B8">
        <w:tc>
          <w:tcPr>
            <w:tcW w:w="1024" w:type="pct"/>
          </w:tcPr>
          <w:p w:rsidR="002C781F" w:rsidRPr="004554D7" w:rsidRDefault="002C781F" w:rsidP="001E31B8">
            <w:pPr>
              <w:pStyle w:val="TableBodyText"/>
              <w:jc w:val="left"/>
              <w:rPr>
                <w:b/>
              </w:rPr>
            </w:pPr>
            <w:r w:rsidRPr="004554D7">
              <w:rPr>
                <w:b/>
              </w:rPr>
              <w:lastRenderedPageBreak/>
              <w:t>Coherence</w:t>
            </w:r>
          </w:p>
        </w:tc>
        <w:tc>
          <w:tcPr>
            <w:tcW w:w="3976" w:type="pct"/>
          </w:tcPr>
          <w:p w:rsidR="002C781F" w:rsidRPr="004554D7" w:rsidRDefault="002C781F" w:rsidP="001E31B8">
            <w:pPr>
              <w:pStyle w:val="TableBodyText"/>
              <w:jc w:val="both"/>
            </w:pPr>
            <w:r w:rsidRPr="004554D7">
              <w:t xml:space="preserve">The </w:t>
            </w:r>
            <w:proofErr w:type="spellStart"/>
            <w:r w:rsidRPr="004554D7">
              <w:t>SHSC</w:t>
            </w:r>
            <w:proofErr w:type="spellEnd"/>
            <w:r w:rsidRPr="004554D7">
              <w:t xml:space="preserve"> replaces the </w:t>
            </w:r>
            <w:proofErr w:type="spellStart"/>
            <w:r w:rsidRPr="004554D7">
              <w:t>SAAP</w:t>
            </w:r>
            <w:proofErr w:type="spellEnd"/>
            <w:r w:rsidRPr="004554D7">
              <w:t xml:space="preserve"> </w:t>
            </w:r>
            <w:proofErr w:type="spellStart"/>
            <w:r w:rsidRPr="004554D7">
              <w:t>NDC</w:t>
            </w:r>
            <w:proofErr w:type="spellEnd"/>
            <w:r w:rsidRPr="004554D7">
              <w:t xml:space="preserve">, which began in 1996. The </w:t>
            </w:r>
            <w:proofErr w:type="spellStart"/>
            <w:r w:rsidRPr="004554D7">
              <w:t>SHSC</w:t>
            </w:r>
            <w:proofErr w:type="spellEnd"/>
            <w:r w:rsidRPr="004554D7">
              <w:t xml:space="preserve"> differs from the </w:t>
            </w:r>
            <w:proofErr w:type="spellStart"/>
            <w:r w:rsidRPr="004554D7">
              <w:t>SAAP</w:t>
            </w:r>
            <w:proofErr w:type="spellEnd"/>
            <w:r w:rsidRPr="004554D7">
              <w:t xml:space="preserve"> </w:t>
            </w:r>
            <w:proofErr w:type="spellStart"/>
            <w:r w:rsidRPr="004554D7">
              <w:t>NDC</w:t>
            </w:r>
            <w:proofErr w:type="spellEnd"/>
            <w:r w:rsidRPr="004554D7">
              <w:t xml:space="preserve"> in many respects. </w:t>
            </w:r>
          </w:p>
          <w:p w:rsidR="002C781F" w:rsidRPr="004554D7" w:rsidRDefault="002C781F" w:rsidP="001E31B8">
            <w:pPr>
              <w:pStyle w:val="TableBodyText"/>
              <w:jc w:val="both"/>
            </w:pPr>
            <w:r w:rsidRPr="004554D7">
              <w:t xml:space="preserve">The major definitional differences between </w:t>
            </w:r>
            <w:proofErr w:type="spellStart"/>
            <w:r w:rsidRPr="004554D7">
              <w:t>SAAP</w:t>
            </w:r>
            <w:proofErr w:type="spellEnd"/>
            <w:r w:rsidRPr="004554D7">
              <w:t xml:space="preserve"> and </w:t>
            </w:r>
            <w:proofErr w:type="spellStart"/>
            <w:r w:rsidRPr="004554D7">
              <w:t>SHSC</w:t>
            </w:r>
            <w:proofErr w:type="spellEnd"/>
            <w:r w:rsidRPr="004554D7">
              <w:t xml:space="preserve"> relate to the capture of information about children and support. In the </w:t>
            </w:r>
            <w:proofErr w:type="spellStart"/>
            <w:r w:rsidRPr="004554D7">
              <w:t>SAAP</w:t>
            </w:r>
            <w:proofErr w:type="spellEnd"/>
            <w:r w:rsidRPr="004554D7">
              <w:t xml:space="preserve"> </w:t>
            </w:r>
            <w:proofErr w:type="spellStart"/>
            <w:r w:rsidRPr="004554D7">
              <w:t>NDC</w:t>
            </w:r>
            <w:proofErr w:type="spellEnd"/>
            <w:r w:rsidRPr="004554D7">
              <w:t xml:space="preserve">, children who accompanied a parent or guardian were counted as accompanying children (with only limited information collected); in the </w:t>
            </w:r>
            <w:proofErr w:type="spellStart"/>
            <w:r w:rsidRPr="004554D7">
              <w:t>SHSC</w:t>
            </w:r>
            <w:proofErr w:type="spellEnd"/>
            <w:r w:rsidRPr="004554D7">
              <w:t xml:space="preserve">, children are included as clients (in their own right) if they directly receive a service. In </w:t>
            </w:r>
            <w:proofErr w:type="spellStart"/>
            <w:r w:rsidRPr="004554D7">
              <w:t>SAAP</w:t>
            </w:r>
            <w:proofErr w:type="spellEnd"/>
            <w:r w:rsidRPr="004554D7">
              <w:t xml:space="preserve">, support was considered to entail generally 1 hour or more of a worker’s time; in </w:t>
            </w:r>
            <w:proofErr w:type="spellStart"/>
            <w:r w:rsidRPr="004554D7">
              <w:t>SHSC</w:t>
            </w:r>
            <w:proofErr w:type="spellEnd"/>
            <w:r w:rsidRPr="004554D7">
              <w:t xml:space="preserve"> no time-related condition exists.</w:t>
            </w:r>
          </w:p>
        </w:tc>
      </w:tr>
      <w:tr w:rsidR="002C781F" w:rsidRPr="00ED03C6" w:rsidTr="001E31B8">
        <w:tc>
          <w:tcPr>
            <w:tcW w:w="1024" w:type="pct"/>
          </w:tcPr>
          <w:p w:rsidR="002C781F" w:rsidRPr="00F709AB" w:rsidRDefault="002C781F" w:rsidP="001E31B8">
            <w:pPr>
              <w:pStyle w:val="TableBodyText"/>
              <w:jc w:val="left"/>
              <w:rPr>
                <w:b/>
              </w:rPr>
            </w:pPr>
            <w:r w:rsidRPr="00F709AB">
              <w:rPr>
                <w:b/>
              </w:rPr>
              <w:t>Accessibility</w:t>
            </w:r>
          </w:p>
        </w:tc>
        <w:tc>
          <w:tcPr>
            <w:tcW w:w="3976" w:type="pct"/>
          </w:tcPr>
          <w:p w:rsidR="002C781F" w:rsidRPr="00F709AB" w:rsidRDefault="002C781F" w:rsidP="001E31B8">
            <w:pPr>
              <w:pStyle w:val="TableBodyText"/>
              <w:jc w:val="both"/>
            </w:pPr>
            <w:r w:rsidRPr="00F709AB">
              <w:t xml:space="preserve">Published results from 2012–13 are available on the </w:t>
            </w:r>
            <w:proofErr w:type="spellStart"/>
            <w:r w:rsidRPr="00F709AB">
              <w:t>AIHW</w:t>
            </w:r>
            <w:proofErr w:type="spellEnd"/>
            <w:r w:rsidRPr="00F709AB">
              <w:t xml:space="preserve"> website. Data not available online or in reports can be obtained from the Communications, Media and Marketing Unit on (02) 6244 1032 or via email to </w:t>
            </w:r>
            <w:proofErr w:type="spellStart"/>
            <w:r w:rsidRPr="00F709AB">
              <w:t>info@aihw.gov.au</w:t>
            </w:r>
            <w:proofErr w:type="spellEnd"/>
            <w:r w:rsidRPr="00F709AB">
              <w:t>. Data requests are charged on a cost-recovery basis.</w:t>
            </w:r>
          </w:p>
        </w:tc>
      </w:tr>
      <w:tr w:rsidR="002C781F" w:rsidRPr="00ED03C6" w:rsidTr="001E31B8">
        <w:tc>
          <w:tcPr>
            <w:tcW w:w="1024" w:type="pct"/>
          </w:tcPr>
          <w:p w:rsidR="002C781F" w:rsidRPr="004554D7" w:rsidRDefault="002C781F" w:rsidP="001E31B8">
            <w:pPr>
              <w:pStyle w:val="TableBodyText"/>
              <w:jc w:val="left"/>
              <w:rPr>
                <w:b/>
              </w:rPr>
            </w:pPr>
            <w:r w:rsidRPr="004554D7">
              <w:rPr>
                <w:b/>
              </w:rPr>
              <w:t>Interpretability</w:t>
            </w:r>
          </w:p>
        </w:tc>
        <w:tc>
          <w:tcPr>
            <w:tcW w:w="3976" w:type="pct"/>
          </w:tcPr>
          <w:p w:rsidR="002C781F" w:rsidRPr="004554D7" w:rsidRDefault="002C781F" w:rsidP="001E31B8">
            <w:pPr>
              <w:pStyle w:val="TableBodyText"/>
              <w:jc w:val="both"/>
            </w:pPr>
            <w:r w:rsidRPr="004554D7">
              <w:t xml:space="preserve">Information on the development of the </w:t>
            </w:r>
            <w:proofErr w:type="spellStart"/>
            <w:r w:rsidRPr="004554D7">
              <w:t>SHSC</w:t>
            </w:r>
            <w:proofErr w:type="spellEnd"/>
            <w:r w:rsidRPr="004554D7">
              <w:t xml:space="preserve">, definitions and concepts, and collection materials and processes can be found on the </w:t>
            </w:r>
            <w:proofErr w:type="spellStart"/>
            <w:r w:rsidRPr="004554D7">
              <w:t>AIHW</w:t>
            </w:r>
            <w:proofErr w:type="spellEnd"/>
            <w:r w:rsidRPr="004554D7">
              <w:t xml:space="preserve"> website, </w:t>
            </w:r>
            <w:r w:rsidRPr="004554D7">
              <w:lastRenderedPageBreak/>
              <w:t>&lt;</w:t>
            </w:r>
            <w:proofErr w:type="spellStart"/>
            <w:r w:rsidRPr="004554D7">
              <w:t>www.aihw.gov.au</w:t>
            </w:r>
            <w:proofErr w:type="spellEnd"/>
            <w:r w:rsidRPr="004554D7">
              <w:t xml:space="preserve">&gt;. Information on definitions, concepts and classifications can also be found in the </w:t>
            </w:r>
            <w:proofErr w:type="spellStart"/>
            <w:r w:rsidRPr="004554D7">
              <w:t>SHSC’s</w:t>
            </w:r>
            <w:proofErr w:type="spellEnd"/>
            <w:r w:rsidRPr="004554D7">
              <w:t xml:space="preserve"> collection manual (</w:t>
            </w:r>
            <w:proofErr w:type="spellStart"/>
            <w:r w:rsidRPr="004554D7">
              <w:t>AIHW</w:t>
            </w:r>
            <w:proofErr w:type="spellEnd"/>
            <w:r w:rsidRPr="004554D7">
              <w:t xml:space="preserve"> 2011).</w:t>
            </w:r>
          </w:p>
        </w:tc>
      </w:tr>
      <w:tr w:rsidR="002C781F" w:rsidTr="001E31B8">
        <w:tc>
          <w:tcPr>
            <w:tcW w:w="5000" w:type="pct"/>
            <w:gridSpan w:val="2"/>
            <w:shd w:val="clear" w:color="auto" w:fill="auto"/>
          </w:tcPr>
          <w:p w:rsidR="002C781F" w:rsidRDefault="002C781F" w:rsidP="001E31B8">
            <w:pPr>
              <w:pStyle w:val="TableBodyText"/>
              <w:jc w:val="left"/>
              <w:rPr>
                <w:b/>
                <w:u w:val="single"/>
              </w:rPr>
            </w:pPr>
          </w:p>
          <w:p w:rsidR="002C781F" w:rsidRPr="00C744E0" w:rsidRDefault="002C781F" w:rsidP="001E31B8">
            <w:pPr>
              <w:pStyle w:val="TableBodyText"/>
              <w:jc w:val="left"/>
              <w:rPr>
                <w:b/>
                <w:u w:val="single"/>
              </w:rPr>
            </w:pPr>
            <w:r w:rsidRPr="00C744E0">
              <w:rPr>
                <w:b/>
                <w:u w:val="single"/>
              </w:rPr>
              <w:t>Data Gaps/Issues Analysis</w:t>
            </w:r>
          </w:p>
        </w:tc>
      </w:tr>
      <w:tr w:rsidR="002C781F" w:rsidTr="001E31B8">
        <w:tc>
          <w:tcPr>
            <w:tcW w:w="1024" w:type="pct"/>
            <w:shd w:val="clear" w:color="auto" w:fill="auto"/>
          </w:tcPr>
          <w:p w:rsidR="002C781F" w:rsidRPr="00C744E0" w:rsidRDefault="002C781F" w:rsidP="001E31B8">
            <w:pPr>
              <w:pStyle w:val="TableBodyText"/>
              <w:jc w:val="left"/>
              <w:rPr>
                <w:b/>
              </w:rPr>
            </w:pPr>
            <w:r w:rsidRPr="00C744E0">
              <w:rPr>
                <w:b/>
              </w:rPr>
              <w:t>Key data gaps/</w:t>
            </w:r>
            <w:r>
              <w:rPr>
                <w:b/>
              </w:rPr>
              <w:t xml:space="preserve"> </w:t>
            </w:r>
            <w:r w:rsidRPr="00C744E0">
              <w:rPr>
                <w:b/>
              </w:rPr>
              <w:t>issues</w:t>
            </w:r>
          </w:p>
        </w:tc>
        <w:tc>
          <w:tcPr>
            <w:tcW w:w="3976" w:type="pct"/>
            <w:shd w:val="clear" w:color="auto" w:fill="auto"/>
          </w:tcPr>
          <w:p w:rsidR="002C781F" w:rsidRDefault="002C781F" w:rsidP="001E31B8">
            <w:pPr>
              <w:pStyle w:val="TableBodyText"/>
              <w:jc w:val="left"/>
            </w:pPr>
            <w:r w:rsidRPr="00B96E3E">
              <w:t xml:space="preserve">The Steering Committee notes the following key data gaps/issues: </w:t>
            </w:r>
          </w:p>
          <w:p w:rsidR="002C781F" w:rsidRPr="00B96E3E" w:rsidRDefault="002C781F" w:rsidP="001E31B8">
            <w:pPr>
              <w:pStyle w:val="TableBullet"/>
              <w:jc w:val="both"/>
            </w:pPr>
            <w:r w:rsidRPr="00FC5797">
              <w:t>The key data quali</w:t>
            </w:r>
            <w:r>
              <w:t xml:space="preserve">ty issue related to the use of the specialist homelessness services </w:t>
            </w:r>
            <w:r w:rsidRPr="00FC5797">
              <w:t xml:space="preserve">data is relevance. </w:t>
            </w:r>
            <w:r>
              <w:t xml:space="preserve">The data </w:t>
            </w:r>
            <w:r w:rsidRPr="00FC5797">
              <w:t>do not capture the whole of the homeless (and at risk) population, rather only pe</w:t>
            </w:r>
            <w:r>
              <w:t>ople who access specialist homelessness services.</w:t>
            </w:r>
          </w:p>
        </w:tc>
      </w:tr>
    </w:tbl>
    <w:p w:rsidR="002C781F" w:rsidRPr="006C3111" w:rsidRDefault="002C781F" w:rsidP="002C781F">
      <w:pPr>
        <w:pStyle w:val="Heading3"/>
      </w:pPr>
    </w:p>
    <w:p w:rsidR="006C3111" w:rsidRPr="002C781F" w:rsidRDefault="006C3111" w:rsidP="002C781F"/>
    <w:sectPr w:rsidR="006C3111" w:rsidRPr="002C781F" w:rsidSect="006E6B02">
      <w:headerReference w:type="even" r:id="rId8"/>
      <w:headerReference w:type="default" r:id="rId9"/>
      <w:footerReference w:type="even" r:id="rId10"/>
      <w:footerReference w:type="default" r:id="rId11"/>
      <w:pgSz w:w="11907" w:h="16840" w:code="9"/>
      <w:pgMar w:top="1985" w:right="1304" w:bottom="1418" w:left="1814" w:header="1701" w:footer="56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F3D" w:rsidRDefault="005F4F3D">
      <w:r>
        <w:separator/>
      </w:r>
    </w:p>
  </w:endnote>
  <w:endnote w:type="continuationSeparator" w:id="0">
    <w:p w:rsidR="005F4F3D" w:rsidRDefault="005F4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3013F" w:rsidTr="0019293B">
      <w:trPr>
        <w:trHeight w:hRule="exact" w:val="740"/>
      </w:trPr>
      <w:tc>
        <w:tcPr>
          <w:tcW w:w="510" w:type="dxa"/>
          <w:tcBorders>
            <w:top w:val="single" w:sz="6" w:space="0" w:color="auto"/>
          </w:tcBorders>
        </w:tcPr>
        <w:p w:rsidR="0023013F" w:rsidRDefault="0023013F"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600D7">
            <w:rPr>
              <w:rStyle w:val="PageNumber"/>
              <w:noProof/>
            </w:rPr>
            <w:t>4</w:t>
          </w:r>
          <w:r>
            <w:rPr>
              <w:rStyle w:val="PageNumber"/>
            </w:rPr>
            <w:fldChar w:fldCharType="end"/>
          </w:r>
        </w:p>
      </w:tc>
      <w:tc>
        <w:tcPr>
          <w:tcW w:w="1644" w:type="dxa"/>
          <w:tcBorders>
            <w:top w:val="single" w:sz="6" w:space="0" w:color="auto"/>
          </w:tcBorders>
        </w:tcPr>
        <w:p w:rsidR="0023013F" w:rsidRDefault="00EB4FA0" w:rsidP="00CE6D24">
          <w:pPr>
            <w:pStyle w:val="Footer"/>
          </w:pPr>
          <w:fldSimple w:instr=" SUBJECT  &quot;REPORT ON GOVERNMENT SERVICES 2014&quot;  \* MERGEFORMAT ">
            <w:r w:rsidR="00A4139E">
              <w:t>REPORT ON GOVERNMENT SERVICES 2014</w:t>
            </w:r>
          </w:fldSimple>
        </w:p>
      </w:tc>
      <w:tc>
        <w:tcPr>
          <w:tcW w:w="6634" w:type="dxa"/>
        </w:tcPr>
        <w:p w:rsidR="0023013F" w:rsidRDefault="0023013F" w:rsidP="0019293B">
          <w:pPr>
            <w:pStyle w:val="Footer"/>
          </w:pPr>
        </w:p>
      </w:tc>
    </w:tr>
  </w:tbl>
  <w:p w:rsidR="0023013F" w:rsidRDefault="0023013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3013F">
      <w:trPr>
        <w:trHeight w:hRule="exact" w:val="740"/>
      </w:trPr>
      <w:tc>
        <w:tcPr>
          <w:tcW w:w="6634" w:type="dxa"/>
        </w:tcPr>
        <w:p w:rsidR="0023013F" w:rsidRDefault="0023013F">
          <w:pPr>
            <w:pStyle w:val="Footer"/>
            <w:ind w:right="360" w:firstLine="360"/>
          </w:pPr>
        </w:p>
      </w:tc>
      <w:tc>
        <w:tcPr>
          <w:tcW w:w="1644" w:type="dxa"/>
          <w:tcBorders>
            <w:top w:val="single" w:sz="6" w:space="0" w:color="auto"/>
          </w:tcBorders>
        </w:tcPr>
        <w:p w:rsidR="0023013F" w:rsidRDefault="00F86AA7">
          <w:pPr>
            <w:pStyle w:val="Footer"/>
          </w:pPr>
          <w:r>
            <w:fldChar w:fldCharType="begin"/>
          </w:r>
          <w:r>
            <w:instrText xml:space="preserve"> TITLE  \* MERGEFORMAT </w:instrText>
          </w:r>
          <w:r>
            <w:fldChar w:fldCharType="separate"/>
          </w:r>
          <w:r w:rsidR="00A4139E">
            <w:t xml:space="preserve">Homelessness services </w:t>
          </w:r>
          <w:proofErr w:type="spellStart"/>
          <w:r w:rsidR="00A4139E">
            <w:t>DQI</w:t>
          </w:r>
          <w:proofErr w:type="spellEnd"/>
          <w:r>
            <w:fldChar w:fldCharType="end"/>
          </w:r>
        </w:p>
      </w:tc>
      <w:tc>
        <w:tcPr>
          <w:tcW w:w="510" w:type="dxa"/>
          <w:tcBorders>
            <w:top w:val="single" w:sz="6" w:space="0" w:color="auto"/>
          </w:tcBorders>
        </w:tcPr>
        <w:p w:rsidR="0023013F" w:rsidRDefault="0023013F">
          <w:pPr>
            <w:pStyle w:val="Footer"/>
            <w:jc w:val="right"/>
          </w:pPr>
          <w:r>
            <w:rPr>
              <w:rStyle w:val="PageNumber"/>
            </w:rPr>
            <w:fldChar w:fldCharType="begin"/>
          </w:r>
          <w:r>
            <w:rPr>
              <w:rStyle w:val="PageNumber"/>
            </w:rPr>
            <w:instrText xml:space="preserve">PAGE  </w:instrText>
          </w:r>
          <w:r>
            <w:rPr>
              <w:rStyle w:val="PageNumber"/>
            </w:rPr>
            <w:fldChar w:fldCharType="separate"/>
          </w:r>
          <w:r w:rsidR="006600D7">
            <w:rPr>
              <w:rStyle w:val="PageNumber"/>
              <w:noProof/>
            </w:rPr>
            <w:t>1</w:t>
          </w:r>
          <w:r>
            <w:rPr>
              <w:rStyle w:val="PageNumber"/>
            </w:rPr>
            <w:fldChar w:fldCharType="end"/>
          </w:r>
        </w:p>
      </w:tc>
    </w:tr>
  </w:tbl>
  <w:p w:rsidR="0023013F" w:rsidRDefault="0023013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F3D" w:rsidRDefault="005F4F3D">
      <w:r>
        <w:separator/>
      </w:r>
    </w:p>
  </w:footnote>
  <w:footnote w:type="continuationSeparator" w:id="0">
    <w:p w:rsidR="005F4F3D" w:rsidRDefault="005F4F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674" w:type="dxa"/>
      <w:tblLayout w:type="fixed"/>
      <w:tblCellMar>
        <w:left w:w="0" w:type="dxa"/>
        <w:right w:w="0" w:type="dxa"/>
      </w:tblCellMar>
      <w:tblLook w:val="0000" w:firstRow="0" w:lastRow="0" w:firstColumn="0" w:lastColumn="0" w:noHBand="0" w:noVBand="0"/>
    </w:tblPr>
    <w:tblGrid>
      <w:gridCol w:w="2127"/>
      <w:gridCol w:w="6547"/>
    </w:tblGrid>
    <w:tr w:rsidR="00F86AA7" w:rsidTr="00E429EF">
      <w:trPr>
        <w:trHeight w:val="300"/>
      </w:trPr>
      <w:tc>
        <w:tcPr>
          <w:tcW w:w="2127" w:type="dxa"/>
          <w:tcBorders>
            <w:top w:val="single" w:sz="24" w:space="0" w:color="auto"/>
          </w:tcBorders>
        </w:tcPr>
        <w:p w:rsidR="0023013F" w:rsidRPr="00FA2F3E" w:rsidRDefault="0023013F" w:rsidP="00CE3A5A">
          <w:pPr>
            <w:pStyle w:val="HeaderEven"/>
            <w:rPr>
              <w:sz w:val="28"/>
              <w:szCs w:val="28"/>
            </w:rPr>
          </w:pPr>
        </w:p>
      </w:tc>
      <w:tc>
        <w:tcPr>
          <w:tcW w:w="6547" w:type="dxa"/>
          <w:tcBorders>
            <w:top w:val="single" w:sz="6" w:space="0" w:color="auto"/>
          </w:tcBorders>
        </w:tcPr>
        <w:p w:rsidR="0023013F" w:rsidRDefault="0023013F" w:rsidP="00E429EF">
          <w:pPr>
            <w:pStyle w:val="HeaderEven"/>
            <w:tabs>
              <w:tab w:val="left" w:pos="1352"/>
              <w:tab w:val="left" w:pos="1905"/>
            </w:tabs>
            <w:jc w:val="right"/>
          </w:pPr>
        </w:p>
      </w:tc>
    </w:tr>
  </w:tbl>
  <w:p w:rsidR="0023013F" w:rsidRDefault="0023013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3013F" w:rsidTr="00E669E2">
      <w:tc>
        <w:tcPr>
          <w:tcW w:w="6634" w:type="dxa"/>
          <w:tcBorders>
            <w:top w:val="single" w:sz="6" w:space="0" w:color="auto"/>
          </w:tcBorders>
        </w:tcPr>
        <w:p w:rsidR="0023013F" w:rsidRPr="00FA2F3E" w:rsidRDefault="006E6B02" w:rsidP="006600D7">
          <w:pPr>
            <w:pStyle w:val="HeaderOdd"/>
            <w:tabs>
              <w:tab w:val="clear" w:pos="4394"/>
              <w:tab w:val="clear" w:pos="8789"/>
              <w:tab w:val="center" w:pos="3317"/>
            </w:tabs>
            <w:rPr>
              <w:sz w:val="28"/>
              <w:szCs w:val="28"/>
            </w:rPr>
          </w:pPr>
          <w:r>
            <w:rPr>
              <w:sz w:val="28"/>
              <w:szCs w:val="28"/>
            </w:rPr>
            <w:tab/>
          </w:r>
        </w:p>
      </w:tc>
      <w:tc>
        <w:tcPr>
          <w:tcW w:w="2155" w:type="dxa"/>
          <w:tcBorders>
            <w:top w:val="single" w:sz="24" w:space="0" w:color="auto"/>
          </w:tcBorders>
        </w:tcPr>
        <w:p w:rsidR="0023013F" w:rsidRDefault="0023013F" w:rsidP="00E669E2">
          <w:pPr>
            <w:pStyle w:val="HeaderOdd"/>
          </w:pPr>
        </w:p>
      </w:tc>
    </w:tr>
  </w:tbl>
  <w:p w:rsidR="0023013F" w:rsidRDefault="0023013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5A80004"/>
    <w:multiLevelType w:val="hybridMultilevel"/>
    <w:tmpl w:val="0C1853D8"/>
    <w:lvl w:ilvl="0" w:tplc="27FE9BE0">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AD7327C"/>
    <w:multiLevelType w:val="hybridMultilevel"/>
    <w:tmpl w:val="F7E6CD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42463D8C"/>
    <w:multiLevelType w:val="hybridMultilevel"/>
    <w:tmpl w:val="CDB63F6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47F66A04"/>
    <w:multiLevelType w:val="hybridMultilevel"/>
    <w:tmpl w:val="EAB6C78A"/>
    <w:lvl w:ilvl="0" w:tplc="27FE9BE0">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51F74561"/>
    <w:multiLevelType w:val="singleLevel"/>
    <w:tmpl w:val="ED98921A"/>
    <w:lvl w:ilvl="0">
      <w:start w:val="1"/>
      <w:numFmt w:val="decimal"/>
      <w:lvlText w:val="%1."/>
      <w:legacy w:legacy="1" w:legacySpace="0" w:legacyIndent="340"/>
      <w:lvlJc w:val="left"/>
      <w:pPr>
        <w:ind w:left="340" w:hanging="340"/>
      </w:p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4C3762C"/>
    <w:multiLevelType w:val="hybridMultilevel"/>
    <w:tmpl w:val="3BB2AD08"/>
    <w:lvl w:ilvl="0" w:tplc="27FE9BE0">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79710F2"/>
    <w:multiLevelType w:val="hybridMultilevel"/>
    <w:tmpl w:val="A41EC57A"/>
    <w:lvl w:ilvl="0" w:tplc="4DFAC978">
      <w:start w:val="16"/>
      <w:numFmt w:val="decimal"/>
      <w:lvlText w:val="%1"/>
      <w:lvlJc w:val="left"/>
      <w:pPr>
        <w:tabs>
          <w:tab w:val="num" w:pos="1260"/>
        </w:tabs>
        <w:ind w:left="1260" w:hanging="90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C46B3D"/>
    <w:multiLevelType w:val="hybridMultilevel"/>
    <w:tmpl w:val="738660CA"/>
    <w:lvl w:ilvl="0" w:tplc="27FE9BE0">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6B032245"/>
    <w:multiLevelType w:val="multilevel"/>
    <w:tmpl w:val="FF9E0BA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F8E6BB3"/>
    <w:multiLevelType w:val="hybridMultilevel"/>
    <w:tmpl w:val="6B54D480"/>
    <w:lvl w:ilvl="0" w:tplc="27FE9BE0">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6C12BED"/>
    <w:multiLevelType w:val="hybridMultilevel"/>
    <w:tmpl w:val="B1C449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9"/>
  </w:num>
  <w:num w:numId="3">
    <w:abstractNumId w:val="46"/>
  </w:num>
  <w:num w:numId="4">
    <w:abstractNumId w:val="6"/>
  </w:num>
  <w:num w:numId="5">
    <w:abstractNumId w:val="5"/>
  </w:num>
  <w:num w:numId="6">
    <w:abstractNumId w:val="24"/>
  </w:num>
  <w:num w:numId="7">
    <w:abstractNumId w:val="3"/>
  </w:num>
  <w:num w:numId="8">
    <w:abstractNumId w:val="8"/>
  </w:num>
  <w:num w:numId="9">
    <w:abstractNumId w:val="2"/>
  </w:num>
  <w:num w:numId="10">
    <w:abstractNumId w:val="38"/>
  </w:num>
  <w:num w:numId="11">
    <w:abstractNumId w:val="4"/>
  </w:num>
  <w:num w:numId="12">
    <w:abstractNumId w:val="1"/>
  </w:num>
  <w:num w:numId="13">
    <w:abstractNumId w:val="0"/>
  </w:num>
  <w:num w:numId="14">
    <w:abstractNumId w:val="28"/>
  </w:num>
  <w:num w:numId="15">
    <w:abstractNumId w:val="47"/>
  </w:num>
  <w:num w:numId="16">
    <w:abstractNumId w:val="16"/>
  </w:num>
  <w:num w:numId="17">
    <w:abstractNumId w:val="14"/>
  </w:num>
  <w:num w:numId="18">
    <w:abstractNumId w:val="25"/>
  </w:num>
  <w:num w:numId="19">
    <w:abstractNumId w:val="10"/>
  </w:num>
  <w:num w:numId="20">
    <w:abstractNumId w:val="35"/>
  </w:num>
  <w:num w:numId="21">
    <w:abstractNumId w:val="37"/>
  </w:num>
  <w:num w:numId="22">
    <w:abstractNumId w:val="23"/>
  </w:num>
  <w:num w:numId="23">
    <w:abstractNumId w:val="27"/>
  </w:num>
  <w:num w:numId="24">
    <w:abstractNumId w:val="30"/>
  </w:num>
  <w:num w:numId="25">
    <w:abstractNumId w:val="44"/>
  </w:num>
  <w:num w:numId="26">
    <w:abstractNumId w:val="34"/>
  </w:num>
  <w:num w:numId="27">
    <w:abstractNumId w:val="39"/>
  </w:num>
  <w:num w:numId="28">
    <w:abstractNumId w:val="42"/>
  </w:num>
  <w:num w:numId="29">
    <w:abstractNumId w:val="32"/>
  </w:num>
  <w:num w:numId="30">
    <w:abstractNumId w:val="20"/>
  </w:num>
  <w:num w:numId="31">
    <w:abstractNumId w:val="48"/>
  </w:num>
  <w:num w:numId="32">
    <w:abstractNumId w:val="13"/>
  </w:num>
  <w:num w:numId="33">
    <w:abstractNumId w:val="7"/>
  </w:num>
  <w:num w:numId="34">
    <w:abstractNumId w:val="17"/>
  </w:num>
  <w:num w:numId="35">
    <w:abstractNumId w:val="43"/>
  </w:num>
  <w:num w:numId="36">
    <w:abstractNumId w:val="33"/>
  </w:num>
  <w:num w:numId="37">
    <w:abstractNumId w:val="11"/>
  </w:num>
  <w:num w:numId="38">
    <w:abstractNumId w:val="36"/>
  </w:num>
  <w:num w:numId="39">
    <w:abstractNumId w:val="12"/>
  </w:num>
  <w:num w:numId="40">
    <w:abstractNumId w:val="16"/>
  </w:num>
  <w:num w:numId="41">
    <w:abstractNumId w:val="29"/>
  </w:num>
  <w:num w:numId="42">
    <w:abstractNumId w:val="21"/>
  </w:num>
  <w:num w:numId="43">
    <w:abstractNumId w:val="15"/>
  </w:num>
  <w:num w:numId="44">
    <w:abstractNumId w:val="40"/>
  </w:num>
  <w:num w:numId="45">
    <w:abstractNumId w:val="26"/>
  </w:num>
  <w:num w:numId="46">
    <w:abstractNumId w:val="31"/>
  </w:num>
  <w:num w:numId="47">
    <w:abstractNumId w:val="18"/>
  </w:num>
  <w:num w:numId="48">
    <w:abstractNumId w:val="41"/>
  </w:num>
  <w:num w:numId="49">
    <w:abstractNumId w:val="22"/>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evenAndOddHeaders/>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melessness services DQI"/>
    <w:docVar w:name="ShortReportTitle" w:val="Report on Government Services 2012"/>
  </w:docVars>
  <w:rsids>
    <w:rsidRoot w:val="00B96E3E"/>
    <w:rsid w:val="00000ABB"/>
    <w:rsid w:val="00004022"/>
    <w:rsid w:val="0001085B"/>
    <w:rsid w:val="00023389"/>
    <w:rsid w:val="00023640"/>
    <w:rsid w:val="00035368"/>
    <w:rsid w:val="0003664B"/>
    <w:rsid w:val="0004111F"/>
    <w:rsid w:val="00043C13"/>
    <w:rsid w:val="00045013"/>
    <w:rsid w:val="000633D1"/>
    <w:rsid w:val="00066833"/>
    <w:rsid w:val="00066F4A"/>
    <w:rsid w:val="0006762E"/>
    <w:rsid w:val="0007150B"/>
    <w:rsid w:val="00083E98"/>
    <w:rsid w:val="000938F5"/>
    <w:rsid w:val="000A0627"/>
    <w:rsid w:val="000B0889"/>
    <w:rsid w:val="000B601B"/>
    <w:rsid w:val="000C207E"/>
    <w:rsid w:val="000D221E"/>
    <w:rsid w:val="000D4748"/>
    <w:rsid w:val="000E3B7C"/>
    <w:rsid w:val="000E6F99"/>
    <w:rsid w:val="000F0383"/>
    <w:rsid w:val="000F4744"/>
    <w:rsid w:val="00110116"/>
    <w:rsid w:val="001252E6"/>
    <w:rsid w:val="00126EB8"/>
    <w:rsid w:val="001363AA"/>
    <w:rsid w:val="00141AEF"/>
    <w:rsid w:val="00161340"/>
    <w:rsid w:val="00165A9D"/>
    <w:rsid w:val="00170C56"/>
    <w:rsid w:val="00190192"/>
    <w:rsid w:val="001921F4"/>
    <w:rsid w:val="0019293B"/>
    <w:rsid w:val="00196EAD"/>
    <w:rsid w:val="001A14AB"/>
    <w:rsid w:val="001A5B3E"/>
    <w:rsid w:val="001A7971"/>
    <w:rsid w:val="001C0865"/>
    <w:rsid w:val="001C3ABA"/>
    <w:rsid w:val="001C4615"/>
    <w:rsid w:val="001D0F4A"/>
    <w:rsid w:val="001D35B6"/>
    <w:rsid w:val="001D7F02"/>
    <w:rsid w:val="001E7BE8"/>
    <w:rsid w:val="001F0248"/>
    <w:rsid w:val="001F1566"/>
    <w:rsid w:val="001F424E"/>
    <w:rsid w:val="00202C2C"/>
    <w:rsid w:val="00203D32"/>
    <w:rsid w:val="00206097"/>
    <w:rsid w:val="00210245"/>
    <w:rsid w:val="00211652"/>
    <w:rsid w:val="00212305"/>
    <w:rsid w:val="00224A8F"/>
    <w:rsid w:val="0023013F"/>
    <w:rsid w:val="0023416C"/>
    <w:rsid w:val="00235D30"/>
    <w:rsid w:val="00240478"/>
    <w:rsid w:val="00240E3D"/>
    <w:rsid w:val="00242279"/>
    <w:rsid w:val="00242E9D"/>
    <w:rsid w:val="00246648"/>
    <w:rsid w:val="00247F7B"/>
    <w:rsid w:val="002628EF"/>
    <w:rsid w:val="002714B9"/>
    <w:rsid w:val="00282734"/>
    <w:rsid w:val="00282B08"/>
    <w:rsid w:val="00291B40"/>
    <w:rsid w:val="00291D34"/>
    <w:rsid w:val="0029286E"/>
    <w:rsid w:val="002B287E"/>
    <w:rsid w:val="002B4008"/>
    <w:rsid w:val="002C1DBA"/>
    <w:rsid w:val="002C43D2"/>
    <w:rsid w:val="002C6611"/>
    <w:rsid w:val="002C781F"/>
    <w:rsid w:val="002D0B38"/>
    <w:rsid w:val="002D0E8E"/>
    <w:rsid w:val="002E3D7A"/>
    <w:rsid w:val="002F7560"/>
    <w:rsid w:val="0030025A"/>
    <w:rsid w:val="00301189"/>
    <w:rsid w:val="003043D1"/>
    <w:rsid w:val="00305C12"/>
    <w:rsid w:val="00312AC2"/>
    <w:rsid w:val="0032345F"/>
    <w:rsid w:val="00323E09"/>
    <w:rsid w:val="0033121A"/>
    <w:rsid w:val="00331500"/>
    <w:rsid w:val="00333932"/>
    <w:rsid w:val="00342F5A"/>
    <w:rsid w:val="00346D79"/>
    <w:rsid w:val="00346FA5"/>
    <w:rsid w:val="003472D7"/>
    <w:rsid w:val="003518AA"/>
    <w:rsid w:val="00353182"/>
    <w:rsid w:val="00356250"/>
    <w:rsid w:val="00357160"/>
    <w:rsid w:val="003602E1"/>
    <w:rsid w:val="0037080A"/>
    <w:rsid w:val="00371240"/>
    <w:rsid w:val="00374731"/>
    <w:rsid w:val="00377BB6"/>
    <w:rsid w:val="00387A5A"/>
    <w:rsid w:val="00391AC1"/>
    <w:rsid w:val="00393D65"/>
    <w:rsid w:val="00395D4C"/>
    <w:rsid w:val="003968F4"/>
    <w:rsid w:val="003A5007"/>
    <w:rsid w:val="003B2856"/>
    <w:rsid w:val="003C38B5"/>
    <w:rsid w:val="003C5D99"/>
    <w:rsid w:val="003D274B"/>
    <w:rsid w:val="003D3674"/>
    <w:rsid w:val="003D6201"/>
    <w:rsid w:val="003E7E92"/>
    <w:rsid w:val="003F0789"/>
    <w:rsid w:val="003F2936"/>
    <w:rsid w:val="003F51AC"/>
    <w:rsid w:val="003F6B20"/>
    <w:rsid w:val="003F715C"/>
    <w:rsid w:val="00401882"/>
    <w:rsid w:val="00403269"/>
    <w:rsid w:val="004100C8"/>
    <w:rsid w:val="00411D83"/>
    <w:rsid w:val="00412ACE"/>
    <w:rsid w:val="00424C12"/>
    <w:rsid w:val="004279EE"/>
    <w:rsid w:val="00431249"/>
    <w:rsid w:val="00431A7B"/>
    <w:rsid w:val="00431BED"/>
    <w:rsid w:val="00431EF0"/>
    <w:rsid w:val="00434C19"/>
    <w:rsid w:val="004366E5"/>
    <w:rsid w:val="00436C93"/>
    <w:rsid w:val="004419EB"/>
    <w:rsid w:val="004434BA"/>
    <w:rsid w:val="00450810"/>
    <w:rsid w:val="0045273B"/>
    <w:rsid w:val="00454003"/>
    <w:rsid w:val="004671F8"/>
    <w:rsid w:val="00467943"/>
    <w:rsid w:val="0047648C"/>
    <w:rsid w:val="00477144"/>
    <w:rsid w:val="004932E5"/>
    <w:rsid w:val="0049459F"/>
    <w:rsid w:val="004955B0"/>
    <w:rsid w:val="004A6E56"/>
    <w:rsid w:val="004B3CC9"/>
    <w:rsid w:val="004B43AE"/>
    <w:rsid w:val="004C30ED"/>
    <w:rsid w:val="004C7CE7"/>
    <w:rsid w:val="004D6807"/>
    <w:rsid w:val="004E6E5C"/>
    <w:rsid w:val="004F37A7"/>
    <w:rsid w:val="004F62FD"/>
    <w:rsid w:val="004F7C4C"/>
    <w:rsid w:val="00504F70"/>
    <w:rsid w:val="0050738F"/>
    <w:rsid w:val="00507BC7"/>
    <w:rsid w:val="00516D6A"/>
    <w:rsid w:val="005174D5"/>
    <w:rsid w:val="00517808"/>
    <w:rsid w:val="005222B8"/>
    <w:rsid w:val="00527C04"/>
    <w:rsid w:val="00532831"/>
    <w:rsid w:val="00544E63"/>
    <w:rsid w:val="005455AC"/>
    <w:rsid w:val="0055375C"/>
    <w:rsid w:val="005543DF"/>
    <w:rsid w:val="0056248A"/>
    <w:rsid w:val="005637BA"/>
    <w:rsid w:val="00564055"/>
    <w:rsid w:val="0056581E"/>
    <w:rsid w:val="00582721"/>
    <w:rsid w:val="00583C39"/>
    <w:rsid w:val="00587A72"/>
    <w:rsid w:val="005909CF"/>
    <w:rsid w:val="00591E71"/>
    <w:rsid w:val="00593810"/>
    <w:rsid w:val="00593F78"/>
    <w:rsid w:val="00596650"/>
    <w:rsid w:val="005A0D14"/>
    <w:rsid w:val="005C7AD0"/>
    <w:rsid w:val="005C7CE6"/>
    <w:rsid w:val="005D37C4"/>
    <w:rsid w:val="005D5A1D"/>
    <w:rsid w:val="005F4F3D"/>
    <w:rsid w:val="005F5420"/>
    <w:rsid w:val="00602C52"/>
    <w:rsid w:val="00604F9C"/>
    <w:rsid w:val="00607BAA"/>
    <w:rsid w:val="00607BF1"/>
    <w:rsid w:val="006100E3"/>
    <w:rsid w:val="00612D94"/>
    <w:rsid w:val="00624C5F"/>
    <w:rsid w:val="0062588F"/>
    <w:rsid w:val="0062786A"/>
    <w:rsid w:val="00630D4D"/>
    <w:rsid w:val="00632A74"/>
    <w:rsid w:val="00633680"/>
    <w:rsid w:val="006340A3"/>
    <w:rsid w:val="00634A6A"/>
    <w:rsid w:val="00636B8C"/>
    <w:rsid w:val="00644B3E"/>
    <w:rsid w:val="006600D7"/>
    <w:rsid w:val="00664462"/>
    <w:rsid w:val="00666D1D"/>
    <w:rsid w:val="00682548"/>
    <w:rsid w:val="00684DB8"/>
    <w:rsid w:val="00687E93"/>
    <w:rsid w:val="00692375"/>
    <w:rsid w:val="00693136"/>
    <w:rsid w:val="0069744C"/>
    <w:rsid w:val="006A10EE"/>
    <w:rsid w:val="006A4655"/>
    <w:rsid w:val="006B0837"/>
    <w:rsid w:val="006C3111"/>
    <w:rsid w:val="006C3528"/>
    <w:rsid w:val="006C533B"/>
    <w:rsid w:val="006C5EFB"/>
    <w:rsid w:val="006C7038"/>
    <w:rsid w:val="006C76D1"/>
    <w:rsid w:val="006E0230"/>
    <w:rsid w:val="006E4D91"/>
    <w:rsid w:val="006E4EAF"/>
    <w:rsid w:val="006E6135"/>
    <w:rsid w:val="006E6B02"/>
    <w:rsid w:val="006E73EF"/>
    <w:rsid w:val="006F0D3C"/>
    <w:rsid w:val="00702250"/>
    <w:rsid w:val="007042BC"/>
    <w:rsid w:val="00726542"/>
    <w:rsid w:val="00730827"/>
    <w:rsid w:val="00731481"/>
    <w:rsid w:val="007338A3"/>
    <w:rsid w:val="00735300"/>
    <w:rsid w:val="007469D8"/>
    <w:rsid w:val="007530C9"/>
    <w:rsid w:val="0076037F"/>
    <w:rsid w:val="007604BB"/>
    <w:rsid w:val="00765BDA"/>
    <w:rsid w:val="00772DAD"/>
    <w:rsid w:val="007A0D49"/>
    <w:rsid w:val="007A21EB"/>
    <w:rsid w:val="007A4ABD"/>
    <w:rsid w:val="007A64D3"/>
    <w:rsid w:val="007C36C9"/>
    <w:rsid w:val="007C736C"/>
    <w:rsid w:val="007C79DA"/>
    <w:rsid w:val="007D3754"/>
    <w:rsid w:val="007D66CA"/>
    <w:rsid w:val="007E01E4"/>
    <w:rsid w:val="007E6B15"/>
    <w:rsid w:val="007F6CD5"/>
    <w:rsid w:val="007F7107"/>
    <w:rsid w:val="00803FAD"/>
    <w:rsid w:val="0081030F"/>
    <w:rsid w:val="00814046"/>
    <w:rsid w:val="0082087D"/>
    <w:rsid w:val="00823B25"/>
    <w:rsid w:val="008353B9"/>
    <w:rsid w:val="008377E7"/>
    <w:rsid w:val="00846A3C"/>
    <w:rsid w:val="00857672"/>
    <w:rsid w:val="0086082C"/>
    <w:rsid w:val="00864ADC"/>
    <w:rsid w:val="008724D5"/>
    <w:rsid w:val="00874DB4"/>
    <w:rsid w:val="00880153"/>
    <w:rsid w:val="00880F97"/>
    <w:rsid w:val="0088133A"/>
    <w:rsid w:val="00882EE3"/>
    <w:rsid w:val="00883DCF"/>
    <w:rsid w:val="00885C6B"/>
    <w:rsid w:val="00891D67"/>
    <w:rsid w:val="0089285E"/>
    <w:rsid w:val="00892DCF"/>
    <w:rsid w:val="0089436C"/>
    <w:rsid w:val="008A48B7"/>
    <w:rsid w:val="008D387C"/>
    <w:rsid w:val="008F2084"/>
    <w:rsid w:val="009012EA"/>
    <w:rsid w:val="00902803"/>
    <w:rsid w:val="009030BF"/>
    <w:rsid w:val="009106F0"/>
    <w:rsid w:val="009122D6"/>
    <w:rsid w:val="00914368"/>
    <w:rsid w:val="009178BD"/>
    <w:rsid w:val="00923E80"/>
    <w:rsid w:val="0092458A"/>
    <w:rsid w:val="00931076"/>
    <w:rsid w:val="009345D9"/>
    <w:rsid w:val="00934B15"/>
    <w:rsid w:val="00942B62"/>
    <w:rsid w:val="00944C01"/>
    <w:rsid w:val="00952E80"/>
    <w:rsid w:val="00955B16"/>
    <w:rsid w:val="00956A0C"/>
    <w:rsid w:val="00956A1C"/>
    <w:rsid w:val="00956BD9"/>
    <w:rsid w:val="0096060A"/>
    <w:rsid w:val="00962489"/>
    <w:rsid w:val="00964D1A"/>
    <w:rsid w:val="00965610"/>
    <w:rsid w:val="0097125C"/>
    <w:rsid w:val="0097405C"/>
    <w:rsid w:val="009746DC"/>
    <w:rsid w:val="00980CE7"/>
    <w:rsid w:val="00986035"/>
    <w:rsid w:val="0099620F"/>
    <w:rsid w:val="009A3801"/>
    <w:rsid w:val="009A6E2F"/>
    <w:rsid w:val="009B18A0"/>
    <w:rsid w:val="009B1A18"/>
    <w:rsid w:val="009B7AB7"/>
    <w:rsid w:val="009C20C9"/>
    <w:rsid w:val="009D5D88"/>
    <w:rsid w:val="009E76E0"/>
    <w:rsid w:val="009F199D"/>
    <w:rsid w:val="009F696D"/>
    <w:rsid w:val="009F6BC6"/>
    <w:rsid w:val="00A1219C"/>
    <w:rsid w:val="00A141DD"/>
    <w:rsid w:val="00A16EAC"/>
    <w:rsid w:val="00A17328"/>
    <w:rsid w:val="00A2222D"/>
    <w:rsid w:val="00A24340"/>
    <w:rsid w:val="00A25C14"/>
    <w:rsid w:val="00A2703A"/>
    <w:rsid w:val="00A31A65"/>
    <w:rsid w:val="00A3292F"/>
    <w:rsid w:val="00A33879"/>
    <w:rsid w:val="00A33DFF"/>
    <w:rsid w:val="00A35115"/>
    <w:rsid w:val="00A368A1"/>
    <w:rsid w:val="00A36B36"/>
    <w:rsid w:val="00A3758E"/>
    <w:rsid w:val="00A377A9"/>
    <w:rsid w:val="00A4139E"/>
    <w:rsid w:val="00A42B7E"/>
    <w:rsid w:val="00A51B60"/>
    <w:rsid w:val="00A554AB"/>
    <w:rsid w:val="00A7432A"/>
    <w:rsid w:val="00A84D1C"/>
    <w:rsid w:val="00A850BB"/>
    <w:rsid w:val="00A918A7"/>
    <w:rsid w:val="00A94FA6"/>
    <w:rsid w:val="00AA574C"/>
    <w:rsid w:val="00AA6710"/>
    <w:rsid w:val="00AB0681"/>
    <w:rsid w:val="00AB1021"/>
    <w:rsid w:val="00AB1E0E"/>
    <w:rsid w:val="00AB3BD6"/>
    <w:rsid w:val="00AD77E4"/>
    <w:rsid w:val="00AE2DAF"/>
    <w:rsid w:val="00B20FE3"/>
    <w:rsid w:val="00B303E8"/>
    <w:rsid w:val="00B35EA5"/>
    <w:rsid w:val="00B502B4"/>
    <w:rsid w:val="00B50306"/>
    <w:rsid w:val="00B53114"/>
    <w:rsid w:val="00B53E7E"/>
    <w:rsid w:val="00B55B5B"/>
    <w:rsid w:val="00B57782"/>
    <w:rsid w:val="00B6342E"/>
    <w:rsid w:val="00B651D5"/>
    <w:rsid w:val="00B7113F"/>
    <w:rsid w:val="00B7212A"/>
    <w:rsid w:val="00B76C5D"/>
    <w:rsid w:val="00B821AE"/>
    <w:rsid w:val="00B9194C"/>
    <w:rsid w:val="00B93D3E"/>
    <w:rsid w:val="00B95CAB"/>
    <w:rsid w:val="00B96E3E"/>
    <w:rsid w:val="00BA73B6"/>
    <w:rsid w:val="00BB2AD6"/>
    <w:rsid w:val="00BB4FCD"/>
    <w:rsid w:val="00BB52CD"/>
    <w:rsid w:val="00BC16F8"/>
    <w:rsid w:val="00BC2436"/>
    <w:rsid w:val="00BD13EA"/>
    <w:rsid w:val="00BD5D8F"/>
    <w:rsid w:val="00BE0209"/>
    <w:rsid w:val="00BE2BE4"/>
    <w:rsid w:val="00BE375B"/>
    <w:rsid w:val="00BE3808"/>
    <w:rsid w:val="00BE7173"/>
    <w:rsid w:val="00BF56E9"/>
    <w:rsid w:val="00BF5DA0"/>
    <w:rsid w:val="00C01491"/>
    <w:rsid w:val="00C039AF"/>
    <w:rsid w:val="00C062E9"/>
    <w:rsid w:val="00C13721"/>
    <w:rsid w:val="00C13B28"/>
    <w:rsid w:val="00C13C0D"/>
    <w:rsid w:val="00C13DB6"/>
    <w:rsid w:val="00C17B56"/>
    <w:rsid w:val="00C20276"/>
    <w:rsid w:val="00C341A4"/>
    <w:rsid w:val="00C43E88"/>
    <w:rsid w:val="00C45D2C"/>
    <w:rsid w:val="00C47CCD"/>
    <w:rsid w:val="00C543F4"/>
    <w:rsid w:val="00C6291C"/>
    <w:rsid w:val="00C633CB"/>
    <w:rsid w:val="00C66FA0"/>
    <w:rsid w:val="00C74137"/>
    <w:rsid w:val="00C744E0"/>
    <w:rsid w:val="00C8762C"/>
    <w:rsid w:val="00CA00F9"/>
    <w:rsid w:val="00CA2961"/>
    <w:rsid w:val="00CA481F"/>
    <w:rsid w:val="00CA5E50"/>
    <w:rsid w:val="00CA6A57"/>
    <w:rsid w:val="00CB11FD"/>
    <w:rsid w:val="00CB2B41"/>
    <w:rsid w:val="00CB50D7"/>
    <w:rsid w:val="00CB7177"/>
    <w:rsid w:val="00CC1998"/>
    <w:rsid w:val="00CC4946"/>
    <w:rsid w:val="00CC5BFC"/>
    <w:rsid w:val="00CC6152"/>
    <w:rsid w:val="00CD1D60"/>
    <w:rsid w:val="00CE3A5A"/>
    <w:rsid w:val="00CE6D24"/>
    <w:rsid w:val="00D15ADD"/>
    <w:rsid w:val="00D2412D"/>
    <w:rsid w:val="00D26A85"/>
    <w:rsid w:val="00D270A4"/>
    <w:rsid w:val="00D34E1B"/>
    <w:rsid w:val="00D406AF"/>
    <w:rsid w:val="00D431FD"/>
    <w:rsid w:val="00D54CFC"/>
    <w:rsid w:val="00D56BB3"/>
    <w:rsid w:val="00D63D73"/>
    <w:rsid w:val="00D65397"/>
    <w:rsid w:val="00D66E1E"/>
    <w:rsid w:val="00D74546"/>
    <w:rsid w:val="00D75722"/>
    <w:rsid w:val="00D77AE7"/>
    <w:rsid w:val="00D867B1"/>
    <w:rsid w:val="00D95B0F"/>
    <w:rsid w:val="00D97303"/>
    <w:rsid w:val="00DB67C9"/>
    <w:rsid w:val="00DC0C95"/>
    <w:rsid w:val="00DD6580"/>
    <w:rsid w:val="00DE36F2"/>
    <w:rsid w:val="00DF3037"/>
    <w:rsid w:val="00E01822"/>
    <w:rsid w:val="00E15A61"/>
    <w:rsid w:val="00E16D0A"/>
    <w:rsid w:val="00E17C72"/>
    <w:rsid w:val="00E24E83"/>
    <w:rsid w:val="00E2640B"/>
    <w:rsid w:val="00E27795"/>
    <w:rsid w:val="00E36D6C"/>
    <w:rsid w:val="00E429EF"/>
    <w:rsid w:val="00E53800"/>
    <w:rsid w:val="00E65328"/>
    <w:rsid w:val="00E669E2"/>
    <w:rsid w:val="00E67440"/>
    <w:rsid w:val="00E76135"/>
    <w:rsid w:val="00E7685D"/>
    <w:rsid w:val="00E862F3"/>
    <w:rsid w:val="00E86448"/>
    <w:rsid w:val="00E877F6"/>
    <w:rsid w:val="00EA2AAB"/>
    <w:rsid w:val="00EB137B"/>
    <w:rsid w:val="00EB1CE3"/>
    <w:rsid w:val="00EB4FA0"/>
    <w:rsid w:val="00EB6C06"/>
    <w:rsid w:val="00EC496D"/>
    <w:rsid w:val="00EC5697"/>
    <w:rsid w:val="00EC651C"/>
    <w:rsid w:val="00ED368F"/>
    <w:rsid w:val="00ED3AA8"/>
    <w:rsid w:val="00ED60C7"/>
    <w:rsid w:val="00EE3D80"/>
    <w:rsid w:val="00EF15CB"/>
    <w:rsid w:val="00EF5328"/>
    <w:rsid w:val="00EF7BAE"/>
    <w:rsid w:val="00F03B2C"/>
    <w:rsid w:val="00F056FC"/>
    <w:rsid w:val="00F135D8"/>
    <w:rsid w:val="00F2038D"/>
    <w:rsid w:val="00F26C33"/>
    <w:rsid w:val="00F30C6C"/>
    <w:rsid w:val="00F31299"/>
    <w:rsid w:val="00F3263B"/>
    <w:rsid w:val="00F34211"/>
    <w:rsid w:val="00F34331"/>
    <w:rsid w:val="00F3534A"/>
    <w:rsid w:val="00F47708"/>
    <w:rsid w:val="00F57AFC"/>
    <w:rsid w:val="00F754B7"/>
    <w:rsid w:val="00F75B61"/>
    <w:rsid w:val="00F81CD7"/>
    <w:rsid w:val="00F85325"/>
    <w:rsid w:val="00F86AA7"/>
    <w:rsid w:val="00F87288"/>
    <w:rsid w:val="00F90328"/>
    <w:rsid w:val="00F96165"/>
    <w:rsid w:val="00F97753"/>
    <w:rsid w:val="00FA05D6"/>
    <w:rsid w:val="00FA20C6"/>
    <w:rsid w:val="00FA2F3E"/>
    <w:rsid w:val="00FA7348"/>
    <w:rsid w:val="00FB7A8A"/>
    <w:rsid w:val="00FC5797"/>
    <w:rsid w:val="00FC645A"/>
    <w:rsid w:val="00FD22B1"/>
    <w:rsid w:val="00FD3194"/>
    <w:rsid w:val="00FD3F7F"/>
    <w:rsid w:val="00FE3E9B"/>
    <w:rsid w:val="00FF24E3"/>
    <w:rsid w:val="00FF3C3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781F"/>
    <w:rPr>
      <w:sz w:val="26"/>
      <w:szCs w:val="24"/>
    </w:rPr>
  </w:style>
  <w:style w:type="paragraph" w:styleId="Heading1">
    <w:name w:val="heading 1"/>
    <w:basedOn w:val="BodyText"/>
    <w:next w:val="BodyText"/>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TableFigTextChar">
    <w:name w:val="Table/Fig: Text Char"/>
    <w:link w:val="TableFigText"/>
    <w:rsid w:val="00AA574C"/>
    <w:rPr>
      <w:rFonts w:ascii="Arial" w:hAnsi="Arial"/>
      <w:color w:val="000000"/>
      <w:sz w:val="16"/>
      <w:lang w:val="en-AU" w:eastAsia="en-US" w:bidi="ar-SA"/>
    </w:rPr>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7A64D3"/>
    <w:rPr>
      <w:rFonts w:ascii="Tahoma" w:hAnsi="Tahoma" w:cs="Tahoma"/>
      <w:sz w:val="16"/>
      <w:szCs w:val="16"/>
    </w:rPr>
  </w:style>
  <w:style w:type="character" w:customStyle="1" w:styleId="BalloonTextChar">
    <w:name w:val="Balloon Text Char"/>
    <w:link w:val="BalloonText"/>
    <w:rsid w:val="007A64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781F"/>
    <w:rPr>
      <w:sz w:val="26"/>
      <w:szCs w:val="24"/>
    </w:rPr>
  </w:style>
  <w:style w:type="paragraph" w:styleId="Heading1">
    <w:name w:val="heading 1"/>
    <w:basedOn w:val="BodyText"/>
    <w:next w:val="BodyText"/>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TableFigTextChar">
    <w:name w:val="Table/Fig: Text Char"/>
    <w:link w:val="TableFigText"/>
    <w:rsid w:val="00AA574C"/>
    <w:rPr>
      <w:rFonts w:ascii="Arial" w:hAnsi="Arial"/>
      <w:color w:val="000000"/>
      <w:sz w:val="16"/>
      <w:lang w:val="en-AU" w:eastAsia="en-US" w:bidi="ar-SA"/>
    </w:rPr>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7A64D3"/>
    <w:rPr>
      <w:rFonts w:ascii="Tahoma" w:hAnsi="Tahoma" w:cs="Tahoma"/>
      <w:sz w:val="16"/>
      <w:szCs w:val="16"/>
    </w:rPr>
  </w:style>
  <w:style w:type="character" w:customStyle="1" w:styleId="BalloonTextChar">
    <w:name w:val="Balloon Text Char"/>
    <w:link w:val="BalloonText"/>
    <w:rsid w:val="007A64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98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c%20template\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Template>
  <TotalTime>8</TotalTime>
  <Pages>5</Pages>
  <Words>1692</Words>
  <Characters>9555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Homelessness services DQI</vt:lpstr>
    </vt:vector>
  </TitlesOfParts>
  <Company>Productivity Commission</Company>
  <LinksUpToDate>false</LinksUpToDate>
  <CharactersWithSpaces>11225</CharactersWithSpaces>
  <SharedDoc>false</SharedDoc>
  <HLinks>
    <vt:vector size="42" baseType="variant">
      <vt:variant>
        <vt:i4>3670078</vt:i4>
      </vt:variant>
      <vt:variant>
        <vt:i4>24</vt:i4>
      </vt:variant>
      <vt:variant>
        <vt:i4>0</vt:i4>
      </vt:variant>
      <vt:variant>
        <vt:i4>5</vt:i4>
      </vt:variant>
      <vt:variant>
        <vt:lpwstr>http://www.aihw.gov.au/</vt:lpwstr>
      </vt:variant>
      <vt:variant>
        <vt:lpwstr/>
      </vt:variant>
      <vt:variant>
        <vt:i4>92</vt:i4>
      </vt:variant>
      <vt:variant>
        <vt:i4>21</vt:i4>
      </vt:variant>
      <vt:variant>
        <vt:i4>0</vt:i4>
      </vt:variant>
      <vt:variant>
        <vt:i4>5</vt:i4>
      </vt:variant>
      <vt:variant>
        <vt:lpwstr>http://www.comlaw.gov.au/Details/C2011C00503</vt:lpwstr>
      </vt:variant>
      <vt:variant>
        <vt:lpwstr/>
      </vt:variant>
      <vt:variant>
        <vt:i4>4849743</vt:i4>
      </vt:variant>
      <vt:variant>
        <vt:i4>18</vt:i4>
      </vt:variant>
      <vt:variant>
        <vt:i4>0</vt:i4>
      </vt:variant>
      <vt:variant>
        <vt:i4>5</vt:i4>
      </vt:variant>
      <vt:variant>
        <vt:lpwstr>http://intranet/index.cfm/13,591,86,html</vt:lpwstr>
      </vt:variant>
      <vt:variant>
        <vt:lpwstr/>
      </vt:variant>
      <vt:variant>
        <vt:i4>4849743</vt:i4>
      </vt:variant>
      <vt:variant>
        <vt:i4>15</vt:i4>
      </vt:variant>
      <vt:variant>
        <vt:i4>0</vt:i4>
      </vt:variant>
      <vt:variant>
        <vt:i4>5</vt:i4>
      </vt:variant>
      <vt:variant>
        <vt:lpwstr>http://intranet/index.cfm/13,591,86,html</vt:lpwstr>
      </vt:variant>
      <vt:variant>
        <vt:lpwstr/>
      </vt:variant>
      <vt:variant>
        <vt:i4>2031670</vt:i4>
      </vt:variant>
      <vt:variant>
        <vt:i4>11</vt:i4>
      </vt:variant>
      <vt:variant>
        <vt:i4>0</vt:i4>
      </vt:variant>
      <vt:variant>
        <vt:i4>5</vt:i4>
      </vt:variant>
      <vt:variant>
        <vt:lpwstr/>
      </vt:variant>
      <vt:variant>
        <vt:lpwstr>_Toc305418143</vt:lpwstr>
      </vt:variant>
      <vt:variant>
        <vt:i4>2031670</vt:i4>
      </vt:variant>
      <vt:variant>
        <vt:i4>8</vt:i4>
      </vt:variant>
      <vt:variant>
        <vt:i4>0</vt:i4>
      </vt:variant>
      <vt:variant>
        <vt:i4>5</vt:i4>
      </vt:variant>
      <vt:variant>
        <vt:lpwstr/>
      </vt:variant>
      <vt:variant>
        <vt:lpwstr>_Toc305418142</vt:lpwstr>
      </vt:variant>
      <vt:variant>
        <vt:i4>2031670</vt:i4>
      </vt:variant>
      <vt:variant>
        <vt:i4>2</vt:i4>
      </vt:variant>
      <vt:variant>
        <vt:i4>0</vt:i4>
      </vt:variant>
      <vt:variant>
        <vt:i4>5</vt:i4>
      </vt:variant>
      <vt:variant>
        <vt:lpwstr/>
      </vt:variant>
      <vt:variant>
        <vt:lpwstr>_Toc305418141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Homelessness services DQI</dc:title>
  <dc:subject>REPORT ON GOVERNMENT SERVICES 2014</dc:subject>
  <dc:creator>Steering Committee for the Review of Government Service Provision</dc:creator>
  <cp:keywords/>
  <cp:lastModifiedBy>Frech, Tanya</cp:lastModifiedBy>
  <cp:revision>10</cp:revision>
  <cp:lastPrinted>2013-11-28T02:35:00Z</cp:lastPrinted>
  <dcterms:created xsi:type="dcterms:W3CDTF">2013-10-28T02:26:00Z</dcterms:created>
  <dcterms:modified xsi:type="dcterms:W3CDTF">2014-01-21T02:32:00Z</dcterms:modified>
</cp:coreProperties>
</file>