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061391" w:rsidRDefault="00DF255F" w:rsidP="00DF255F">
      <w:pPr>
        <w:pStyle w:val="Heading1"/>
      </w:pPr>
      <w:bookmarkStart w:id="0" w:name="ChapterNumber"/>
      <w:bookmarkStart w:id="1" w:name="_Toc396916145"/>
      <w:r>
        <w:t>10</w:t>
      </w:r>
      <w:bookmarkEnd w:id="0"/>
      <w:r>
        <w:tab/>
      </w:r>
      <w:bookmarkStart w:id="2" w:name="ChapterTitle"/>
      <w:r>
        <w:t>Primary and community healt</w:t>
      </w:r>
      <w:bookmarkEnd w:id="2"/>
      <w:r w:rsidR="001E2855">
        <w:t>h</w:t>
      </w:r>
      <w:bookmarkEnd w:id="1"/>
    </w:p>
    <w:sdt>
      <w:sdtPr>
        <w:rPr>
          <w:rFonts w:ascii="Times New Roman" w:hAnsi="Times New Roman"/>
          <w:b w:val="0"/>
          <w:kern w:val="28"/>
          <w:sz w:val="52"/>
          <w:szCs w:val="20"/>
          <w:lang w:eastAsia="en-AU"/>
        </w:rPr>
        <w:id w:val="1834942299"/>
        <w:docPartObj>
          <w:docPartGallery w:val="Table of Contents"/>
          <w:docPartUnique/>
        </w:docPartObj>
      </w:sdtPr>
      <w:sdtEndPr>
        <w:rPr>
          <w:kern w:val="0"/>
          <w:sz w:val="24"/>
        </w:rPr>
      </w:sdtEndPr>
      <w:sdtContent>
        <w:p w:rsidR="007A01F3" w:rsidRDefault="00A7433E">
          <w:pPr>
            <w:pStyle w:val="TOC1"/>
            <w:rPr>
              <w:rFonts w:asciiTheme="minorHAnsi" w:eastAsiaTheme="minorEastAsia" w:hAnsiTheme="minorHAnsi" w:cstheme="minorBidi"/>
              <w:b w:val="0"/>
              <w:noProof/>
              <w:sz w:val="22"/>
              <w:szCs w:val="22"/>
              <w:lang w:eastAsia="en-AU"/>
            </w:rPr>
          </w:pPr>
          <w:r>
            <w:rPr>
              <w:noProof/>
            </w:rPr>
            <w:t>CONTENTS</w:t>
          </w:r>
        </w:p>
        <w:p w:rsidR="007A01F3" w:rsidRDefault="007A01F3">
          <w:pPr>
            <w:pStyle w:val="TOC2"/>
            <w:tabs>
              <w:tab w:val="left" w:pos="1320"/>
            </w:tabs>
            <w:rPr>
              <w:rFonts w:asciiTheme="minorHAnsi" w:eastAsiaTheme="minorEastAsia" w:hAnsiTheme="minorHAnsi" w:cstheme="minorBidi"/>
              <w:noProof/>
              <w:sz w:val="22"/>
              <w:szCs w:val="22"/>
              <w:lang w:eastAsia="en-AU"/>
            </w:rPr>
          </w:pPr>
          <w:r>
            <w:rPr>
              <w:noProof/>
            </w:rPr>
            <w:t>10.1</w:t>
          </w:r>
          <w:r>
            <w:rPr>
              <w:rFonts w:asciiTheme="minorHAnsi" w:eastAsiaTheme="minorEastAsia" w:hAnsiTheme="minorHAnsi" w:cstheme="minorBidi"/>
              <w:noProof/>
              <w:sz w:val="22"/>
              <w:szCs w:val="22"/>
              <w:lang w:eastAsia="en-AU"/>
            </w:rPr>
            <w:tab/>
          </w:r>
          <w:r>
            <w:rPr>
              <w:noProof/>
            </w:rPr>
            <w:t>Profile of primary and community health</w:t>
          </w:r>
          <w:r>
            <w:rPr>
              <w:noProof/>
            </w:rPr>
            <w:tab/>
          </w:r>
          <w:r w:rsidR="00923DDD">
            <w:rPr>
              <w:noProof/>
            </w:rPr>
            <w:t>10.</w:t>
          </w:r>
          <w:r w:rsidR="00AD06CA">
            <w:rPr>
              <w:noProof/>
            </w:rPr>
            <w:t>2</w:t>
          </w:r>
        </w:p>
        <w:p w:rsidR="007A01F3" w:rsidRDefault="007A01F3">
          <w:pPr>
            <w:pStyle w:val="TOC2"/>
            <w:tabs>
              <w:tab w:val="left" w:pos="1320"/>
            </w:tabs>
            <w:rPr>
              <w:rFonts w:asciiTheme="minorHAnsi" w:eastAsiaTheme="minorEastAsia" w:hAnsiTheme="minorHAnsi" w:cstheme="minorBidi"/>
              <w:noProof/>
              <w:sz w:val="22"/>
              <w:szCs w:val="22"/>
              <w:lang w:eastAsia="en-AU"/>
            </w:rPr>
          </w:pPr>
          <w:r>
            <w:rPr>
              <w:noProof/>
            </w:rPr>
            <w:t>10.2</w:t>
          </w:r>
          <w:r>
            <w:rPr>
              <w:rFonts w:asciiTheme="minorHAnsi" w:eastAsiaTheme="minorEastAsia" w:hAnsiTheme="minorHAnsi" w:cstheme="minorBidi"/>
              <w:noProof/>
              <w:sz w:val="22"/>
              <w:szCs w:val="22"/>
              <w:lang w:eastAsia="en-AU"/>
            </w:rPr>
            <w:tab/>
          </w:r>
          <w:r>
            <w:rPr>
              <w:noProof/>
            </w:rPr>
            <w:t>Framework of performance indicators</w:t>
          </w:r>
          <w:r>
            <w:rPr>
              <w:noProof/>
            </w:rPr>
            <w:tab/>
          </w:r>
          <w:r w:rsidR="00923DDD">
            <w:rPr>
              <w:noProof/>
            </w:rPr>
            <w:t>10.</w:t>
          </w:r>
          <w:r w:rsidR="00AD06CA">
            <w:rPr>
              <w:noProof/>
            </w:rPr>
            <w:t>16</w:t>
          </w:r>
        </w:p>
        <w:p w:rsidR="007A01F3" w:rsidRDefault="007A01F3">
          <w:pPr>
            <w:pStyle w:val="TOC2"/>
            <w:tabs>
              <w:tab w:val="left" w:pos="1320"/>
            </w:tabs>
            <w:rPr>
              <w:rFonts w:asciiTheme="minorHAnsi" w:eastAsiaTheme="minorEastAsia" w:hAnsiTheme="minorHAnsi" w:cstheme="minorBidi"/>
              <w:noProof/>
              <w:sz w:val="22"/>
              <w:szCs w:val="22"/>
              <w:lang w:eastAsia="en-AU"/>
            </w:rPr>
          </w:pPr>
          <w:r>
            <w:rPr>
              <w:noProof/>
            </w:rPr>
            <w:t>10.3</w:t>
          </w:r>
          <w:r>
            <w:rPr>
              <w:rFonts w:asciiTheme="minorHAnsi" w:eastAsiaTheme="minorEastAsia" w:hAnsiTheme="minorHAnsi" w:cstheme="minorBidi"/>
              <w:noProof/>
              <w:sz w:val="22"/>
              <w:szCs w:val="22"/>
              <w:lang w:eastAsia="en-AU"/>
            </w:rPr>
            <w:tab/>
          </w:r>
          <w:r>
            <w:rPr>
              <w:noProof/>
            </w:rPr>
            <w:t>Key performance indicator results</w:t>
          </w:r>
          <w:r>
            <w:rPr>
              <w:noProof/>
            </w:rPr>
            <w:tab/>
          </w:r>
          <w:r w:rsidR="00923DDD">
            <w:rPr>
              <w:noProof/>
            </w:rPr>
            <w:t>10.</w:t>
          </w:r>
          <w:r w:rsidR="00AD06CA">
            <w:rPr>
              <w:noProof/>
            </w:rPr>
            <w:t>18</w:t>
          </w:r>
        </w:p>
        <w:p w:rsidR="007A01F3" w:rsidRDefault="007A01F3">
          <w:pPr>
            <w:pStyle w:val="TOC2"/>
            <w:tabs>
              <w:tab w:val="left" w:pos="1320"/>
            </w:tabs>
            <w:rPr>
              <w:rFonts w:asciiTheme="minorHAnsi" w:eastAsiaTheme="minorEastAsia" w:hAnsiTheme="minorHAnsi" w:cstheme="minorBidi"/>
              <w:noProof/>
              <w:sz w:val="22"/>
              <w:szCs w:val="22"/>
              <w:lang w:eastAsia="en-AU"/>
            </w:rPr>
          </w:pPr>
          <w:r>
            <w:rPr>
              <w:noProof/>
            </w:rPr>
            <w:t>10.4</w:t>
          </w:r>
          <w:r>
            <w:rPr>
              <w:rFonts w:asciiTheme="minorHAnsi" w:eastAsiaTheme="minorEastAsia" w:hAnsiTheme="minorHAnsi" w:cstheme="minorBidi"/>
              <w:noProof/>
              <w:sz w:val="22"/>
              <w:szCs w:val="22"/>
              <w:lang w:eastAsia="en-AU"/>
            </w:rPr>
            <w:tab/>
          </w:r>
          <w:r>
            <w:rPr>
              <w:noProof/>
            </w:rPr>
            <w:t>Future directions in performance reporting</w:t>
          </w:r>
          <w:r>
            <w:rPr>
              <w:noProof/>
            </w:rPr>
            <w:tab/>
          </w:r>
          <w:r w:rsidR="00923DDD">
            <w:rPr>
              <w:noProof/>
            </w:rPr>
            <w:t>10.</w:t>
          </w:r>
          <w:r w:rsidR="00AD06CA">
            <w:rPr>
              <w:noProof/>
            </w:rPr>
            <w:t>9</w:t>
          </w:r>
          <w:r w:rsidR="00442238">
            <w:rPr>
              <w:noProof/>
            </w:rPr>
            <w:t>4</w:t>
          </w:r>
        </w:p>
        <w:p w:rsidR="007A01F3" w:rsidRDefault="007A01F3">
          <w:pPr>
            <w:pStyle w:val="TOC2"/>
            <w:tabs>
              <w:tab w:val="left" w:pos="1320"/>
            </w:tabs>
            <w:rPr>
              <w:rFonts w:asciiTheme="minorHAnsi" w:eastAsiaTheme="minorEastAsia" w:hAnsiTheme="minorHAnsi" w:cstheme="minorBidi"/>
              <w:noProof/>
              <w:sz w:val="22"/>
              <w:szCs w:val="22"/>
              <w:lang w:eastAsia="en-AU"/>
            </w:rPr>
          </w:pPr>
          <w:r>
            <w:rPr>
              <w:noProof/>
            </w:rPr>
            <w:t>10.5</w:t>
          </w:r>
          <w:r>
            <w:rPr>
              <w:rFonts w:asciiTheme="minorHAnsi" w:eastAsiaTheme="minorEastAsia" w:hAnsiTheme="minorHAnsi" w:cstheme="minorBidi"/>
              <w:noProof/>
              <w:sz w:val="22"/>
              <w:szCs w:val="22"/>
              <w:lang w:eastAsia="en-AU"/>
            </w:rPr>
            <w:tab/>
          </w:r>
          <w:r>
            <w:rPr>
              <w:noProof/>
            </w:rPr>
            <w:t>Definitions of key terms</w:t>
          </w:r>
          <w:r>
            <w:rPr>
              <w:noProof/>
            </w:rPr>
            <w:tab/>
          </w:r>
          <w:r w:rsidR="00923DDD">
            <w:rPr>
              <w:noProof/>
            </w:rPr>
            <w:t>10.</w:t>
          </w:r>
          <w:r w:rsidR="00AD06CA">
            <w:rPr>
              <w:noProof/>
            </w:rPr>
            <w:t>9</w:t>
          </w:r>
          <w:r w:rsidR="00442238">
            <w:rPr>
              <w:noProof/>
            </w:rPr>
            <w:t>6</w:t>
          </w:r>
        </w:p>
        <w:p w:rsidR="007A01F3" w:rsidRDefault="007A01F3">
          <w:pPr>
            <w:pStyle w:val="TOC2"/>
            <w:tabs>
              <w:tab w:val="left" w:pos="1320"/>
            </w:tabs>
            <w:rPr>
              <w:rFonts w:asciiTheme="minorHAnsi" w:eastAsiaTheme="minorEastAsia" w:hAnsiTheme="minorHAnsi" w:cstheme="minorBidi"/>
              <w:noProof/>
              <w:sz w:val="22"/>
              <w:szCs w:val="22"/>
              <w:lang w:eastAsia="en-AU"/>
            </w:rPr>
          </w:pPr>
          <w:r>
            <w:rPr>
              <w:noProof/>
            </w:rPr>
            <w:t>10.6</w:t>
          </w:r>
          <w:r>
            <w:rPr>
              <w:rFonts w:asciiTheme="minorHAnsi" w:eastAsiaTheme="minorEastAsia" w:hAnsiTheme="minorHAnsi" w:cstheme="minorBidi"/>
              <w:noProof/>
              <w:sz w:val="22"/>
              <w:szCs w:val="22"/>
              <w:lang w:eastAsia="en-AU"/>
            </w:rPr>
            <w:tab/>
          </w:r>
          <w:r>
            <w:rPr>
              <w:noProof/>
            </w:rPr>
            <w:t>List of attachment tables</w:t>
          </w:r>
          <w:r>
            <w:rPr>
              <w:noProof/>
            </w:rPr>
            <w:tab/>
          </w:r>
          <w:r w:rsidR="00923DDD">
            <w:rPr>
              <w:noProof/>
            </w:rPr>
            <w:t>10.</w:t>
          </w:r>
          <w:r w:rsidR="00AD06CA">
            <w:rPr>
              <w:noProof/>
            </w:rPr>
            <w:t>10</w:t>
          </w:r>
          <w:r w:rsidR="00442238">
            <w:rPr>
              <w:noProof/>
            </w:rPr>
            <w:t>0</w:t>
          </w:r>
        </w:p>
        <w:p w:rsidR="007A01F3" w:rsidRDefault="007A01F3">
          <w:pPr>
            <w:pStyle w:val="TOC2"/>
            <w:tabs>
              <w:tab w:val="left" w:pos="1320"/>
            </w:tabs>
            <w:rPr>
              <w:rFonts w:asciiTheme="minorHAnsi" w:eastAsiaTheme="minorEastAsia" w:hAnsiTheme="minorHAnsi" w:cstheme="minorBidi"/>
              <w:noProof/>
              <w:sz w:val="22"/>
              <w:szCs w:val="22"/>
              <w:lang w:eastAsia="en-AU"/>
            </w:rPr>
          </w:pPr>
          <w:r>
            <w:rPr>
              <w:noProof/>
            </w:rPr>
            <w:t>10.7</w:t>
          </w:r>
          <w:r>
            <w:rPr>
              <w:rFonts w:asciiTheme="minorHAnsi" w:eastAsiaTheme="minorEastAsia" w:hAnsiTheme="minorHAnsi" w:cstheme="minorBidi"/>
              <w:noProof/>
              <w:sz w:val="22"/>
              <w:szCs w:val="22"/>
              <w:lang w:eastAsia="en-AU"/>
            </w:rPr>
            <w:tab/>
          </w:r>
          <w:r>
            <w:rPr>
              <w:noProof/>
            </w:rPr>
            <w:t>References</w:t>
          </w:r>
          <w:r>
            <w:rPr>
              <w:noProof/>
            </w:rPr>
            <w:tab/>
          </w:r>
          <w:r w:rsidR="00923DDD">
            <w:rPr>
              <w:noProof/>
            </w:rPr>
            <w:t>10.</w:t>
          </w:r>
          <w:r w:rsidR="00AD06CA">
            <w:rPr>
              <w:noProof/>
            </w:rPr>
            <w:t>10</w:t>
          </w:r>
          <w:r w:rsidR="00442238">
            <w:rPr>
              <w:noProof/>
            </w:rPr>
            <w:t>4</w:t>
          </w:r>
        </w:p>
        <w:p w:rsidR="007A01F3" w:rsidRPr="009830F1" w:rsidRDefault="001C2234" w:rsidP="009830F1">
          <w:pPr>
            <w:pStyle w:val="BodyText"/>
          </w:pPr>
        </w:p>
      </w:sdtContent>
    </w:sdt>
    <w:p w:rsidR="00D728C8" w:rsidRDefault="00D728C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D728C8" w:rsidTr="00C3426D">
        <w:tc>
          <w:tcPr>
            <w:tcW w:w="8771" w:type="dxa"/>
            <w:tcBorders>
              <w:top w:val="single" w:sz="6" w:space="0" w:color="78A22F"/>
              <w:left w:val="nil"/>
              <w:bottom w:val="nil"/>
              <w:right w:val="nil"/>
            </w:tcBorders>
            <w:shd w:val="clear" w:color="auto" w:fill="F2F2F2"/>
          </w:tcPr>
          <w:p w:rsidR="00D728C8" w:rsidRDefault="00D728C8">
            <w:pPr>
              <w:pStyle w:val="BoxTitle"/>
            </w:pPr>
            <w:r w:rsidRPr="00744FCC">
              <w:t>Attachment tables</w:t>
            </w:r>
          </w:p>
        </w:tc>
      </w:tr>
      <w:tr w:rsidR="00D728C8" w:rsidTr="00C3426D">
        <w:trPr>
          <w:cantSplit/>
        </w:trPr>
        <w:tc>
          <w:tcPr>
            <w:tcW w:w="8771" w:type="dxa"/>
            <w:tcBorders>
              <w:top w:val="nil"/>
              <w:left w:val="nil"/>
              <w:bottom w:val="nil"/>
              <w:right w:val="nil"/>
            </w:tcBorders>
            <w:shd w:val="clear" w:color="auto" w:fill="F2F2F2"/>
          </w:tcPr>
          <w:p w:rsidR="00D728C8" w:rsidRDefault="00D728C8" w:rsidP="00C3426D">
            <w:pPr>
              <w:pStyle w:val="Box"/>
            </w:pPr>
            <w:r w:rsidRPr="00D728C8">
              <w:t>Attachment tables are identified in references throughout this chapter by a ‘10A’ prefix (for example, table 10A.1). A full list of attachment tables is provided at the end of this chapter, and the attachment tables are available from the Review website at www.pc.gov.au/gsp.</w:t>
            </w:r>
          </w:p>
        </w:tc>
      </w:tr>
      <w:tr w:rsidR="00D728C8" w:rsidTr="00C3426D">
        <w:trPr>
          <w:cantSplit/>
        </w:trPr>
        <w:tc>
          <w:tcPr>
            <w:tcW w:w="8771" w:type="dxa"/>
            <w:tcBorders>
              <w:top w:val="nil"/>
              <w:left w:val="nil"/>
              <w:bottom w:val="single" w:sz="6" w:space="0" w:color="78A22F"/>
              <w:right w:val="nil"/>
            </w:tcBorders>
            <w:shd w:val="clear" w:color="auto" w:fill="F2F2F2"/>
          </w:tcPr>
          <w:p w:rsidR="00D728C8" w:rsidRDefault="00D728C8">
            <w:pPr>
              <w:pStyle w:val="Box"/>
              <w:spacing w:before="0" w:line="120" w:lineRule="exact"/>
            </w:pPr>
          </w:p>
        </w:tc>
      </w:tr>
      <w:tr w:rsidR="00D728C8" w:rsidRPr="000863A5" w:rsidTr="00C3426D">
        <w:tc>
          <w:tcPr>
            <w:tcW w:w="8771" w:type="dxa"/>
            <w:tcBorders>
              <w:top w:val="single" w:sz="6" w:space="0" w:color="78A22F"/>
              <w:left w:val="nil"/>
              <w:bottom w:val="nil"/>
              <w:right w:val="nil"/>
            </w:tcBorders>
          </w:tcPr>
          <w:p w:rsidR="00D728C8" w:rsidRPr="00626D32" w:rsidRDefault="00D728C8" w:rsidP="00C3426D">
            <w:pPr>
              <w:pStyle w:val="BoxSpaceBelow"/>
            </w:pPr>
          </w:p>
        </w:tc>
      </w:tr>
    </w:tbl>
    <w:p w:rsidR="003D59EC" w:rsidRPr="000E768B" w:rsidRDefault="00465531" w:rsidP="00C8787E">
      <w:pPr>
        <w:pStyle w:val="BodyText"/>
      </w:pPr>
      <w:bookmarkStart w:id="3" w:name="begin"/>
      <w:bookmarkEnd w:id="3"/>
      <w:r>
        <w:t>Pr</w:t>
      </w:r>
      <w:r w:rsidR="006E10EC">
        <w:t>i</w:t>
      </w:r>
      <w:r w:rsidR="00CE64FC">
        <w:t xml:space="preserve">mary and community </w:t>
      </w:r>
      <w:r w:rsidR="00CE64FC" w:rsidRPr="00C8787E">
        <w:t>health</w:t>
      </w:r>
      <w:r w:rsidR="00CE64FC">
        <w:t xml:space="preserve"> services </w:t>
      </w:r>
      <w:r w:rsidR="00A80815">
        <w:t xml:space="preserve">include </w:t>
      </w:r>
      <w:r w:rsidR="0059083B">
        <w:t xml:space="preserve">general practice, allied health services, dentistry, alcohol and other drug treatment, maternal and child health, the Pharmaceutical Benefits Scheme (PBS) and a range of other community health services. </w:t>
      </w:r>
      <w:r w:rsidR="00193426">
        <w:t>Reporting in t</w:t>
      </w:r>
      <w:r w:rsidR="004133AF">
        <w:t>his chapter focus</w:t>
      </w:r>
      <w:r w:rsidR="00636772">
        <w:t>es</w:t>
      </w:r>
      <w:r w:rsidR="004133AF">
        <w:t xml:space="preserve"> </w:t>
      </w:r>
      <w:r w:rsidR="00193426">
        <w:t xml:space="preserve">mainly </w:t>
      </w:r>
      <w:r w:rsidR="004133AF">
        <w:t xml:space="preserve">on general practice, </w:t>
      </w:r>
      <w:r w:rsidR="004133AF" w:rsidRPr="004133AF">
        <w:t>primary healthcare services</w:t>
      </w:r>
      <w:r w:rsidR="00785DB5">
        <w:t xml:space="preserve"> targeted </w:t>
      </w:r>
      <w:r w:rsidR="00726F8F">
        <w:t>to</w:t>
      </w:r>
      <w:r w:rsidR="004133AF" w:rsidRPr="004133AF">
        <w:t xml:space="preserve"> </w:t>
      </w:r>
      <w:r w:rsidR="00D16EBA">
        <w:t>Aboriginal and Torres Strait Islander</w:t>
      </w:r>
      <w:r w:rsidR="004133AF" w:rsidRPr="004133AF">
        <w:t xml:space="preserve"> </w:t>
      </w:r>
      <w:r w:rsidR="0004553E">
        <w:t>Australians</w:t>
      </w:r>
      <w:r w:rsidR="004133AF" w:rsidRPr="004133AF">
        <w:t>,</w:t>
      </w:r>
      <w:r w:rsidR="004133AF">
        <w:t xml:space="preserve"> public dental services, drug and alcohol treatment </w:t>
      </w:r>
      <w:r w:rsidR="0059083B">
        <w:t>and</w:t>
      </w:r>
      <w:r w:rsidR="004133AF">
        <w:t xml:space="preserve"> the PBS.</w:t>
      </w:r>
      <w:r w:rsidR="005D6317">
        <w:t xml:space="preserve"> </w:t>
      </w:r>
      <w:r w:rsidR="003D59EC">
        <w:t>The scope of t</w:t>
      </w:r>
      <w:r w:rsidR="0059083B">
        <w:t>his chapter does not extend to:</w:t>
      </w:r>
    </w:p>
    <w:p w:rsidR="002A4BFF" w:rsidRDefault="00CB7721" w:rsidP="00C8787E">
      <w:pPr>
        <w:pStyle w:val="ListBullet"/>
      </w:pPr>
      <w:r>
        <w:t xml:space="preserve">public hospital emergency departments and </w:t>
      </w:r>
      <w:r w:rsidRPr="00C8787E">
        <w:t>outpatient</w:t>
      </w:r>
      <w:r>
        <w:t xml:space="preserve"> services (reported in chapter 1</w:t>
      </w:r>
      <w:r w:rsidR="00CF645A">
        <w:t>1</w:t>
      </w:r>
      <w:r>
        <w:t>, ‘Public hospitals’)</w:t>
      </w:r>
    </w:p>
    <w:p w:rsidR="00CB7721" w:rsidRDefault="00CB7721" w:rsidP="00C90EA0">
      <w:pPr>
        <w:pStyle w:val="ListBullet"/>
      </w:pPr>
      <w:r>
        <w:t>community mental health services (reported in chapter 12, ‘</w:t>
      </w:r>
      <w:r w:rsidRPr="004D7297">
        <w:t>Mental health management</w:t>
      </w:r>
      <w:r w:rsidR="00CB13EC">
        <w:t>’)</w:t>
      </w:r>
    </w:p>
    <w:p w:rsidR="0091167E" w:rsidRDefault="003D59EC" w:rsidP="003D59EC">
      <w:pPr>
        <w:pStyle w:val="ListBullet"/>
      </w:pPr>
      <w:r>
        <w:t>Home and Community Care program services (</w:t>
      </w:r>
      <w:r w:rsidR="000131BB">
        <w:t>reported in</w:t>
      </w:r>
      <w:r>
        <w:t xml:space="preserve"> chapter</w:t>
      </w:r>
      <w:r w:rsidR="00687033">
        <w:t> </w:t>
      </w:r>
      <w:r>
        <w:t>13, ‘Aged care’</w:t>
      </w:r>
      <w:r w:rsidR="0091167E" w:rsidRPr="0091167E">
        <w:t xml:space="preserve"> </w:t>
      </w:r>
      <w:r w:rsidR="0091167E">
        <w:t>and chapter</w:t>
      </w:r>
      <w:r w:rsidR="00304646">
        <w:t xml:space="preserve"> 14, ‘Services for people with</w:t>
      </w:r>
      <w:r w:rsidR="0091167E">
        <w:t xml:space="preserve"> disability’</w:t>
      </w:r>
      <w:r>
        <w:t>)</w:t>
      </w:r>
      <w:r w:rsidR="0091167E">
        <w:t>.</w:t>
      </w:r>
    </w:p>
    <w:p w:rsidR="004133AF" w:rsidRPr="00944E91" w:rsidRDefault="003D59EC" w:rsidP="005B1C1E">
      <w:pPr>
        <w:pStyle w:val="BodyText"/>
      </w:pPr>
      <w:r>
        <w:t xml:space="preserve">The primary and community health sector is the part of the healthcare system most frequently used by </w:t>
      </w:r>
      <w:r w:rsidRPr="00590746">
        <w:t xml:space="preserve">Australians. It is important in </w:t>
      </w:r>
      <w:r w:rsidR="00A23CCD" w:rsidRPr="00590746">
        <w:t>the</w:t>
      </w:r>
      <w:r w:rsidR="00A23CCD">
        <w:t xml:space="preserve"> </w:t>
      </w:r>
      <w:r w:rsidR="00A23CCD" w:rsidRPr="00A23CCD">
        <w:t>preventi</w:t>
      </w:r>
      <w:r w:rsidR="00A23CCD">
        <w:t>o</w:t>
      </w:r>
      <w:r w:rsidR="00A23CCD" w:rsidRPr="00A23CCD">
        <w:t>n</w:t>
      </w:r>
      <w:r w:rsidR="00A23CCD">
        <w:t xml:space="preserve"> of</w:t>
      </w:r>
      <w:r w:rsidR="00A23CCD" w:rsidRPr="00A23CCD">
        <w:t xml:space="preserve"> ill health, </w:t>
      </w:r>
      <w:r w:rsidR="00590746">
        <w:t xml:space="preserve">the </w:t>
      </w:r>
      <w:r w:rsidR="00A23CCD">
        <w:t>detection and management of illness and injury and</w:t>
      </w:r>
      <w:r w:rsidR="00A23CCD" w:rsidRPr="00A23CCD">
        <w:t xml:space="preserve"> </w:t>
      </w:r>
      <w:r w:rsidR="00590746">
        <w:t xml:space="preserve">the </w:t>
      </w:r>
      <w:r w:rsidR="00A23CCD" w:rsidRPr="00A23CCD">
        <w:t xml:space="preserve">effective </w:t>
      </w:r>
      <w:r w:rsidR="00A23CCD">
        <w:t xml:space="preserve">management of </w:t>
      </w:r>
      <w:r w:rsidR="00A23CCD" w:rsidRPr="00A23CCD">
        <w:t>chronic disease</w:t>
      </w:r>
      <w:r w:rsidR="00590746">
        <w:t xml:space="preserve"> —</w:t>
      </w:r>
      <w:r w:rsidR="00A23CCD" w:rsidRPr="00A23CCD">
        <w:t xml:space="preserve"> </w:t>
      </w:r>
      <w:r w:rsidR="004133AF">
        <w:lastRenderedPageBreak/>
        <w:t xml:space="preserve">through direct service provision </w:t>
      </w:r>
      <w:r w:rsidR="007D3F1C">
        <w:t>and</w:t>
      </w:r>
      <w:r w:rsidR="004133AF">
        <w:t xml:space="preserve"> </w:t>
      </w:r>
      <w:r w:rsidR="00334C30">
        <w:t xml:space="preserve">through </w:t>
      </w:r>
      <w:r w:rsidR="004133AF">
        <w:t xml:space="preserve">referral to </w:t>
      </w:r>
      <w:r w:rsidR="007D3F1C">
        <w:t xml:space="preserve">acute (hospital) or </w:t>
      </w:r>
      <w:r w:rsidR="00906506">
        <w:t>other healthcare</w:t>
      </w:r>
      <w:r w:rsidR="007D3F1C">
        <w:t xml:space="preserve"> services</w:t>
      </w:r>
      <w:r w:rsidR="00D77EA9">
        <w:t xml:space="preserve">, </w:t>
      </w:r>
      <w:r w:rsidR="00560F0D">
        <w:t>as appropriate.</w:t>
      </w:r>
    </w:p>
    <w:p w:rsidR="003D59EC" w:rsidRPr="00E52E8A" w:rsidRDefault="006D3756" w:rsidP="00E52E8A">
      <w:pPr>
        <w:pStyle w:val="BodyText"/>
      </w:pPr>
      <w:r w:rsidRPr="006D3756">
        <w:t xml:space="preserve">Improvements to </w:t>
      </w:r>
      <w:r w:rsidR="003D59EC">
        <w:t>reporting o</w:t>
      </w:r>
      <w:r w:rsidR="001666F1">
        <w:t>n</w:t>
      </w:r>
      <w:r w:rsidR="003D59EC">
        <w:t xml:space="preserve"> primary and community health </w:t>
      </w:r>
      <w:r>
        <w:t xml:space="preserve">services </w:t>
      </w:r>
      <w:r w:rsidR="009E68AD" w:rsidRPr="009E68AD">
        <w:t xml:space="preserve">in this edition </w:t>
      </w:r>
      <w:r w:rsidR="001666F1">
        <w:t>include</w:t>
      </w:r>
      <w:r w:rsidR="003D59EC">
        <w:t>:</w:t>
      </w:r>
    </w:p>
    <w:p w:rsidR="0037294F" w:rsidRDefault="0037294F" w:rsidP="0037294F">
      <w:pPr>
        <w:pStyle w:val="ListBullet"/>
      </w:pPr>
      <w:r w:rsidRPr="0037294F">
        <w:t xml:space="preserve">expenditure data for primary healthcare services more closely approximate the services covered in this chapter </w:t>
      </w:r>
      <w:r w:rsidR="00060662">
        <w:t>than in previous reports</w:t>
      </w:r>
    </w:p>
    <w:p w:rsidR="00FB3C47" w:rsidRDefault="00FB3C47" w:rsidP="00211B55">
      <w:pPr>
        <w:pStyle w:val="ListBullet"/>
      </w:pPr>
      <w:r>
        <w:t>data are reported for the first time for occupational therapists and psychologists working in the public sector</w:t>
      </w:r>
    </w:p>
    <w:p w:rsidR="006A42B2" w:rsidRPr="00667DFC" w:rsidRDefault="006A42B2" w:rsidP="0037294F">
      <w:pPr>
        <w:pStyle w:val="ListBullet"/>
      </w:pPr>
      <w:r w:rsidRPr="00667DFC">
        <w:t xml:space="preserve">data for the availability of male GPs are reported for the first time alongside </w:t>
      </w:r>
      <w:r w:rsidR="00564EFF" w:rsidRPr="00667DFC">
        <w:t>data for the availability of female GPs</w:t>
      </w:r>
    </w:p>
    <w:p w:rsidR="005C5FFE" w:rsidRPr="00667DFC" w:rsidRDefault="00564EFF" w:rsidP="005C5FFE">
      <w:pPr>
        <w:pStyle w:val="ListBullet"/>
      </w:pPr>
      <w:r w:rsidRPr="00667DFC">
        <w:t>the proportion of general practices enrolled in the Practice Incentives Program (PIP) that are registered for the PIP diabetes incentive is reported for the first time, in place of the proportion of people with diabetes who received an annual cycle of care within general practice</w:t>
      </w:r>
    </w:p>
    <w:p w:rsidR="00BB0394" w:rsidRPr="00060662" w:rsidRDefault="00BB0394" w:rsidP="00BB0394">
      <w:pPr>
        <w:pStyle w:val="ListBullet"/>
      </w:pPr>
      <w:r w:rsidRPr="00667DFC">
        <w:t>updated data for asthma management by Indigen</w:t>
      </w:r>
      <w:r w:rsidRPr="00060662">
        <w:t xml:space="preserve">ous status </w:t>
      </w:r>
      <w:r w:rsidR="00060662" w:rsidRPr="00060662">
        <w:t>are reported</w:t>
      </w:r>
    </w:p>
    <w:p w:rsidR="003A03CC" w:rsidRPr="00667DFC" w:rsidRDefault="003A03CC" w:rsidP="00881031">
      <w:pPr>
        <w:pStyle w:val="ListBullet"/>
      </w:pPr>
      <w:r w:rsidRPr="00667DFC">
        <w:t xml:space="preserve">extending time series for </w:t>
      </w:r>
      <w:r w:rsidR="003A1D3E" w:rsidRPr="00667DFC">
        <w:t xml:space="preserve">reporting on </w:t>
      </w:r>
      <w:r w:rsidRPr="00667DFC">
        <w:t>some indicators</w:t>
      </w:r>
    </w:p>
    <w:p w:rsidR="00060662" w:rsidRDefault="003A03CC" w:rsidP="00060662">
      <w:pPr>
        <w:pStyle w:val="ListBullet"/>
      </w:pPr>
      <w:r w:rsidRPr="00667DFC">
        <w:t xml:space="preserve">data quality information (DQI) </w:t>
      </w:r>
      <w:r w:rsidR="00060662">
        <w:t xml:space="preserve">is </w:t>
      </w:r>
      <w:r w:rsidRPr="00667DFC">
        <w:t>available for the first time for the indicator</w:t>
      </w:r>
      <w:r w:rsidR="00667DFC">
        <w:t xml:space="preserve"> </w:t>
      </w:r>
      <w:r w:rsidR="00060662">
        <w:t xml:space="preserve">GPs with vocational registration and </w:t>
      </w:r>
      <w:r w:rsidR="00CB3059">
        <w:t xml:space="preserve">for </w:t>
      </w:r>
      <w:r w:rsidR="00060662">
        <w:t>the measure effectiveness of access to GPs — bulk billing rates</w:t>
      </w:r>
      <w:r w:rsidR="00A028F5">
        <w:t>.</w:t>
      </w:r>
    </w:p>
    <w:p w:rsidR="00061391" w:rsidRPr="00BC1CC1" w:rsidRDefault="00EC42DB" w:rsidP="00BC1CC1">
      <w:pPr>
        <w:pStyle w:val="Heading2"/>
      </w:pPr>
      <w:bookmarkStart w:id="4" w:name="_Toc208034411"/>
      <w:bookmarkStart w:id="5" w:name="_Toc208048537"/>
      <w:bookmarkStart w:id="6" w:name="_Toc274941099"/>
      <w:bookmarkStart w:id="7" w:name="_Toc396916146"/>
      <w:r w:rsidRPr="00BC1CC1">
        <w:t>1</w:t>
      </w:r>
      <w:r w:rsidR="006A586C" w:rsidRPr="00BC1CC1">
        <w:t>0</w:t>
      </w:r>
      <w:r w:rsidRPr="00BC1CC1">
        <w:t>.</w:t>
      </w:r>
      <w:r w:rsidR="00C44281" w:rsidRPr="00BC1CC1">
        <w:t>1</w:t>
      </w:r>
      <w:r w:rsidR="00A64966" w:rsidRPr="00BC1CC1">
        <w:tab/>
      </w:r>
      <w:r w:rsidR="003D59EC" w:rsidRPr="00BC1CC1">
        <w:t>Profile of primary</w:t>
      </w:r>
      <w:r w:rsidR="00A64966" w:rsidRPr="00BC1CC1">
        <w:t xml:space="preserve"> and community health</w:t>
      </w:r>
      <w:bookmarkEnd w:id="4"/>
      <w:bookmarkEnd w:id="5"/>
      <w:bookmarkEnd w:id="6"/>
      <w:bookmarkEnd w:id="7"/>
    </w:p>
    <w:p w:rsidR="003D59EC" w:rsidRDefault="003D59EC" w:rsidP="003D59EC">
      <w:pPr>
        <w:pStyle w:val="Heading3"/>
      </w:pPr>
      <w:r>
        <w:t>Definitions, roles and responsibilities</w:t>
      </w:r>
    </w:p>
    <w:p w:rsidR="00870025" w:rsidRPr="00B839F2" w:rsidRDefault="000127B7" w:rsidP="00187F4F">
      <w:pPr>
        <w:pStyle w:val="BodyText"/>
        <w:rPr>
          <w:rStyle w:val="DraftingNote"/>
          <w:color w:val="808080" w:themeColor="background1" w:themeShade="80"/>
        </w:rPr>
      </w:pPr>
      <w:r w:rsidRPr="000127B7">
        <w:t>Primary and community healthcare services are delivered by a range of health and allied health professionals in various private, not-for-profit and government service settings. Those funded largely by governments include general practice, community health services, the PBS and public dental services. The Australian Government provides some funding for private dental and allied health services</w:t>
      </w:r>
      <w:r w:rsidR="00870025">
        <w:t xml:space="preserve"> </w:t>
      </w:r>
      <w:r w:rsidR="00611406">
        <w:t xml:space="preserve">— for the general community through the private health insurance rebate, and for </w:t>
      </w:r>
      <w:r w:rsidR="00611406" w:rsidRPr="00870025">
        <w:t xml:space="preserve">people with </w:t>
      </w:r>
      <w:r w:rsidR="00611406">
        <w:t xml:space="preserve">specific conditions or needs (for example, </w:t>
      </w:r>
      <w:r w:rsidR="00611406" w:rsidRPr="00870025">
        <w:t xml:space="preserve">mental </w:t>
      </w:r>
      <w:r w:rsidR="00611406">
        <w:t>illness) through</w:t>
      </w:r>
      <w:r w:rsidR="00611406" w:rsidRPr="00870025">
        <w:t xml:space="preserve"> </w:t>
      </w:r>
      <w:r w:rsidR="00611406">
        <w:t>DHS</w:t>
      </w:r>
      <w:r w:rsidR="00611406" w:rsidRPr="00F464AC">
        <w:t xml:space="preserve"> Medicare</w:t>
      </w:r>
      <w:r w:rsidR="00611406">
        <w:t>.</w:t>
      </w:r>
    </w:p>
    <w:p w:rsidR="00611406" w:rsidRPr="00E52E8A" w:rsidRDefault="00611406" w:rsidP="00E52E8A">
      <w:pPr>
        <w:pStyle w:val="BodyText"/>
        <w:rPr>
          <w:rStyle w:val="DraftingNote"/>
          <w:b w:val="0"/>
          <w:color w:val="auto"/>
          <w:u w:val="none"/>
        </w:rPr>
      </w:pPr>
      <w:r w:rsidRPr="00611406">
        <w:t>The Australian Government also funds a national network of 61 Medicare Locals. These are independent primary health care organisations, established under the National Health Reform agenda in 2011 and 2012, with responsibility to coordinate primary health care delivery and address health care needs and service gaps within their boundaries</w:t>
      </w:r>
      <w:r>
        <w:t xml:space="preserve"> (AIHW</w:t>
      </w:r>
      <w:r w:rsidR="00BD3FB5">
        <w:t> </w:t>
      </w:r>
      <w:r>
        <w:t>2014</w:t>
      </w:r>
      <w:r w:rsidR="003525ED">
        <w:t>a</w:t>
      </w:r>
      <w:r>
        <w:t>)</w:t>
      </w:r>
      <w:r w:rsidRPr="00611406">
        <w:t xml:space="preserve">. </w:t>
      </w:r>
      <w:r w:rsidR="005D14D2" w:rsidRPr="00CC4FB1">
        <w:t xml:space="preserve">Following a review of </w:t>
      </w:r>
      <w:r w:rsidRPr="00CC4FB1">
        <w:t>Medicare Locals</w:t>
      </w:r>
      <w:r w:rsidR="00BD3FB5" w:rsidRPr="00CC4FB1">
        <w:t xml:space="preserve">, </w:t>
      </w:r>
      <w:r w:rsidR="00F44325" w:rsidRPr="00CC4FB1">
        <w:t xml:space="preserve">they will be replaced from July 2015 with </w:t>
      </w:r>
      <w:r w:rsidR="005D14D2" w:rsidRPr="00CC4FB1">
        <w:t>a smaller num</w:t>
      </w:r>
      <w:r w:rsidR="00690633">
        <w:t>ber of Primary Health Networks</w:t>
      </w:r>
      <w:r w:rsidR="005D14D2" w:rsidRPr="00CC4FB1">
        <w:t xml:space="preserve"> </w:t>
      </w:r>
      <w:r w:rsidR="00F44325" w:rsidRPr="00CC4FB1">
        <w:t xml:space="preserve">with the objective of improving the efficiency and effectiveness of medical services for patients at risk of poor health </w:t>
      </w:r>
      <w:r w:rsidR="00F44325" w:rsidRPr="00CC4FB1">
        <w:lastRenderedPageBreak/>
        <w:t xml:space="preserve">outcomes and improving coordination of care, particularly </w:t>
      </w:r>
      <w:r w:rsidR="00E03A03" w:rsidRPr="00CC4FB1">
        <w:t xml:space="preserve">for </w:t>
      </w:r>
      <w:r w:rsidR="00F44325" w:rsidRPr="00CC4FB1">
        <w:t>those with chronic and complex conditions</w:t>
      </w:r>
      <w:r w:rsidRPr="00444A7B">
        <w:t>.</w:t>
      </w:r>
    </w:p>
    <w:p w:rsidR="00E737C1" w:rsidRDefault="00E737C1" w:rsidP="00AE71D5">
      <w:pPr>
        <w:pStyle w:val="BodyText"/>
      </w:pPr>
      <w:r>
        <w:t>Definitions for common health terms are provided in section</w:t>
      </w:r>
      <w:r w:rsidR="00C9076B">
        <w:t xml:space="preserve"> 10.</w:t>
      </w:r>
      <w:r>
        <w:t>5.</w:t>
      </w:r>
    </w:p>
    <w:p w:rsidR="00906506" w:rsidRDefault="00906506" w:rsidP="00906506">
      <w:pPr>
        <w:pStyle w:val="Heading4"/>
      </w:pPr>
      <w:r>
        <w:t>General practice</w:t>
      </w:r>
    </w:p>
    <w:p w:rsidR="00906506" w:rsidRPr="00B87582" w:rsidRDefault="00906506" w:rsidP="00F82AF2">
      <w:pPr>
        <w:pStyle w:val="BodyText"/>
      </w:pPr>
      <w:r>
        <w:t xml:space="preserve">General practice is a major provider of primary healthcare in Australia. It is defined by </w:t>
      </w:r>
      <w:r w:rsidR="00071F6A">
        <w:t>t</w:t>
      </w:r>
      <w:r>
        <w:t>he Royal Australian College of General Practitioners (RACGP) as</w:t>
      </w:r>
      <w:r w:rsidR="00071F6A">
        <w:t xml:space="preserve"> </w:t>
      </w:r>
      <w:r w:rsidR="00071F6A" w:rsidRPr="00A4635B">
        <w:t>provid</w:t>
      </w:r>
      <w:r w:rsidR="00A4635B" w:rsidRPr="00A4635B">
        <w:t>ing</w:t>
      </w:r>
      <w:r w:rsidR="00071F6A" w:rsidRPr="00A4635B">
        <w:t xml:space="preserve"> </w:t>
      </w:r>
      <w:r w:rsidR="004F3EBB">
        <w:t>‘</w:t>
      </w:r>
      <w:r w:rsidR="00071F6A" w:rsidRPr="00A4635B">
        <w:t xml:space="preserve">person centred, continuing, comprehensive and coordinated whole person health care to individuals and families in their </w:t>
      </w:r>
      <w:r w:rsidR="00071F6A" w:rsidRPr="00D90FA2">
        <w:t>communities</w:t>
      </w:r>
      <w:r w:rsidR="004F3EBB" w:rsidRPr="00D90FA2">
        <w:t>’</w:t>
      </w:r>
      <w:r w:rsidR="00071F6A" w:rsidRPr="00A4635B">
        <w:t xml:space="preserve"> (RACGP </w:t>
      </w:r>
      <w:r w:rsidR="00071F6A" w:rsidRPr="00706DB3">
        <w:t>201</w:t>
      </w:r>
      <w:r w:rsidR="0055197D">
        <w:t>4</w:t>
      </w:r>
      <w:r w:rsidR="00192064">
        <w:t>a</w:t>
      </w:r>
      <w:r w:rsidR="00071F6A" w:rsidRPr="00A4635B">
        <w:t>).</w:t>
      </w:r>
      <w:r w:rsidR="00071F6A">
        <w:t xml:space="preserve"> </w:t>
      </w:r>
      <w:r w:rsidR="001E4D53">
        <w:t>G</w:t>
      </w:r>
      <w:r>
        <w:t xml:space="preserve">eneral practice is the </w:t>
      </w:r>
      <w:r w:rsidRPr="001D0866">
        <w:t>business structure within which one or more general practitioners (GPs) and other</w:t>
      </w:r>
      <w:r>
        <w:t xml:space="preserve"> staff, such as practice nurses, provide and supervise </w:t>
      </w:r>
      <w:r w:rsidRPr="00D90FA2">
        <w:t>healthcare</w:t>
      </w:r>
      <w:r>
        <w:t xml:space="preserve"> for patients presenting to the practice. General practices are predominantly privately owned, by GPs or corporate entities</w:t>
      </w:r>
      <w:r w:rsidR="00781915">
        <w:t>.</w:t>
      </w:r>
    </w:p>
    <w:p w:rsidR="000454E4" w:rsidRDefault="000454E4" w:rsidP="00F82AF2">
      <w:pPr>
        <w:pStyle w:val="BodyText"/>
        <w:keepNext/>
      </w:pPr>
      <w:r>
        <w:t xml:space="preserve">General practitioners must be registered with the Medical Board of Australia. General practice data reported in this chapter relate mainly to </w:t>
      </w:r>
      <w:r w:rsidRPr="00D90FA2">
        <w:t>services</w:t>
      </w:r>
      <w:r>
        <w:t xml:space="preserve"> provided by those </w:t>
      </w:r>
      <w:r w:rsidR="00354C9B">
        <w:t xml:space="preserve">general </w:t>
      </w:r>
      <w:r w:rsidRPr="00D90FA2">
        <w:t>practitioners</w:t>
      </w:r>
      <w:r w:rsidRPr="000454E4">
        <w:t xml:space="preserve"> </w:t>
      </w:r>
      <w:r w:rsidR="00354C9B">
        <w:t>who</w:t>
      </w:r>
      <w:r w:rsidRPr="000454E4">
        <w:t xml:space="preserve"> are recognised </w:t>
      </w:r>
      <w:r w:rsidRPr="00D90FA2">
        <w:t>for</w:t>
      </w:r>
      <w:r w:rsidRPr="000454E4">
        <w:t xml:space="preserve"> Medicare as defined below</w:t>
      </w:r>
      <w:r>
        <w:t>:</w:t>
      </w:r>
    </w:p>
    <w:p w:rsidR="007F2C0D" w:rsidRPr="007F2C0D" w:rsidRDefault="007F2C0D" w:rsidP="00F82AF2">
      <w:pPr>
        <w:pStyle w:val="ListBullet"/>
      </w:pPr>
      <w:r w:rsidRPr="007F2C0D">
        <w:t xml:space="preserve">vocationally registered GPs — </w:t>
      </w:r>
      <w:r>
        <w:t xml:space="preserve">GPs who are </w:t>
      </w:r>
      <w:r w:rsidRPr="007F2C0D">
        <w:t xml:space="preserve">recognised under s.3F of the </w:t>
      </w:r>
      <w:r w:rsidRPr="000454E4">
        <w:rPr>
          <w:i/>
        </w:rPr>
        <w:t>Health Insurance Act 1973</w:t>
      </w:r>
      <w:r w:rsidRPr="007F2C0D">
        <w:t xml:space="preserve"> (Cwlth), hold </w:t>
      </w:r>
      <w:r w:rsidRPr="00D90FA2">
        <w:t>Fellowship</w:t>
      </w:r>
      <w:r w:rsidRPr="007F2C0D">
        <w:t xml:space="preserve"> of the RACGP </w:t>
      </w:r>
      <w:r w:rsidRPr="00D90FA2">
        <w:t>or</w:t>
      </w:r>
      <w:r w:rsidRPr="007F2C0D">
        <w:t xml:space="preserve"> equivalent, or hold a recognised training placement</w:t>
      </w:r>
    </w:p>
    <w:p w:rsidR="002A4BFF" w:rsidRDefault="00906506" w:rsidP="00F82AF2">
      <w:pPr>
        <w:pStyle w:val="ListBullet"/>
      </w:pPr>
      <w:r>
        <w:t>other medical practitioners (</w:t>
      </w:r>
      <w:r w:rsidRPr="00D90FA2">
        <w:t>OMP</w:t>
      </w:r>
      <w:r>
        <w:t xml:space="preserve">) — medical practitioners who are not vocationally </w:t>
      </w:r>
      <w:r w:rsidR="007E0C78">
        <w:t>registered</w:t>
      </w:r>
      <w:r>
        <w:t xml:space="preserve"> GPs.</w:t>
      </w:r>
    </w:p>
    <w:p w:rsidR="00906506" w:rsidRDefault="00906506" w:rsidP="00F82AF2">
      <w:pPr>
        <w:pStyle w:val="BodyText"/>
      </w:pPr>
      <w:r>
        <w:t>Services provided in general practice include:</w:t>
      </w:r>
    </w:p>
    <w:p w:rsidR="00906506" w:rsidRDefault="00906506" w:rsidP="00C60B1C">
      <w:pPr>
        <w:pStyle w:val="ListBullet"/>
      </w:pPr>
      <w:r>
        <w:t>diagnosis and treatment of illness (both chronic and acute) and injury</w:t>
      </w:r>
    </w:p>
    <w:p w:rsidR="00906506" w:rsidRDefault="00906506" w:rsidP="00C60B1C">
      <w:pPr>
        <w:pStyle w:val="ListBullet"/>
      </w:pPr>
      <w:r>
        <w:t>preventative care through to palliative care</w:t>
      </w:r>
    </w:p>
    <w:p w:rsidR="00906506" w:rsidRDefault="00F47752" w:rsidP="00C60B1C">
      <w:pPr>
        <w:pStyle w:val="ListBullet"/>
      </w:pPr>
      <w:r>
        <w:t>referrals</w:t>
      </w:r>
      <w:r w:rsidR="00906506">
        <w:t xml:space="preserve"> to consultants, allied health professionals, community health services and hospitals.</w:t>
      </w:r>
    </w:p>
    <w:p w:rsidR="000D5DA4" w:rsidRDefault="000D5DA4" w:rsidP="00C60B1C">
      <w:pPr>
        <w:pStyle w:val="BodyText"/>
      </w:pPr>
      <w:r>
        <w:t xml:space="preserve">The Australian Government provides the majority of general practice income through </w:t>
      </w:r>
      <w:r w:rsidR="00F85E30">
        <w:t xml:space="preserve">DHS </w:t>
      </w:r>
      <w:r>
        <w:t xml:space="preserve">Medicare, including fee-for-service payments via the Medicare Benefits Schedule (MBS) and other </w:t>
      </w:r>
      <w:r w:rsidRPr="00C8787E">
        <w:t>payments</w:t>
      </w:r>
      <w:r>
        <w:t xml:space="preserve">. </w:t>
      </w:r>
      <w:r w:rsidRPr="000D5DA4">
        <w:t xml:space="preserve">Through its funding role, the Australian Government seeks to influence the supply, regional distribution and quality of general practice services. </w:t>
      </w:r>
      <w:r w:rsidRPr="00C60B1C">
        <w:t xml:space="preserve">State and Territory governments </w:t>
      </w:r>
      <w:r w:rsidR="000D2484" w:rsidRPr="00C60B1C">
        <w:t>also provide some</w:t>
      </w:r>
      <w:r w:rsidRPr="00C60B1C">
        <w:t xml:space="preserve"> </w:t>
      </w:r>
      <w:r w:rsidR="000D2484" w:rsidRPr="00C60B1C">
        <w:t xml:space="preserve">funding to influence </w:t>
      </w:r>
      <w:r w:rsidR="002002CD" w:rsidRPr="00C60B1C">
        <w:t xml:space="preserve">general practice services, particularly </w:t>
      </w:r>
      <w:r w:rsidR="000D2484" w:rsidRPr="00C60B1C">
        <w:t>regional distribution</w:t>
      </w:r>
      <w:r w:rsidR="002002CD" w:rsidRPr="00C60B1C">
        <w:t>,</w:t>
      </w:r>
      <w:r w:rsidR="000D2484" w:rsidRPr="00C60B1C">
        <w:t xml:space="preserve"> </w:t>
      </w:r>
      <w:r w:rsidR="002002CD" w:rsidRPr="00C60B1C">
        <w:t xml:space="preserve">within </w:t>
      </w:r>
      <w:r w:rsidR="000D2484" w:rsidRPr="00C60B1C">
        <w:t>jurisdiction</w:t>
      </w:r>
      <w:r w:rsidR="002002CD" w:rsidRPr="00C60B1C">
        <w:t>s</w:t>
      </w:r>
      <w:r w:rsidRPr="00C60B1C">
        <w:t>.</w:t>
      </w:r>
    </w:p>
    <w:p w:rsidR="00906506" w:rsidRDefault="00906506" w:rsidP="00C60B1C">
      <w:pPr>
        <w:pStyle w:val="BodyText"/>
      </w:pPr>
      <w:r>
        <w:t xml:space="preserve">While the majority of GPs provide services as part of a general practice, some are employed by hospitals, community health services </w:t>
      </w:r>
      <w:r w:rsidR="00A57E9F">
        <w:t>or other organisations</w:t>
      </w:r>
      <w:r>
        <w:t>.</w:t>
      </w:r>
    </w:p>
    <w:p w:rsidR="005160BB" w:rsidRDefault="005160BB" w:rsidP="005160BB">
      <w:pPr>
        <w:pStyle w:val="Heading4"/>
      </w:pPr>
      <w:r>
        <w:lastRenderedPageBreak/>
        <w:t>Pharmaceutical Benefits Scheme and Repatriation</w:t>
      </w:r>
      <w:r w:rsidR="00C14EF3">
        <w:t xml:space="preserve"> Pharmaceutical Benefits Scheme</w:t>
      </w:r>
    </w:p>
    <w:p w:rsidR="005160BB" w:rsidRPr="00944E91" w:rsidRDefault="005160BB" w:rsidP="009F1275">
      <w:pPr>
        <w:pStyle w:val="BodyText"/>
      </w:pPr>
      <w:r>
        <w:t xml:space="preserve">The Australian Government subsidises the cost of </w:t>
      </w:r>
      <w:r w:rsidRPr="002601B5">
        <w:t xml:space="preserve">around </w:t>
      </w:r>
      <w:r w:rsidRPr="004D27CE">
        <w:t>80</w:t>
      </w:r>
      <w:r w:rsidR="008B6FA4" w:rsidRPr="004D27CE">
        <w:t> </w:t>
      </w:r>
      <w:r w:rsidRPr="002601B5">
        <w:t>per</w:t>
      </w:r>
      <w:r w:rsidR="008B6FA4">
        <w:t> </w:t>
      </w:r>
      <w:r>
        <w:t xml:space="preserve">cent of prescription </w:t>
      </w:r>
      <w:r w:rsidRPr="003C3AB2">
        <w:t>medicines through the PBS</w:t>
      </w:r>
      <w:r w:rsidR="004758FB" w:rsidRPr="003C3AB2">
        <w:t xml:space="preserve"> </w:t>
      </w:r>
      <w:r w:rsidRPr="003C3AB2">
        <w:t>(</w:t>
      </w:r>
      <w:r w:rsidR="006C2E5E">
        <w:t>Department of Health</w:t>
      </w:r>
      <w:r w:rsidR="008B6FA4" w:rsidRPr="003C3AB2">
        <w:t> </w:t>
      </w:r>
      <w:r w:rsidRPr="003C3AB2">
        <w:t>20</w:t>
      </w:r>
      <w:r w:rsidR="002601B5" w:rsidRPr="003C3AB2">
        <w:t>1</w:t>
      </w:r>
      <w:r w:rsidRPr="003C3AB2">
        <w:t>0). The PBS aims to provide affordable, reliable and timely access to</w:t>
      </w:r>
      <w:r>
        <w:t xml:space="preserve"> </w:t>
      </w:r>
      <w:r w:rsidRPr="005C4BE7">
        <w:t xml:space="preserve">prescription medicines for all Australians. Users make a co-payment, </w:t>
      </w:r>
      <w:r w:rsidR="00832157" w:rsidRPr="005C4BE7">
        <w:t xml:space="preserve">which </w:t>
      </w:r>
      <w:r w:rsidR="00832157" w:rsidRPr="004D141C">
        <w:t>in 201</w:t>
      </w:r>
      <w:r w:rsidR="00402C7C">
        <w:t>4</w:t>
      </w:r>
      <w:r w:rsidR="00832157" w:rsidRPr="004D141C">
        <w:t xml:space="preserve"> wa</w:t>
      </w:r>
      <w:r w:rsidR="00AC376A" w:rsidRPr="004D141C">
        <w:t>s</w:t>
      </w:r>
      <w:r w:rsidRPr="004D141C">
        <w:t xml:space="preserve"> $</w:t>
      </w:r>
      <w:r w:rsidR="005341CF">
        <w:t>6.00</w:t>
      </w:r>
      <w:r w:rsidRPr="004D141C">
        <w:t xml:space="preserve"> for concession card holders and</w:t>
      </w:r>
      <w:r w:rsidR="00FD136E" w:rsidRPr="004D141C">
        <w:t xml:space="preserve"> up to</w:t>
      </w:r>
      <w:r w:rsidR="004D141C" w:rsidRPr="004D141C">
        <w:t xml:space="preserve"> $36.</w:t>
      </w:r>
      <w:r w:rsidR="005341CF">
        <w:t>9</w:t>
      </w:r>
      <w:r w:rsidR="004D141C" w:rsidRPr="004D141C">
        <w:t xml:space="preserve">0 </w:t>
      </w:r>
      <w:r w:rsidRPr="004D141C">
        <w:t>for general consumers</w:t>
      </w:r>
      <w:r w:rsidR="000E7EBD" w:rsidRPr="004D141C">
        <w:t xml:space="preserve"> (</w:t>
      </w:r>
      <w:r w:rsidR="00B513D7">
        <w:t>Department of Health</w:t>
      </w:r>
      <w:r w:rsidR="000E7EBD" w:rsidRPr="004D141C">
        <w:t> 201</w:t>
      </w:r>
      <w:r w:rsidR="005341CF">
        <w:t>4</w:t>
      </w:r>
      <w:r w:rsidR="000E7EBD" w:rsidRPr="004D141C">
        <w:t>)</w:t>
      </w:r>
      <w:r w:rsidRPr="004D141C">
        <w:t>. The Australian Government pays the remaining cost of medicines eligible for the subsidy. Co</w:t>
      </w:r>
      <w:r w:rsidR="007E2484">
        <w:noBreakHyphen/>
      </w:r>
      <w:r w:rsidRPr="004D141C">
        <w:t xml:space="preserve">payment amounts are normally adjusted </w:t>
      </w:r>
      <w:r w:rsidR="00234DDC" w:rsidRPr="004D141C">
        <w:t>by the rate of</w:t>
      </w:r>
      <w:r w:rsidRPr="004D141C">
        <w:t xml:space="preserve"> inflation on 1</w:t>
      </w:r>
      <w:r w:rsidR="008B6FA4" w:rsidRPr="004D141C">
        <w:t> </w:t>
      </w:r>
      <w:r w:rsidR="006001A5">
        <w:t>January each year</w:t>
      </w:r>
      <w:r w:rsidR="003C7A03" w:rsidRPr="004D141C">
        <w:t xml:space="preserve"> </w:t>
      </w:r>
      <w:r w:rsidR="000A30B3" w:rsidRPr="004D141C">
        <w:t>(</w:t>
      </w:r>
      <w:r w:rsidR="00B513D7">
        <w:t>Department of Health</w:t>
      </w:r>
      <w:r w:rsidR="000A30B3" w:rsidRPr="004D141C">
        <w:t> </w:t>
      </w:r>
      <w:r w:rsidR="004D141C" w:rsidRPr="004D141C">
        <w:t>201</w:t>
      </w:r>
      <w:r w:rsidR="00237844">
        <w:t>4</w:t>
      </w:r>
      <w:r w:rsidR="000A30B3" w:rsidRPr="005C4BE7">
        <w:t>)</w:t>
      </w:r>
      <w:r w:rsidR="003C7A03">
        <w:t>.</w:t>
      </w:r>
    </w:p>
    <w:p w:rsidR="000332DD" w:rsidRPr="003F0089" w:rsidRDefault="005160BB" w:rsidP="00DC37CF">
      <w:pPr>
        <w:pStyle w:val="BodyText"/>
      </w:pPr>
      <w:r>
        <w:t xml:space="preserve">Co-payments are also subject to a safety net threshold. Once </w:t>
      </w:r>
      <w:r w:rsidR="00F37E48">
        <w:t xml:space="preserve">consumer </w:t>
      </w:r>
      <w:r>
        <w:t xml:space="preserve">spending </w:t>
      </w:r>
      <w:r w:rsidRPr="005C4BE7">
        <w:t xml:space="preserve">within a calendar year has reached the threshold, PBS medicines are generally cheaper or </w:t>
      </w:r>
      <w:r w:rsidR="00F37E48" w:rsidRPr="005C4BE7">
        <w:t>fully subsidised</w:t>
      </w:r>
      <w:r w:rsidRPr="005C4BE7">
        <w:t xml:space="preserve"> for the rest of the calendar year. The </w:t>
      </w:r>
      <w:r w:rsidR="00993AA0" w:rsidRPr="004D141C">
        <w:t>201</w:t>
      </w:r>
      <w:r w:rsidR="00D55BAA">
        <w:t>4</w:t>
      </w:r>
      <w:r w:rsidR="00993AA0" w:rsidRPr="005C4BE7">
        <w:t xml:space="preserve"> </w:t>
      </w:r>
      <w:r w:rsidRPr="005C4BE7">
        <w:t xml:space="preserve">safety net threshold </w:t>
      </w:r>
      <w:r w:rsidR="00101349" w:rsidRPr="004D141C">
        <w:t>wa</w:t>
      </w:r>
      <w:r w:rsidRPr="004D141C">
        <w:t>s $</w:t>
      </w:r>
      <w:r w:rsidR="00D55BAA" w:rsidRPr="00D55BAA">
        <w:t xml:space="preserve">1421.20 </w:t>
      </w:r>
      <w:r w:rsidRPr="004D141C">
        <w:t>for general consumers and $</w:t>
      </w:r>
      <w:r w:rsidR="00EC623F" w:rsidRPr="004D141C">
        <w:t>3</w:t>
      </w:r>
      <w:r w:rsidR="00D55BAA">
        <w:t>60</w:t>
      </w:r>
      <w:r w:rsidRPr="004D141C">
        <w:t>.00 for</w:t>
      </w:r>
      <w:r w:rsidRPr="005C4BE7">
        <w:t xml:space="preserve"> concession card holders (</w:t>
      </w:r>
      <w:r w:rsidR="00B513D7">
        <w:t>Department of Health</w:t>
      </w:r>
      <w:r w:rsidR="00405F7F" w:rsidRPr="005C4BE7">
        <w:t> </w:t>
      </w:r>
      <w:r w:rsidR="003C7A03" w:rsidRPr="005C4BE7">
        <w:t>2</w:t>
      </w:r>
      <w:r w:rsidR="00D55BAA">
        <w:t>014</w:t>
      </w:r>
      <w:r w:rsidR="002F3634" w:rsidRPr="005C4BE7">
        <w:t>).</w:t>
      </w:r>
    </w:p>
    <w:p w:rsidR="003B5698" w:rsidRDefault="003B5698" w:rsidP="003B5698">
      <w:pPr>
        <w:pStyle w:val="BodyText"/>
      </w:pPr>
      <w:r>
        <w:t>The Repatriation Pharmaceutical Benefits Scheme (RPBS) provides subsidised pharmaceutical</w:t>
      </w:r>
      <w:r w:rsidR="000332DD">
        <w:t xml:space="preserve"> medicines, dressings and other</w:t>
      </w:r>
      <w:r>
        <w:t xml:space="preserve"> items to war veterans and war widows. </w:t>
      </w:r>
      <w:r w:rsidRPr="003B5698">
        <w:t>The RPBS is administered by the Department of Veterans’ Affairs (DVA).</w:t>
      </w:r>
      <w:r>
        <w:t xml:space="preserve"> </w:t>
      </w:r>
      <w:r w:rsidR="00F47752">
        <w:t>D</w:t>
      </w:r>
      <w:r>
        <w:t>rugs eligible for subsidy under the RPBS may not be eligible under the PBS.</w:t>
      </w:r>
    </w:p>
    <w:p w:rsidR="003B5698" w:rsidRDefault="003B5698" w:rsidP="003B5698">
      <w:pPr>
        <w:pStyle w:val="Heading4"/>
      </w:pPr>
      <w:r>
        <w:t>Community health services</w:t>
      </w:r>
    </w:p>
    <w:p w:rsidR="00236F67" w:rsidRDefault="003B5698" w:rsidP="00DA6A4B">
      <w:pPr>
        <w:pStyle w:val="BodyText"/>
        <w:rPr>
          <w:color w:val="FF0000"/>
        </w:rPr>
      </w:pPr>
      <w:r>
        <w:t xml:space="preserve">Community health services usually comprise multidisciplinary teams of salaried health </w:t>
      </w:r>
      <w:r w:rsidR="00FA744E">
        <w:t xml:space="preserve">and allied health </w:t>
      </w:r>
      <w:r>
        <w:t>professionals</w:t>
      </w:r>
      <w:r w:rsidR="00F47752">
        <w:t>,</w:t>
      </w:r>
      <w:r>
        <w:t xml:space="preserve"> who aim to protect and promote the health of particular communities (</w:t>
      </w:r>
      <w:r w:rsidRPr="000B15F4">
        <w:t>Quality</w:t>
      </w:r>
      <w:r w:rsidR="00F47752" w:rsidRPr="000B15F4">
        <w:t xml:space="preserve"> Improvement Council</w:t>
      </w:r>
      <w:r w:rsidR="008B6FA4" w:rsidRPr="000B15F4">
        <w:t> </w:t>
      </w:r>
      <w:r w:rsidR="00F47752" w:rsidRPr="000B15F4">
        <w:t>1998</w:t>
      </w:r>
      <w:r w:rsidR="00F47752">
        <w:t xml:space="preserve">). </w:t>
      </w:r>
      <w:r w:rsidR="00A67CAE">
        <w:t>There is no national strategy for community health and there is considerable variation in the services provided across jurisdictions.</w:t>
      </w:r>
    </w:p>
    <w:p w:rsidR="005F00A5" w:rsidRPr="00CF7620" w:rsidRDefault="00A67CAE" w:rsidP="005F00A5">
      <w:pPr>
        <w:pStyle w:val="BodyText"/>
      </w:pPr>
      <w:r>
        <w:t xml:space="preserve">Community health services </w:t>
      </w:r>
      <w:r w:rsidR="00F47752">
        <w:t xml:space="preserve">may be </w:t>
      </w:r>
      <w:r w:rsidR="003B5698">
        <w:t>provided directly by governments (including local governments) or indirectly, through a local health service or community organisation funded by government. State and Territory governments are responsible for most community health services</w:t>
      </w:r>
      <w:r w:rsidR="00CF7620">
        <w:t>.</w:t>
      </w:r>
      <w:r w:rsidRPr="00A67CAE">
        <w:t xml:space="preserve"> </w:t>
      </w:r>
      <w:r w:rsidR="00CF7620">
        <w:t>T</w:t>
      </w:r>
      <w:r w:rsidR="00CF7620" w:rsidRPr="00A67CAE">
        <w:t xml:space="preserve">he Australian Government has the main responsibility </w:t>
      </w:r>
      <w:r w:rsidR="00CF7620">
        <w:t xml:space="preserve">for </w:t>
      </w:r>
      <w:r w:rsidRPr="00CF7620">
        <w:t>Aboriginal and Torres Strait Islander primary healthcare services</w:t>
      </w:r>
      <w:r w:rsidR="00CF7620" w:rsidRPr="00CF7620">
        <w:t>,</w:t>
      </w:r>
      <w:r w:rsidR="003C2C40">
        <w:t xml:space="preserve"> which have the objective of addressing the disproportionate ill-health experienced by </w:t>
      </w:r>
      <w:r w:rsidR="003C2C40" w:rsidRPr="00CF7620">
        <w:t>Aboriginal and Torres Strait Islander</w:t>
      </w:r>
      <w:r w:rsidR="00CF7620" w:rsidRPr="00CF7620">
        <w:t xml:space="preserve"> </w:t>
      </w:r>
      <w:r w:rsidR="003C2C40">
        <w:t>people. A</w:t>
      </w:r>
      <w:r w:rsidR="00CF7620" w:rsidRPr="00CF7620">
        <w:t xml:space="preserve">round 60 per cent of </w:t>
      </w:r>
      <w:r w:rsidR="003C2C40">
        <w:t>these</w:t>
      </w:r>
      <w:r w:rsidR="00CF7620" w:rsidRPr="00CF7620">
        <w:t xml:space="preserve"> are Aboriginal and Torres Strait Islander community-controlled or managed</w:t>
      </w:r>
      <w:r w:rsidR="003C2C40">
        <w:t xml:space="preserve"> </w:t>
      </w:r>
      <w:r w:rsidR="003C2C40" w:rsidRPr="003C2C40">
        <w:t>— planned and governed by local Aboriginal and Torres Strait Islander communities with the aim of delivering holistic and culturally appropriate primary healthcare and health related services.</w:t>
      </w:r>
    </w:p>
    <w:p w:rsidR="003B5698" w:rsidRDefault="003B5698" w:rsidP="003B5698">
      <w:pPr>
        <w:pStyle w:val="Heading4"/>
      </w:pPr>
      <w:r>
        <w:t>Allied health services</w:t>
      </w:r>
    </w:p>
    <w:p w:rsidR="00882DD7" w:rsidRDefault="00B70372" w:rsidP="00DA6A4B">
      <w:pPr>
        <w:pStyle w:val="BodyText"/>
      </w:pPr>
      <w:r>
        <w:t xml:space="preserve">Allied health services include, but are not limited to, physiotherapy, psychology, occupational therapy, audiology, podiatry and osteopathy. </w:t>
      </w:r>
      <w:r w:rsidR="00802593">
        <w:t xml:space="preserve">While some allied health </w:t>
      </w:r>
      <w:r w:rsidR="00802593">
        <w:lastRenderedPageBreak/>
        <w:t xml:space="preserve">professionals are employed in community health services, </w:t>
      </w:r>
      <w:r w:rsidR="00CD7D5C">
        <w:t>a</w:t>
      </w:r>
      <w:r w:rsidR="008D7805">
        <w:t xml:space="preserve">llied health services are delivered </w:t>
      </w:r>
      <w:r w:rsidR="00CD7D5C">
        <w:t>mainly</w:t>
      </w:r>
      <w:r w:rsidR="008D7805">
        <w:t xml:space="preserve"> </w:t>
      </w:r>
      <w:r w:rsidR="000D2CB1">
        <w:t xml:space="preserve">in the private sector. Governments </w:t>
      </w:r>
      <w:r w:rsidR="00802593">
        <w:t xml:space="preserve">provide some funding for private </w:t>
      </w:r>
      <w:r w:rsidR="006B5C79">
        <w:t xml:space="preserve">allied health </w:t>
      </w:r>
      <w:r w:rsidR="00802593">
        <w:t>services through insurance schemes and private insurance rebates</w:t>
      </w:r>
      <w:r w:rsidR="000D2CB1">
        <w:t xml:space="preserve">. </w:t>
      </w:r>
      <w:r w:rsidR="003B5698">
        <w:t xml:space="preserve">The Australian Government also </w:t>
      </w:r>
      <w:r w:rsidR="00802593">
        <w:t xml:space="preserve">makes </w:t>
      </w:r>
      <w:r w:rsidR="00A70E9B">
        <w:t>some</w:t>
      </w:r>
      <w:r w:rsidR="00802593">
        <w:t xml:space="preserve"> allied health services available </w:t>
      </w:r>
      <w:r w:rsidR="007A5585">
        <w:t xml:space="preserve">under </w:t>
      </w:r>
      <w:r w:rsidR="00053635">
        <w:t>the MBS</w:t>
      </w:r>
      <w:r w:rsidR="007A5585">
        <w:t xml:space="preserve"> </w:t>
      </w:r>
      <w:r w:rsidR="00802593">
        <w:t>to</w:t>
      </w:r>
      <w:r w:rsidR="003B5698">
        <w:t xml:space="preserve"> </w:t>
      </w:r>
      <w:r w:rsidR="006B1D45">
        <w:t>patients</w:t>
      </w:r>
      <w:r w:rsidR="003B5698">
        <w:t xml:space="preserve"> </w:t>
      </w:r>
      <w:r w:rsidR="006B1D45">
        <w:t xml:space="preserve">with particular needs — for example, people </w:t>
      </w:r>
      <w:r w:rsidR="003B5698">
        <w:t>with chronic conditions and complex care ne</w:t>
      </w:r>
      <w:r w:rsidR="006B1D45">
        <w:t xml:space="preserve">eds — </w:t>
      </w:r>
      <w:r w:rsidR="00802593">
        <w:t>and improves access to</w:t>
      </w:r>
      <w:r w:rsidR="00802593" w:rsidRPr="00865E22">
        <w:t xml:space="preserve"> allied health services in rural and remote areas.</w:t>
      </w:r>
    </w:p>
    <w:p w:rsidR="001B5728" w:rsidRPr="00802593" w:rsidRDefault="001B5728" w:rsidP="00211B55">
      <w:pPr>
        <w:pStyle w:val="BodyText"/>
      </w:pPr>
      <w:r w:rsidRPr="00211B55">
        <w:t xml:space="preserve">Nationally, there were 25.5 FTE occupational therapists </w:t>
      </w:r>
      <w:r w:rsidR="00166D34" w:rsidRPr="00211B55">
        <w:t>and 31.5 FTE psychologists per 100 </w:t>
      </w:r>
      <w:r w:rsidRPr="00211B55">
        <w:t xml:space="preserve">000 people </w:t>
      </w:r>
      <w:r w:rsidR="00166D34" w:rsidRPr="00211B55">
        <w:t xml:space="preserve">working in the public sector in 2013 </w:t>
      </w:r>
      <w:r w:rsidR="00244D93">
        <w:t>(</w:t>
      </w:r>
      <w:r w:rsidR="00166D34" w:rsidRPr="00211B55">
        <w:t xml:space="preserve">table </w:t>
      </w:r>
      <w:r w:rsidR="00AC1A74">
        <w:t>10A.29</w:t>
      </w:r>
      <w:r w:rsidR="00244D93">
        <w:t>)</w:t>
      </w:r>
      <w:r w:rsidR="00166D34" w:rsidRPr="00211B55">
        <w:t>.</w:t>
      </w:r>
    </w:p>
    <w:p w:rsidR="00317379" w:rsidRDefault="00317379" w:rsidP="00317379">
      <w:pPr>
        <w:pStyle w:val="Heading4"/>
      </w:pPr>
      <w:r>
        <w:t>Dental services</w:t>
      </w:r>
    </w:p>
    <w:p w:rsidR="00504D07" w:rsidRPr="00504D07" w:rsidRDefault="00504D07" w:rsidP="00CC4FB1">
      <w:pPr>
        <w:pStyle w:val="BodyText"/>
      </w:pPr>
      <w:r w:rsidRPr="005613CC">
        <w:t xml:space="preserve">State and Territory governments </w:t>
      </w:r>
      <w:r>
        <w:t>and t</w:t>
      </w:r>
      <w:r w:rsidRPr="005613CC">
        <w:t>he Australian Government have different roles in supporting dental services in Australia’s mixed system of public and private dental healthcare. State and Territory governments have the main responsibility for the delivery of major public dental programs, primarily directed at children and disadvantaged adults. Each jurisdiction determines its own eligibility requirements for accessing public dental services, usually requiring a person to hold a concession card issued by Centrelink.</w:t>
      </w:r>
      <w:r>
        <w:t xml:space="preserve"> </w:t>
      </w:r>
      <w:r w:rsidRPr="00CC4FB1">
        <w:t xml:space="preserve">The Australian Government </w:t>
      </w:r>
      <w:r w:rsidR="006A113C" w:rsidRPr="00CC4FB1">
        <w:t>contributes</w:t>
      </w:r>
      <w:r w:rsidRPr="00CC4FB1">
        <w:t xml:space="preserve"> </w:t>
      </w:r>
      <w:r w:rsidR="009777ED" w:rsidRPr="00CC4FB1">
        <w:t xml:space="preserve">to </w:t>
      </w:r>
      <w:r w:rsidRPr="00CC4FB1">
        <w:t xml:space="preserve">funding </w:t>
      </w:r>
      <w:r w:rsidR="009777ED" w:rsidRPr="00CC4FB1">
        <w:t>of</w:t>
      </w:r>
      <w:r w:rsidRPr="00CC4FB1">
        <w:t xml:space="preserve"> public dental services </w:t>
      </w:r>
      <w:r w:rsidR="00A2233D" w:rsidRPr="00A2233D">
        <w:t xml:space="preserve">through the </w:t>
      </w:r>
      <w:r w:rsidR="00A2233D" w:rsidRPr="00470558">
        <w:t>National Partnership Agreement on Treating More Public Dental Patients</w:t>
      </w:r>
      <w:r w:rsidR="00A2233D" w:rsidRPr="00A2233D">
        <w:t xml:space="preserve"> that commenced in January 2013</w:t>
      </w:r>
      <w:r w:rsidRPr="00DF7F2D">
        <w:t>.</w:t>
      </w:r>
    </w:p>
    <w:p w:rsidR="00504D07" w:rsidRPr="00504D07" w:rsidRDefault="00504D07" w:rsidP="00CC4FB1">
      <w:pPr>
        <w:pStyle w:val="BodyText"/>
      </w:pPr>
      <w:r w:rsidRPr="00504D07">
        <w:t xml:space="preserve">The Australian Government supports the provision of dental services primarily through the private health insurance rebate and through DHS Medicare. </w:t>
      </w:r>
      <w:r w:rsidR="006A113C">
        <w:t>Through</w:t>
      </w:r>
      <w:r w:rsidRPr="00504D07">
        <w:t xml:space="preserve"> DHS Medicare, funding is available for a limited range of oral surgical procedures </w:t>
      </w:r>
      <w:r w:rsidRPr="00CC4FB1">
        <w:t xml:space="preserve">and, from January 2014, </w:t>
      </w:r>
      <w:r w:rsidRPr="00470558">
        <w:t xml:space="preserve">for private </w:t>
      </w:r>
      <w:r w:rsidR="00803B7A" w:rsidRPr="00470558">
        <w:t xml:space="preserve">and public </w:t>
      </w:r>
      <w:r w:rsidRPr="00470558">
        <w:t>dental services provided to eligible children aged 2 to 17 years</w:t>
      </w:r>
      <w:r w:rsidR="00803B7A" w:rsidRPr="00470558">
        <w:t xml:space="preserve"> under the Child Dental Benefits Schedule</w:t>
      </w:r>
      <w:r w:rsidRPr="00470558">
        <w:t>. Funding of private dental services was also available through DHS Medicare for people with chronic conditions and complex care needs until 1 December 2012</w:t>
      </w:r>
      <w:r w:rsidR="0065366B" w:rsidRPr="00470558">
        <w:t>. Public and private dental services were available through DHS Medicare under the Teen Dental Plan until 31 December 2013</w:t>
      </w:r>
      <w:r w:rsidRPr="00470558">
        <w:t>. In addition, the Australian Government provides funding for the dental care of war</w:t>
      </w:r>
      <w:r w:rsidRPr="00504D07">
        <w:t xml:space="preserve"> veterans and members of the Australian Defence Force and has a role in the provision of dental services through Aboriginal and Torres Strait Islander Primary Health Care Services.</w:t>
      </w:r>
    </w:p>
    <w:p w:rsidR="003D59EC" w:rsidRDefault="003D59EC" w:rsidP="003D59EC">
      <w:pPr>
        <w:pStyle w:val="Heading3"/>
      </w:pPr>
      <w:r>
        <w:t>Funding</w:t>
      </w:r>
    </w:p>
    <w:p w:rsidR="00AF402D" w:rsidRPr="00E52E8A" w:rsidRDefault="00AF402D" w:rsidP="00E52E8A">
      <w:pPr>
        <w:pStyle w:val="BodyText"/>
        <w:rPr>
          <w:rStyle w:val="DraftingNote"/>
          <w:b w:val="0"/>
          <w:color w:val="auto"/>
          <w:u w:val="none"/>
        </w:rPr>
      </w:pPr>
      <w:r>
        <w:t>Overall primary and community health e</w:t>
      </w:r>
      <w:r w:rsidR="00AA2B8C">
        <w:t xml:space="preserve">xpenditure data </w:t>
      </w:r>
      <w:r>
        <w:t xml:space="preserve">for services approximating those </w:t>
      </w:r>
      <w:r w:rsidRPr="00913A37">
        <w:t>covered in this chapter</w:t>
      </w:r>
      <w:r>
        <w:t xml:space="preserve"> are</w:t>
      </w:r>
      <w:r w:rsidRPr="00AF402D">
        <w:t xml:space="preserve"> </w:t>
      </w:r>
      <w:r>
        <w:t>available for the first time for the 2015 Report</w:t>
      </w:r>
      <w:r w:rsidR="00C6147F">
        <w:t xml:space="preserve"> </w:t>
      </w:r>
      <w:r w:rsidR="00C6147F" w:rsidRPr="00EB1FD8">
        <w:t>(table 10.</w:t>
      </w:r>
      <w:r w:rsidR="006B4A5B">
        <w:t>1</w:t>
      </w:r>
      <w:r w:rsidR="00C6147F" w:rsidRPr="00EB1FD8">
        <w:t>)</w:t>
      </w:r>
      <w:r w:rsidR="000B15F4">
        <w:t>.</w:t>
      </w:r>
    </w:p>
    <w:p w:rsidR="00050F3D" w:rsidRDefault="00AF402D" w:rsidP="00050F3D">
      <w:pPr>
        <w:pStyle w:val="BodyText"/>
      </w:pPr>
      <w:r>
        <w:t xml:space="preserve">Nationally, </w:t>
      </w:r>
      <w:r w:rsidR="00050F3D" w:rsidRPr="00EB1FD8">
        <w:t xml:space="preserve">government expenditure on </w:t>
      </w:r>
      <w:r w:rsidR="00050F3D">
        <w:t xml:space="preserve">primary and </w:t>
      </w:r>
      <w:r w:rsidR="00050F3D" w:rsidRPr="00EB1FD8">
        <w:t>community</w:t>
      </w:r>
      <w:r w:rsidR="00A24C22" w:rsidRPr="00A24C22">
        <w:t xml:space="preserve"> </w:t>
      </w:r>
      <w:r w:rsidR="00A24C22" w:rsidRPr="00EB1FD8">
        <w:t>health</w:t>
      </w:r>
      <w:r w:rsidR="00050F3D" w:rsidRPr="00EB1FD8">
        <w:t xml:space="preserve"> </w:t>
      </w:r>
      <w:r w:rsidR="00A24C22">
        <w:t>services, including</w:t>
      </w:r>
      <w:r w:rsidR="00050F3D" w:rsidRPr="00EB1FD8">
        <w:t xml:space="preserve"> public health</w:t>
      </w:r>
      <w:r w:rsidR="00A24C22">
        <w:t>,</w:t>
      </w:r>
      <w:r w:rsidR="00050F3D" w:rsidRPr="00EB1FD8">
        <w:t xml:space="preserve"> was $</w:t>
      </w:r>
      <w:r w:rsidR="00050F3D">
        <w:t>30.2</w:t>
      </w:r>
      <w:r w:rsidR="00050F3D" w:rsidRPr="00EB1FD8">
        <w:t> billion</w:t>
      </w:r>
      <w:r>
        <w:t xml:space="preserve"> i</w:t>
      </w:r>
      <w:r w:rsidRPr="00EB1FD8">
        <w:t>n 201</w:t>
      </w:r>
      <w:r>
        <w:t>2</w:t>
      </w:r>
      <w:r w:rsidRPr="00EB1FD8">
        <w:t>-1</w:t>
      </w:r>
      <w:r>
        <w:t>3</w:t>
      </w:r>
      <w:r w:rsidRPr="00EB1FD8">
        <w:t>,</w:t>
      </w:r>
      <w:r w:rsidR="00050F3D" w:rsidRPr="00EB1FD8">
        <w:t xml:space="preserve"> of which State, Territory and local governments provided </w:t>
      </w:r>
      <w:r w:rsidR="00050F3D">
        <w:t>24.7</w:t>
      </w:r>
      <w:r w:rsidR="00050F3D" w:rsidRPr="00EB1FD8">
        <w:t xml:space="preserve"> per cent and the Australian Government </w:t>
      </w:r>
      <w:r w:rsidR="00050F3D">
        <w:t>75.3</w:t>
      </w:r>
      <w:r w:rsidR="00106639">
        <w:t> per cent (table </w:t>
      </w:r>
      <w:r w:rsidR="00050F3D" w:rsidRPr="00EB1FD8">
        <w:t>10.</w:t>
      </w:r>
      <w:r w:rsidR="006B4A5B">
        <w:t>1</w:t>
      </w:r>
      <w:r w:rsidR="00050F3D" w:rsidRPr="00EB1FD8">
        <w:t>). In that year, Australian Government expenditure on dental services</w:t>
      </w:r>
      <w:r w:rsidR="00050F3D">
        <w:t xml:space="preserve"> </w:t>
      </w:r>
      <w:r w:rsidR="00050F3D" w:rsidRPr="00EB1FD8">
        <w:t>was $1.</w:t>
      </w:r>
      <w:r w:rsidR="00050F3D">
        <w:t>6</w:t>
      </w:r>
      <w:r w:rsidR="00050F3D" w:rsidRPr="00EB1FD8">
        <w:t> billion</w:t>
      </w:r>
      <w:r w:rsidR="00050F3D">
        <w:t xml:space="preserve">, of which 60.8 per cent was </w:t>
      </w:r>
      <w:r w:rsidR="00050F3D" w:rsidRPr="00FF48FE">
        <w:t>through the DVA and the Department of Health</w:t>
      </w:r>
      <w:r w:rsidR="00050F3D" w:rsidRPr="00EB1FD8">
        <w:t xml:space="preserve">. </w:t>
      </w:r>
      <w:r w:rsidR="00050F3D" w:rsidRPr="00EB1FD8">
        <w:lastRenderedPageBreak/>
        <w:t xml:space="preserve">State, Territory and local government expenditure on dental services was </w:t>
      </w:r>
      <w:r w:rsidR="00050F3D">
        <w:t xml:space="preserve">around </w:t>
      </w:r>
      <w:r w:rsidR="00050F3D" w:rsidRPr="00EB1FD8">
        <w:t>$7</w:t>
      </w:r>
      <w:r w:rsidR="00050F3D">
        <w:t>00</w:t>
      </w:r>
      <w:r w:rsidR="00050F3D" w:rsidRPr="00EB1FD8">
        <w:t> </w:t>
      </w:r>
      <w:r w:rsidR="00050F3D">
        <w:t>m</w:t>
      </w:r>
      <w:r w:rsidR="00050F3D" w:rsidRPr="00EB1FD8">
        <w:t>illion in 201</w:t>
      </w:r>
      <w:r w:rsidR="00050F3D">
        <w:t>2</w:t>
      </w:r>
      <w:r w:rsidR="00050F3D" w:rsidRPr="00EB1FD8">
        <w:t>-1</w:t>
      </w:r>
      <w:r w:rsidR="00050F3D">
        <w:t>3</w:t>
      </w:r>
      <w:r w:rsidR="00050F3D" w:rsidRPr="00EB1FD8">
        <w:t xml:space="preserve">. Dental expenditure </w:t>
      </w:r>
      <w:r w:rsidR="00050F3D">
        <w:t xml:space="preserve">data </w:t>
      </w:r>
      <w:r w:rsidR="00050F3D" w:rsidRPr="00EB1FD8">
        <w:t xml:space="preserve">by state and territory </w:t>
      </w:r>
      <w:r w:rsidR="00050F3D">
        <w:t>are</w:t>
      </w:r>
      <w:r w:rsidR="00050F3D" w:rsidRPr="00EB1FD8">
        <w:t xml:space="preserve"> provided in table 10A.7.</w:t>
      </w:r>
      <w:r w:rsidR="00050F3D">
        <w:t xml:space="preserve"> </w:t>
      </w:r>
      <w:r w:rsidR="00050F3D" w:rsidRPr="00EB1FD8">
        <w:t>Additional expenditure is incurred by some states and territories through schemes that fund the provision of dental services to eligible people by private practitioners.</w:t>
      </w:r>
    </w:p>
    <w:p w:rsidR="00FB3C42" w:rsidRDefault="00FB3C42" w:rsidP="00FC701A">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gridCol w:w="138"/>
      </w:tblGrid>
      <w:tr w:rsidR="00FB3C42" w:rsidTr="00FC701A">
        <w:tc>
          <w:tcPr>
            <w:tcW w:w="8771" w:type="dxa"/>
            <w:gridSpan w:val="2"/>
            <w:tcBorders>
              <w:top w:val="single" w:sz="6" w:space="0" w:color="78A22F"/>
              <w:left w:val="nil"/>
              <w:bottom w:val="nil"/>
              <w:right w:val="nil"/>
            </w:tcBorders>
            <w:shd w:val="clear" w:color="auto" w:fill="auto"/>
          </w:tcPr>
          <w:p w:rsidR="00FB3C42" w:rsidRPr="00784A05" w:rsidRDefault="00FB3C42" w:rsidP="00FB3C42">
            <w:pPr>
              <w:pStyle w:val="TableTitle"/>
            </w:pPr>
            <w:r>
              <w:rPr>
                <w:b w:val="0"/>
              </w:rPr>
              <w:t xml:space="preserve">Table </w:t>
            </w:r>
            <w:r w:rsidR="006B4A5B">
              <w:rPr>
                <w:b w:val="0"/>
              </w:rPr>
              <w:t>10.</w:t>
            </w:r>
            <w:r w:rsidR="0078724D">
              <w:rPr>
                <w:b w:val="0"/>
                <w:noProof/>
              </w:rPr>
              <w:t>1</w:t>
            </w:r>
            <w:r>
              <w:tab/>
            </w:r>
            <w:r w:rsidRPr="00FB3C42">
              <w:t>Estimated funding on Primary healthcare, 2012-13 ($ million) (2012-13 dollars)</w:t>
            </w:r>
            <w:r w:rsidRPr="00B07EB8">
              <w:rPr>
                <w:rStyle w:val="NoteLabel"/>
                <w:b/>
              </w:rPr>
              <w:t>a</w:t>
            </w:r>
          </w:p>
        </w:tc>
      </w:tr>
      <w:tr w:rsidR="00FB3C42" w:rsidTr="00FC701A">
        <w:trPr>
          <w:cantSplit/>
        </w:trPr>
        <w:tc>
          <w:tcPr>
            <w:tcW w:w="8771" w:type="dxa"/>
            <w:gridSpan w:val="2"/>
            <w:tcBorders>
              <w:top w:val="nil"/>
              <w:left w:val="nil"/>
              <w:bottom w:val="nil"/>
              <w:right w:val="nil"/>
            </w:tcBorders>
            <w:shd w:val="clear" w:color="auto" w:fill="auto"/>
          </w:tcPr>
          <w:tbl>
            <w:tblPr>
              <w:tblW w:w="8625" w:type="dxa"/>
              <w:tblLook w:val="04A0" w:firstRow="1" w:lastRow="0" w:firstColumn="1" w:lastColumn="0" w:noHBand="0" w:noVBand="1"/>
            </w:tblPr>
            <w:tblGrid>
              <w:gridCol w:w="1108"/>
              <w:gridCol w:w="634"/>
              <w:gridCol w:w="1035"/>
              <w:gridCol w:w="784"/>
              <w:gridCol w:w="784"/>
              <w:gridCol w:w="1016"/>
              <w:gridCol w:w="1124"/>
              <w:gridCol w:w="1016"/>
              <w:gridCol w:w="1124"/>
            </w:tblGrid>
            <w:tr w:rsidR="00FB3C42" w:rsidRPr="00593303" w:rsidTr="00002AF5">
              <w:trPr>
                <w:trHeight w:val="347"/>
              </w:trPr>
              <w:tc>
                <w:tcPr>
                  <w:tcW w:w="1108" w:type="dxa"/>
                  <w:tcBorders>
                    <w:top w:val="single" w:sz="4" w:space="0" w:color="BFBFBF" w:themeColor="background2"/>
                    <w:left w:val="nil"/>
                    <w:right w:val="nil"/>
                  </w:tcBorders>
                  <w:shd w:val="clear" w:color="auto" w:fill="auto"/>
                  <w:noWrap/>
                </w:tcPr>
                <w:p w:rsidR="00FB3C42" w:rsidRDefault="00FB3C42" w:rsidP="00FB3C42">
                  <w:pPr>
                    <w:pStyle w:val="TableColumnHeading"/>
                    <w:spacing w:before="0" w:afterLines="40" w:after="96"/>
                    <w:ind w:right="57"/>
                    <w:jc w:val="left"/>
                  </w:pPr>
                </w:p>
              </w:tc>
              <w:tc>
                <w:tcPr>
                  <w:tcW w:w="3213" w:type="dxa"/>
                  <w:gridSpan w:val="4"/>
                  <w:tcBorders>
                    <w:top w:val="single" w:sz="4" w:space="0" w:color="BFBFBF" w:themeColor="background2"/>
                    <w:left w:val="nil"/>
                    <w:right w:val="nil"/>
                  </w:tcBorders>
                  <w:shd w:val="clear" w:color="auto" w:fill="auto"/>
                </w:tcPr>
                <w:p w:rsidR="00FB3C42" w:rsidRPr="00593303" w:rsidRDefault="00FB3C42" w:rsidP="00FB3C42">
                  <w:pPr>
                    <w:pStyle w:val="TableColumnHeading"/>
                    <w:jc w:val="center"/>
                  </w:pPr>
                  <w:r w:rsidRPr="00593303">
                    <w:t>Australian Government</w:t>
                  </w:r>
                </w:p>
              </w:tc>
              <w:tc>
                <w:tcPr>
                  <w:tcW w:w="1038" w:type="dxa"/>
                  <w:tcBorders>
                    <w:top w:val="single" w:sz="4" w:space="0" w:color="BFBFBF" w:themeColor="background2"/>
                    <w:left w:val="nil"/>
                    <w:right w:val="nil"/>
                  </w:tcBorders>
                  <w:shd w:val="clear" w:color="auto" w:fill="auto"/>
                </w:tcPr>
                <w:p w:rsidR="00FB3C42" w:rsidRPr="00593303" w:rsidRDefault="00FB3C42" w:rsidP="00FB3C42">
                  <w:pPr>
                    <w:pStyle w:val="TableColumnHeading"/>
                  </w:pPr>
                </w:p>
              </w:tc>
              <w:tc>
                <w:tcPr>
                  <w:tcW w:w="1114" w:type="dxa"/>
                  <w:tcBorders>
                    <w:top w:val="single" w:sz="4" w:space="0" w:color="BFBFBF" w:themeColor="background2"/>
                    <w:left w:val="nil"/>
                    <w:right w:val="nil"/>
                  </w:tcBorders>
                  <w:shd w:val="clear" w:color="auto" w:fill="auto"/>
                </w:tcPr>
                <w:p w:rsidR="00FB3C42" w:rsidRPr="00593303" w:rsidRDefault="00FB3C42" w:rsidP="00FB3C42">
                  <w:pPr>
                    <w:pStyle w:val="TableColumnHeading"/>
                  </w:pPr>
                </w:p>
              </w:tc>
              <w:tc>
                <w:tcPr>
                  <w:tcW w:w="1038" w:type="dxa"/>
                  <w:tcBorders>
                    <w:top w:val="single" w:sz="4" w:space="0" w:color="BFBFBF" w:themeColor="background2"/>
                    <w:left w:val="nil"/>
                    <w:right w:val="nil"/>
                  </w:tcBorders>
                  <w:shd w:val="clear" w:color="auto" w:fill="auto"/>
                </w:tcPr>
                <w:p w:rsidR="00FB3C42" w:rsidRPr="00593303" w:rsidRDefault="00FB3C42" w:rsidP="00FB3C42">
                  <w:pPr>
                    <w:pStyle w:val="TableColumnHeading"/>
                  </w:pPr>
                </w:p>
              </w:tc>
              <w:tc>
                <w:tcPr>
                  <w:tcW w:w="1114" w:type="dxa"/>
                  <w:tcBorders>
                    <w:top w:val="single" w:sz="4" w:space="0" w:color="BFBFBF" w:themeColor="background2"/>
                    <w:left w:val="nil"/>
                    <w:right w:val="nil"/>
                  </w:tcBorders>
                  <w:shd w:val="clear" w:color="auto" w:fill="auto"/>
                </w:tcPr>
                <w:p w:rsidR="00FB3C42" w:rsidRPr="00593303" w:rsidRDefault="00FB3C42" w:rsidP="00FB3C42">
                  <w:pPr>
                    <w:pStyle w:val="TableColumnHeading"/>
                    <w:ind w:right="28"/>
                  </w:pPr>
                </w:p>
              </w:tc>
            </w:tr>
            <w:tr w:rsidR="00FB3C42" w:rsidRPr="00593303" w:rsidTr="00002AF5">
              <w:trPr>
                <w:trHeight w:val="820"/>
              </w:trPr>
              <w:tc>
                <w:tcPr>
                  <w:tcW w:w="1108" w:type="dxa"/>
                  <w:tcBorders>
                    <w:left w:val="nil"/>
                    <w:bottom w:val="single" w:sz="4" w:space="0" w:color="BFBFBF" w:themeColor="background2"/>
                    <w:right w:val="nil"/>
                  </w:tcBorders>
                  <w:shd w:val="clear" w:color="auto" w:fill="auto"/>
                  <w:vAlign w:val="bottom"/>
                  <w:hideMark/>
                </w:tcPr>
                <w:p w:rsidR="00FB3C42" w:rsidRPr="00593303" w:rsidRDefault="00FB3C42" w:rsidP="00FB3C42">
                  <w:pPr>
                    <w:pStyle w:val="TableColumnHeading"/>
                    <w:spacing w:before="0" w:afterLines="40" w:after="96"/>
                    <w:jc w:val="left"/>
                  </w:pPr>
                </w:p>
              </w:tc>
              <w:tc>
                <w:tcPr>
                  <w:tcW w:w="617" w:type="dxa"/>
                  <w:tcBorders>
                    <w:left w:val="nil"/>
                    <w:bottom w:val="single" w:sz="4" w:space="0" w:color="BFBFBF" w:themeColor="background2"/>
                    <w:right w:val="nil"/>
                  </w:tcBorders>
                  <w:shd w:val="clear" w:color="auto" w:fill="auto"/>
                  <w:tcMar>
                    <w:left w:w="0" w:type="dxa"/>
                    <w:right w:w="0" w:type="dxa"/>
                  </w:tcMar>
                  <w:vAlign w:val="bottom"/>
                  <w:hideMark/>
                </w:tcPr>
                <w:p w:rsidR="00FB3C42" w:rsidRPr="00593303" w:rsidRDefault="00FB3C42" w:rsidP="00FB3C42">
                  <w:pPr>
                    <w:pStyle w:val="TableColumnHeading"/>
                    <w:spacing w:before="0" w:afterLines="40" w:after="96"/>
                    <w:ind w:right="57"/>
                  </w:pPr>
                  <w:r w:rsidRPr="00593303">
                    <w:t>DVA</w:t>
                  </w:r>
                </w:p>
              </w:tc>
              <w:tc>
                <w:tcPr>
                  <w:tcW w:w="1372" w:type="dxa"/>
                  <w:tcBorders>
                    <w:left w:val="nil"/>
                    <w:bottom w:val="single" w:sz="4" w:space="0" w:color="BFBFBF" w:themeColor="background2"/>
                    <w:right w:val="nil"/>
                  </w:tcBorders>
                  <w:shd w:val="clear" w:color="auto" w:fill="auto"/>
                  <w:tcMar>
                    <w:left w:w="0" w:type="dxa"/>
                    <w:right w:w="0" w:type="dxa"/>
                  </w:tcMar>
                  <w:vAlign w:val="bottom"/>
                  <w:hideMark/>
                </w:tcPr>
                <w:p w:rsidR="00FB3C42" w:rsidRPr="00593303" w:rsidRDefault="00FB3C42" w:rsidP="00FB3C42">
                  <w:pPr>
                    <w:pStyle w:val="TableColumnHeading"/>
                    <w:spacing w:before="0" w:afterLines="40" w:after="96"/>
                    <w:ind w:right="57"/>
                  </w:pPr>
                  <w:r w:rsidRPr="00593303">
                    <w:t>Department of Health and other</w:t>
                  </w:r>
                  <w:r w:rsidRPr="00B07EB8">
                    <w:rPr>
                      <w:rStyle w:val="NoteLabel"/>
                      <w:i w:val="0"/>
                    </w:rPr>
                    <w:t>b</w:t>
                  </w:r>
                </w:p>
              </w:tc>
              <w:tc>
                <w:tcPr>
                  <w:tcW w:w="465" w:type="dxa"/>
                  <w:tcBorders>
                    <w:left w:val="nil"/>
                    <w:bottom w:val="single" w:sz="4" w:space="0" w:color="BFBFBF" w:themeColor="background2"/>
                    <w:right w:val="nil"/>
                  </w:tcBorders>
                  <w:shd w:val="clear" w:color="auto" w:fill="auto"/>
                  <w:tcMar>
                    <w:left w:w="0" w:type="dxa"/>
                    <w:right w:w="0" w:type="dxa"/>
                  </w:tcMar>
                  <w:vAlign w:val="bottom"/>
                  <w:hideMark/>
                </w:tcPr>
                <w:p w:rsidR="00FB3C42" w:rsidRPr="00593303" w:rsidRDefault="00FB3C42" w:rsidP="00FB3C42">
                  <w:pPr>
                    <w:pStyle w:val="TableColumnHeading"/>
                    <w:spacing w:before="0" w:afterLines="40" w:after="96"/>
                    <w:ind w:right="57"/>
                  </w:pPr>
                  <w:r w:rsidRPr="00593303">
                    <w:t>Premium rebates</w:t>
                  </w:r>
                  <w:r w:rsidRPr="00B07EB8">
                    <w:rPr>
                      <w:rStyle w:val="NoteLabel"/>
                      <w:i w:val="0"/>
                    </w:rPr>
                    <w:t>c</w:t>
                  </w:r>
                </w:p>
              </w:tc>
              <w:tc>
                <w:tcPr>
                  <w:tcW w:w="759" w:type="dxa"/>
                  <w:tcBorders>
                    <w:left w:val="nil"/>
                    <w:bottom w:val="single" w:sz="4" w:space="0" w:color="BFBFBF" w:themeColor="background2"/>
                    <w:right w:val="nil"/>
                  </w:tcBorders>
                  <w:shd w:val="clear" w:color="auto" w:fill="auto"/>
                  <w:tcMar>
                    <w:left w:w="0" w:type="dxa"/>
                    <w:right w:w="0" w:type="dxa"/>
                  </w:tcMar>
                  <w:vAlign w:val="bottom"/>
                  <w:hideMark/>
                </w:tcPr>
                <w:p w:rsidR="00FB3C42" w:rsidRPr="00593303" w:rsidRDefault="00FB3C42" w:rsidP="00FB3C42">
                  <w:pPr>
                    <w:pStyle w:val="TableColumnHeading"/>
                    <w:spacing w:before="0" w:afterLines="40" w:after="96"/>
                    <w:ind w:right="57"/>
                  </w:pPr>
                </w:p>
                <w:p w:rsidR="00FB3C42" w:rsidRPr="00593303" w:rsidRDefault="00FB3C42" w:rsidP="00FB3C42">
                  <w:pPr>
                    <w:pStyle w:val="TableColumnHeading"/>
                    <w:spacing w:before="0" w:afterLines="40" w:after="96"/>
                    <w:ind w:right="57"/>
                    <w:rPr>
                      <w:b/>
                    </w:rPr>
                  </w:pPr>
                  <w:r w:rsidRPr="00593303">
                    <w:t>Total</w:t>
                  </w:r>
                  <w:r w:rsidRPr="00B07EB8">
                    <w:rPr>
                      <w:rStyle w:val="NoteLabel"/>
                      <w:i w:val="0"/>
                    </w:rPr>
                    <w:t>d</w:t>
                  </w:r>
                  <w:r w:rsidRPr="00593303">
                    <w:t xml:space="preserve">                                     </w:t>
                  </w:r>
                </w:p>
              </w:tc>
              <w:tc>
                <w:tcPr>
                  <w:tcW w:w="1038" w:type="dxa"/>
                  <w:tcBorders>
                    <w:left w:val="nil"/>
                    <w:bottom w:val="single" w:sz="4" w:space="0" w:color="BFBFBF" w:themeColor="background2"/>
                    <w:right w:val="nil"/>
                  </w:tcBorders>
                  <w:shd w:val="clear" w:color="auto" w:fill="auto"/>
                  <w:tcMar>
                    <w:left w:w="0" w:type="dxa"/>
                    <w:right w:w="0" w:type="dxa"/>
                  </w:tcMar>
                  <w:vAlign w:val="bottom"/>
                  <w:hideMark/>
                </w:tcPr>
                <w:p w:rsidR="00FB3C42" w:rsidRPr="00593303" w:rsidRDefault="00FB3C42" w:rsidP="00FB3C42">
                  <w:pPr>
                    <w:pStyle w:val="TableColumnHeading"/>
                    <w:spacing w:before="0" w:afterLines="40" w:after="96"/>
                    <w:ind w:right="57"/>
                  </w:pPr>
                  <w:r w:rsidRPr="00593303">
                    <w:t>State, Territory and local government</w:t>
                  </w:r>
                </w:p>
              </w:tc>
              <w:tc>
                <w:tcPr>
                  <w:tcW w:w="1114" w:type="dxa"/>
                  <w:tcBorders>
                    <w:left w:val="nil"/>
                    <w:bottom w:val="single" w:sz="4" w:space="0" w:color="BFBFBF" w:themeColor="background2"/>
                    <w:right w:val="nil"/>
                  </w:tcBorders>
                  <w:shd w:val="clear" w:color="auto" w:fill="auto"/>
                  <w:tcMar>
                    <w:left w:w="0" w:type="dxa"/>
                    <w:right w:w="0" w:type="dxa"/>
                  </w:tcMar>
                  <w:vAlign w:val="bottom"/>
                  <w:hideMark/>
                </w:tcPr>
                <w:p w:rsidR="00FB3C42" w:rsidRPr="00593303" w:rsidRDefault="00FB3C42" w:rsidP="00FB3C42">
                  <w:pPr>
                    <w:pStyle w:val="TableColumnHeading"/>
                    <w:spacing w:before="0" w:afterLines="40" w:after="96"/>
                    <w:ind w:right="57"/>
                  </w:pPr>
                  <w:r w:rsidRPr="00593303">
                    <w:t>Total government</w:t>
                  </w:r>
                  <w:r w:rsidRPr="00B07EB8">
                    <w:rPr>
                      <w:rStyle w:val="NoteLabel"/>
                    </w:rPr>
                    <w:t>d</w:t>
                  </w:r>
                </w:p>
              </w:tc>
              <w:tc>
                <w:tcPr>
                  <w:tcW w:w="1038" w:type="dxa"/>
                  <w:tcBorders>
                    <w:left w:val="nil"/>
                    <w:bottom w:val="single" w:sz="4" w:space="0" w:color="BFBFBF" w:themeColor="background2"/>
                    <w:right w:val="nil"/>
                  </w:tcBorders>
                  <w:shd w:val="clear" w:color="auto" w:fill="auto"/>
                  <w:tcMar>
                    <w:left w:w="0" w:type="dxa"/>
                    <w:right w:w="0" w:type="dxa"/>
                  </w:tcMar>
                  <w:vAlign w:val="bottom"/>
                  <w:hideMark/>
                </w:tcPr>
                <w:p w:rsidR="00FB3C42" w:rsidRPr="00593303" w:rsidRDefault="00FB3C42" w:rsidP="00FB3C42">
                  <w:pPr>
                    <w:pStyle w:val="TableColumnHeading"/>
                    <w:spacing w:before="0" w:afterLines="40" w:after="96"/>
                    <w:ind w:right="57"/>
                  </w:pPr>
                  <w:r w:rsidRPr="00593303">
                    <w:t>Non</w:t>
                  </w:r>
                  <w:r w:rsidRPr="00593303">
                    <w:noBreakHyphen/>
                  </w:r>
                  <w:r w:rsidRPr="00593303">
                    <w:br/>
                    <w:t>government</w:t>
                  </w:r>
                </w:p>
              </w:tc>
              <w:tc>
                <w:tcPr>
                  <w:tcW w:w="1114" w:type="dxa"/>
                  <w:tcBorders>
                    <w:left w:val="nil"/>
                    <w:bottom w:val="single" w:sz="4" w:space="0" w:color="BFBFBF" w:themeColor="background2"/>
                    <w:right w:val="nil"/>
                  </w:tcBorders>
                  <w:shd w:val="clear" w:color="auto" w:fill="auto"/>
                  <w:tcMar>
                    <w:left w:w="0" w:type="dxa"/>
                    <w:right w:w="0" w:type="dxa"/>
                  </w:tcMar>
                  <w:vAlign w:val="bottom"/>
                  <w:hideMark/>
                </w:tcPr>
                <w:p w:rsidR="00FB3C42" w:rsidRPr="00593303" w:rsidRDefault="00FB3C42" w:rsidP="00FB3C42">
                  <w:pPr>
                    <w:pStyle w:val="TableColumnHeading"/>
                    <w:spacing w:before="0" w:afterLines="40" w:after="96"/>
                    <w:ind w:right="57"/>
                  </w:pPr>
                  <w:r w:rsidRPr="00593303">
                    <w:t>Total government</w:t>
                  </w:r>
                  <w:r w:rsidRPr="00593303">
                    <w:br/>
                    <w:t>and non</w:t>
                  </w:r>
                  <w:r w:rsidRPr="00593303">
                    <w:noBreakHyphen/>
                  </w:r>
                  <w:r w:rsidRPr="00593303">
                    <w:br/>
                    <w:t>government</w:t>
                  </w:r>
                  <w:r w:rsidRPr="00B07EB8">
                    <w:rPr>
                      <w:rStyle w:val="NoteLabel"/>
                      <w:i w:val="0"/>
                    </w:rPr>
                    <w:t>d</w:t>
                  </w:r>
                </w:p>
              </w:tc>
            </w:tr>
            <w:tr w:rsidR="00FB3C42" w:rsidRPr="00593303" w:rsidTr="00002AF5">
              <w:trPr>
                <w:trHeight w:val="300"/>
              </w:trPr>
              <w:tc>
                <w:tcPr>
                  <w:tcW w:w="1108" w:type="dxa"/>
                  <w:tcBorders>
                    <w:top w:val="single" w:sz="4" w:space="0" w:color="BFBFBF" w:themeColor="background2"/>
                    <w:left w:val="nil"/>
                    <w:bottom w:val="nil"/>
                    <w:right w:val="nil"/>
                  </w:tcBorders>
                  <w:shd w:val="clear" w:color="auto" w:fill="auto"/>
                  <w:tcMar>
                    <w:left w:w="57" w:type="dxa"/>
                    <w:right w:w="57" w:type="dxa"/>
                  </w:tcMar>
                  <w:vAlign w:val="bottom"/>
                  <w:hideMark/>
                </w:tcPr>
                <w:p w:rsidR="00FB3C42" w:rsidRPr="00593303" w:rsidRDefault="00FB3C42" w:rsidP="00FB3C42">
                  <w:pPr>
                    <w:spacing w:after="40" w:line="200" w:lineRule="atLeast"/>
                    <w:ind w:left="6" w:right="113"/>
                    <w:rPr>
                      <w:rFonts w:ascii="Arial" w:hAnsi="Arial" w:cs="Arial"/>
                      <w:color w:val="000000"/>
                      <w:sz w:val="18"/>
                      <w:szCs w:val="18"/>
                    </w:rPr>
                  </w:pPr>
                  <w:r w:rsidRPr="00593303">
                    <w:rPr>
                      <w:rFonts w:ascii="Arial" w:hAnsi="Arial" w:cs="Arial"/>
                      <w:color w:val="000000"/>
                      <w:sz w:val="18"/>
                      <w:szCs w:val="18"/>
                    </w:rPr>
                    <w:t>Unreferred medical services</w:t>
                  </w:r>
                </w:p>
              </w:tc>
              <w:tc>
                <w:tcPr>
                  <w:tcW w:w="617" w:type="dxa"/>
                  <w:tcBorders>
                    <w:top w:val="single" w:sz="4" w:space="0" w:color="BFBFBF" w:themeColor="background2"/>
                    <w:left w:val="nil"/>
                    <w:bottom w:val="nil"/>
                    <w:right w:val="nil"/>
                  </w:tcBorders>
                  <w:shd w:val="clear" w:color="auto" w:fill="auto"/>
                  <w:tcMar>
                    <w:left w:w="57" w:type="dxa"/>
                    <w:right w:w="57" w:type="dxa"/>
                  </w:tcMar>
                  <w:vAlign w:val="bottom"/>
                  <w:hideMark/>
                </w:tcPr>
                <w:p w:rsidR="00FB3C42" w:rsidRPr="00593303" w:rsidRDefault="00FB3C42" w:rsidP="00FB3C42">
                  <w:pPr>
                    <w:spacing w:after="40" w:line="200" w:lineRule="atLeast"/>
                    <w:ind w:left="6" w:right="113"/>
                    <w:jc w:val="right"/>
                    <w:rPr>
                      <w:rFonts w:ascii="Arial" w:hAnsi="Arial" w:cs="Arial"/>
                      <w:color w:val="000000"/>
                      <w:sz w:val="18"/>
                      <w:szCs w:val="18"/>
                    </w:rPr>
                  </w:pPr>
                  <w:r w:rsidRPr="00593303">
                    <w:rPr>
                      <w:rFonts w:ascii="Arial" w:hAnsi="Arial" w:cs="Arial"/>
                      <w:color w:val="000000"/>
                      <w:sz w:val="18"/>
                      <w:szCs w:val="18"/>
                    </w:rPr>
                    <w:t>838</w:t>
                  </w:r>
                </w:p>
              </w:tc>
              <w:tc>
                <w:tcPr>
                  <w:tcW w:w="1372" w:type="dxa"/>
                  <w:tcBorders>
                    <w:top w:val="single" w:sz="4" w:space="0" w:color="BFBFBF" w:themeColor="background2"/>
                    <w:left w:val="nil"/>
                    <w:bottom w:val="nil"/>
                    <w:right w:val="nil"/>
                  </w:tcBorders>
                  <w:shd w:val="clear" w:color="auto" w:fill="auto"/>
                  <w:tcMar>
                    <w:left w:w="57" w:type="dxa"/>
                    <w:right w:w="57" w:type="dxa"/>
                  </w:tcMar>
                  <w:vAlign w:val="bottom"/>
                  <w:hideMark/>
                </w:tcPr>
                <w:p w:rsidR="00FB3C42" w:rsidRPr="00593303" w:rsidRDefault="00FB3C42" w:rsidP="00FB3C42">
                  <w:pPr>
                    <w:spacing w:after="40" w:line="200" w:lineRule="atLeast"/>
                    <w:ind w:left="6" w:right="113"/>
                    <w:jc w:val="right"/>
                    <w:rPr>
                      <w:rFonts w:ascii="Arial" w:hAnsi="Arial" w:cs="Arial"/>
                      <w:color w:val="000000"/>
                      <w:sz w:val="18"/>
                      <w:szCs w:val="18"/>
                    </w:rPr>
                  </w:pPr>
                  <w:r w:rsidRPr="00593303">
                    <w:rPr>
                      <w:rFonts w:ascii="Arial" w:hAnsi="Arial" w:cs="Arial"/>
                      <w:color w:val="000000"/>
                      <w:sz w:val="18"/>
                      <w:szCs w:val="18"/>
                    </w:rPr>
                    <w:t>7419</w:t>
                  </w:r>
                </w:p>
              </w:tc>
              <w:tc>
                <w:tcPr>
                  <w:tcW w:w="465" w:type="dxa"/>
                  <w:tcBorders>
                    <w:top w:val="single" w:sz="4" w:space="0" w:color="BFBFBF" w:themeColor="background2"/>
                    <w:left w:val="nil"/>
                    <w:bottom w:val="nil"/>
                    <w:right w:val="nil"/>
                  </w:tcBorders>
                  <w:shd w:val="clear" w:color="auto" w:fill="auto"/>
                  <w:tcMar>
                    <w:left w:w="57" w:type="dxa"/>
                    <w:right w:w="57" w:type="dxa"/>
                  </w:tcMar>
                  <w:vAlign w:val="bottom"/>
                  <w:hideMark/>
                </w:tcPr>
                <w:p w:rsidR="00FB3C42" w:rsidRPr="00593303" w:rsidRDefault="00FB3C42" w:rsidP="00FB3C42">
                  <w:pPr>
                    <w:spacing w:after="40" w:line="200" w:lineRule="atLeast"/>
                    <w:ind w:left="6" w:right="113"/>
                    <w:jc w:val="right"/>
                    <w:rPr>
                      <w:rFonts w:ascii="Arial" w:hAnsi="Arial" w:cs="Arial"/>
                      <w:color w:val="000000"/>
                      <w:sz w:val="18"/>
                      <w:szCs w:val="18"/>
                    </w:rPr>
                  </w:pPr>
                  <w:r w:rsidRPr="00593303">
                    <w:rPr>
                      <w:rFonts w:ascii="Arial" w:hAnsi="Arial" w:cs="Arial"/>
                      <w:color w:val="000000"/>
                      <w:sz w:val="18"/>
                      <w:szCs w:val="18"/>
                    </w:rPr>
                    <w:t>..</w:t>
                  </w:r>
                </w:p>
              </w:tc>
              <w:tc>
                <w:tcPr>
                  <w:tcW w:w="759" w:type="dxa"/>
                  <w:tcBorders>
                    <w:top w:val="single" w:sz="4" w:space="0" w:color="BFBFBF" w:themeColor="background2"/>
                    <w:left w:val="nil"/>
                    <w:bottom w:val="nil"/>
                    <w:right w:val="nil"/>
                  </w:tcBorders>
                  <w:shd w:val="clear" w:color="auto" w:fill="auto"/>
                  <w:tcMar>
                    <w:left w:w="57" w:type="dxa"/>
                    <w:right w:w="57" w:type="dxa"/>
                  </w:tcMar>
                  <w:vAlign w:val="bottom"/>
                  <w:hideMark/>
                </w:tcPr>
                <w:p w:rsidR="00FB3C42" w:rsidRPr="00593303" w:rsidRDefault="00FB3C42" w:rsidP="00FB3C42">
                  <w:pPr>
                    <w:spacing w:after="40" w:line="200" w:lineRule="atLeast"/>
                    <w:ind w:left="6" w:right="113"/>
                    <w:jc w:val="right"/>
                    <w:rPr>
                      <w:rFonts w:ascii="Arial" w:hAnsi="Arial" w:cs="Arial"/>
                      <w:color w:val="000000"/>
                      <w:sz w:val="18"/>
                      <w:szCs w:val="18"/>
                    </w:rPr>
                  </w:pPr>
                  <w:r w:rsidRPr="00593303">
                    <w:rPr>
                      <w:rFonts w:ascii="Arial" w:hAnsi="Arial" w:cs="Arial"/>
                      <w:color w:val="000000"/>
                      <w:sz w:val="18"/>
                      <w:szCs w:val="18"/>
                    </w:rPr>
                    <w:t>8257</w:t>
                  </w:r>
                </w:p>
              </w:tc>
              <w:tc>
                <w:tcPr>
                  <w:tcW w:w="1038" w:type="dxa"/>
                  <w:tcBorders>
                    <w:top w:val="single" w:sz="4" w:space="0" w:color="BFBFBF" w:themeColor="background2"/>
                    <w:left w:val="nil"/>
                    <w:bottom w:val="nil"/>
                    <w:right w:val="nil"/>
                  </w:tcBorders>
                  <w:shd w:val="clear" w:color="auto" w:fill="auto"/>
                  <w:tcMar>
                    <w:left w:w="57" w:type="dxa"/>
                    <w:right w:w="57" w:type="dxa"/>
                  </w:tcMar>
                  <w:vAlign w:val="bottom"/>
                  <w:hideMark/>
                </w:tcPr>
                <w:p w:rsidR="00FB3C42" w:rsidRPr="00593303" w:rsidRDefault="00FB3C42" w:rsidP="00FB3C42">
                  <w:pPr>
                    <w:spacing w:after="40" w:line="200" w:lineRule="atLeast"/>
                    <w:ind w:left="6" w:right="113"/>
                    <w:jc w:val="right"/>
                    <w:rPr>
                      <w:rFonts w:ascii="Arial" w:hAnsi="Arial" w:cs="Arial"/>
                      <w:color w:val="000000"/>
                      <w:sz w:val="18"/>
                      <w:szCs w:val="18"/>
                    </w:rPr>
                  </w:pPr>
                  <w:r w:rsidRPr="00593303">
                    <w:rPr>
                      <w:rFonts w:ascii="Arial" w:hAnsi="Arial" w:cs="Arial"/>
                      <w:color w:val="000000"/>
                      <w:sz w:val="18"/>
                      <w:szCs w:val="18"/>
                    </w:rPr>
                    <w:t>..</w:t>
                  </w:r>
                </w:p>
              </w:tc>
              <w:tc>
                <w:tcPr>
                  <w:tcW w:w="1114" w:type="dxa"/>
                  <w:tcBorders>
                    <w:top w:val="single" w:sz="4" w:space="0" w:color="BFBFBF" w:themeColor="background2"/>
                    <w:left w:val="nil"/>
                    <w:bottom w:val="nil"/>
                    <w:right w:val="nil"/>
                  </w:tcBorders>
                  <w:shd w:val="clear" w:color="auto" w:fill="auto"/>
                  <w:tcMar>
                    <w:left w:w="57" w:type="dxa"/>
                    <w:right w:w="57" w:type="dxa"/>
                  </w:tcMar>
                  <w:vAlign w:val="bottom"/>
                  <w:hideMark/>
                </w:tcPr>
                <w:p w:rsidR="00FB3C42" w:rsidRPr="00593303" w:rsidRDefault="00FB3C42" w:rsidP="00FB3C42">
                  <w:pPr>
                    <w:spacing w:after="40" w:line="200" w:lineRule="atLeast"/>
                    <w:ind w:left="6" w:right="113"/>
                    <w:jc w:val="right"/>
                    <w:rPr>
                      <w:rFonts w:ascii="Arial" w:hAnsi="Arial" w:cs="Arial"/>
                      <w:color w:val="000000"/>
                      <w:sz w:val="18"/>
                      <w:szCs w:val="18"/>
                    </w:rPr>
                  </w:pPr>
                  <w:r w:rsidRPr="00593303">
                    <w:rPr>
                      <w:rFonts w:ascii="Arial" w:hAnsi="Arial" w:cs="Arial"/>
                      <w:color w:val="000000"/>
                      <w:sz w:val="18"/>
                      <w:szCs w:val="18"/>
                    </w:rPr>
                    <w:t>8257</w:t>
                  </w:r>
                </w:p>
              </w:tc>
              <w:tc>
                <w:tcPr>
                  <w:tcW w:w="1038" w:type="dxa"/>
                  <w:tcBorders>
                    <w:top w:val="single" w:sz="4" w:space="0" w:color="BFBFBF" w:themeColor="background2"/>
                    <w:left w:val="nil"/>
                    <w:bottom w:val="nil"/>
                    <w:right w:val="nil"/>
                  </w:tcBorders>
                  <w:shd w:val="clear" w:color="auto" w:fill="auto"/>
                  <w:tcMar>
                    <w:left w:w="57" w:type="dxa"/>
                    <w:right w:w="57" w:type="dxa"/>
                  </w:tcMar>
                  <w:vAlign w:val="bottom"/>
                  <w:hideMark/>
                </w:tcPr>
                <w:p w:rsidR="00FB3C42" w:rsidRPr="00593303" w:rsidRDefault="00FB3C42" w:rsidP="00FB3C42">
                  <w:pPr>
                    <w:spacing w:after="40" w:line="200" w:lineRule="atLeast"/>
                    <w:ind w:left="6" w:right="113"/>
                    <w:jc w:val="right"/>
                    <w:rPr>
                      <w:rFonts w:ascii="Arial" w:hAnsi="Arial" w:cs="Arial"/>
                      <w:color w:val="000000"/>
                      <w:sz w:val="18"/>
                      <w:szCs w:val="18"/>
                    </w:rPr>
                  </w:pPr>
                  <w:r w:rsidRPr="00593303">
                    <w:rPr>
                      <w:rFonts w:ascii="Arial" w:hAnsi="Arial" w:cs="Arial"/>
                      <w:color w:val="000000"/>
                      <w:sz w:val="18"/>
                      <w:szCs w:val="18"/>
                    </w:rPr>
                    <w:t>1909</w:t>
                  </w:r>
                </w:p>
              </w:tc>
              <w:tc>
                <w:tcPr>
                  <w:tcW w:w="1114" w:type="dxa"/>
                  <w:tcBorders>
                    <w:top w:val="single" w:sz="4" w:space="0" w:color="BFBFBF" w:themeColor="background2"/>
                    <w:left w:val="nil"/>
                    <w:bottom w:val="nil"/>
                    <w:right w:val="nil"/>
                  </w:tcBorders>
                  <w:shd w:val="clear" w:color="auto" w:fill="auto"/>
                  <w:tcMar>
                    <w:left w:w="57" w:type="dxa"/>
                    <w:right w:w="57" w:type="dxa"/>
                  </w:tcMar>
                  <w:vAlign w:val="bottom"/>
                  <w:hideMark/>
                </w:tcPr>
                <w:p w:rsidR="00FB3C42" w:rsidRPr="00593303" w:rsidRDefault="00FB3C42" w:rsidP="00FB3C42">
                  <w:pPr>
                    <w:spacing w:after="40" w:line="200" w:lineRule="atLeast"/>
                    <w:ind w:left="6" w:right="113"/>
                    <w:jc w:val="right"/>
                    <w:rPr>
                      <w:rFonts w:ascii="Arial" w:hAnsi="Arial" w:cs="Arial"/>
                      <w:color w:val="000000"/>
                      <w:sz w:val="18"/>
                      <w:szCs w:val="18"/>
                    </w:rPr>
                  </w:pPr>
                  <w:r w:rsidRPr="00593303">
                    <w:rPr>
                      <w:rFonts w:ascii="Arial" w:hAnsi="Arial" w:cs="Arial"/>
                      <w:color w:val="000000"/>
                      <w:sz w:val="18"/>
                      <w:szCs w:val="18"/>
                    </w:rPr>
                    <w:t>10166</w:t>
                  </w:r>
                </w:p>
              </w:tc>
            </w:tr>
            <w:tr w:rsidR="00FB3C42" w:rsidRPr="00593303" w:rsidTr="00FC701A">
              <w:trPr>
                <w:trHeight w:val="300"/>
              </w:trPr>
              <w:tc>
                <w:tcPr>
                  <w:tcW w:w="1108" w:type="dxa"/>
                  <w:tcBorders>
                    <w:top w:val="nil"/>
                    <w:left w:val="nil"/>
                    <w:bottom w:val="nil"/>
                    <w:right w:val="nil"/>
                  </w:tcBorders>
                  <w:shd w:val="clear" w:color="auto" w:fill="auto"/>
                  <w:tcMar>
                    <w:left w:w="57" w:type="dxa"/>
                    <w:right w:w="57" w:type="dxa"/>
                  </w:tcMar>
                  <w:vAlign w:val="bottom"/>
                  <w:hideMark/>
                </w:tcPr>
                <w:p w:rsidR="00FB3C42" w:rsidRPr="00593303" w:rsidRDefault="00FB3C42" w:rsidP="00FB3C42">
                  <w:pPr>
                    <w:spacing w:after="40" w:line="200" w:lineRule="atLeast"/>
                    <w:ind w:left="6" w:right="113"/>
                    <w:rPr>
                      <w:rFonts w:ascii="Arial" w:hAnsi="Arial" w:cs="Arial"/>
                      <w:color w:val="000000"/>
                      <w:sz w:val="18"/>
                      <w:szCs w:val="18"/>
                    </w:rPr>
                  </w:pPr>
                  <w:r w:rsidRPr="00593303">
                    <w:rPr>
                      <w:rFonts w:ascii="Arial" w:hAnsi="Arial" w:cs="Arial"/>
                      <w:color w:val="000000"/>
                      <w:sz w:val="18"/>
                      <w:szCs w:val="18"/>
                    </w:rPr>
                    <w:t>Dental services</w:t>
                  </w:r>
                </w:p>
              </w:tc>
              <w:tc>
                <w:tcPr>
                  <w:tcW w:w="617" w:type="dxa"/>
                  <w:tcBorders>
                    <w:top w:val="nil"/>
                    <w:left w:val="nil"/>
                    <w:bottom w:val="nil"/>
                    <w:right w:val="nil"/>
                  </w:tcBorders>
                  <w:shd w:val="clear" w:color="auto" w:fill="auto"/>
                  <w:tcMar>
                    <w:left w:w="57" w:type="dxa"/>
                    <w:right w:w="57" w:type="dxa"/>
                  </w:tcMar>
                  <w:vAlign w:val="bottom"/>
                  <w:hideMark/>
                </w:tcPr>
                <w:p w:rsidR="00FB3C42" w:rsidRPr="00593303" w:rsidRDefault="00FB3C42" w:rsidP="00FB3C42">
                  <w:pPr>
                    <w:spacing w:after="40" w:line="200" w:lineRule="atLeast"/>
                    <w:ind w:left="6" w:right="113"/>
                    <w:jc w:val="right"/>
                    <w:rPr>
                      <w:rFonts w:ascii="Arial" w:hAnsi="Arial" w:cs="Arial"/>
                      <w:color w:val="000000"/>
                      <w:sz w:val="18"/>
                      <w:szCs w:val="18"/>
                    </w:rPr>
                  </w:pPr>
                  <w:r w:rsidRPr="00593303">
                    <w:rPr>
                      <w:rFonts w:ascii="Arial" w:hAnsi="Arial" w:cs="Arial"/>
                      <w:color w:val="000000"/>
                      <w:sz w:val="18"/>
                      <w:szCs w:val="18"/>
                    </w:rPr>
                    <w:t>100</w:t>
                  </w:r>
                </w:p>
              </w:tc>
              <w:tc>
                <w:tcPr>
                  <w:tcW w:w="1372" w:type="dxa"/>
                  <w:tcBorders>
                    <w:top w:val="nil"/>
                    <w:left w:val="nil"/>
                    <w:bottom w:val="nil"/>
                    <w:right w:val="nil"/>
                  </w:tcBorders>
                  <w:shd w:val="clear" w:color="auto" w:fill="auto"/>
                  <w:tcMar>
                    <w:left w:w="57" w:type="dxa"/>
                    <w:right w:w="57" w:type="dxa"/>
                  </w:tcMar>
                  <w:vAlign w:val="bottom"/>
                  <w:hideMark/>
                </w:tcPr>
                <w:p w:rsidR="00FB3C42" w:rsidRPr="00593303" w:rsidRDefault="00FB3C42" w:rsidP="00FB3C42">
                  <w:pPr>
                    <w:spacing w:after="40" w:line="200" w:lineRule="atLeast"/>
                    <w:ind w:left="6" w:right="113"/>
                    <w:jc w:val="right"/>
                    <w:rPr>
                      <w:rFonts w:ascii="Arial" w:hAnsi="Arial" w:cs="Arial"/>
                      <w:color w:val="000000"/>
                      <w:sz w:val="18"/>
                      <w:szCs w:val="18"/>
                    </w:rPr>
                  </w:pPr>
                  <w:r w:rsidRPr="00593303">
                    <w:rPr>
                      <w:rFonts w:ascii="Arial" w:hAnsi="Arial" w:cs="Arial"/>
                      <w:color w:val="000000"/>
                      <w:sz w:val="18"/>
                      <w:szCs w:val="18"/>
                    </w:rPr>
                    <w:t>843</w:t>
                  </w:r>
                </w:p>
              </w:tc>
              <w:tc>
                <w:tcPr>
                  <w:tcW w:w="465" w:type="dxa"/>
                  <w:tcBorders>
                    <w:top w:val="nil"/>
                    <w:left w:val="nil"/>
                    <w:bottom w:val="nil"/>
                    <w:right w:val="nil"/>
                  </w:tcBorders>
                  <w:shd w:val="clear" w:color="auto" w:fill="auto"/>
                  <w:tcMar>
                    <w:left w:w="57" w:type="dxa"/>
                    <w:right w:w="57" w:type="dxa"/>
                  </w:tcMar>
                  <w:vAlign w:val="bottom"/>
                  <w:hideMark/>
                </w:tcPr>
                <w:p w:rsidR="00FB3C42" w:rsidRPr="00593303" w:rsidRDefault="00FB3C42" w:rsidP="00FB3C42">
                  <w:pPr>
                    <w:spacing w:after="40" w:line="200" w:lineRule="atLeast"/>
                    <w:ind w:left="6" w:right="113"/>
                    <w:jc w:val="right"/>
                    <w:rPr>
                      <w:rFonts w:ascii="Arial" w:hAnsi="Arial" w:cs="Arial"/>
                      <w:color w:val="000000"/>
                      <w:sz w:val="18"/>
                      <w:szCs w:val="18"/>
                    </w:rPr>
                  </w:pPr>
                  <w:r w:rsidRPr="00593303">
                    <w:rPr>
                      <w:rFonts w:ascii="Arial" w:hAnsi="Arial" w:cs="Arial"/>
                      <w:color w:val="000000"/>
                      <w:sz w:val="18"/>
                      <w:szCs w:val="18"/>
                    </w:rPr>
                    <w:t>606</w:t>
                  </w:r>
                </w:p>
              </w:tc>
              <w:tc>
                <w:tcPr>
                  <w:tcW w:w="759" w:type="dxa"/>
                  <w:tcBorders>
                    <w:top w:val="nil"/>
                    <w:left w:val="nil"/>
                    <w:bottom w:val="nil"/>
                    <w:right w:val="nil"/>
                  </w:tcBorders>
                  <w:shd w:val="clear" w:color="auto" w:fill="auto"/>
                  <w:tcMar>
                    <w:left w:w="57" w:type="dxa"/>
                    <w:right w:w="57" w:type="dxa"/>
                  </w:tcMar>
                  <w:vAlign w:val="bottom"/>
                  <w:hideMark/>
                </w:tcPr>
                <w:p w:rsidR="00FB3C42" w:rsidRPr="00593303" w:rsidRDefault="00FB3C42" w:rsidP="00FB3C42">
                  <w:pPr>
                    <w:spacing w:after="40" w:line="200" w:lineRule="atLeast"/>
                    <w:ind w:left="6" w:right="113"/>
                    <w:jc w:val="right"/>
                    <w:rPr>
                      <w:rFonts w:ascii="Arial" w:hAnsi="Arial" w:cs="Arial"/>
                      <w:color w:val="000000"/>
                      <w:sz w:val="18"/>
                      <w:szCs w:val="18"/>
                    </w:rPr>
                  </w:pPr>
                  <w:r w:rsidRPr="00593303">
                    <w:rPr>
                      <w:rFonts w:ascii="Arial" w:hAnsi="Arial" w:cs="Arial"/>
                      <w:color w:val="000000"/>
                      <w:sz w:val="18"/>
                      <w:szCs w:val="18"/>
                    </w:rPr>
                    <w:t>1550</w:t>
                  </w:r>
                </w:p>
              </w:tc>
              <w:tc>
                <w:tcPr>
                  <w:tcW w:w="1038" w:type="dxa"/>
                  <w:tcBorders>
                    <w:top w:val="nil"/>
                    <w:left w:val="nil"/>
                    <w:bottom w:val="nil"/>
                    <w:right w:val="nil"/>
                  </w:tcBorders>
                  <w:shd w:val="clear" w:color="auto" w:fill="auto"/>
                  <w:tcMar>
                    <w:left w:w="57" w:type="dxa"/>
                    <w:right w:w="57" w:type="dxa"/>
                  </w:tcMar>
                  <w:vAlign w:val="bottom"/>
                  <w:hideMark/>
                </w:tcPr>
                <w:p w:rsidR="00FB3C42" w:rsidRPr="00593303" w:rsidRDefault="00FB3C42" w:rsidP="00FB3C42">
                  <w:pPr>
                    <w:spacing w:after="40" w:line="200" w:lineRule="atLeast"/>
                    <w:ind w:left="6" w:right="113"/>
                    <w:jc w:val="right"/>
                    <w:rPr>
                      <w:rFonts w:ascii="Arial" w:hAnsi="Arial" w:cs="Arial"/>
                      <w:color w:val="000000"/>
                      <w:sz w:val="18"/>
                      <w:szCs w:val="18"/>
                    </w:rPr>
                  </w:pPr>
                  <w:r w:rsidRPr="00593303">
                    <w:rPr>
                      <w:rFonts w:ascii="Arial" w:hAnsi="Arial" w:cs="Arial"/>
                      <w:color w:val="000000"/>
                      <w:sz w:val="18"/>
                      <w:szCs w:val="18"/>
                    </w:rPr>
                    <w:t>657</w:t>
                  </w:r>
                </w:p>
              </w:tc>
              <w:tc>
                <w:tcPr>
                  <w:tcW w:w="1114" w:type="dxa"/>
                  <w:tcBorders>
                    <w:top w:val="nil"/>
                    <w:left w:val="nil"/>
                    <w:bottom w:val="nil"/>
                    <w:right w:val="nil"/>
                  </w:tcBorders>
                  <w:shd w:val="clear" w:color="auto" w:fill="auto"/>
                  <w:tcMar>
                    <w:left w:w="57" w:type="dxa"/>
                    <w:right w:w="57" w:type="dxa"/>
                  </w:tcMar>
                  <w:vAlign w:val="bottom"/>
                  <w:hideMark/>
                </w:tcPr>
                <w:p w:rsidR="00FB3C42" w:rsidRPr="00593303" w:rsidRDefault="00FB3C42" w:rsidP="00FB3C42">
                  <w:pPr>
                    <w:spacing w:after="40" w:line="200" w:lineRule="atLeast"/>
                    <w:ind w:left="6" w:right="113"/>
                    <w:jc w:val="right"/>
                    <w:rPr>
                      <w:rFonts w:ascii="Arial" w:hAnsi="Arial" w:cs="Arial"/>
                      <w:color w:val="000000"/>
                      <w:sz w:val="18"/>
                      <w:szCs w:val="18"/>
                    </w:rPr>
                  </w:pPr>
                  <w:r w:rsidRPr="00593303">
                    <w:rPr>
                      <w:rFonts w:ascii="Arial" w:hAnsi="Arial" w:cs="Arial"/>
                      <w:color w:val="000000"/>
                      <w:sz w:val="18"/>
                      <w:szCs w:val="18"/>
                    </w:rPr>
                    <w:t>2207</w:t>
                  </w:r>
                </w:p>
              </w:tc>
              <w:tc>
                <w:tcPr>
                  <w:tcW w:w="1038" w:type="dxa"/>
                  <w:tcBorders>
                    <w:top w:val="nil"/>
                    <w:left w:val="nil"/>
                    <w:bottom w:val="nil"/>
                    <w:right w:val="nil"/>
                  </w:tcBorders>
                  <w:shd w:val="clear" w:color="auto" w:fill="auto"/>
                  <w:tcMar>
                    <w:left w:w="57" w:type="dxa"/>
                    <w:right w:w="57" w:type="dxa"/>
                  </w:tcMar>
                  <w:vAlign w:val="bottom"/>
                  <w:hideMark/>
                </w:tcPr>
                <w:p w:rsidR="00FB3C42" w:rsidRPr="00593303" w:rsidRDefault="00FB3C42" w:rsidP="00FB3C42">
                  <w:pPr>
                    <w:spacing w:after="40" w:line="200" w:lineRule="atLeast"/>
                    <w:ind w:left="6" w:right="113"/>
                    <w:jc w:val="right"/>
                    <w:rPr>
                      <w:rFonts w:ascii="Arial" w:hAnsi="Arial" w:cs="Arial"/>
                      <w:color w:val="000000"/>
                      <w:sz w:val="18"/>
                      <w:szCs w:val="18"/>
                    </w:rPr>
                  </w:pPr>
                  <w:r w:rsidRPr="00593303">
                    <w:rPr>
                      <w:rFonts w:ascii="Arial" w:hAnsi="Arial" w:cs="Arial"/>
                      <w:color w:val="000000"/>
                      <w:sz w:val="18"/>
                      <w:szCs w:val="18"/>
                    </w:rPr>
                    <w:t>6500</w:t>
                  </w:r>
                </w:p>
              </w:tc>
              <w:tc>
                <w:tcPr>
                  <w:tcW w:w="1114" w:type="dxa"/>
                  <w:tcBorders>
                    <w:top w:val="nil"/>
                    <w:left w:val="nil"/>
                    <w:bottom w:val="nil"/>
                    <w:right w:val="nil"/>
                  </w:tcBorders>
                  <w:shd w:val="clear" w:color="auto" w:fill="auto"/>
                  <w:tcMar>
                    <w:left w:w="57" w:type="dxa"/>
                    <w:right w:w="57" w:type="dxa"/>
                  </w:tcMar>
                  <w:vAlign w:val="bottom"/>
                  <w:hideMark/>
                </w:tcPr>
                <w:p w:rsidR="00FB3C42" w:rsidRPr="00593303" w:rsidRDefault="00FB3C42" w:rsidP="00FB3C42">
                  <w:pPr>
                    <w:spacing w:after="40" w:line="200" w:lineRule="atLeast"/>
                    <w:ind w:left="6" w:right="113"/>
                    <w:jc w:val="right"/>
                    <w:rPr>
                      <w:rFonts w:ascii="Arial" w:hAnsi="Arial" w:cs="Arial"/>
                      <w:color w:val="000000"/>
                      <w:sz w:val="18"/>
                      <w:szCs w:val="18"/>
                    </w:rPr>
                  </w:pPr>
                  <w:r w:rsidRPr="00593303">
                    <w:rPr>
                      <w:rFonts w:ascii="Arial" w:hAnsi="Arial" w:cs="Arial"/>
                      <w:color w:val="000000"/>
                      <w:sz w:val="18"/>
                      <w:szCs w:val="18"/>
                    </w:rPr>
                    <w:t>8706</w:t>
                  </w:r>
                </w:p>
              </w:tc>
            </w:tr>
            <w:tr w:rsidR="00FB3C42" w:rsidRPr="00593303" w:rsidTr="00FC701A">
              <w:trPr>
                <w:trHeight w:val="300"/>
              </w:trPr>
              <w:tc>
                <w:tcPr>
                  <w:tcW w:w="1108" w:type="dxa"/>
                  <w:tcBorders>
                    <w:top w:val="nil"/>
                    <w:left w:val="nil"/>
                    <w:bottom w:val="nil"/>
                    <w:right w:val="nil"/>
                  </w:tcBorders>
                  <w:shd w:val="clear" w:color="auto" w:fill="auto"/>
                  <w:tcMar>
                    <w:left w:w="57" w:type="dxa"/>
                    <w:right w:w="57" w:type="dxa"/>
                  </w:tcMar>
                  <w:vAlign w:val="bottom"/>
                  <w:hideMark/>
                </w:tcPr>
                <w:p w:rsidR="00FB3C42" w:rsidRPr="00593303" w:rsidRDefault="00FB3C42" w:rsidP="00FB3C42">
                  <w:pPr>
                    <w:spacing w:after="40" w:line="200" w:lineRule="atLeast"/>
                    <w:ind w:left="6"/>
                    <w:rPr>
                      <w:rFonts w:ascii="Arial" w:hAnsi="Arial" w:cs="Arial"/>
                      <w:color w:val="000000"/>
                      <w:sz w:val="18"/>
                      <w:szCs w:val="18"/>
                    </w:rPr>
                  </w:pPr>
                  <w:r w:rsidRPr="00593303">
                    <w:rPr>
                      <w:rFonts w:ascii="Arial" w:hAnsi="Arial" w:cs="Arial"/>
                      <w:color w:val="000000"/>
                      <w:sz w:val="18"/>
                      <w:szCs w:val="18"/>
                    </w:rPr>
                    <w:t>Other health practitioners</w:t>
                  </w:r>
                </w:p>
              </w:tc>
              <w:tc>
                <w:tcPr>
                  <w:tcW w:w="617" w:type="dxa"/>
                  <w:tcBorders>
                    <w:top w:val="nil"/>
                    <w:left w:val="nil"/>
                    <w:bottom w:val="nil"/>
                    <w:right w:val="nil"/>
                  </w:tcBorders>
                  <w:shd w:val="clear" w:color="auto" w:fill="auto"/>
                  <w:tcMar>
                    <w:left w:w="57" w:type="dxa"/>
                    <w:right w:w="57" w:type="dxa"/>
                  </w:tcMar>
                  <w:vAlign w:val="bottom"/>
                  <w:hideMark/>
                </w:tcPr>
                <w:p w:rsidR="00FB3C42" w:rsidRPr="00593303" w:rsidRDefault="00FB3C42" w:rsidP="00FB3C42">
                  <w:pPr>
                    <w:spacing w:after="40" w:line="200" w:lineRule="atLeast"/>
                    <w:ind w:left="6" w:right="113"/>
                    <w:jc w:val="right"/>
                    <w:rPr>
                      <w:rFonts w:ascii="Arial" w:hAnsi="Arial" w:cs="Arial"/>
                      <w:color w:val="000000"/>
                      <w:sz w:val="18"/>
                      <w:szCs w:val="18"/>
                    </w:rPr>
                  </w:pPr>
                  <w:r w:rsidRPr="00593303">
                    <w:rPr>
                      <w:rFonts w:ascii="Arial" w:hAnsi="Arial" w:cs="Arial"/>
                      <w:color w:val="000000"/>
                      <w:sz w:val="18"/>
                      <w:szCs w:val="18"/>
                    </w:rPr>
                    <w:t>241</w:t>
                  </w:r>
                </w:p>
              </w:tc>
              <w:tc>
                <w:tcPr>
                  <w:tcW w:w="1372" w:type="dxa"/>
                  <w:tcBorders>
                    <w:top w:val="nil"/>
                    <w:left w:val="nil"/>
                    <w:bottom w:val="nil"/>
                    <w:right w:val="nil"/>
                  </w:tcBorders>
                  <w:shd w:val="clear" w:color="auto" w:fill="auto"/>
                  <w:tcMar>
                    <w:left w:w="57" w:type="dxa"/>
                    <w:right w:w="57" w:type="dxa"/>
                  </w:tcMar>
                  <w:vAlign w:val="bottom"/>
                  <w:hideMark/>
                </w:tcPr>
                <w:p w:rsidR="00FB3C42" w:rsidRPr="00593303" w:rsidRDefault="00FB3C42" w:rsidP="00FB3C42">
                  <w:pPr>
                    <w:spacing w:after="40" w:line="200" w:lineRule="atLeast"/>
                    <w:ind w:left="6" w:right="113"/>
                    <w:jc w:val="right"/>
                    <w:rPr>
                      <w:rFonts w:ascii="Arial" w:hAnsi="Arial" w:cs="Arial"/>
                      <w:color w:val="000000"/>
                      <w:sz w:val="18"/>
                      <w:szCs w:val="18"/>
                    </w:rPr>
                  </w:pPr>
                  <w:r w:rsidRPr="00593303">
                    <w:rPr>
                      <w:rFonts w:ascii="Arial" w:hAnsi="Arial" w:cs="Arial"/>
                      <w:color w:val="000000"/>
                      <w:sz w:val="18"/>
                      <w:szCs w:val="18"/>
                    </w:rPr>
                    <w:t>1160</w:t>
                  </w:r>
                </w:p>
              </w:tc>
              <w:tc>
                <w:tcPr>
                  <w:tcW w:w="465" w:type="dxa"/>
                  <w:tcBorders>
                    <w:top w:val="nil"/>
                    <w:left w:val="nil"/>
                    <w:bottom w:val="nil"/>
                    <w:right w:val="nil"/>
                  </w:tcBorders>
                  <w:shd w:val="clear" w:color="auto" w:fill="auto"/>
                  <w:tcMar>
                    <w:left w:w="57" w:type="dxa"/>
                    <w:right w:w="57" w:type="dxa"/>
                  </w:tcMar>
                  <w:vAlign w:val="bottom"/>
                  <w:hideMark/>
                </w:tcPr>
                <w:p w:rsidR="00FB3C42" w:rsidRPr="00593303" w:rsidRDefault="00FB3C42" w:rsidP="00FB3C42">
                  <w:pPr>
                    <w:spacing w:after="40" w:line="200" w:lineRule="atLeast"/>
                    <w:ind w:left="6" w:right="113"/>
                    <w:jc w:val="right"/>
                    <w:rPr>
                      <w:rFonts w:ascii="Arial" w:hAnsi="Arial" w:cs="Arial"/>
                      <w:color w:val="000000"/>
                      <w:sz w:val="18"/>
                      <w:szCs w:val="18"/>
                    </w:rPr>
                  </w:pPr>
                  <w:r w:rsidRPr="00593303">
                    <w:rPr>
                      <w:rFonts w:ascii="Arial" w:hAnsi="Arial" w:cs="Arial"/>
                      <w:color w:val="000000"/>
                      <w:sz w:val="18"/>
                      <w:szCs w:val="18"/>
                    </w:rPr>
                    <w:t>287</w:t>
                  </w:r>
                </w:p>
              </w:tc>
              <w:tc>
                <w:tcPr>
                  <w:tcW w:w="759" w:type="dxa"/>
                  <w:tcBorders>
                    <w:top w:val="nil"/>
                    <w:left w:val="nil"/>
                    <w:bottom w:val="nil"/>
                    <w:right w:val="nil"/>
                  </w:tcBorders>
                  <w:shd w:val="clear" w:color="auto" w:fill="auto"/>
                  <w:tcMar>
                    <w:left w:w="57" w:type="dxa"/>
                    <w:right w:w="57" w:type="dxa"/>
                  </w:tcMar>
                  <w:vAlign w:val="bottom"/>
                  <w:hideMark/>
                </w:tcPr>
                <w:p w:rsidR="00FB3C42" w:rsidRPr="00593303" w:rsidRDefault="00FB3C42" w:rsidP="00FB3C42">
                  <w:pPr>
                    <w:spacing w:after="40" w:line="200" w:lineRule="atLeast"/>
                    <w:ind w:left="6" w:right="113"/>
                    <w:jc w:val="right"/>
                    <w:rPr>
                      <w:rFonts w:ascii="Arial" w:hAnsi="Arial" w:cs="Arial"/>
                      <w:color w:val="000000"/>
                      <w:sz w:val="18"/>
                      <w:szCs w:val="18"/>
                    </w:rPr>
                  </w:pPr>
                  <w:r w:rsidRPr="00593303">
                    <w:rPr>
                      <w:rFonts w:ascii="Arial" w:hAnsi="Arial" w:cs="Arial"/>
                      <w:color w:val="000000"/>
                      <w:sz w:val="18"/>
                      <w:szCs w:val="18"/>
                    </w:rPr>
                    <w:t>1688</w:t>
                  </w:r>
                </w:p>
              </w:tc>
              <w:tc>
                <w:tcPr>
                  <w:tcW w:w="1038" w:type="dxa"/>
                  <w:tcBorders>
                    <w:top w:val="nil"/>
                    <w:left w:val="nil"/>
                    <w:bottom w:val="nil"/>
                    <w:right w:val="nil"/>
                  </w:tcBorders>
                  <w:shd w:val="clear" w:color="auto" w:fill="auto"/>
                  <w:tcMar>
                    <w:left w:w="57" w:type="dxa"/>
                    <w:right w:w="57" w:type="dxa"/>
                  </w:tcMar>
                  <w:vAlign w:val="bottom"/>
                  <w:hideMark/>
                </w:tcPr>
                <w:p w:rsidR="00FB3C42" w:rsidRPr="00593303" w:rsidRDefault="00FB3C42" w:rsidP="00FB3C42">
                  <w:pPr>
                    <w:spacing w:after="40" w:line="200" w:lineRule="atLeast"/>
                    <w:ind w:left="6" w:right="113"/>
                    <w:jc w:val="right"/>
                    <w:rPr>
                      <w:rFonts w:ascii="Arial" w:hAnsi="Arial" w:cs="Arial"/>
                      <w:color w:val="000000"/>
                      <w:sz w:val="18"/>
                      <w:szCs w:val="18"/>
                    </w:rPr>
                  </w:pPr>
                  <w:r w:rsidRPr="00593303">
                    <w:rPr>
                      <w:rFonts w:ascii="Arial" w:hAnsi="Arial" w:cs="Arial"/>
                      <w:color w:val="000000"/>
                      <w:sz w:val="18"/>
                      <w:szCs w:val="18"/>
                    </w:rPr>
                    <w:t>13</w:t>
                  </w:r>
                </w:p>
              </w:tc>
              <w:tc>
                <w:tcPr>
                  <w:tcW w:w="1114" w:type="dxa"/>
                  <w:tcBorders>
                    <w:top w:val="nil"/>
                    <w:left w:val="nil"/>
                    <w:bottom w:val="nil"/>
                    <w:right w:val="nil"/>
                  </w:tcBorders>
                  <w:shd w:val="clear" w:color="auto" w:fill="auto"/>
                  <w:tcMar>
                    <w:left w:w="57" w:type="dxa"/>
                    <w:right w:w="57" w:type="dxa"/>
                  </w:tcMar>
                  <w:vAlign w:val="bottom"/>
                  <w:hideMark/>
                </w:tcPr>
                <w:p w:rsidR="00FB3C42" w:rsidRPr="00593303" w:rsidRDefault="00FB3C42" w:rsidP="00FB3C42">
                  <w:pPr>
                    <w:spacing w:after="40" w:line="200" w:lineRule="atLeast"/>
                    <w:ind w:left="6" w:right="113"/>
                    <w:jc w:val="right"/>
                    <w:rPr>
                      <w:rFonts w:ascii="Arial" w:hAnsi="Arial" w:cs="Arial"/>
                      <w:color w:val="000000"/>
                      <w:sz w:val="18"/>
                      <w:szCs w:val="18"/>
                    </w:rPr>
                  </w:pPr>
                  <w:r w:rsidRPr="00593303">
                    <w:rPr>
                      <w:rFonts w:ascii="Arial" w:hAnsi="Arial" w:cs="Arial"/>
                      <w:color w:val="000000"/>
                      <w:sz w:val="18"/>
                      <w:szCs w:val="18"/>
                    </w:rPr>
                    <w:t>1701</w:t>
                  </w:r>
                </w:p>
              </w:tc>
              <w:tc>
                <w:tcPr>
                  <w:tcW w:w="1038" w:type="dxa"/>
                  <w:tcBorders>
                    <w:top w:val="nil"/>
                    <w:left w:val="nil"/>
                    <w:bottom w:val="nil"/>
                    <w:right w:val="nil"/>
                  </w:tcBorders>
                  <w:shd w:val="clear" w:color="auto" w:fill="auto"/>
                  <w:tcMar>
                    <w:left w:w="57" w:type="dxa"/>
                    <w:right w:w="57" w:type="dxa"/>
                  </w:tcMar>
                  <w:vAlign w:val="bottom"/>
                  <w:hideMark/>
                </w:tcPr>
                <w:p w:rsidR="00FB3C42" w:rsidRPr="00593303" w:rsidRDefault="00FB3C42" w:rsidP="00FB3C42">
                  <w:pPr>
                    <w:spacing w:after="40" w:line="200" w:lineRule="atLeast"/>
                    <w:ind w:left="6" w:right="113"/>
                    <w:jc w:val="right"/>
                    <w:rPr>
                      <w:rFonts w:ascii="Arial" w:hAnsi="Arial" w:cs="Arial"/>
                      <w:color w:val="000000"/>
                      <w:sz w:val="18"/>
                      <w:szCs w:val="18"/>
                    </w:rPr>
                  </w:pPr>
                  <w:r w:rsidRPr="00593303">
                    <w:rPr>
                      <w:rFonts w:ascii="Arial" w:hAnsi="Arial" w:cs="Arial"/>
                      <w:color w:val="000000"/>
                      <w:sz w:val="18"/>
                      <w:szCs w:val="18"/>
                    </w:rPr>
                    <w:t>3508</w:t>
                  </w:r>
                </w:p>
              </w:tc>
              <w:tc>
                <w:tcPr>
                  <w:tcW w:w="1114" w:type="dxa"/>
                  <w:tcBorders>
                    <w:top w:val="nil"/>
                    <w:left w:val="nil"/>
                    <w:bottom w:val="nil"/>
                    <w:right w:val="nil"/>
                  </w:tcBorders>
                  <w:shd w:val="clear" w:color="auto" w:fill="auto"/>
                  <w:tcMar>
                    <w:left w:w="57" w:type="dxa"/>
                    <w:right w:w="57" w:type="dxa"/>
                  </w:tcMar>
                  <w:vAlign w:val="bottom"/>
                  <w:hideMark/>
                </w:tcPr>
                <w:p w:rsidR="00FB3C42" w:rsidRPr="00593303" w:rsidRDefault="00FB3C42" w:rsidP="00FB3C42">
                  <w:pPr>
                    <w:spacing w:after="40" w:line="200" w:lineRule="atLeast"/>
                    <w:ind w:left="6" w:right="113"/>
                    <w:jc w:val="right"/>
                    <w:rPr>
                      <w:rFonts w:ascii="Arial" w:hAnsi="Arial" w:cs="Arial"/>
                      <w:color w:val="000000"/>
                      <w:sz w:val="18"/>
                      <w:szCs w:val="18"/>
                    </w:rPr>
                  </w:pPr>
                  <w:r w:rsidRPr="00593303">
                    <w:rPr>
                      <w:rFonts w:ascii="Arial" w:hAnsi="Arial" w:cs="Arial"/>
                      <w:color w:val="000000"/>
                      <w:sz w:val="18"/>
                      <w:szCs w:val="18"/>
                    </w:rPr>
                    <w:t>5209</w:t>
                  </w:r>
                </w:p>
              </w:tc>
            </w:tr>
            <w:tr w:rsidR="00FB3C42" w:rsidRPr="00593303" w:rsidTr="00FC701A">
              <w:trPr>
                <w:trHeight w:val="300"/>
              </w:trPr>
              <w:tc>
                <w:tcPr>
                  <w:tcW w:w="1108" w:type="dxa"/>
                  <w:tcBorders>
                    <w:top w:val="nil"/>
                    <w:left w:val="nil"/>
                    <w:bottom w:val="nil"/>
                    <w:right w:val="nil"/>
                  </w:tcBorders>
                  <w:shd w:val="clear" w:color="auto" w:fill="auto"/>
                  <w:tcMar>
                    <w:left w:w="57" w:type="dxa"/>
                    <w:right w:w="57" w:type="dxa"/>
                  </w:tcMar>
                  <w:vAlign w:val="bottom"/>
                  <w:hideMark/>
                </w:tcPr>
                <w:p w:rsidR="00FB3C42" w:rsidRPr="00593303" w:rsidRDefault="00FB3C42" w:rsidP="009C4D8D">
                  <w:pPr>
                    <w:spacing w:after="40" w:line="200" w:lineRule="atLeast"/>
                    <w:ind w:left="6"/>
                    <w:rPr>
                      <w:rFonts w:ascii="Arial" w:hAnsi="Arial" w:cs="Arial"/>
                      <w:color w:val="000000"/>
                      <w:sz w:val="18"/>
                      <w:szCs w:val="18"/>
                    </w:rPr>
                  </w:pPr>
                  <w:r>
                    <w:rPr>
                      <w:rFonts w:ascii="Arial" w:hAnsi="Arial" w:cs="Arial"/>
                      <w:color w:val="000000"/>
                      <w:sz w:val="18"/>
                      <w:szCs w:val="18"/>
                    </w:rPr>
                    <w:t>Community health and</w:t>
                  </w:r>
                  <w:r w:rsidR="009C4D8D">
                    <w:rPr>
                      <w:rFonts w:ascii="Arial" w:hAnsi="Arial" w:cs="Arial"/>
                      <w:color w:val="000000"/>
                      <w:sz w:val="18"/>
                      <w:szCs w:val="18"/>
                    </w:rPr>
                    <w:t xml:space="preserve"> </w:t>
                  </w:r>
                  <w:r>
                    <w:rPr>
                      <w:rFonts w:ascii="Arial" w:hAnsi="Arial" w:cs="Arial"/>
                      <w:color w:val="000000"/>
                      <w:sz w:val="18"/>
                      <w:szCs w:val="18"/>
                    </w:rPr>
                    <w:t>other</w:t>
                  </w:r>
                  <w:r w:rsidRPr="009C4D8D">
                    <w:rPr>
                      <w:rStyle w:val="NoteLabel"/>
                      <w:position w:val="4"/>
                    </w:rPr>
                    <w:t>e</w:t>
                  </w:r>
                </w:p>
              </w:tc>
              <w:tc>
                <w:tcPr>
                  <w:tcW w:w="617" w:type="dxa"/>
                  <w:tcBorders>
                    <w:top w:val="nil"/>
                    <w:left w:val="nil"/>
                    <w:bottom w:val="nil"/>
                    <w:right w:val="nil"/>
                  </w:tcBorders>
                  <w:shd w:val="clear" w:color="auto" w:fill="auto"/>
                  <w:tcMar>
                    <w:left w:w="57" w:type="dxa"/>
                    <w:right w:w="57" w:type="dxa"/>
                  </w:tcMar>
                  <w:vAlign w:val="bottom"/>
                  <w:hideMark/>
                </w:tcPr>
                <w:p w:rsidR="00FB3C42" w:rsidRPr="00593303" w:rsidRDefault="00FB3C42" w:rsidP="00FB3C42">
                  <w:pPr>
                    <w:spacing w:after="40" w:line="200" w:lineRule="atLeast"/>
                    <w:ind w:left="6" w:right="113"/>
                    <w:jc w:val="right"/>
                    <w:rPr>
                      <w:rFonts w:ascii="Arial" w:hAnsi="Arial" w:cs="Arial"/>
                      <w:color w:val="000000"/>
                      <w:sz w:val="18"/>
                      <w:szCs w:val="18"/>
                    </w:rPr>
                  </w:pPr>
                  <w:r w:rsidRPr="00593303">
                    <w:rPr>
                      <w:rFonts w:ascii="Arial" w:hAnsi="Arial" w:cs="Arial"/>
                      <w:color w:val="000000"/>
                      <w:sz w:val="18"/>
                      <w:szCs w:val="18"/>
                    </w:rPr>
                    <w:t>1</w:t>
                  </w:r>
                </w:p>
              </w:tc>
              <w:tc>
                <w:tcPr>
                  <w:tcW w:w="1372" w:type="dxa"/>
                  <w:tcBorders>
                    <w:top w:val="nil"/>
                    <w:left w:val="nil"/>
                    <w:bottom w:val="nil"/>
                    <w:right w:val="nil"/>
                  </w:tcBorders>
                  <w:shd w:val="clear" w:color="auto" w:fill="auto"/>
                  <w:tcMar>
                    <w:left w:w="57" w:type="dxa"/>
                    <w:right w:w="57" w:type="dxa"/>
                  </w:tcMar>
                  <w:vAlign w:val="bottom"/>
                  <w:hideMark/>
                </w:tcPr>
                <w:p w:rsidR="00FB3C42" w:rsidRPr="00593303" w:rsidRDefault="00FB3C42" w:rsidP="00FB3C42">
                  <w:pPr>
                    <w:spacing w:after="40" w:line="200" w:lineRule="atLeast"/>
                    <w:ind w:left="6" w:right="113"/>
                    <w:jc w:val="right"/>
                    <w:rPr>
                      <w:rFonts w:ascii="Arial" w:hAnsi="Arial" w:cs="Arial"/>
                      <w:color w:val="000000"/>
                      <w:sz w:val="18"/>
                      <w:szCs w:val="18"/>
                    </w:rPr>
                  </w:pPr>
                  <w:r w:rsidRPr="00593303">
                    <w:rPr>
                      <w:rFonts w:ascii="Arial" w:hAnsi="Arial" w:cs="Arial"/>
                      <w:color w:val="000000"/>
                      <w:sz w:val="18"/>
                      <w:szCs w:val="18"/>
                    </w:rPr>
                    <w:t>1181</w:t>
                  </w:r>
                </w:p>
              </w:tc>
              <w:tc>
                <w:tcPr>
                  <w:tcW w:w="465" w:type="dxa"/>
                  <w:tcBorders>
                    <w:top w:val="nil"/>
                    <w:left w:val="nil"/>
                    <w:bottom w:val="nil"/>
                    <w:right w:val="nil"/>
                  </w:tcBorders>
                  <w:shd w:val="clear" w:color="auto" w:fill="auto"/>
                  <w:tcMar>
                    <w:left w:w="57" w:type="dxa"/>
                    <w:right w:w="57" w:type="dxa"/>
                  </w:tcMar>
                  <w:vAlign w:val="bottom"/>
                  <w:hideMark/>
                </w:tcPr>
                <w:p w:rsidR="00FB3C42" w:rsidRPr="00593303" w:rsidRDefault="00FB3C42" w:rsidP="00FB3C42">
                  <w:pPr>
                    <w:spacing w:after="40" w:line="200" w:lineRule="atLeast"/>
                    <w:ind w:left="6" w:right="113"/>
                    <w:jc w:val="right"/>
                    <w:rPr>
                      <w:rFonts w:ascii="Arial" w:hAnsi="Arial" w:cs="Arial"/>
                      <w:color w:val="000000"/>
                      <w:sz w:val="18"/>
                      <w:szCs w:val="18"/>
                    </w:rPr>
                  </w:pPr>
                  <w:r w:rsidRPr="00593303">
                    <w:rPr>
                      <w:rFonts w:ascii="Arial" w:hAnsi="Arial" w:cs="Arial"/>
                      <w:color w:val="000000"/>
                      <w:sz w:val="18"/>
                      <w:szCs w:val="18"/>
                    </w:rPr>
                    <w:t xml:space="preserve">          –</w:t>
                  </w:r>
                </w:p>
              </w:tc>
              <w:tc>
                <w:tcPr>
                  <w:tcW w:w="759" w:type="dxa"/>
                  <w:tcBorders>
                    <w:top w:val="nil"/>
                    <w:left w:val="nil"/>
                    <w:bottom w:val="nil"/>
                    <w:right w:val="nil"/>
                  </w:tcBorders>
                  <w:shd w:val="clear" w:color="auto" w:fill="auto"/>
                  <w:tcMar>
                    <w:left w:w="57" w:type="dxa"/>
                    <w:right w:w="57" w:type="dxa"/>
                  </w:tcMar>
                  <w:vAlign w:val="bottom"/>
                  <w:hideMark/>
                </w:tcPr>
                <w:p w:rsidR="00FB3C42" w:rsidRPr="00593303" w:rsidRDefault="00FB3C42" w:rsidP="00FB3C42">
                  <w:pPr>
                    <w:spacing w:after="40" w:line="200" w:lineRule="atLeast"/>
                    <w:ind w:left="6" w:right="113"/>
                    <w:jc w:val="right"/>
                    <w:rPr>
                      <w:rFonts w:ascii="Arial" w:hAnsi="Arial" w:cs="Arial"/>
                      <w:color w:val="000000"/>
                      <w:sz w:val="18"/>
                      <w:szCs w:val="18"/>
                    </w:rPr>
                  </w:pPr>
                  <w:r w:rsidRPr="00593303">
                    <w:rPr>
                      <w:rFonts w:ascii="Arial" w:hAnsi="Arial" w:cs="Arial"/>
                      <w:color w:val="000000"/>
                      <w:sz w:val="18"/>
                      <w:szCs w:val="18"/>
                    </w:rPr>
                    <w:t>1182</w:t>
                  </w:r>
                </w:p>
              </w:tc>
              <w:tc>
                <w:tcPr>
                  <w:tcW w:w="1038" w:type="dxa"/>
                  <w:tcBorders>
                    <w:top w:val="nil"/>
                    <w:left w:val="nil"/>
                    <w:bottom w:val="nil"/>
                    <w:right w:val="nil"/>
                  </w:tcBorders>
                  <w:shd w:val="clear" w:color="auto" w:fill="auto"/>
                  <w:tcMar>
                    <w:left w:w="57" w:type="dxa"/>
                    <w:right w:w="57" w:type="dxa"/>
                  </w:tcMar>
                  <w:vAlign w:val="bottom"/>
                  <w:hideMark/>
                </w:tcPr>
                <w:p w:rsidR="00FB3C42" w:rsidRPr="00593303" w:rsidRDefault="00FB3C42" w:rsidP="00FB3C42">
                  <w:pPr>
                    <w:spacing w:after="40" w:line="200" w:lineRule="atLeast"/>
                    <w:ind w:left="6" w:right="113"/>
                    <w:jc w:val="right"/>
                    <w:rPr>
                      <w:rFonts w:ascii="Arial" w:hAnsi="Arial" w:cs="Arial"/>
                      <w:color w:val="000000"/>
                      <w:sz w:val="18"/>
                      <w:szCs w:val="18"/>
                    </w:rPr>
                  </w:pPr>
                  <w:r w:rsidRPr="00593303">
                    <w:rPr>
                      <w:rFonts w:ascii="Arial" w:hAnsi="Arial" w:cs="Arial"/>
                      <w:color w:val="000000"/>
                      <w:sz w:val="18"/>
                      <w:szCs w:val="18"/>
                    </w:rPr>
                    <w:t>5909</w:t>
                  </w:r>
                </w:p>
              </w:tc>
              <w:tc>
                <w:tcPr>
                  <w:tcW w:w="1114" w:type="dxa"/>
                  <w:tcBorders>
                    <w:top w:val="nil"/>
                    <w:left w:val="nil"/>
                    <w:bottom w:val="nil"/>
                    <w:right w:val="nil"/>
                  </w:tcBorders>
                  <w:shd w:val="clear" w:color="auto" w:fill="auto"/>
                  <w:tcMar>
                    <w:left w:w="57" w:type="dxa"/>
                    <w:right w:w="57" w:type="dxa"/>
                  </w:tcMar>
                  <w:vAlign w:val="bottom"/>
                  <w:hideMark/>
                </w:tcPr>
                <w:p w:rsidR="00FB3C42" w:rsidRPr="00593303" w:rsidRDefault="00FB3C42" w:rsidP="00FB3C42">
                  <w:pPr>
                    <w:spacing w:after="40" w:line="200" w:lineRule="atLeast"/>
                    <w:ind w:left="6" w:right="113"/>
                    <w:jc w:val="right"/>
                    <w:rPr>
                      <w:rFonts w:ascii="Arial" w:hAnsi="Arial" w:cs="Arial"/>
                      <w:color w:val="000000"/>
                      <w:sz w:val="18"/>
                      <w:szCs w:val="18"/>
                    </w:rPr>
                  </w:pPr>
                  <w:r w:rsidRPr="00593303">
                    <w:rPr>
                      <w:rFonts w:ascii="Arial" w:hAnsi="Arial" w:cs="Arial"/>
                      <w:color w:val="000000"/>
                      <w:sz w:val="18"/>
                      <w:szCs w:val="18"/>
                    </w:rPr>
                    <w:t>7092</w:t>
                  </w:r>
                </w:p>
              </w:tc>
              <w:tc>
                <w:tcPr>
                  <w:tcW w:w="1038" w:type="dxa"/>
                  <w:tcBorders>
                    <w:top w:val="nil"/>
                    <w:left w:val="nil"/>
                    <w:bottom w:val="nil"/>
                    <w:right w:val="nil"/>
                  </w:tcBorders>
                  <w:shd w:val="clear" w:color="auto" w:fill="auto"/>
                  <w:tcMar>
                    <w:left w:w="57" w:type="dxa"/>
                    <w:right w:w="57" w:type="dxa"/>
                  </w:tcMar>
                  <w:vAlign w:val="bottom"/>
                  <w:hideMark/>
                </w:tcPr>
                <w:p w:rsidR="00FB3C42" w:rsidRPr="00593303" w:rsidRDefault="00FB3C42" w:rsidP="00FB3C42">
                  <w:pPr>
                    <w:spacing w:after="40" w:line="200" w:lineRule="atLeast"/>
                    <w:ind w:left="6" w:right="113"/>
                    <w:jc w:val="right"/>
                    <w:rPr>
                      <w:rFonts w:ascii="Arial" w:hAnsi="Arial" w:cs="Arial"/>
                      <w:color w:val="000000"/>
                      <w:sz w:val="18"/>
                      <w:szCs w:val="18"/>
                    </w:rPr>
                  </w:pPr>
                  <w:r w:rsidRPr="00593303">
                    <w:rPr>
                      <w:rFonts w:ascii="Arial" w:hAnsi="Arial" w:cs="Arial"/>
                      <w:color w:val="000000"/>
                      <w:sz w:val="18"/>
                      <w:szCs w:val="18"/>
                    </w:rPr>
                    <w:t>352</w:t>
                  </w:r>
                </w:p>
              </w:tc>
              <w:tc>
                <w:tcPr>
                  <w:tcW w:w="1114" w:type="dxa"/>
                  <w:tcBorders>
                    <w:top w:val="nil"/>
                    <w:left w:val="nil"/>
                    <w:bottom w:val="nil"/>
                    <w:right w:val="nil"/>
                  </w:tcBorders>
                  <w:shd w:val="clear" w:color="auto" w:fill="auto"/>
                  <w:tcMar>
                    <w:left w:w="57" w:type="dxa"/>
                    <w:right w:w="57" w:type="dxa"/>
                  </w:tcMar>
                  <w:vAlign w:val="bottom"/>
                  <w:hideMark/>
                </w:tcPr>
                <w:p w:rsidR="00FB3C42" w:rsidRPr="00593303" w:rsidRDefault="00FB3C42" w:rsidP="00FB3C42">
                  <w:pPr>
                    <w:spacing w:after="40" w:line="200" w:lineRule="atLeast"/>
                    <w:ind w:left="6" w:right="113"/>
                    <w:jc w:val="right"/>
                    <w:rPr>
                      <w:rFonts w:ascii="Arial" w:hAnsi="Arial" w:cs="Arial"/>
                      <w:color w:val="000000"/>
                      <w:sz w:val="18"/>
                      <w:szCs w:val="18"/>
                    </w:rPr>
                  </w:pPr>
                  <w:r w:rsidRPr="00593303">
                    <w:rPr>
                      <w:rFonts w:ascii="Arial" w:hAnsi="Arial" w:cs="Arial"/>
                      <w:color w:val="000000"/>
                      <w:sz w:val="18"/>
                      <w:szCs w:val="18"/>
                    </w:rPr>
                    <w:t>7444</w:t>
                  </w:r>
                </w:p>
              </w:tc>
            </w:tr>
            <w:tr w:rsidR="00FB3C42" w:rsidRPr="00593303" w:rsidTr="00FC701A">
              <w:trPr>
                <w:trHeight w:val="300"/>
              </w:trPr>
              <w:tc>
                <w:tcPr>
                  <w:tcW w:w="1108" w:type="dxa"/>
                  <w:tcBorders>
                    <w:top w:val="nil"/>
                    <w:left w:val="nil"/>
                    <w:bottom w:val="nil"/>
                    <w:right w:val="nil"/>
                  </w:tcBorders>
                  <w:shd w:val="clear" w:color="auto" w:fill="auto"/>
                  <w:tcMar>
                    <w:left w:w="57" w:type="dxa"/>
                    <w:right w:w="57" w:type="dxa"/>
                  </w:tcMar>
                  <w:vAlign w:val="bottom"/>
                  <w:hideMark/>
                </w:tcPr>
                <w:p w:rsidR="00FB3C42" w:rsidRPr="00593303" w:rsidRDefault="00FB3C42" w:rsidP="00FB3C42">
                  <w:pPr>
                    <w:spacing w:after="40" w:line="200" w:lineRule="atLeast"/>
                    <w:ind w:left="6" w:right="113"/>
                    <w:rPr>
                      <w:rFonts w:ascii="Arial" w:hAnsi="Arial" w:cs="Arial"/>
                      <w:color w:val="000000"/>
                      <w:sz w:val="18"/>
                      <w:szCs w:val="18"/>
                    </w:rPr>
                  </w:pPr>
                  <w:r w:rsidRPr="00593303">
                    <w:rPr>
                      <w:rFonts w:ascii="Arial" w:hAnsi="Arial" w:cs="Arial"/>
                      <w:color w:val="000000"/>
                      <w:sz w:val="18"/>
                      <w:szCs w:val="18"/>
                    </w:rPr>
                    <w:t>Public health</w:t>
                  </w:r>
                </w:p>
              </w:tc>
              <w:tc>
                <w:tcPr>
                  <w:tcW w:w="617" w:type="dxa"/>
                  <w:tcBorders>
                    <w:top w:val="nil"/>
                    <w:left w:val="nil"/>
                    <w:bottom w:val="nil"/>
                    <w:right w:val="nil"/>
                  </w:tcBorders>
                  <w:shd w:val="clear" w:color="auto" w:fill="auto"/>
                  <w:tcMar>
                    <w:left w:w="57" w:type="dxa"/>
                    <w:right w:w="57" w:type="dxa"/>
                  </w:tcMar>
                  <w:vAlign w:val="bottom"/>
                  <w:hideMark/>
                </w:tcPr>
                <w:p w:rsidR="00FB3C42" w:rsidRPr="00593303" w:rsidRDefault="00FB3C42" w:rsidP="00FB3C42">
                  <w:pPr>
                    <w:spacing w:after="40" w:line="200" w:lineRule="atLeast"/>
                    <w:ind w:left="6" w:right="113"/>
                    <w:jc w:val="right"/>
                    <w:rPr>
                      <w:rFonts w:ascii="Arial" w:hAnsi="Arial" w:cs="Arial"/>
                      <w:color w:val="000000"/>
                      <w:sz w:val="18"/>
                      <w:szCs w:val="18"/>
                    </w:rPr>
                  </w:pPr>
                  <w:r w:rsidRPr="00593303">
                    <w:rPr>
                      <w:rFonts w:ascii="Arial" w:hAnsi="Arial" w:cs="Arial"/>
                      <w:color w:val="000000"/>
                      <w:sz w:val="18"/>
                      <w:szCs w:val="18"/>
                    </w:rPr>
                    <w:t>..</w:t>
                  </w:r>
                </w:p>
              </w:tc>
              <w:tc>
                <w:tcPr>
                  <w:tcW w:w="1372" w:type="dxa"/>
                  <w:tcBorders>
                    <w:top w:val="nil"/>
                    <w:left w:val="nil"/>
                    <w:bottom w:val="nil"/>
                    <w:right w:val="nil"/>
                  </w:tcBorders>
                  <w:shd w:val="clear" w:color="auto" w:fill="auto"/>
                  <w:tcMar>
                    <w:left w:w="57" w:type="dxa"/>
                    <w:right w:w="57" w:type="dxa"/>
                  </w:tcMar>
                  <w:vAlign w:val="bottom"/>
                  <w:hideMark/>
                </w:tcPr>
                <w:p w:rsidR="00FB3C42" w:rsidRPr="00593303" w:rsidRDefault="00FB3C42" w:rsidP="00FB3C42">
                  <w:pPr>
                    <w:spacing w:after="40" w:line="200" w:lineRule="atLeast"/>
                    <w:ind w:left="6" w:right="113"/>
                    <w:jc w:val="right"/>
                    <w:rPr>
                      <w:rFonts w:ascii="Arial" w:hAnsi="Arial" w:cs="Arial"/>
                      <w:color w:val="000000"/>
                      <w:sz w:val="18"/>
                      <w:szCs w:val="18"/>
                    </w:rPr>
                  </w:pPr>
                  <w:r w:rsidRPr="00593303">
                    <w:rPr>
                      <w:rFonts w:ascii="Arial" w:hAnsi="Arial" w:cs="Arial"/>
                      <w:color w:val="000000"/>
                      <w:sz w:val="18"/>
                      <w:szCs w:val="18"/>
                    </w:rPr>
                    <w:t>1150</w:t>
                  </w:r>
                </w:p>
              </w:tc>
              <w:tc>
                <w:tcPr>
                  <w:tcW w:w="465" w:type="dxa"/>
                  <w:tcBorders>
                    <w:top w:val="nil"/>
                    <w:left w:val="nil"/>
                    <w:bottom w:val="nil"/>
                    <w:right w:val="nil"/>
                  </w:tcBorders>
                  <w:shd w:val="clear" w:color="auto" w:fill="auto"/>
                  <w:tcMar>
                    <w:left w:w="57" w:type="dxa"/>
                    <w:right w:w="57" w:type="dxa"/>
                  </w:tcMar>
                  <w:vAlign w:val="bottom"/>
                  <w:hideMark/>
                </w:tcPr>
                <w:p w:rsidR="00FB3C42" w:rsidRPr="00593303" w:rsidRDefault="00FB3C42" w:rsidP="00FB3C42">
                  <w:pPr>
                    <w:spacing w:after="40" w:line="200" w:lineRule="atLeast"/>
                    <w:ind w:left="6" w:right="113"/>
                    <w:jc w:val="right"/>
                    <w:rPr>
                      <w:rFonts w:ascii="Arial" w:hAnsi="Arial" w:cs="Arial"/>
                      <w:color w:val="000000"/>
                      <w:sz w:val="18"/>
                      <w:szCs w:val="18"/>
                    </w:rPr>
                  </w:pPr>
                  <w:r w:rsidRPr="00593303">
                    <w:rPr>
                      <w:rFonts w:ascii="Arial" w:hAnsi="Arial" w:cs="Arial"/>
                      <w:color w:val="000000"/>
                      <w:sz w:val="18"/>
                      <w:szCs w:val="18"/>
                    </w:rPr>
                    <w:t>..</w:t>
                  </w:r>
                </w:p>
              </w:tc>
              <w:tc>
                <w:tcPr>
                  <w:tcW w:w="759" w:type="dxa"/>
                  <w:tcBorders>
                    <w:top w:val="nil"/>
                    <w:left w:val="nil"/>
                    <w:bottom w:val="nil"/>
                    <w:right w:val="nil"/>
                  </w:tcBorders>
                  <w:shd w:val="clear" w:color="auto" w:fill="auto"/>
                  <w:tcMar>
                    <w:left w:w="57" w:type="dxa"/>
                    <w:right w:w="57" w:type="dxa"/>
                  </w:tcMar>
                  <w:vAlign w:val="bottom"/>
                  <w:hideMark/>
                </w:tcPr>
                <w:p w:rsidR="00FB3C42" w:rsidRPr="00593303" w:rsidRDefault="00FB3C42" w:rsidP="00FB3C42">
                  <w:pPr>
                    <w:spacing w:after="40" w:line="200" w:lineRule="atLeast"/>
                    <w:ind w:left="6" w:right="113"/>
                    <w:jc w:val="right"/>
                    <w:rPr>
                      <w:rFonts w:ascii="Arial" w:hAnsi="Arial" w:cs="Arial"/>
                      <w:color w:val="000000"/>
                      <w:sz w:val="18"/>
                      <w:szCs w:val="18"/>
                    </w:rPr>
                  </w:pPr>
                  <w:r w:rsidRPr="00593303">
                    <w:rPr>
                      <w:rFonts w:ascii="Arial" w:hAnsi="Arial" w:cs="Arial"/>
                      <w:color w:val="000000"/>
                      <w:sz w:val="18"/>
                      <w:szCs w:val="18"/>
                    </w:rPr>
                    <w:t>1150</w:t>
                  </w:r>
                </w:p>
              </w:tc>
              <w:tc>
                <w:tcPr>
                  <w:tcW w:w="1038" w:type="dxa"/>
                  <w:tcBorders>
                    <w:top w:val="nil"/>
                    <w:left w:val="nil"/>
                    <w:bottom w:val="nil"/>
                    <w:right w:val="nil"/>
                  </w:tcBorders>
                  <w:shd w:val="clear" w:color="auto" w:fill="auto"/>
                  <w:tcMar>
                    <w:left w:w="57" w:type="dxa"/>
                    <w:right w:w="57" w:type="dxa"/>
                  </w:tcMar>
                  <w:vAlign w:val="bottom"/>
                  <w:hideMark/>
                </w:tcPr>
                <w:p w:rsidR="00FB3C42" w:rsidRPr="00593303" w:rsidRDefault="00FB3C42" w:rsidP="00FB3C42">
                  <w:pPr>
                    <w:spacing w:after="40" w:line="200" w:lineRule="atLeast"/>
                    <w:ind w:left="6" w:right="113"/>
                    <w:jc w:val="right"/>
                    <w:rPr>
                      <w:rFonts w:ascii="Arial" w:hAnsi="Arial" w:cs="Arial"/>
                      <w:color w:val="000000"/>
                      <w:sz w:val="18"/>
                      <w:szCs w:val="18"/>
                    </w:rPr>
                  </w:pPr>
                  <w:r w:rsidRPr="00593303">
                    <w:rPr>
                      <w:rFonts w:ascii="Arial" w:hAnsi="Arial" w:cs="Arial"/>
                      <w:color w:val="000000"/>
                      <w:sz w:val="18"/>
                      <w:szCs w:val="18"/>
                    </w:rPr>
                    <w:t>884</w:t>
                  </w:r>
                </w:p>
              </w:tc>
              <w:tc>
                <w:tcPr>
                  <w:tcW w:w="1114" w:type="dxa"/>
                  <w:tcBorders>
                    <w:top w:val="nil"/>
                    <w:left w:val="nil"/>
                    <w:bottom w:val="nil"/>
                    <w:right w:val="nil"/>
                  </w:tcBorders>
                  <w:shd w:val="clear" w:color="auto" w:fill="auto"/>
                  <w:tcMar>
                    <w:left w:w="57" w:type="dxa"/>
                    <w:right w:w="57" w:type="dxa"/>
                  </w:tcMar>
                  <w:vAlign w:val="bottom"/>
                  <w:hideMark/>
                </w:tcPr>
                <w:p w:rsidR="00FB3C42" w:rsidRPr="00593303" w:rsidRDefault="00FB3C42" w:rsidP="00FB3C42">
                  <w:pPr>
                    <w:spacing w:after="40" w:line="200" w:lineRule="atLeast"/>
                    <w:ind w:left="6" w:right="113"/>
                    <w:jc w:val="right"/>
                    <w:rPr>
                      <w:rFonts w:ascii="Arial" w:hAnsi="Arial" w:cs="Arial"/>
                      <w:color w:val="000000"/>
                      <w:sz w:val="18"/>
                      <w:szCs w:val="18"/>
                    </w:rPr>
                  </w:pPr>
                  <w:r w:rsidRPr="00593303">
                    <w:rPr>
                      <w:rFonts w:ascii="Arial" w:hAnsi="Arial" w:cs="Arial"/>
                      <w:color w:val="000000"/>
                      <w:sz w:val="18"/>
                      <w:szCs w:val="18"/>
                    </w:rPr>
                    <w:t>2034</w:t>
                  </w:r>
                </w:p>
              </w:tc>
              <w:tc>
                <w:tcPr>
                  <w:tcW w:w="1038" w:type="dxa"/>
                  <w:tcBorders>
                    <w:top w:val="nil"/>
                    <w:left w:val="nil"/>
                    <w:bottom w:val="nil"/>
                    <w:right w:val="nil"/>
                  </w:tcBorders>
                  <w:shd w:val="clear" w:color="auto" w:fill="auto"/>
                  <w:tcMar>
                    <w:left w:w="57" w:type="dxa"/>
                    <w:right w:w="57" w:type="dxa"/>
                  </w:tcMar>
                  <w:vAlign w:val="bottom"/>
                  <w:hideMark/>
                </w:tcPr>
                <w:p w:rsidR="00FB3C42" w:rsidRPr="00593303" w:rsidRDefault="00FB3C42" w:rsidP="00FB3C42">
                  <w:pPr>
                    <w:spacing w:after="40" w:line="200" w:lineRule="atLeast"/>
                    <w:ind w:left="6" w:right="113"/>
                    <w:jc w:val="right"/>
                    <w:rPr>
                      <w:rFonts w:ascii="Arial" w:hAnsi="Arial" w:cs="Arial"/>
                      <w:color w:val="000000"/>
                      <w:sz w:val="18"/>
                      <w:szCs w:val="18"/>
                    </w:rPr>
                  </w:pPr>
                  <w:r w:rsidRPr="00593303">
                    <w:rPr>
                      <w:rFonts w:ascii="Arial" w:hAnsi="Arial" w:cs="Arial"/>
                      <w:color w:val="000000"/>
                      <w:sz w:val="18"/>
                      <w:szCs w:val="18"/>
                    </w:rPr>
                    <w:t>109</w:t>
                  </w:r>
                </w:p>
              </w:tc>
              <w:tc>
                <w:tcPr>
                  <w:tcW w:w="1114" w:type="dxa"/>
                  <w:tcBorders>
                    <w:top w:val="nil"/>
                    <w:left w:val="nil"/>
                    <w:bottom w:val="nil"/>
                    <w:right w:val="nil"/>
                  </w:tcBorders>
                  <w:shd w:val="clear" w:color="auto" w:fill="auto"/>
                  <w:tcMar>
                    <w:left w:w="57" w:type="dxa"/>
                    <w:right w:w="57" w:type="dxa"/>
                  </w:tcMar>
                  <w:vAlign w:val="bottom"/>
                  <w:hideMark/>
                </w:tcPr>
                <w:p w:rsidR="00FB3C42" w:rsidRPr="00593303" w:rsidRDefault="00FB3C42" w:rsidP="00FB3C42">
                  <w:pPr>
                    <w:spacing w:after="40" w:line="200" w:lineRule="atLeast"/>
                    <w:ind w:left="6" w:right="113"/>
                    <w:jc w:val="right"/>
                    <w:rPr>
                      <w:rFonts w:ascii="Arial" w:hAnsi="Arial" w:cs="Arial"/>
                      <w:color w:val="000000"/>
                      <w:sz w:val="18"/>
                      <w:szCs w:val="18"/>
                    </w:rPr>
                  </w:pPr>
                  <w:r w:rsidRPr="00593303">
                    <w:rPr>
                      <w:rFonts w:ascii="Arial" w:hAnsi="Arial" w:cs="Arial"/>
                      <w:color w:val="000000"/>
                      <w:sz w:val="18"/>
                      <w:szCs w:val="18"/>
                    </w:rPr>
                    <w:t>2143</w:t>
                  </w:r>
                </w:p>
              </w:tc>
            </w:tr>
            <w:tr w:rsidR="00FB3C42" w:rsidRPr="00593303" w:rsidTr="00FC701A">
              <w:trPr>
                <w:trHeight w:val="300"/>
              </w:trPr>
              <w:tc>
                <w:tcPr>
                  <w:tcW w:w="1108" w:type="dxa"/>
                  <w:tcBorders>
                    <w:top w:val="nil"/>
                    <w:left w:val="nil"/>
                    <w:bottom w:val="nil"/>
                    <w:right w:val="nil"/>
                  </w:tcBorders>
                  <w:shd w:val="clear" w:color="auto" w:fill="auto"/>
                  <w:tcMar>
                    <w:left w:w="57" w:type="dxa"/>
                    <w:right w:w="57" w:type="dxa"/>
                  </w:tcMar>
                  <w:vAlign w:val="bottom"/>
                  <w:hideMark/>
                </w:tcPr>
                <w:p w:rsidR="00FB3C42" w:rsidRPr="00593303" w:rsidRDefault="00FB3C42" w:rsidP="00FB3C42">
                  <w:pPr>
                    <w:spacing w:after="40" w:line="200" w:lineRule="atLeast"/>
                    <w:ind w:left="6"/>
                    <w:rPr>
                      <w:rFonts w:ascii="Arial" w:hAnsi="Arial" w:cs="Arial"/>
                      <w:color w:val="000000"/>
                      <w:sz w:val="18"/>
                      <w:szCs w:val="18"/>
                    </w:rPr>
                  </w:pPr>
                  <w:r w:rsidRPr="00593303">
                    <w:rPr>
                      <w:rFonts w:ascii="Arial" w:hAnsi="Arial" w:cs="Arial"/>
                      <w:color w:val="000000"/>
                      <w:sz w:val="18"/>
                      <w:szCs w:val="18"/>
                    </w:rPr>
                    <w:t>Benefit-paid medications</w:t>
                  </w:r>
                </w:p>
              </w:tc>
              <w:tc>
                <w:tcPr>
                  <w:tcW w:w="617" w:type="dxa"/>
                  <w:tcBorders>
                    <w:top w:val="nil"/>
                    <w:left w:val="nil"/>
                    <w:bottom w:val="nil"/>
                    <w:right w:val="nil"/>
                  </w:tcBorders>
                  <w:shd w:val="clear" w:color="auto" w:fill="auto"/>
                  <w:tcMar>
                    <w:left w:w="57" w:type="dxa"/>
                    <w:right w:w="57" w:type="dxa"/>
                  </w:tcMar>
                  <w:vAlign w:val="bottom"/>
                  <w:hideMark/>
                </w:tcPr>
                <w:p w:rsidR="00FB3C42" w:rsidRPr="00593303" w:rsidRDefault="00FB3C42" w:rsidP="00FB3C42">
                  <w:pPr>
                    <w:spacing w:after="40" w:line="200" w:lineRule="atLeast"/>
                    <w:ind w:left="6" w:right="113"/>
                    <w:jc w:val="right"/>
                    <w:rPr>
                      <w:rFonts w:ascii="Arial" w:hAnsi="Arial" w:cs="Arial"/>
                      <w:color w:val="000000"/>
                      <w:sz w:val="18"/>
                      <w:szCs w:val="18"/>
                    </w:rPr>
                  </w:pPr>
                  <w:r w:rsidRPr="00593303">
                    <w:rPr>
                      <w:rFonts w:ascii="Arial" w:hAnsi="Arial" w:cs="Arial"/>
                      <w:color w:val="000000"/>
                      <w:sz w:val="18"/>
                      <w:szCs w:val="18"/>
                    </w:rPr>
                    <w:t>429</w:t>
                  </w:r>
                </w:p>
              </w:tc>
              <w:tc>
                <w:tcPr>
                  <w:tcW w:w="1372" w:type="dxa"/>
                  <w:tcBorders>
                    <w:top w:val="nil"/>
                    <w:left w:val="nil"/>
                    <w:bottom w:val="nil"/>
                    <w:right w:val="nil"/>
                  </w:tcBorders>
                  <w:shd w:val="clear" w:color="auto" w:fill="auto"/>
                  <w:tcMar>
                    <w:left w:w="57" w:type="dxa"/>
                    <w:right w:w="57" w:type="dxa"/>
                  </w:tcMar>
                  <w:vAlign w:val="bottom"/>
                  <w:hideMark/>
                </w:tcPr>
                <w:p w:rsidR="00FB3C42" w:rsidRPr="00593303" w:rsidRDefault="00FB3C42" w:rsidP="00FB3C42">
                  <w:pPr>
                    <w:spacing w:after="40" w:line="200" w:lineRule="atLeast"/>
                    <w:ind w:left="6" w:right="113"/>
                    <w:jc w:val="right"/>
                    <w:rPr>
                      <w:rFonts w:ascii="Arial" w:hAnsi="Arial" w:cs="Arial"/>
                      <w:color w:val="000000"/>
                      <w:sz w:val="18"/>
                      <w:szCs w:val="18"/>
                    </w:rPr>
                  </w:pPr>
                  <w:r w:rsidRPr="00593303">
                    <w:rPr>
                      <w:rFonts w:ascii="Arial" w:hAnsi="Arial" w:cs="Arial"/>
                      <w:color w:val="000000"/>
                      <w:sz w:val="18"/>
                      <w:szCs w:val="18"/>
                    </w:rPr>
                    <w:t>7994</w:t>
                  </w:r>
                </w:p>
              </w:tc>
              <w:tc>
                <w:tcPr>
                  <w:tcW w:w="465" w:type="dxa"/>
                  <w:tcBorders>
                    <w:top w:val="nil"/>
                    <w:left w:val="nil"/>
                    <w:bottom w:val="nil"/>
                    <w:right w:val="nil"/>
                  </w:tcBorders>
                  <w:shd w:val="clear" w:color="auto" w:fill="auto"/>
                  <w:tcMar>
                    <w:left w:w="57" w:type="dxa"/>
                    <w:right w:w="57" w:type="dxa"/>
                  </w:tcMar>
                  <w:vAlign w:val="bottom"/>
                  <w:hideMark/>
                </w:tcPr>
                <w:p w:rsidR="00FB3C42" w:rsidRPr="00593303" w:rsidRDefault="00FB3C42" w:rsidP="00FB3C42">
                  <w:pPr>
                    <w:spacing w:after="40" w:line="200" w:lineRule="atLeast"/>
                    <w:ind w:left="6" w:right="113"/>
                    <w:jc w:val="right"/>
                    <w:rPr>
                      <w:rFonts w:ascii="Arial" w:hAnsi="Arial" w:cs="Arial"/>
                      <w:color w:val="000000"/>
                      <w:sz w:val="18"/>
                      <w:szCs w:val="18"/>
                    </w:rPr>
                  </w:pPr>
                  <w:r w:rsidRPr="00593303">
                    <w:rPr>
                      <w:rFonts w:ascii="Arial" w:hAnsi="Arial" w:cs="Arial"/>
                      <w:color w:val="000000"/>
                      <w:sz w:val="18"/>
                      <w:szCs w:val="18"/>
                    </w:rPr>
                    <w:t>..</w:t>
                  </w:r>
                </w:p>
              </w:tc>
              <w:tc>
                <w:tcPr>
                  <w:tcW w:w="759" w:type="dxa"/>
                  <w:tcBorders>
                    <w:top w:val="nil"/>
                    <w:left w:val="nil"/>
                    <w:bottom w:val="nil"/>
                    <w:right w:val="nil"/>
                  </w:tcBorders>
                  <w:shd w:val="clear" w:color="auto" w:fill="auto"/>
                  <w:tcMar>
                    <w:left w:w="57" w:type="dxa"/>
                    <w:right w:w="57" w:type="dxa"/>
                  </w:tcMar>
                  <w:vAlign w:val="bottom"/>
                  <w:hideMark/>
                </w:tcPr>
                <w:p w:rsidR="00FB3C42" w:rsidRPr="00593303" w:rsidRDefault="00FB3C42" w:rsidP="00FB3C42">
                  <w:pPr>
                    <w:spacing w:after="40" w:line="200" w:lineRule="atLeast"/>
                    <w:ind w:left="6" w:right="113"/>
                    <w:jc w:val="right"/>
                    <w:rPr>
                      <w:rFonts w:ascii="Arial" w:hAnsi="Arial" w:cs="Arial"/>
                      <w:color w:val="000000"/>
                      <w:sz w:val="18"/>
                      <w:szCs w:val="18"/>
                    </w:rPr>
                  </w:pPr>
                  <w:r w:rsidRPr="00593303">
                    <w:rPr>
                      <w:rFonts w:ascii="Arial" w:hAnsi="Arial" w:cs="Arial"/>
                      <w:color w:val="000000"/>
                      <w:sz w:val="18"/>
                      <w:szCs w:val="18"/>
                    </w:rPr>
                    <w:t>8423</w:t>
                  </w:r>
                </w:p>
              </w:tc>
              <w:tc>
                <w:tcPr>
                  <w:tcW w:w="1038" w:type="dxa"/>
                  <w:tcBorders>
                    <w:top w:val="nil"/>
                    <w:left w:val="nil"/>
                    <w:bottom w:val="nil"/>
                    <w:right w:val="nil"/>
                  </w:tcBorders>
                  <w:shd w:val="clear" w:color="auto" w:fill="auto"/>
                  <w:tcMar>
                    <w:left w:w="57" w:type="dxa"/>
                    <w:right w:w="57" w:type="dxa"/>
                  </w:tcMar>
                  <w:vAlign w:val="bottom"/>
                  <w:hideMark/>
                </w:tcPr>
                <w:p w:rsidR="00FB3C42" w:rsidRPr="00593303" w:rsidRDefault="00FB3C42" w:rsidP="00FB3C42">
                  <w:pPr>
                    <w:spacing w:after="40" w:line="200" w:lineRule="atLeast"/>
                    <w:ind w:left="6" w:right="113"/>
                    <w:jc w:val="right"/>
                    <w:rPr>
                      <w:rFonts w:ascii="Arial" w:hAnsi="Arial" w:cs="Arial"/>
                      <w:color w:val="000000"/>
                      <w:sz w:val="18"/>
                      <w:szCs w:val="18"/>
                    </w:rPr>
                  </w:pPr>
                  <w:r w:rsidRPr="00593303">
                    <w:rPr>
                      <w:rFonts w:ascii="Arial" w:hAnsi="Arial" w:cs="Arial"/>
                      <w:color w:val="000000"/>
                      <w:sz w:val="18"/>
                      <w:szCs w:val="18"/>
                    </w:rPr>
                    <w:t>..</w:t>
                  </w:r>
                </w:p>
              </w:tc>
              <w:tc>
                <w:tcPr>
                  <w:tcW w:w="1114" w:type="dxa"/>
                  <w:tcBorders>
                    <w:top w:val="nil"/>
                    <w:left w:val="nil"/>
                    <w:bottom w:val="nil"/>
                    <w:right w:val="nil"/>
                  </w:tcBorders>
                  <w:shd w:val="clear" w:color="auto" w:fill="auto"/>
                  <w:tcMar>
                    <w:left w:w="57" w:type="dxa"/>
                    <w:right w:w="57" w:type="dxa"/>
                  </w:tcMar>
                  <w:vAlign w:val="bottom"/>
                  <w:hideMark/>
                </w:tcPr>
                <w:p w:rsidR="00FB3C42" w:rsidRPr="00593303" w:rsidRDefault="00FB3C42" w:rsidP="00FB3C42">
                  <w:pPr>
                    <w:spacing w:after="40" w:line="200" w:lineRule="atLeast"/>
                    <w:ind w:left="6" w:right="113"/>
                    <w:jc w:val="right"/>
                    <w:rPr>
                      <w:rFonts w:ascii="Arial" w:hAnsi="Arial" w:cs="Arial"/>
                      <w:color w:val="000000"/>
                      <w:sz w:val="18"/>
                      <w:szCs w:val="18"/>
                    </w:rPr>
                  </w:pPr>
                  <w:r w:rsidRPr="00593303">
                    <w:rPr>
                      <w:rFonts w:ascii="Arial" w:hAnsi="Arial" w:cs="Arial"/>
                      <w:color w:val="000000"/>
                      <w:sz w:val="18"/>
                      <w:szCs w:val="18"/>
                    </w:rPr>
                    <w:t>8423</w:t>
                  </w:r>
                </w:p>
              </w:tc>
              <w:tc>
                <w:tcPr>
                  <w:tcW w:w="1038" w:type="dxa"/>
                  <w:tcBorders>
                    <w:top w:val="nil"/>
                    <w:left w:val="nil"/>
                    <w:bottom w:val="nil"/>
                    <w:right w:val="nil"/>
                  </w:tcBorders>
                  <w:shd w:val="clear" w:color="auto" w:fill="auto"/>
                  <w:tcMar>
                    <w:left w:w="57" w:type="dxa"/>
                    <w:right w:w="57" w:type="dxa"/>
                  </w:tcMar>
                  <w:vAlign w:val="bottom"/>
                  <w:hideMark/>
                </w:tcPr>
                <w:p w:rsidR="00FB3C42" w:rsidRPr="00593303" w:rsidRDefault="00FB3C42" w:rsidP="00FB3C42">
                  <w:pPr>
                    <w:spacing w:after="40" w:line="200" w:lineRule="atLeast"/>
                    <w:ind w:left="6" w:right="113"/>
                    <w:jc w:val="right"/>
                    <w:rPr>
                      <w:rFonts w:ascii="Arial" w:hAnsi="Arial" w:cs="Arial"/>
                      <w:color w:val="000000"/>
                      <w:sz w:val="18"/>
                      <w:szCs w:val="18"/>
                    </w:rPr>
                  </w:pPr>
                  <w:r w:rsidRPr="00593303">
                    <w:rPr>
                      <w:rFonts w:ascii="Arial" w:hAnsi="Arial" w:cs="Arial"/>
                      <w:color w:val="000000"/>
                      <w:sz w:val="18"/>
                      <w:szCs w:val="18"/>
                    </w:rPr>
                    <w:t>1547</w:t>
                  </w:r>
                </w:p>
              </w:tc>
              <w:tc>
                <w:tcPr>
                  <w:tcW w:w="1114" w:type="dxa"/>
                  <w:tcBorders>
                    <w:top w:val="nil"/>
                    <w:left w:val="nil"/>
                    <w:bottom w:val="nil"/>
                    <w:right w:val="nil"/>
                  </w:tcBorders>
                  <w:shd w:val="clear" w:color="auto" w:fill="auto"/>
                  <w:tcMar>
                    <w:left w:w="57" w:type="dxa"/>
                    <w:right w:w="57" w:type="dxa"/>
                  </w:tcMar>
                  <w:vAlign w:val="bottom"/>
                  <w:hideMark/>
                </w:tcPr>
                <w:p w:rsidR="00FB3C42" w:rsidRPr="00593303" w:rsidRDefault="00FB3C42" w:rsidP="00FB3C42">
                  <w:pPr>
                    <w:spacing w:after="40" w:line="200" w:lineRule="atLeast"/>
                    <w:ind w:left="6" w:right="113"/>
                    <w:jc w:val="right"/>
                    <w:rPr>
                      <w:rFonts w:ascii="Arial" w:hAnsi="Arial" w:cs="Arial"/>
                      <w:color w:val="000000"/>
                      <w:sz w:val="18"/>
                      <w:szCs w:val="18"/>
                    </w:rPr>
                  </w:pPr>
                  <w:r w:rsidRPr="00593303">
                    <w:rPr>
                      <w:rFonts w:ascii="Arial" w:hAnsi="Arial" w:cs="Arial"/>
                      <w:color w:val="000000"/>
                      <w:sz w:val="18"/>
                      <w:szCs w:val="18"/>
                    </w:rPr>
                    <w:t>9970</w:t>
                  </w:r>
                </w:p>
              </w:tc>
            </w:tr>
            <w:tr w:rsidR="00FB3C42" w:rsidRPr="00593303" w:rsidTr="00FC701A">
              <w:trPr>
                <w:trHeight w:val="300"/>
              </w:trPr>
              <w:tc>
                <w:tcPr>
                  <w:tcW w:w="1108" w:type="dxa"/>
                  <w:tcBorders>
                    <w:top w:val="nil"/>
                    <w:left w:val="nil"/>
                    <w:right w:val="nil"/>
                  </w:tcBorders>
                  <w:shd w:val="clear" w:color="auto" w:fill="auto"/>
                  <w:tcMar>
                    <w:left w:w="57" w:type="dxa"/>
                    <w:right w:w="57" w:type="dxa"/>
                  </w:tcMar>
                  <w:vAlign w:val="bottom"/>
                  <w:hideMark/>
                </w:tcPr>
                <w:p w:rsidR="00FB3C42" w:rsidRPr="00593303" w:rsidRDefault="00FB3C42" w:rsidP="00FB3C42">
                  <w:pPr>
                    <w:spacing w:after="40" w:line="200" w:lineRule="atLeast"/>
                    <w:ind w:left="6"/>
                    <w:rPr>
                      <w:rFonts w:ascii="Arial" w:hAnsi="Arial" w:cs="Arial"/>
                      <w:color w:val="000000"/>
                      <w:sz w:val="18"/>
                      <w:szCs w:val="18"/>
                    </w:rPr>
                  </w:pPr>
                  <w:r w:rsidRPr="00593303">
                    <w:rPr>
                      <w:rFonts w:ascii="Arial" w:hAnsi="Arial" w:cs="Arial"/>
                      <w:color w:val="000000"/>
                      <w:sz w:val="18"/>
                      <w:szCs w:val="18"/>
                    </w:rPr>
                    <w:t>All other medications</w:t>
                  </w:r>
                </w:p>
              </w:tc>
              <w:tc>
                <w:tcPr>
                  <w:tcW w:w="617" w:type="dxa"/>
                  <w:tcBorders>
                    <w:top w:val="nil"/>
                    <w:left w:val="nil"/>
                    <w:right w:val="nil"/>
                  </w:tcBorders>
                  <w:shd w:val="clear" w:color="auto" w:fill="auto"/>
                  <w:tcMar>
                    <w:left w:w="57" w:type="dxa"/>
                    <w:right w:w="57" w:type="dxa"/>
                  </w:tcMar>
                  <w:vAlign w:val="bottom"/>
                  <w:hideMark/>
                </w:tcPr>
                <w:p w:rsidR="00FB3C42" w:rsidRPr="00593303" w:rsidRDefault="00FB3C42" w:rsidP="00FB3C42">
                  <w:pPr>
                    <w:spacing w:after="40" w:line="200" w:lineRule="atLeast"/>
                    <w:ind w:left="6" w:right="113"/>
                    <w:jc w:val="right"/>
                    <w:rPr>
                      <w:rFonts w:ascii="Arial" w:hAnsi="Arial" w:cs="Arial"/>
                      <w:color w:val="000000"/>
                      <w:sz w:val="18"/>
                      <w:szCs w:val="18"/>
                    </w:rPr>
                  </w:pPr>
                  <w:r w:rsidRPr="00593303">
                    <w:rPr>
                      <w:rFonts w:ascii="Arial" w:hAnsi="Arial" w:cs="Arial"/>
                      <w:color w:val="000000"/>
                      <w:sz w:val="18"/>
                      <w:szCs w:val="18"/>
                    </w:rPr>
                    <w:t>..</w:t>
                  </w:r>
                </w:p>
              </w:tc>
              <w:tc>
                <w:tcPr>
                  <w:tcW w:w="1372" w:type="dxa"/>
                  <w:tcBorders>
                    <w:top w:val="nil"/>
                    <w:left w:val="nil"/>
                    <w:right w:val="nil"/>
                  </w:tcBorders>
                  <w:shd w:val="clear" w:color="auto" w:fill="auto"/>
                  <w:tcMar>
                    <w:left w:w="57" w:type="dxa"/>
                    <w:right w:w="57" w:type="dxa"/>
                  </w:tcMar>
                  <w:vAlign w:val="bottom"/>
                  <w:hideMark/>
                </w:tcPr>
                <w:p w:rsidR="00FB3C42" w:rsidRPr="00593303" w:rsidRDefault="00FB3C42" w:rsidP="00FB3C42">
                  <w:pPr>
                    <w:spacing w:after="40" w:line="200" w:lineRule="atLeast"/>
                    <w:ind w:left="6" w:right="113"/>
                    <w:jc w:val="right"/>
                    <w:rPr>
                      <w:rFonts w:ascii="Arial" w:hAnsi="Arial" w:cs="Arial"/>
                      <w:color w:val="000000"/>
                      <w:sz w:val="18"/>
                      <w:szCs w:val="18"/>
                    </w:rPr>
                  </w:pPr>
                  <w:r w:rsidRPr="00593303">
                    <w:rPr>
                      <w:rFonts w:ascii="Arial" w:hAnsi="Arial" w:cs="Arial"/>
                      <w:color w:val="000000"/>
                      <w:sz w:val="18"/>
                      <w:szCs w:val="18"/>
                    </w:rPr>
                    <w:t>507</w:t>
                  </w:r>
                </w:p>
              </w:tc>
              <w:tc>
                <w:tcPr>
                  <w:tcW w:w="465" w:type="dxa"/>
                  <w:tcBorders>
                    <w:top w:val="nil"/>
                    <w:left w:val="nil"/>
                    <w:right w:val="nil"/>
                  </w:tcBorders>
                  <w:shd w:val="clear" w:color="auto" w:fill="auto"/>
                  <w:tcMar>
                    <w:left w:w="57" w:type="dxa"/>
                    <w:right w:w="57" w:type="dxa"/>
                  </w:tcMar>
                  <w:vAlign w:val="bottom"/>
                  <w:hideMark/>
                </w:tcPr>
                <w:p w:rsidR="00FB3C42" w:rsidRPr="00593303" w:rsidRDefault="00FB3C42" w:rsidP="00FB3C42">
                  <w:pPr>
                    <w:spacing w:after="40" w:line="200" w:lineRule="atLeast"/>
                    <w:ind w:left="6" w:right="113"/>
                    <w:jc w:val="right"/>
                    <w:rPr>
                      <w:rFonts w:ascii="Arial" w:hAnsi="Arial" w:cs="Arial"/>
                      <w:color w:val="000000"/>
                      <w:sz w:val="18"/>
                      <w:szCs w:val="18"/>
                    </w:rPr>
                  </w:pPr>
                  <w:r w:rsidRPr="00593303">
                    <w:rPr>
                      <w:rFonts w:ascii="Arial" w:hAnsi="Arial" w:cs="Arial"/>
                      <w:color w:val="000000"/>
                      <w:sz w:val="18"/>
                      <w:szCs w:val="18"/>
                    </w:rPr>
                    <w:t>22</w:t>
                  </w:r>
                </w:p>
              </w:tc>
              <w:tc>
                <w:tcPr>
                  <w:tcW w:w="759" w:type="dxa"/>
                  <w:tcBorders>
                    <w:top w:val="nil"/>
                    <w:left w:val="nil"/>
                    <w:right w:val="nil"/>
                  </w:tcBorders>
                  <w:shd w:val="clear" w:color="auto" w:fill="auto"/>
                  <w:tcMar>
                    <w:left w:w="57" w:type="dxa"/>
                    <w:right w:w="57" w:type="dxa"/>
                  </w:tcMar>
                  <w:vAlign w:val="bottom"/>
                  <w:hideMark/>
                </w:tcPr>
                <w:p w:rsidR="00FB3C42" w:rsidRPr="00593303" w:rsidRDefault="00FB3C42" w:rsidP="00FB3C42">
                  <w:pPr>
                    <w:spacing w:after="40" w:line="200" w:lineRule="atLeast"/>
                    <w:ind w:left="6" w:right="113"/>
                    <w:jc w:val="right"/>
                    <w:rPr>
                      <w:rFonts w:ascii="Arial" w:hAnsi="Arial" w:cs="Arial"/>
                      <w:color w:val="000000"/>
                      <w:sz w:val="18"/>
                      <w:szCs w:val="18"/>
                    </w:rPr>
                  </w:pPr>
                  <w:r w:rsidRPr="00593303">
                    <w:rPr>
                      <w:rFonts w:ascii="Arial" w:hAnsi="Arial" w:cs="Arial"/>
                      <w:color w:val="000000"/>
                      <w:sz w:val="18"/>
                      <w:szCs w:val="18"/>
                    </w:rPr>
                    <w:t>529</w:t>
                  </w:r>
                </w:p>
              </w:tc>
              <w:tc>
                <w:tcPr>
                  <w:tcW w:w="1038" w:type="dxa"/>
                  <w:tcBorders>
                    <w:top w:val="nil"/>
                    <w:left w:val="nil"/>
                    <w:right w:val="nil"/>
                  </w:tcBorders>
                  <w:shd w:val="clear" w:color="auto" w:fill="auto"/>
                  <w:tcMar>
                    <w:left w:w="57" w:type="dxa"/>
                    <w:right w:w="57" w:type="dxa"/>
                  </w:tcMar>
                  <w:vAlign w:val="bottom"/>
                  <w:hideMark/>
                </w:tcPr>
                <w:p w:rsidR="00FB3C42" w:rsidRPr="00593303" w:rsidRDefault="00FB3C42" w:rsidP="00FB3C42">
                  <w:pPr>
                    <w:spacing w:after="40" w:line="200" w:lineRule="atLeast"/>
                    <w:ind w:left="6" w:right="113"/>
                    <w:jc w:val="right"/>
                    <w:rPr>
                      <w:rFonts w:ascii="Arial" w:hAnsi="Arial" w:cs="Arial"/>
                      <w:color w:val="000000"/>
                      <w:sz w:val="18"/>
                      <w:szCs w:val="18"/>
                    </w:rPr>
                  </w:pPr>
                  <w:r w:rsidRPr="00593303">
                    <w:rPr>
                      <w:rFonts w:ascii="Arial" w:hAnsi="Arial" w:cs="Arial"/>
                      <w:color w:val="000000"/>
                      <w:sz w:val="18"/>
                      <w:szCs w:val="18"/>
                    </w:rPr>
                    <w:t xml:space="preserve">        ..</w:t>
                  </w:r>
                </w:p>
              </w:tc>
              <w:tc>
                <w:tcPr>
                  <w:tcW w:w="1114" w:type="dxa"/>
                  <w:tcBorders>
                    <w:top w:val="nil"/>
                    <w:left w:val="nil"/>
                    <w:right w:val="nil"/>
                  </w:tcBorders>
                  <w:shd w:val="clear" w:color="auto" w:fill="auto"/>
                  <w:tcMar>
                    <w:left w:w="57" w:type="dxa"/>
                    <w:right w:w="57" w:type="dxa"/>
                  </w:tcMar>
                  <w:vAlign w:val="bottom"/>
                  <w:hideMark/>
                </w:tcPr>
                <w:p w:rsidR="00FB3C42" w:rsidRPr="00593303" w:rsidRDefault="00FB3C42" w:rsidP="00FB3C42">
                  <w:pPr>
                    <w:spacing w:after="40" w:line="200" w:lineRule="atLeast"/>
                    <w:ind w:left="6" w:right="113"/>
                    <w:jc w:val="right"/>
                    <w:rPr>
                      <w:rFonts w:ascii="Arial" w:hAnsi="Arial" w:cs="Arial"/>
                      <w:color w:val="000000"/>
                      <w:sz w:val="18"/>
                      <w:szCs w:val="18"/>
                    </w:rPr>
                  </w:pPr>
                  <w:r w:rsidRPr="00593303">
                    <w:rPr>
                      <w:rFonts w:ascii="Arial" w:hAnsi="Arial" w:cs="Arial"/>
                      <w:color w:val="000000"/>
                      <w:sz w:val="18"/>
                      <w:szCs w:val="18"/>
                    </w:rPr>
                    <w:t>529</w:t>
                  </w:r>
                </w:p>
              </w:tc>
              <w:tc>
                <w:tcPr>
                  <w:tcW w:w="1038" w:type="dxa"/>
                  <w:tcBorders>
                    <w:top w:val="nil"/>
                    <w:left w:val="nil"/>
                    <w:right w:val="nil"/>
                  </w:tcBorders>
                  <w:shd w:val="clear" w:color="auto" w:fill="auto"/>
                  <w:tcMar>
                    <w:left w:w="57" w:type="dxa"/>
                    <w:right w:w="57" w:type="dxa"/>
                  </w:tcMar>
                  <w:vAlign w:val="bottom"/>
                  <w:hideMark/>
                </w:tcPr>
                <w:p w:rsidR="00FB3C42" w:rsidRPr="00593303" w:rsidRDefault="00FB3C42" w:rsidP="00FB3C42">
                  <w:pPr>
                    <w:spacing w:after="40" w:line="200" w:lineRule="atLeast"/>
                    <w:ind w:left="6" w:right="113"/>
                    <w:jc w:val="right"/>
                    <w:rPr>
                      <w:rFonts w:ascii="Arial" w:hAnsi="Arial" w:cs="Arial"/>
                      <w:color w:val="000000"/>
                      <w:sz w:val="18"/>
                      <w:szCs w:val="18"/>
                    </w:rPr>
                  </w:pPr>
                  <w:r w:rsidRPr="00593303">
                    <w:rPr>
                      <w:rFonts w:ascii="Arial" w:hAnsi="Arial" w:cs="Arial"/>
                      <w:color w:val="000000"/>
                      <w:sz w:val="18"/>
                      <w:szCs w:val="18"/>
                    </w:rPr>
                    <w:t>8781</w:t>
                  </w:r>
                </w:p>
              </w:tc>
              <w:tc>
                <w:tcPr>
                  <w:tcW w:w="1114" w:type="dxa"/>
                  <w:tcBorders>
                    <w:top w:val="nil"/>
                    <w:left w:val="nil"/>
                    <w:right w:val="nil"/>
                  </w:tcBorders>
                  <w:shd w:val="clear" w:color="auto" w:fill="auto"/>
                  <w:tcMar>
                    <w:left w:w="57" w:type="dxa"/>
                    <w:right w:w="57" w:type="dxa"/>
                  </w:tcMar>
                  <w:vAlign w:val="bottom"/>
                  <w:hideMark/>
                </w:tcPr>
                <w:p w:rsidR="00FB3C42" w:rsidRPr="00593303" w:rsidRDefault="00FB3C42" w:rsidP="00FB3C42">
                  <w:pPr>
                    <w:spacing w:after="40" w:line="200" w:lineRule="atLeast"/>
                    <w:ind w:left="6" w:right="113"/>
                    <w:jc w:val="right"/>
                    <w:rPr>
                      <w:rFonts w:ascii="Arial" w:hAnsi="Arial" w:cs="Arial"/>
                      <w:color w:val="000000"/>
                      <w:sz w:val="18"/>
                      <w:szCs w:val="18"/>
                    </w:rPr>
                  </w:pPr>
                  <w:r w:rsidRPr="00593303">
                    <w:rPr>
                      <w:rFonts w:ascii="Arial" w:hAnsi="Arial" w:cs="Arial"/>
                      <w:color w:val="000000"/>
                      <w:sz w:val="18"/>
                      <w:szCs w:val="18"/>
                    </w:rPr>
                    <w:t>9309</w:t>
                  </w:r>
                </w:p>
              </w:tc>
            </w:tr>
            <w:tr w:rsidR="00FB3C42" w:rsidRPr="00970679" w:rsidTr="00FC701A">
              <w:trPr>
                <w:trHeight w:val="300"/>
              </w:trPr>
              <w:tc>
                <w:tcPr>
                  <w:tcW w:w="1108" w:type="dxa"/>
                  <w:tcBorders>
                    <w:top w:val="nil"/>
                    <w:left w:val="nil"/>
                    <w:bottom w:val="single" w:sz="4" w:space="0" w:color="BFBFBF" w:themeColor="background2"/>
                    <w:right w:val="nil"/>
                  </w:tcBorders>
                  <w:shd w:val="clear" w:color="auto" w:fill="auto"/>
                  <w:tcMar>
                    <w:left w:w="57" w:type="dxa"/>
                    <w:right w:w="57" w:type="dxa"/>
                  </w:tcMar>
                  <w:vAlign w:val="bottom"/>
                  <w:hideMark/>
                </w:tcPr>
                <w:p w:rsidR="00FB3C42" w:rsidRPr="00593303" w:rsidRDefault="00FB3C42" w:rsidP="00FB3C42">
                  <w:pPr>
                    <w:spacing w:after="40" w:line="200" w:lineRule="atLeast"/>
                    <w:ind w:left="6" w:right="113"/>
                    <w:rPr>
                      <w:rFonts w:ascii="Arial" w:hAnsi="Arial" w:cs="Arial"/>
                      <w:b/>
                      <w:color w:val="000000"/>
                      <w:sz w:val="18"/>
                      <w:szCs w:val="18"/>
                    </w:rPr>
                  </w:pPr>
                  <w:r w:rsidRPr="00593303">
                    <w:rPr>
                      <w:rFonts w:ascii="Arial" w:hAnsi="Arial" w:cs="Arial"/>
                      <w:b/>
                      <w:color w:val="000000"/>
                      <w:sz w:val="18"/>
                      <w:szCs w:val="18"/>
                    </w:rPr>
                    <w:t>Total</w:t>
                  </w:r>
                </w:p>
              </w:tc>
              <w:tc>
                <w:tcPr>
                  <w:tcW w:w="617" w:type="dxa"/>
                  <w:tcBorders>
                    <w:top w:val="nil"/>
                    <w:left w:val="nil"/>
                    <w:bottom w:val="single" w:sz="4" w:space="0" w:color="BFBFBF" w:themeColor="background2"/>
                    <w:right w:val="nil"/>
                  </w:tcBorders>
                  <w:shd w:val="clear" w:color="auto" w:fill="auto"/>
                  <w:tcMar>
                    <w:left w:w="57" w:type="dxa"/>
                    <w:right w:w="57" w:type="dxa"/>
                  </w:tcMar>
                  <w:vAlign w:val="bottom"/>
                  <w:hideMark/>
                </w:tcPr>
                <w:p w:rsidR="00FB3C42" w:rsidRPr="00593303" w:rsidRDefault="00FB3C42" w:rsidP="00FB3C42">
                  <w:pPr>
                    <w:spacing w:after="40" w:line="200" w:lineRule="atLeast"/>
                    <w:ind w:left="6" w:right="113"/>
                    <w:jc w:val="right"/>
                    <w:rPr>
                      <w:rFonts w:ascii="Arial" w:hAnsi="Arial" w:cs="Arial"/>
                      <w:b/>
                      <w:color w:val="000000"/>
                      <w:sz w:val="18"/>
                      <w:szCs w:val="18"/>
                    </w:rPr>
                  </w:pPr>
                  <w:r w:rsidRPr="00593303">
                    <w:rPr>
                      <w:rFonts w:ascii="Arial" w:hAnsi="Arial" w:cs="Arial"/>
                      <w:b/>
                      <w:color w:val="000000"/>
                      <w:sz w:val="18"/>
                      <w:szCs w:val="18"/>
                    </w:rPr>
                    <w:t>1608</w:t>
                  </w:r>
                </w:p>
              </w:tc>
              <w:tc>
                <w:tcPr>
                  <w:tcW w:w="1372" w:type="dxa"/>
                  <w:tcBorders>
                    <w:top w:val="nil"/>
                    <w:left w:val="nil"/>
                    <w:bottom w:val="single" w:sz="4" w:space="0" w:color="BFBFBF" w:themeColor="background2"/>
                    <w:right w:val="nil"/>
                  </w:tcBorders>
                  <w:shd w:val="clear" w:color="auto" w:fill="auto"/>
                  <w:tcMar>
                    <w:left w:w="57" w:type="dxa"/>
                    <w:right w:w="57" w:type="dxa"/>
                  </w:tcMar>
                  <w:vAlign w:val="bottom"/>
                  <w:hideMark/>
                </w:tcPr>
                <w:p w:rsidR="00FB3C42" w:rsidRPr="00593303" w:rsidRDefault="00FB3C42" w:rsidP="00FB3C42">
                  <w:pPr>
                    <w:spacing w:after="40" w:line="200" w:lineRule="atLeast"/>
                    <w:ind w:left="6" w:right="113"/>
                    <w:jc w:val="right"/>
                    <w:rPr>
                      <w:rFonts w:ascii="Arial" w:hAnsi="Arial" w:cs="Arial"/>
                      <w:b/>
                      <w:color w:val="000000"/>
                      <w:sz w:val="18"/>
                      <w:szCs w:val="18"/>
                    </w:rPr>
                  </w:pPr>
                  <w:r w:rsidRPr="00593303">
                    <w:rPr>
                      <w:rFonts w:ascii="Arial" w:hAnsi="Arial" w:cs="Arial"/>
                      <w:b/>
                      <w:color w:val="000000"/>
                      <w:sz w:val="18"/>
                      <w:szCs w:val="18"/>
                    </w:rPr>
                    <w:t>20</w:t>
                  </w:r>
                  <w:r>
                    <w:rPr>
                      <w:rFonts w:ascii="Arial" w:hAnsi="Arial" w:cs="Arial"/>
                      <w:b/>
                      <w:color w:val="000000"/>
                      <w:sz w:val="18"/>
                      <w:szCs w:val="18"/>
                    </w:rPr>
                    <w:t> </w:t>
                  </w:r>
                  <w:r w:rsidRPr="00593303">
                    <w:rPr>
                      <w:rFonts w:ascii="Arial" w:hAnsi="Arial" w:cs="Arial"/>
                      <w:b/>
                      <w:color w:val="000000"/>
                      <w:sz w:val="18"/>
                      <w:szCs w:val="18"/>
                    </w:rPr>
                    <w:t>255</w:t>
                  </w:r>
                </w:p>
              </w:tc>
              <w:tc>
                <w:tcPr>
                  <w:tcW w:w="465" w:type="dxa"/>
                  <w:tcBorders>
                    <w:top w:val="nil"/>
                    <w:left w:val="nil"/>
                    <w:bottom w:val="single" w:sz="4" w:space="0" w:color="BFBFBF" w:themeColor="background2"/>
                    <w:right w:val="nil"/>
                  </w:tcBorders>
                  <w:shd w:val="clear" w:color="auto" w:fill="auto"/>
                  <w:tcMar>
                    <w:left w:w="57" w:type="dxa"/>
                    <w:right w:w="57" w:type="dxa"/>
                  </w:tcMar>
                  <w:vAlign w:val="bottom"/>
                  <w:hideMark/>
                </w:tcPr>
                <w:p w:rsidR="00FB3C42" w:rsidRPr="00593303" w:rsidRDefault="00FB3C42" w:rsidP="00FB3C42">
                  <w:pPr>
                    <w:spacing w:after="40" w:line="200" w:lineRule="atLeast"/>
                    <w:ind w:left="6" w:right="113"/>
                    <w:jc w:val="right"/>
                    <w:rPr>
                      <w:rFonts w:ascii="Arial" w:hAnsi="Arial" w:cs="Arial"/>
                      <w:b/>
                      <w:color w:val="000000"/>
                      <w:sz w:val="18"/>
                      <w:szCs w:val="18"/>
                    </w:rPr>
                  </w:pPr>
                  <w:r w:rsidRPr="00593303">
                    <w:rPr>
                      <w:rFonts w:ascii="Arial" w:hAnsi="Arial" w:cs="Arial"/>
                      <w:b/>
                      <w:color w:val="000000"/>
                      <w:sz w:val="18"/>
                      <w:szCs w:val="18"/>
                    </w:rPr>
                    <w:t>915</w:t>
                  </w:r>
                </w:p>
              </w:tc>
              <w:tc>
                <w:tcPr>
                  <w:tcW w:w="759" w:type="dxa"/>
                  <w:tcBorders>
                    <w:top w:val="nil"/>
                    <w:left w:val="nil"/>
                    <w:bottom w:val="single" w:sz="4" w:space="0" w:color="BFBFBF" w:themeColor="background2"/>
                    <w:right w:val="nil"/>
                  </w:tcBorders>
                  <w:shd w:val="clear" w:color="auto" w:fill="auto"/>
                  <w:tcMar>
                    <w:left w:w="57" w:type="dxa"/>
                    <w:right w:w="57" w:type="dxa"/>
                  </w:tcMar>
                  <w:vAlign w:val="bottom"/>
                  <w:hideMark/>
                </w:tcPr>
                <w:p w:rsidR="00FB3C42" w:rsidRPr="00593303" w:rsidRDefault="00FB3C42" w:rsidP="00FB3C42">
                  <w:pPr>
                    <w:spacing w:after="40" w:line="200" w:lineRule="atLeast"/>
                    <w:ind w:left="6" w:right="113"/>
                    <w:jc w:val="right"/>
                    <w:rPr>
                      <w:rFonts w:ascii="Arial" w:hAnsi="Arial" w:cs="Arial"/>
                      <w:b/>
                      <w:color w:val="000000"/>
                      <w:sz w:val="18"/>
                      <w:szCs w:val="18"/>
                    </w:rPr>
                  </w:pPr>
                  <w:r w:rsidRPr="00593303">
                    <w:rPr>
                      <w:rFonts w:ascii="Arial" w:hAnsi="Arial" w:cs="Arial"/>
                      <w:b/>
                      <w:color w:val="000000"/>
                      <w:sz w:val="18"/>
                      <w:szCs w:val="18"/>
                    </w:rPr>
                    <w:t>22</w:t>
                  </w:r>
                  <w:r>
                    <w:rPr>
                      <w:rFonts w:ascii="Arial" w:hAnsi="Arial" w:cs="Arial"/>
                      <w:b/>
                      <w:color w:val="000000"/>
                      <w:sz w:val="18"/>
                      <w:szCs w:val="18"/>
                    </w:rPr>
                    <w:t> </w:t>
                  </w:r>
                  <w:r w:rsidRPr="00593303">
                    <w:rPr>
                      <w:rFonts w:ascii="Arial" w:hAnsi="Arial" w:cs="Arial"/>
                      <w:b/>
                      <w:color w:val="000000"/>
                      <w:sz w:val="18"/>
                      <w:szCs w:val="18"/>
                    </w:rPr>
                    <w:t>779</w:t>
                  </w:r>
                </w:p>
              </w:tc>
              <w:tc>
                <w:tcPr>
                  <w:tcW w:w="1038" w:type="dxa"/>
                  <w:tcBorders>
                    <w:top w:val="nil"/>
                    <w:left w:val="nil"/>
                    <w:bottom w:val="single" w:sz="4" w:space="0" w:color="BFBFBF" w:themeColor="background2"/>
                    <w:right w:val="nil"/>
                  </w:tcBorders>
                  <w:shd w:val="clear" w:color="auto" w:fill="auto"/>
                  <w:tcMar>
                    <w:left w:w="57" w:type="dxa"/>
                    <w:right w:w="57" w:type="dxa"/>
                  </w:tcMar>
                  <w:vAlign w:val="bottom"/>
                  <w:hideMark/>
                </w:tcPr>
                <w:p w:rsidR="00FB3C42" w:rsidRPr="00593303" w:rsidRDefault="00FB3C42" w:rsidP="00FB3C42">
                  <w:pPr>
                    <w:spacing w:after="40" w:line="200" w:lineRule="atLeast"/>
                    <w:ind w:left="6" w:right="113"/>
                    <w:jc w:val="right"/>
                    <w:rPr>
                      <w:rFonts w:ascii="Arial" w:hAnsi="Arial" w:cs="Arial"/>
                      <w:b/>
                      <w:color w:val="000000"/>
                      <w:sz w:val="18"/>
                      <w:szCs w:val="18"/>
                    </w:rPr>
                  </w:pPr>
                  <w:r w:rsidRPr="00593303">
                    <w:rPr>
                      <w:rFonts w:ascii="Arial" w:hAnsi="Arial" w:cs="Arial"/>
                      <w:b/>
                      <w:color w:val="000000"/>
                      <w:sz w:val="18"/>
                      <w:szCs w:val="18"/>
                    </w:rPr>
                    <w:t>7463</w:t>
                  </w:r>
                </w:p>
              </w:tc>
              <w:tc>
                <w:tcPr>
                  <w:tcW w:w="1114" w:type="dxa"/>
                  <w:tcBorders>
                    <w:top w:val="nil"/>
                    <w:left w:val="nil"/>
                    <w:bottom w:val="single" w:sz="4" w:space="0" w:color="BFBFBF" w:themeColor="background2"/>
                    <w:right w:val="nil"/>
                  </w:tcBorders>
                  <w:shd w:val="clear" w:color="auto" w:fill="auto"/>
                  <w:tcMar>
                    <w:left w:w="57" w:type="dxa"/>
                    <w:right w:w="57" w:type="dxa"/>
                  </w:tcMar>
                  <w:vAlign w:val="bottom"/>
                  <w:hideMark/>
                </w:tcPr>
                <w:p w:rsidR="00FB3C42" w:rsidRPr="00593303" w:rsidRDefault="00FB3C42" w:rsidP="00FB3C42">
                  <w:pPr>
                    <w:spacing w:after="40" w:line="200" w:lineRule="atLeast"/>
                    <w:ind w:left="6" w:right="113"/>
                    <w:jc w:val="right"/>
                    <w:rPr>
                      <w:rFonts w:ascii="Arial" w:hAnsi="Arial" w:cs="Arial"/>
                      <w:b/>
                      <w:color w:val="000000"/>
                      <w:sz w:val="18"/>
                      <w:szCs w:val="18"/>
                    </w:rPr>
                  </w:pPr>
                  <w:r w:rsidRPr="00593303">
                    <w:rPr>
                      <w:rFonts w:ascii="Arial" w:hAnsi="Arial" w:cs="Arial"/>
                      <w:b/>
                      <w:color w:val="000000"/>
                      <w:sz w:val="18"/>
                      <w:szCs w:val="18"/>
                    </w:rPr>
                    <w:t>30</w:t>
                  </w:r>
                  <w:r>
                    <w:rPr>
                      <w:rFonts w:ascii="Arial" w:hAnsi="Arial" w:cs="Arial"/>
                      <w:b/>
                      <w:color w:val="000000"/>
                      <w:sz w:val="18"/>
                      <w:szCs w:val="18"/>
                    </w:rPr>
                    <w:t> </w:t>
                  </w:r>
                  <w:r w:rsidRPr="00593303">
                    <w:rPr>
                      <w:rFonts w:ascii="Arial" w:hAnsi="Arial" w:cs="Arial"/>
                      <w:b/>
                      <w:color w:val="000000"/>
                      <w:sz w:val="18"/>
                      <w:szCs w:val="18"/>
                    </w:rPr>
                    <w:t>242</w:t>
                  </w:r>
                </w:p>
              </w:tc>
              <w:tc>
                <w:tcPr>
                  <w:tcW w:w="1038" w:type="dxa"/>
                  <w:tcBorders>
                    <w:top w:val="nil"/>
                    <w:left w:val="nil"/>
                    <w:bottom w:val="single" w:sz="4" w:space="0" w:color="BFBFBF" w:themeColor="background2"/>
                    <w:right w:val="nil"/>
                  </w:tcBorders>
                  <w:shd w:val="clear" w:color="auto" w:fill="auto"/>
                  <w:tcMar>
                    <w:left w:w="57" w:type="dxa"/>
                    <w:right w:w="57" w:type="dxa"/>
                  </w:tcMar>
                  <w:vAlign w:val="bottom"/>
                  <w:hideMark/>
                </w:tcPr>
                <w:p w:rsidR="00FB3C42" w:rsidRPr="00593303" w:rsidRDefault="00FB3C42" w:rsidP="00FB3C42">
                  <w:pPr>
                    <w:spacing w:after="40" w:line="200" w:lineRule="atLeast"/>
                    <w:ind w:left="6" w:right="113"/>
                    <w:jc w:val="right"/>
                    <w:rPr>
                      <w:rFonts w:ascii="Arial" w:hAnsi="Arial" w:cs="Arial"/>
                      <w:b/>
                      <w:color w:val="000000"/>
                      <w:sz w:val="18"/>
                      <w:szCs w:val="18"/>
                    </w:rPr>
                  </w:pPr>
                  <w:r w:rsidRPr="00593303">
                    <w:rPr>
                      <w:rFonts w:ascii="Arial" w:hAnsi="Arial" w:cs="Arial"/>
                      <w:b/>
                      <w:color w:val="000000"/>
                      <w:sz w:val="18"/>
                      <w:szCs w:val="18"/>
                    </w:rPr>
                    <w:t>22706</w:t>
                  </w:r>
                </w:p>
              </w:tc>
              <w:tc>
                <w:tcPr>
                  <w:tcW w:w="1114" w:type="dxa"/>
                  <w:tcBorders>
                    <w:top w:val="nil"/>
                    <w:left w:val="nil"/>
                    <w:bottom w:val="single" w:sz="4" w:space="0" w:color="BFBFBF" w:themeColor="background2"/>
                    <w:right w:val="nil"/>
                  </w:tcBorders>
                  <w:shd w:val="clear" w:color="auto" w:fill="auto"/>
                  <w:tcMar>
                    <w:left w:w="57" w:type="dxa"/>
                    <w:right w:w="57" w:type="dxa"/>
                  </w:tcMar>
                  <w:vAlign w:val="bottom"/>
                  <w:hideMark/>
                </w:tcPr>
                <w:p w:rsidR="00FB3C42" w:rsidRPr="00970679" w:rsidRDefault="00FB3C42" w:rsidP="00FB3C42">
                  <w:pPr>
                    <w:spacing w:after="40" w:line="200" w:lineRule="atLeast"/>
                    <w:ind w:left="6" w:right="113"/>
                    <w:jc w:val="right"/>
                    <w:rPr>
                      <w:rFonts w:ascii="Arial" w:hAnsi="Arial" w:cs="Arial"/>
                      <w:b/>
                      <w:color w:val="000000"/>
                      <w:sz w:val="18"/>
                      <w:szCs w:val="18"/>
                    </w:rPr>
                  </w:pPr>
                  <w:r w:rsidRPr="00593303">
                    <w:rPr>
                      <w:rFonts w:ascii="Arial" w:hAnsi="Arial" w:cs="Arial"/>
                      <w:b/>
                      <w:color w:val="000000"/>
                      <w:sz w:val="18"/>
                      <w:szCs w:val="18"/>
                    </w:rPr>
                    <w:t>52</w:t>
                  </w:r>
                  <w:r>
                    <w:rPr>
                      <w:rFonts w:ascii="Arial" w:hAnsi="Arial" w:cs="Arial"/>
                      <w:b/>
                      <w:color w:val="000000"/>
                      <w:sz w:val="18"/>
                      <w:szCs w:val="18"/>
                    </w:rPr>
                    <w:t> </w:t>
                  </w:r>
                  <w:r w:rsidRPr="00593303">
                    <w:rPr>
                      <w:rFonts w:ascii="Arial" w:hAnsi="Arial" w:cs="Arial"/>
                      <w:b/>
                      <w:color w:val="000000"/>
                      <w:sz w:val="18"/>
                      <w:szCs w:val="18"/>
                    </w:rPr>
                    <w:t>948</w:t>
                  </w:r>
                </w:p>
              </w:tc>
            </w:tr>
          </w:tbl>
          <w:p w:rsidR="00FB3C42" w:rsidRDefault="00FB3C42" w:rsidP="00FC701A">
            <w:pPr>
              <w:pStyle w:val="Box"/>
            </w:pPr>
          </w:p>
        </w:tc>
      </w:tr>
      <w:tr w:rsidR="00FB3C42" w:rsidTr="00FB3C42">
        <w:trPr>
          <w:cantSplit/>
        </w:trPr>
        <w:tc>
          <w:tcPr>
            <w:tcW w:w="8909" w:type="dxa"/>
            <w:gridSpan w:val="2"/>
            <w:tcBorders>
              <w:top w:val="nil"/>
              <w:left w:val="nil"/>
              <w:bottom w:val="nil"/>
              <w:right w:val="nil"/>
            </w:tcBorders>
            <w:shd w:val="clear" w:color="auto" w:fill="auto"/>
          </w:tcPr>
          <w:p w:rsidR="00FB3C42" w:rsidRPr="00260D8D" w:rsidRDefault="00FB3C42" w:rsidP="00FB3C42">
            <w:pPr>
              <w:pStyle w:val="Note"/>
              <w:rPr>
                <w:rStyle w:val="DraftingNote"/>
              </w:rPr>
            </w:pPr>
            <w:r w:rsidRPr="00D90CE9">
              <w:rPr>
                <w:rStyle w:val="NoteLabel"/>
              </w:rPr>
              <w:t xml:space="preserve">a </w:t>
            </w:r>
            <w:r>
              <w:t>Data are not comparable to other expenditure data reported in this chapter</w:t>
            </w:r>
            <w:r w:rsidR="000B15F4">
              <w:t>,</w:t>
            </w:r>
            <w:r>
              <w:t xml:space="preserve"> which are expressed in 2013</w:t>
            </w:r>
            <w:r>
              <w:noBreakHyphen/>
              <w:t xml:space="preserve">14 dollars. </w:t>
            </w:r>
            <w:r w:rsidRPr="00D90CE9">
              <w:rPr>
                <w:rStyle w:val="NoteLabel"/>
              </w:rPr>
              <w:t>b</w:t>
            </w:r>
            <w:r w:rsidRPr="00D90CE9">
              <w:rPr>
                <w:rStyle w:val="NoteLabel"/>
                <w:b w:val="0"/>
              </w:rPr>
              <w:t> </w:t>
            </w:r>
            <w:r>
              <w:t>‘O</w:t>
            </w:r>
            <w:r w:rsidRPr="00D90CE9">
              <w:t>ther’ comprises expenditure on the National Healthcare Agreement and health</w:t>
            </w:r>
            <w:r w:rsidRPr="00D90CE9">
              <w:noBreakHyphen/>
              <w:t xml:space="preserve">related National Partnerships, capital consumption, estimates of the medical expenses tax offset and health research not funded by the Department of Health. </w:t>
            </w:r>
            <w:r w:rsidRPr="00D90CE9">
              <w:rPr>
                <w:rStyle w:val="NoteLabel"/>
              </w:rPr>
              <w:t>c</w:t>
            </w:r>
            <w:r w:rsidRPr="00D90CE9">
              <w:t xml:space="preserve"> Expenditure on insurance premium rebates relates to private health and dental services that are not within the scope of this chapter. </w:t>
            </w:r>
            <w:r w:rsidRPr="00D90CE9">
              <w:rPr>
                <w:rStyle w:val="NoteLabel"/>
              </w:rPr>
              <w:t>d</w:t>
            </w:r>
            <w:r w:rsidRPr="00D90CE9">
              <w:t xml:space="preserve"> Totals may not add due to rounding. </w:t>
            </w:r>
            <w:r w:rsidRPr="00D90CE9">
              <w:rPr>
                <w:rStyle w:val="NoteLabel"/>
              </w:rPr>
              <w:t>e</w:t>
            </w:r>
            <w:r w:rsidRPr="00D90CE9">
              <w:t> Includes expenditure on community health and other recurrent health services (not elsewhere classified). .. Not applicable. – Nil or rounded to zero.</w:t>
            </w:r>
          </w:p>
        </w:tc>
      </w:tr>
      <w:tr w:rsidR="00FB3C42" w:rsidTr="00FC701A">
        <w:trPr>
          <w:gridAfter w:val="1"/>
          <w:wAfter w:w="138" w:type="dxa"/>
          <w:cantSplit/>
        </w:trPr>
        <w:tc>
          <w:tcPr>
            <w:tcW w:w="8771" w:type="dxa"/>
            <w:tcBorders>
              <w:top w:val="nil"/>
              <w:left w:val="nil"/>
              <w:bottom w:val="nil"/>
              <w:right w:val="nil"/>
            </w:tcBorders>
            <w:shd w:val="clear" w:color="auto" w:fill="auto"/>
          </w:tcPr>
          <w:p w:rsidR="00FB3C42" w:rsidRDefault="00FB3C42" w:rsidP="004941EF">
            <w:pPr>
              <w:pStyle w:val="Source"/>
            </w:pPr>
            <w:r>
              <w:rPr>
                <w:i/>
              </w:rPr>
              <w:t>Source</w:t>
            </w:r>
            <w:r w:rsidRPr="007416CA">
              <w:t>:</w:t>
            </w:r>
            <w:r>
              <w:t xml:space="preserve"> </w:t>
            </w:r>
            <w:r w:rsidR="004941EF" w:rsidRPr="00970679">
              <w:t>AIHW</w:t>
            </w:r>
            <w:r w:rsidR="004941EF">
              <w:t xml:space="preserve"> (Australian Institute of Health and Welfare)</w:t>
            </w:r>
            <w:r w:rsidRPr="00970679">
              <w:t xml:space="preserve"> </w:t>
            </w:r>
            <w:r w:rsidR="00CF6AA1">
              <w:t>(</w:t>
            </w:r>
            <w:r w:rsidRPr="00970679">
              <w:t>2014</w:t>
            </w:r>
            <w:r w:rsidR="00CF6AA1">
              <w:t>)</w:t>
            </w:r>
            <w:r w:rsidRPr="00970679">
              <w:t xml:space="preserve">, Health Expenditure Australia 2012-13, </w:t>
            </w:r>
            <w:r>
              <w:t>Cat. no. HWE 61.</w:t>
            </w:r>
          </w:p>
        </w:tc>
      </w:tr>
      <w:tr w:rsidR="00FB3C42" w:rsidTr="00FC701A">
        <w:trPr>
          <w:gridAfter w:val="1"/>
          <w:wAfter w:w="138" w:type="dxa"/>
          <w:cantSplit/>
        </w:trPr>
        <w:tc>
          <w:tcPr>
            <w:tcW w:w="8771" w:type="dxa"/>
            <w:tcBorders>
              <w:top w:val="nil"/>
              <w:left w:val="nil"/>
              <w:bottom w:val="single" w:sz="6" w:space="0" w:color="78A22F"/>
              <w:right w:val="nil"/>
            </w:tcBorders>
            <w:shd w:val="clear" w:color="auto" w:fill="auto"/>
          </w:tcPr>
          <w:p w:rsidR="00FB3C42" w:rsidRDefault="00FB3C42" w:rsidP="00FC701A">
            <w:pPr>
              <w:pStyle w:val="Box"/>
              <w:spacing w:before="0" w:line="120" w:lineRule="exact"/>
            </w:pPr>
          </w:p>
        </w:tc>
      </w:tr>
      <w:tr w:rsidR="00FB3C42" w:rsidRPr="000863A5" w:rsidTr="00FC701A">
        <w:trPr>
          <w:gridAfter w:val="1"/>
          <w:wAfter w:w="138" w:type="dxa"/>
        </w:trPr>
        <w:tc>
          <w:tcPr>
            <w:tcW w:w="8771" w:type="dxa"/>
            <w:tcBorders>
              <w:top w:val="single" w:sz="6" w:space="0" w:color="78A22F"/>
              <w:left w:val="nil"/>
              <w:bottom w:val="nil"/>
              <w:right w:val="nil"/>
            </w:tcBorders>
          </w:tcPr>
          <w:p w:rsidR="00FB3C42" w:rsidRPr="00626D32" w:rsidRDefault="00FB3C42" w:rsidP="00FC701A">
            <w:pPr>
              <w:pStyle w:val="BoxSpaceBelow"/>
            </w:pPr>
          </w:p>
        </w:tc>
      </w:tr>
    </w:tbl>
    <w:p w:rsidR="003D59EC" w:rsidRDefault="003D59EC" w:rsidP="003D59EC">
      <w:pPr>
        <w:pStyle w:val="Heading4"/>
      </w:pPr>
      <w:r>
        <w:t>General practice</w:t>
      </w:r>
    </w:p>
    <w:p w:rsidR="0037566A" w:rsidRDefault="005D50B7" w:rsidP="00CC4FB1">
      <w:pPr>
        <w:pStyle w:val="BodyText"/>
      </w:pPr>
      <w:r>
        <w:t>T</w:t>
      </w:r>
      <w:r w:rsidR="00574B4E" w:rsidRPr="00760127">
        <w:t xml:space="preserve">he Australian Government </w:t>
      </w:r>
      <w:r w:rsidR="00EE0F69" w:rsidRPr="00760127">
        <w:t>funds</w:t>
      </w:r>
      <w:r w:rsidR="00574B4E" w:rsidRPr="00760127">
        <w:t xml:space="preserve"> the majority of general practice </w:t>
      </w:r>
      <w:r w:rsidR="00EE0F69" w:rsidRPr="00760127">
        <w:t>services</w:t>
      </w:r>
      <w:r w:rsidR="00574B4E" w:rsidRPr="00760127">
        <w:t xml:space="preserve">, primarily </w:t>
      </w:r>
      <w:r w:rsidR="00CF7620">
        <w:t>t</w:t>
      </w:r>
      <w:r w:rsidR="00574B4E" w:rsidRPr="00760127">
        <w:t xml:space="preserve">hrough </w:t>
      </w:r>
      <w:r w:rsidR="00F85E30">
        <w:t xml:space="preserve">DHS </w:t>
      </w:r>
      <w:r w:rsidR="00B31F28" w:rsidRPr="00BE60D3">
        <w:t xml:space="preserve">Medicare </w:t>
      </w:r>
      <w:r w:rsidR="00574B4E" w:rsidRPr="00760127">
        <w:t>and the DVA</w:t>
      </w:r>
      <w:r w:rsidR="00856881" w:rsidRPr="00760127">
        <w:t>.</w:t>
      </w:r>
      <w:r w:rsidR="00574B4E" w:rsidRPr="00760127">
        <w:t xml:space="preserve"> </w:t>
      </w:r>
      <w:r w:rsidR="00053635">
        <w:t xml:space="preserve">The remainder comes from insurance schemes, patient contributions, and State and Territory government programs. </w:t>
      </w:r>
      <w:r w:rsidR="001B5E2C" w:rsidRPr="00760127">
        <w:t xml:space="preserve">The annual </w:t>
      </w:r>
      <w:r w:rsidR="001B5E2C" w:rsidRPr="00CF7620">
        <w:t>Bettering the Evaluation and Care of Health</w:t>
      </w:r>
      <w:r w:rsidR="001B5E2C" w:rsidRPr="00760127">
        <w:t xml:space="preserve"> (BEACH) survey of general </w:t>
      </w:r>
      <w:r w:rsidR="001B5E2C" w:rsidRPr="00A552DE">
        <w:t xml:space="preserve">practice activity in Australia found that </w:t>
      </w:r>
      <w:r w:rsidR="001B5E2C" w:rsidRPr="00CC4FB1">
        <w:t>95.</w:t>
      </w:r>
      <w:r w:rsidR="00C35934" w:rsidRPr="00CC4FB1">
        <w:t>4</w:t>
      </w:r>
      <w:r w:rsidR="008B6FA4" w:rsidRPr="00CC4FB1">
        <w:t> </w:t>
      </w:r>
      <w:r w:rsidR="001B5E2C" w:rsidRPr="00CC4FB1">
        <w:t>per</w:t>
      </w:r>
      <w:r w:rsidR="008B6FA4" w:rsidRPr="00CC4FB1">
        <w:t> </w:t>
      </w:r>
      <w:r w:rsidR="001B5E2C" w:rsidRPr="00CC4FB1">
        <w:t xml:space="preserve">cent of </w:t>
      </w:r>
      <w:r w:rsidR="00C35934" w:rsidRPr="00CC4FB1">
        <w:t>direct</w:t>
      </w:r>
      <w:r w:rsidR="001B5E2C" w:rsidRPr="00CC4FB1">
        <w:t xml:space="preserve"> </w:t>
      </w:r>
      <w:r w:rsidR="00A552DE" w:rsidRPr="00CC4FB1">
        <w:t xml:space="preserve">general practice </w:t>
      </w:r>
      <w:r w:rsidR="001B5E2C" w:rsidRPr="00CC4FB1">
        <w:t>encounters</w:t>
      </w:r>
      <w:r w:rsidR="001B5E2C" w:rsidRPr="00A552DE">
        <w:t xml:space="preserve"> </w:t>
      </w:r>
      <w:r w:rsidR="00450BA3">
        <w:t xml:space="preserve">where a payment </w:t>
      </w:r>
      <w:r w:rsidR="00450BA3">
        <w:lastRenderedPageBreak/>
        <w:t xml:space="preserve">source was recorded </w:t>
      </w:r>
      <w:r w:rsidR="001B5E2C" w:rsidRPr="00A552DE">
        <w:t xml:space="preserve">in </w:t>
      </w:r>
      <w:r w:rsidR="001B5E2C" w:rsidRPr="005C2BA2">
        <w:t>20</w:t>
      </w:r>
      <w:r w:rsidR="009D1300" w:rsidRPr="005C2BA2">
        <w:t>1</w:t>
      </w:r>
      <w:r w:rsidR="00450BA3">
        <w:t>3</w:t>
      </w:r>
      <w:r w:rsidR="001B5E2C" w:rsidRPr="005C2BA2">
        <w:t>-</w:t>
      </w:r>
      <w:r w:rsidR="009D1300" w:rsidRPr="005C2BA2">
        <w:t>1</w:t>
      </w:r>
      <w:r w:rsidR="00450BA3">
        <w:t>4</w:t>
      </w:r>
      <w:r w:rsidR="001B5E2C" w:rsidRPr="00A552DE">
        <w:t xml:space="preserve"> were for services at least partly funded by Medicare</w:t>
      </w:r>
      <w:r w:rsidR="00B5735F" w:rsidRPr="00A552DE">
        <w:t xml:space="preserve"> </w:t>
      </w:r>
      <w:r w:rsidR="001B5E2C" w:rsidRPr="00A552DE">
        <w:t xml:space="preserve">or the DVA </w:t>
      </w:r>
      <w:r w:rsidR="0091333B" w:rsidRPr="00A552DE">
        <w:t>(Britt </w:t>
      </w:r>
      <w:r w:rsidR="0091333B" w:rsidRPr="00CF7620">
        <w:t>et </w:t>
      </w:r>
      <w:r w:rsidR="0061403C" w:rsidRPr="00CF7620">
        <w:t>al</w:t>
      </w:r>
      <w:r w:rsidR="008B6FA4" w:rsidRPr="00A552DE">
        <w:t>. </w:t>
      </w:r>
      <w:r w:rsidR="0061403C" w:rsidRPr="005C2BA2">
        <w:t>20</w:t>
      </w:r>
      <w:r w:rsidR="0040109A" w:rsidRPr="005C2BA2">
        <w:t>1</w:t>
      </w:r>
      <w:r w:rsidR="00450BA3">
        <w:t>4</w:t>
      </w:r>
      <w:r w:rsidR="0061403C" w:rsidRPr="00A552DE">
        <w:t xml:space="preserve">) </w:t>
      </w:r>
      <w:r w:rsidR="001B5E2C" w:rsidRPr="00A552DE">
        <w:t>(</w:t>
      </w:r>
      <w:r w:rsidR="00897589">
        <w:t>table 10.</w:t>
      </w:r>
      <w:r w:rsidR="006B4A5B">
        <w:t>2</w:t>
      </w:r>
      <w:r w:rsidR="000C6015">
        <w:t>).</w:t>
      </w:r>
    </w:p>
    <w:p w:rsidR="00F847BC" w:rsidRDefault="00F847BC" w:rsidP="003019F8">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909"/>
      </w:tblGrid>
      <w:tr w:rsidR="00F847BC" w:rsidTr="003019F8">
        <w:tc>
          <w:tcPr>
            <w:tcW w:w="8771" w:type="dxa"/>
            <w:tcBorders>
              <w:top w:val="single" w:sz="6" w:space="0" w:color="78A22F" w:themeColor="accent1"/>
              <w:left w:val="nil"/>
              <w:bottom w:val="nil"/>
              <w:right w:val="nil"/>
            </w:tcBorders>
            <w:shd w:val="clear" w:color="auto" w:fill="auto"/>
          </w:tcPr>
          <w:p w:rsidR="00F847BC" w:rsidRPr="00784A05" w:rsidRDefault="00F847BC" w:rsidP="00B56C2D">
            <w:pPr>
              <w:pStyle w:val="TableTitle"/>
            </w:pPr>
            <w:r>
              <w:rPr>
                <w:b w:val="0"/>
              </w:rPr>
              <w:t xml:space="preserve">Table </w:t>
            </w:r>
            <w:r w:rsidR="006B4A5B">
              <w:rPr>
                <w:b w:val="0"/>
              </w:rPr>
              <w:t>10.</w:t>
            </w:r>
            <w:r w:rsidR="0078724D">
              <w:rPr>
                <w:b w:val="0"/>
                <w:noProof/>
              </w:rPr>
              <w:t>2</w:t>
            </w:r>
            <w:r>
              <w:tab/>
            </w:r>
            <w:r w:rsidRPr="00F847BC">
              <w:t>General practice encounters and fu</w:t>
            </w:r>
            <w:r w:rsidR="00B56C2D">
              <w:t>nding sources, April 2013</w:t>
            </w:r>
            <w:r>
              <w:t xml:space="preserve"> to </w:t>
            </w:r>
            <w:r w:rsidRPr="00F847BC">
              <w:t>March 201</w:t>
            </w:r>
            <w:r w:rsidR="00B56C2D">
              <w:t>4</w:t>
            </w:r>
            <w:r w:rsidRPr="00F847BC">
              <w:rPr>
                <w:vertAlign w:val="superscript"/>
              </w:rPr>
              <w:t>a, b</w:t>
            </w:r>
          </w:p>
        </w:tc>
      </w:tr>
      <w:tr w:rsidR="00F847BC" w:rsidTr="003019F8">
        <w:trPr>
          <w:cantSplit/>
        </w:trPr>
        <w:tc>
          <w:tcPr>
            <w:tcW w:w="8771" w:type="dxa"/>
            <w:tcBorders>
              <w:top w:val="nil"/>
              <w:left w:val="nil"/>
              <w:bottom w:val="nil"/>
              <w:right w:val="nil"/>
            </w:tcBorders>
            <w:shd w:val="clear" w:color="auto" w:fill="auto"/>
          </w:tcPr>
          <w:tbl>
            <w:tblPr>
              <w:tblW w:w="8625" w:type="dxa"/>
              <w:tblCellMar>
                <w:left w:w="0" w:type="dxa"/>
                <w:right w:w="0" w:type="dxa"/>
              </w:tblCellMar>
              <w:tblLook w:val="0000" w:firstRow="0" w:lastRow="0" w:firstColumn="0" w:lastColumn="0" w:noHBand="0" w:noVBand="0"/>
            </w:tblPr>
            <w:tblGrid>
              <w:gridCol w:w="3392"/>
              <w:gridCol w:w="1308"/>
              <w:gridCol w:w="1308"/>
              <w:gridCol w:w="1308"/>
              <w:gridCol w:w="1309"/>
            </w:tblGrid>
            <w:tr w:rsidR="00F847BC" w:rsidRPr="00760127" w:rsidTr="000F2A7B">
              <w:tc>
                <w:tcPr>
                  <w:tcW w:w="3392" w:type="dxa"/>
                  <w:tcBorders>
                    <w:top w:val="single" w:sz="4" w:space="0" w:color="BFBFBF"/>
                    <w:bottom w:val="single" w:sz="4" w:space="0" w:color="BFBFBF"/>
                  </w:tcBorders>
                  <w:shd w:val="clear" w:color="auto" w:fill="auto"/>
                </w:tcPr>
                <w:p w:rsidR="00F847BC" w:rsidRPr="000F2A7B" w:rsidRDefault="00F847BC" w:rsidP="000F2A7B">
                  <w:pPr>
                    <w:spacing w:after="40" w:line="200" w:lineRule="atLeast"/>
                    <w:ind w:left="6" w:right="113"/>
                    <w:rPr>
                      <w:rFonts w:ascii="Arial" w:hAnsi="Arial" w:cs="Arial"/>
                      <w:sz w:val="18"/>
                      <w:szCs w:val="18"/>
                    </w:rPr>
                  </w:pPr>
                </w:p>
              </w:tc>
              <w:tc>
                <w:tcPr>
                  <w:tcW w:w="1308" w:type="dxa"/>
                  <w:tcBorders>
                    <w:top w:val="single" w:sz="4" w:space="0" w:color="BFBFBF"/>
                    <w:bottom w:val="single" w:sz="4" w:space="0" w:color="BFBFBF"/>
                  </w:tcBorders>
                  <w:shd w:val="clear" w:color="auto" w:fill="auto"/>
                  <w:tcMar>
                    <w:right w:w="0" w:type="dxa"/>
                  </w:tcMar>
                  <w:vAlign w:val="bottom"/>
                </w:tcPr>
                <w:p w:rsidR="00F847BC" w:rsidRPr="000F2A7B" w:rsidRDefault="00F847BC" w:rsidP="00123ABD">
                  <w:pPr>
                    <w:pStyle w:val="TableColumnHeading"/>
                  </w:pPr>
                  <w:r w:rsidRPr="000F2A7B">
                    <w:t>Number</w:t>
                  </w:r>
                  <w:r w:rsidRPr="000F2A7B">
                    <w:rPr>
                      <w:rStyle w:val="NoteLabel"/>
                      <w:szCs w:val="18"/>
                    </w:rPr>
                    <w:t>c</w:t>
                  </w:r>
                </w:p>
              </w:tc>
              <w:tc>
                <w:tcPr>
                  <w:tcW w:w="1308" w:type="dxa"/>
                  <w:tcBorders>
                    <w:top w:val="single" w:sz="4" w:space="0" w:color="BFBFBF"/>
                    <w:bottom w:val="single" w:sz="4" w:space="0" w:color="BFBFBF"/>
                  </w:tcBorders>
                  <w:shd w:val="clear" w:color="auto" w:fill="auto"/>
                  <w:tcMar>
                    <w:right w:w="0" w:type="dxa"/>
                  </w:tcMar>
                  <w:vAlign w:val="bottom"/>
                </w:tcPr>
                <w:p w:rsidR="00F847BC" w:rsidRPr="000F2A7B" w:rsidRDefault="00F847BC" w:rsidP="00123ABD">
                  <w:pPr>
                    <w:pStyle w:val="TableColumnHeading"/>
                  </w:pPr>
                  <w:r w:rsidRPr="000F2A7B">
                    <w:t>Per cent of all encounters</w:t>
                  </w:r>
                  <w:r w:rsidRPr="000F2A7B">
                    <w:rPr>
                      <w:rStyle w:val="NoteLabel"/>
                      <w:szCs w:val="18"/>
                    </w:rPr>
                    <w:t>d</w:t>
                  </w:r>
                </w:p>
              </w:tc>
              <w:tc>
                <w:tcPr>
                  <w:tcW w:w="1308" w:type="dxa"/>
                  <w:tcBorders>
                    <w:top w:val="single" w:sz="4" w:space="0" w:color="BFBFBF"/>
                    <w:bottom w:val="single" w:sz="4" w:space="0" w:color="BFBFBF"/>
                  </w:tcBorders>
                  <w:shd w:val="clear" w:color="auto" w:fill="auto"/>
                  <w:tcMar>
                    <w:right w:w="0" w:type="dxa"/>
                  </w:tcMar>
                  <w:vAlign w:val="bottom"/>
                </w:tcPr>
                <w:p w:rsidR="00F847BC" w:rsidRPr="000F2A7B" w:rsidRDefault="00F847BC" w:rsidP="00123ABD">
                  <w:pPr>
                    <w:pStyle w:val="TableColumnHeading"/>
                  </w:pPr>
                  <w:r w:rsidRPr="000F2A7B">
                    <w:t>95% LCL</w:t>
                  </w:r>
                </w:p>
              </w:tc>
              <w:tc>
                <w:tcPr>
                  <w:tcW w:w="1309" w:type="dxa"/>
                  <w:tcBorders>
                    <w:top w:val="single" w:sz="4" w:space="0" w:color="BFBFBF"/>
                    <w:bottom w:val="single" w:sz="4" w:space="0" w:color="BFBFBF"/>
                  </w:tcBorders>
                  <w:shd w:val="clear" w:color="auto" w:fill="auto"/>
                  <w:tcMar>
                    <w:right w:w="0" w:type="dxa"/>
                  </w:tcMar>
                  <w:vAlign w:val="bottom"/>
                </w:tcPr>
                <w:p w:rsidR="00F847BC" w:rsidRPr="000F2A7B" w:rsidRDefault="00F847BC" w:rsidP="00123ABD">
                  <w:pPr>
                    <w:pStyle w:val="TableColumnHeading"/>
                  </w:pPr>
                  <w:r w:rsidRPr="000F2A7B">
                    <w:t>95% UCL</w:t>
                  </w:r>
                </w:p>
              </w:tc>
            </w:tr>
            <w:tr w:rsidR="00F847BC" w:rsidRPr="006735AC" w:rsidTr="000F2A7B">
              <w:tc>
                <w:tcPr>
                  <w:tcW w:w="3392" w:type="dxa"/>
                  <w:tcBorders>
                    <w:top w:val="single" w:sz="4" w:space="0" w:color="BFBFBF"/>
                  </w:tcBorders>
                  <w:shd w:val="clear" w:color="auto" w:fill="auto"/>
                  <w:vAlign w:val="bottom"/>
                </w:tcPr>
                <w:p w:rsidR="00F847BC" w:rsidRPr="000F2A7B" w:rsidRDefault="00F847BC" w:rsidP="000F2A7B">
                  <w:pPr>
                    <w:spacing w:after="40" w:line="200" w:lineRule="atLeast"/>
                    <w:ind w:left="6" w:right="113"/>
                    <w:rPr>
                      <w:rFonts w:ascii="Arial" w:hAnsi="Arial" w:cs="Arial"/>
                      <w:sz w:val="18"/>
                      <w:szCs w:val="18"/>
                    </w:rPr>
                  </w:pPr>
                  <w:r w:rsidRPr="000F2A7B">
                    <w:rPr>
                      <w:rFonts w:ascii="Arial" w:hAnsi="Arial" w:cs="Arial"/>
                      <w:sz w:val="18"/>
                      <w:szCs w:val="18"/>
                    </w:rPr>
                    <w:t>Total encounters for which BEACH data were recorded</w:t>
                  </w:r>
                  <w:r w:rsidRPr="000F2A7B">
                    <w:rPr>
                      <w:rStyle w:val="NoteLabel"/>
                      <w:szCs w:val="18"/>
                    </w:rPr>
                    <w:t>e</w:t>
                  </w:r>
                </w:p>
              </w:tc>
              <w:tc>
                <w:tcPr>
                  <w:tcW w:w="1308" w:type="dxa"/>
                  <w:tcBorders>
                    <w:top w:val="single" w:sz="4" w:space="0" w:color="BFBFBF"/>
                  </w:tcBorders>
                  <w:shd w:val="clear" w:color="auto" w:fill="auto"/>
                  <w:tcMar>
                    <w:right w:w="0" w:type="dxa"/>
                  </w:tcMar>
                  <w:vAlign w:val="bottom"/>
                </w:tcPr>
                <w:p w:rsidR="00F847BC" w:rsidRPr="000F2A7B" w:rsidRDefault="00B56C2D" w:rsidP="000F2A7B">
                  <w:pPr>
                    <w:spacing w:after="40" w:line="200" w:lineRule="atLeast"/>
                    <w:ind w:left="6" w:right="113"/>
                    <w:jc w:val="right"/>
                    <w:rPr>
                      <w:rFonts w:ascii="Arial" w:hAnsi="Arial" w:cs="Arial"/>
                      <w:sz w:val="18"/>
                      <w:szCs w:val="18"/>
                    </w:rPr>
                  </w:pPr>
                  <w:r w:rsidRPr="000F2A7B">
                    <w:rPr>
                      <w:rFonts w:ascii="Arial" w:hAnsi="Arial" w:cs="Arial"/>
                      <w:sz w:val="18"/>
                      <w:szCs w:val="18"/>
                    </w:rPr>
                    <w:t>88 151</w:t>
                  </w:r>
                </w:p>
              </w:tc>
              <w:tc>
                <w:tcPr>
                  <w:tcW w:w="1308" w:type="dxa"/>
                  <w:tcBorders>
                    <w:top w:val="single" w:sz="4" w:space="0" w:color="BFBFBF"/>
                  </w:tcBorders>
                  <w:shd w:val="clear" w:color="auto" w:fill="auto"/>
                  <w:tcMar>
                    <w:right w:w="0" w:type="dxa"/>
                  </w:tcMar>
                  <w:vAlign w:val="bottom"/>
                </w:tcPr>
                <w:p w:rsidR="00F847BC" w:rsidRPr="000F2A7B" w:rsidRDefault="00F847BC" w:rsidP="000F2A7B">
                  <w:pPr>
                    <w:spacing w:after="40" w:line="200" w:lineRule="atLeast"/>
                    <w:ind w:left="6" w:right="113"/>
                    <w:jc w:val="right"/>
                    <w:rPr>
                      <w:rFonts w:ascii="Arial" w:hAnsi="Arial" w:cs="Arial"/>
                      <w:sz w:val="18"/>
                      <w:szCs w:val="18"/>
                    </w:rPr>
                  </w:pPr>
                  <w:r w:rsidRPr="000F2A7B">
                    <w:rPr>
                      <w:rFonts w:ascii="Arial" w:hAnsi="Arial" w:cs="Arial"/>
                      <w:sz w:val="18"/>
                      <w:szCs w:val="18"/>
                    </w:rPr>
                    <w:t>100</w:t>
                  </w:r>
                </w:p>
              </w:tc>
              <w:tc>
                <w:tcPr>
                  <w:tcW w:w="1308" w:type="dxa"/>
                  <w:tcBorders>
                    <w:top w:val="single" w:sz="4" w:space="0" w:color="BFBFBF"/>
                  </w:tcBorders>
                  <w:shd w:val="clear" w:color="auto" w:fill="auto"/>
                  <w:tcMar>
                    <w:right w:w="0" w:type="dxa"/>
                  </w:tcMar>
                  <w:vAlign w:val="bottom"/>
                </w:tcPr>
                <w:p w:rsidR="00F847BC" w:rsidRPr="000F2A7B" w:rsidRDefault="00F847BC" w:rsidP="000F2A7B">
                  <w:pPr>
                    <w:spacing w:after="40" w:line="200" w:lineRule="atLeast"/>
                    <w:ind w:left="6" w:right="113"/>
                    <w:jc w:val="right"/>
                    <w:rPr>
                      <w:rFonts w:ascii="Arial" w:hAnsi="Arial" w:cs="Arial"/>
                      <w:sz w:val="18"/>
                      <w:szCs w:val="18"/>
                    </w:rPr>
                  </w:pPr>
                  <w:r w:rsidRPr="000F2A7B">
                    <w:rPr>
                      <w:rFonts w:ascii="Arial" w:hAnsi="Arial" w:cs="Arial"/>
                      <w:sz w:val="18"/>
                      <w:szCs w:val="18"/>
                    </w:rPr>
                    <w:t>..</w:t>
                  </w:r>
                </w:p>
              </w:tc>
              <w:tc>
                <w:tcPr>
                  <w:tcW w:w="1309" w:type="dxa"/>
                  <w:tcBorders>
                    <w:top w:val="single" w:sz="4" w:space="0" w:color="BFBFBF"/>
                  </w:tcBorders>
                  <w:shd w:val="clear" w:color="auto" w:fill="auto"/>
                  <w:tcMar>
                    <w:right w:w="0" w:type="dxa"/>
                  </w:tcMar>
                  <w:vAlign w:val="bottom"/>
                </w:tcPr>
                <w:p w:rsidR="00F847BC" w:rsidRPr="000F2A7B" w:rsidRDefault="00F847BC" w:rsidP="000F2A7B">
                  <w:pPr>
                    <w:spacing w:after="40" w:line="200" w:lineRule="atLeast"/>
                    <w:ind w:left="6" w:right="113"/>
                    <w:jc w:val="right"/>
                    <w:rPr>
                      <w:rFonts w:ascii="Arial" w:hAnsi="Arial" w:cs="Arial"/>
                      <w:sz w:val="18"/>
                      <w:szCs w:val="18"/>
                    </w:rPr>
                  </w:pPr>
                  <w:r w:rsidRPr="000F2A7B">
                    <w:rPr>
                      <w:rFonts w:ascii="Arial" w:hAnsi="Arial" w:cs="Arial"/>
                      <w:sz w:val="18"/>
                      <w:szCs w:val="18"/>
                    </w:rPr>
                    <w:t>..</w:t>
                  </w:r>
                </w:p>
              </w:tc>
            </w:tr>
            <w:tr w:rsidR="00B56C2D" w:rsidRPr="00760127" w:rsidTr="000F2A7B">
              <w:tc>
                <w:tcPr>
                  <w:tcW w:w="3392" w:type="dxa"/>
                  <w:shd w:val="clear" w:color="auto" w:fill="auto"/>
                  <w:vAlign w:val="bottom"/>
                </w:tcPr>
                <w:p w:rsidR="00B56C2D" w:rsidRPr="000F2A7B" w:rsidRDefault="00B56C2D" w:rsidP="000F2A7B">
                  <w:pPr>
                    <w:tabs>
                      <w:tab w:val="left" w:pos="200"/>
                    </w:tabs>
                    <w:spacing w:after="40" w:line="200" w:lineRule="atLeast"/>
                    <w:ind w:left="6" w:right="113"/>
                    <w:rPr>
                      <w:rFonts w:ascii="Arial" w:hAnsi="Arial" w:cs="Arial"/>
                      <w:sz w:val="18"/>
                      <w:szCs w:val="18"/>
                    </w:rPr>
                  </w:pPr>
                  <w:r w:rsidRPr="000F2A7B">
                    <w:rPr>
                      <w:rFonts w:ascii="Arial" w:hAnsi="Arial" w:cs="Arial"/>
                      <w:sz w:val="18"/>
                      <w:szCs w:val="18"/>
                    </w:rPr>
                    <w:tab/>
                    <w:t>Direct encounters</w:t>
                  </w:r>
                </w:p>
              </w:tc>
              <w:tc>
                <w:tcPr>
                  <w:tcW w:w="1308" w:type="dxa"/>
                  <w:shd w:val="clear" w:color="auto" w:fill="auto"/>
                  <w:tcMar>
                    <w:right w:w="0" w:type="dxa"/>
                  </w:tcMar>
                  <w:vAlign w:val="bottom"/>
                </w:tcPr>
                <w:p w:rsidR="00B56C2D" w:rsidRPr="000F2A7B" w:rsidRDefault="00B56C2D" w:rsidP="000F2A7B">
                  <w:pPr>
                    <w:spacing w:after="40" w:line="200" w:lineRule="atLeast"/>
                    <w:ind w:left="6" w:right="113"/>
                    <w:jc w:val="right"/>
                    <w:rPr>
                      <w:rFonts w:ascii="Arial" w:hAnsi="Arial" w:cs="Arial"/>
                      <w:sz w:val="18"/>
                      <w:szCs w:val="18"/>
                    </w:rPr>
                  </w:pPr>
                  <w:r w:rsidRPr="000F2A7B">
                    <w:rPr>
                      <w:rFonts w:ascii="Arial" w:hAnsi="Arial" w:cs="Arial"/>
                      <w:sz w:val="18"/>
                      <w:szCs w:val="18"/>
                    </w:rPr>
                    <w:t>86 607</w:t>
                  </w:r>
                </w:p>
              </w:tc>
              <w:tc>
                <w:tcPr>
                  <w:tcW w:w="1308" w:type="dxa"/>
                  <w:shd w:val="clear" w:color="auto" w:fill="auto"/>
                  <w:tcMar>
                    <w:right w:w="0" w:type="dxa"/>
                  </w:tcMar>
                </w:tcPr>
                <w:p w:rsidR="00B56C2D" w:rsidRPr="000F2A7B" w:rsidRDefault="00B56C2D" w:rsidP="000F2A7B">
                  <w:pPr>
                    <w:spacing w:after="40" w:line="200" w:lineRule="atLeast"/>
                    <w:ind w:left="6" w:right="113"/>
                    <w:jc w:val="right"/>
                    <w:rPr>
                      <w:rFonts w:ascii="Arial" w:hAnsi="Arial" w:cs="Arial"/>
                      <w:sz w:val="18"/>
                      <w:szCs w:val="18"/>
                    </w:rPr>
                  </w:pPr>
                  <w:r w:rsidRPr="000F2A7B">
                    <w:rPr>
                      <w:rFonts w:ascii="Arial" w:hAnsi="Arial" w:cs="Arial"/>
                      <w:sz w:val="18"/>
                      <w:szCs w:val="18"/>
                    </w:rPr>
                    <w:t xml:space="preserve">  98.2</w:t>
                  </w:r>
                </w:p>
              </w:tc>
              <w:tc>
                <w:tcPr>
                  <w:tcW w:w="1308" w:type="dxa"/>
                  <w:shd w:val="clear" w:color="auto" w:fill="auto"/>
                  <w:tcMar>
                    <w:right w:w="0" w:type="dxa"/>
                  </w:tcMar>
                </w:tcPr>
                <w:p w:rsidR="00B56C2D" w:rsidRPr="000F2A7B" w:rsidRDefault="00B56C2D" w:rsidP="000F2A7B">
                  <w:pPr>
                    <w:spacing w:after="40" w:line="200" w:lineRule="atLeast"/>
                    <w:ind w:left="6" w:right="113"/>
                    <w:jc w:val="right"/>
                    <w:rPr>
                      <w:rFonts w:ascii="Arial" w:hAnsi="Arial" w:cs="Arial"/>
                      <w:sz w:val="18"/>
                      <w:szCs w:val="18"/>
                    </w:rPr>
                  </w:pPr>
                  <w:r w:rsidRPr="000F2A7B">
                    <w:rPr>
                      <w:rFonts w:ascii="Arial" w:hAnsi="Arial" w:cs="Arial"/>
                      <w:sz w:val="18"/>
                      <w:szCs w:val="18"/>
                    </w:rPr>
                    <w:t xml:space="preserve">  98.0</w:t>
                  </w:r>
                </w:p>
              </w:tc>
              <w:tc>
                <w:tcPr>
                  <w:tcW w:w="1309" w:type="dxa"/>
                  <w:shd w:val="clear" w:color="auto" w:fill="auto"/>
                  <w:tcMar>
                    <w:right w:w="0" w:type="dxa"/>
                  </w:tcMar>
                </w:tcPr>
                <w:p w:rsidR="00B56C2D" w:rsidRPr="000F2A7B" w:rsidRDefault="00B56C2D" w:rsidP="000F2A7B">
                  <w:pPr>
                    <w:spacing w:after="40" w:line="200" w:lineRule="atLeast"/>
                    <w:ind w:left="6" w:right="113"/>
                    <w:jc w:val="right"/>
                    <w:rPr>
                      <w:rFonts w:ascii="Arial" w:hAnsi="Arial" w:cs="Arial"/>
                      <w:sz w:val="18"/>
                      <w:szCs w:val="18"/>
                    </w:rPr>
                  </w:pPr>
                  <w:r w:rsidRPr="000F2A7B">
                    <w:rPr>
                      <w:rFonts w:ascii="Arial" w:hAnsi="Arial" w:cs="Arial"/>
                      <w:sz w:val="18"/>
                      <w:szCs w:val="18"/>
                    </w:rPr>
                    <w:t xml:space="preserve">  98.5</w:t>
                  </w:r>
                </w:p>
              </w:tc>
            </w:tr>
            <w:tr w:rsidR="00B56C2D" w:rsidRPr="00760127" w:rsidTr="000F2A7B">
              <w:tc>
                <w:tcPr>
                  <w:tcW w:w="3392" w:type="dxa"/>
                  <w:shd w:val="clear" w:color="auto" w:fill="auto"/>
                  <w:vAlign w:val="bottom"/>
                </w:tcPr>
                <w:p w:rsidR="00B56C2D" w:rsidRPr="000F2A7B" w:rsidRDefault="00B56C2D" w:rsidP="000F2A7B">
                  <w:pPr>
                    <w:tabs>
                      <w:tab w:val="left" w:pos="403"/>
                    </w:tabs>
                    <w:spacing w:before="40" w:after="40" w:line="200" w:lineRule="atLeast"/>
                    <w:ind w:left="6" w:right="113"/>
                    <w:rPr>
                      <w:rFonts w:ascii="Arial" w:hAnsi="Arial" w:cs="Arial"/>
                      <w:sz w:val="18"/>
                      <w:szCs w:val="18"/>
                    </w:rPr>
                  </w:pPr>
                  <w:r w:rsidRPr="000F2A7B">
                    <w:rPr>
                      <w:rFonts w:ascii="Arial" w:hAnsi="Arial" w:cs="Arial"/>
                      <w:sz w:val="18"/>
                      <w:szCs w:val="18"/>
                    </w:rPr>
                    <w:tab/>
                    <w:t>No charge</w:t>
                  </w:r>
                </w:p>
              </w:tc>
              <w:tc>
                <w:tcPr>
                  <w:tcW w:w="1308" w:type="dxa"/>
                  <w:shd w:val="clear" w:color="auto" w:fill="auto"/>
                  <w:tcMar>
                    <w:right w:w="0" w:type="dxa"/>
                  </w:tcMar>
                </w:tcPr>
                <w:p w:rsidR="00B56C2D" w:rsidRPr="000F2A7B" w:rsidRDefault="00B56C2D" w:rsidP="000F2A7B">
                  <w:pPr>
                    <w:spacing w:after="40" w:line="200" w:lineRule="atLeast"/>
                    <w:ind w:left="6" w:right="113"/>
                    <w:jc w:val="right"/>
                    <w:rPr>
                      <w:rFonts w:ascii="Arial" w:hAnsi="Arial" w:cs="Arial"/>
                      <w:sz w:val="18"/>
                      <w:szCs w:val="18"/>
                    </w:rPr>
                  </w:pPr>
                  <w:r w:rsidRPr="000F2A7B">
                    <w:rPr>
                      <w:rFonts w:ascii="Arial" w:hAnsi="Arial" w:cs="Arial"/>
                      <w:sz w:val="18"/>
                      <w:szCs w:val="18"/>
                    </w:rPr>
                    <w:t xml:space="preserve">  332</w:t>
                  </w:r>
                </w:p>
              </w:tc>
              <w:tc>
                <w:tcPr>
                  <w:tcW w:w="1308" w:type="dxa"/>
                  <w:shd w:val="clear" w:color="auto" w:fill="auto"/>
                  <w:tcMar>
                    <w:right w:w="0" w:type="dxa"/>
                  </w:tcMar>
                </w:tcPr>
                <w:p w:rsidR="00B56C2D" w:rsidRPr="000F2A7B" w:rsidRDefault="00B56C2D" w:rsidP="000F2A7B">
                  <w:pPr>
                    <w:spacing w:after="40" w:line="200" w:lineRule="atLeast"/>
                    <w:ind w:left="6" w:right="113"/>
                    <w:jc w:val="right"/>
                    <w:rPr>
                      <w:rFonts w:ascii="Arial" w:hAnsi="Arial" w:cs="Arial"/>
                      <w:sz w:val="18"/>
                      <w:szCs w:val="18"/>
                    </w:rPr>
                  </w:pPr>
                  <w:r w:rsidRPr="000F2A7B">
                    <w:rPr>
                      <w:rFonts w:ascii="Arial" w:hAnsi="Arial" w:cs="Arial"/>
                      <w:sz w:val="18"/>
                      <w:szCs w:val="18"/>
                    </w:rPr>
                    <w:t xml:space="preserve">  0.4</w:t>
                  </w:r>
                </w:p>
              </w:tc>
              <w:tc>
                <w:tcPr>
                  <w:tcW w:w="1308" w:type="dxa"/>
                  <w:shd w:val="clear" w:color="auto" w:fill="auto"/>
                  <w:tcMar>
                    <w:right w:w="0" w:type="dxa"/>
                  </w:tcMar>
                </w:tcPr>
                <w:p w:rsidR="00B56C2D" w:rsidRPr="000F2A7B" w:rsidRDefault="00B56C2D" w:rsidP="000F2A7B">
                  <w:pPr>
                    <w:spacing w:after="40" w:line="200" w:lineRule="atLeast"/>
                    <w:ind w:left="6" w:right="113"/>
                    <w:jc w:val="right"/>
                    <w:rPr>
                      <w:rFonts w:ascii="Arial" w:hAnsi="Arial" w:cs="Arial"/>
                      <w:sz w:val="18"/>
                      <w:szCs w:val="18"/>
                    </w:rPr>
                  </w:pPr>
                  <w:r w:rsidRPr="000F2A7B">
                    <w:rPr>
                      <w:rFonts w:ascii="Arial" w:hAnsi="Arial" w:cs="Arial"/>
                      <w:sz w:val="18"/>
                      <w:szCs w:val="18"/>
                    </w:rPr>
                    <w:t xml:space="preserve">  0.3</w:t>
                  </w:r>
                </w:p>
              </w:tc>
              <w:tc>
                <w:tcPr>
                  <w:tcW w:w="1309" w:type="dxa"/>
                  <w:shd w:val="clear" w:color="auto" w:fill="auto"/>
                  <w:tcMar>
                    <w:right w:w="0" w:type="dxa"/>
                  </w:tcMar>
                </w:tcPr>
                <w:p w:rsidR="00B56C2D" w:rsidRPr="000F2A7B" w:rsidRDefault="00B56C2D" w:rsidP="000F2A7B">
                  <w:pPr>
                    <w:spacing w:after="40" w:line="200" w:lineRule="atLeast"/>
                    <w:ind w:left="6" w:right="113"/>
                    <w:jc w:val="right"/>
                    <w:rPr>
                      <w:rFonts w:ascii="Arial" w:hAnsi="Arial" w:cs="Arial"/>
                      <w:sz w:val="18"/>
                      <w:szCs w:val="18"/>
                    </w:rPr>
                  </w:pPr>
                  <w:r w:rsidRPr="000F2A7B">
                    <w:rPr>
                      <w:rFonts w:ascii="Arial" w:hAnsi="Arial" w:cs="Arial"/>
                      <w:sz w:val="18"/>
                      <w:szCs w:val="18"/>
                    </w:rPr>
                    <w:t xml:space="preserve">  0.5</w:t>
                  </w:r>
                </w:p>
              </w:tc>
            </w:tr>
            <w:tr w:rsidR="00B56C2D" w:rsidRPr="00760127" w:rsidTr="000F2A7B">
              <w:tc>
                <w:tcPr>
                  <w:tcW w:w="3392" w:type="dxa"/>
                  <w:shd w:val="clear" w:color="auto" w:fill="auto"/>
                  <w:vAlign w:val="bottom"/>
                </w:tcPr>
                <w:p w:rsidR="00B56C2D" w:rsidRPr="000F2A7B" w:rsidRDefault="00B56C2D" w:rsidP="000F2A7B">
                  <w:pPr>
                    <w:tabs>
                      <w:tab w:val="left" w:pos="403"/>
                    </w:tabs>
                    <w:spacing w:after="40" w:line="200" w:lineRule="atLeast"/>
                    <w:ind w:left="6" w:right="113"/>
                    <w:rPr>
                      <w:rFonts w:ascii="Arial" w:hAnsi="Arial" w:cs="Arial"/>
                      <w:sz w:val="18"/>
                      <w:szCs w:val="18"/>
                    </w:rPr>
                  </w:pPr>
                  <w:r w:rsidRPr="000F2A7B">
                    <w:rPr>
                      <w:rFonts w:ascii="Arial" w:hAnsi="Arial" w:cs="Arial"/>
                      <w:sz w:val="18"/>
                      <w:szCs w:val="18"/>
                    </w:rPr>
                    <w:tab/>
                    <w:t>DHS Medicare or DVA paid</w:t>
                  </w:r>
                </w:p>
              </w:tc>
              <w:tc>
                <w:tcPr>
                  <w:tcW w:w="1308" w:type="dxa"/>
                  <w:shd w:val="clear" w:color="auto" w:fill="auto"/>
                  <w:tcMar>
                    <w:right w:w="0" w:type="dxa"/>
                  </w:tcMar>
                  <w:vAlign w:val="bottom"/>
                </w:tcPr>
                <w:p w:rsidR="00B56C2D" w:rsidRPr="000F2A7B" w:rsidRDefault="00B56C2D" w:rsidP="000F2A7B">
                  <w:pPr>
                    <w:spacing w:after="40" w:line="200" w:lineRule="atLeast"/>
                    <w:ind w:left="6" w:right="113"/>
                    <w:jc w:val="right"/>
                    <w:rPr>
                      <w:rFonts w:ascii="Arial" w:hAnsi="Arial" w:cs="Arial"/>
                      <w:sz w:val="18"/>
                      <w:szCs w:val="18"/>
                    </w:rPr>
                  </w:pPr>
                  <w:r w:rsidRPr="000F2A7B">
                    <w:rPr>
                      <w:rFonts w:ascii="Arial" w:hAnsi="Arial" w:cs="Arial"/>
                      <w:sz w:val="18"/>
                      <w:szCs w:val="18"/>
                    </w:rPr>
                    <w:t>84 136</w:t>
                  </w:r>
                </w:p>
              </w:tc>
              <w:tc>
                <w:tcPr>
                  <w:tcW w:w="1308" w:type="dxa"/>
                  <w:shd w:val="clear" w:color="auto" w:fill="auto"/>
                  <w:tcMar>
                    <w:right w:w="0" w:type="dxa"/>
                  </w:tcMar>
                </w:tcPr>
                <w:p w:rsidR="00B56C2D" w:rsidRPr="000F2A7B" w:rsidRDefault="00B56C2D" w:rsidP="000F2A7B">
                  <w:pPr>
                    <w:spacing w:after="40" w:line="200" w:lineRule="atLeast"/>
                    <w:ind w:left="6" w:right="113"/>
                    <w:jc w:val="right"/>
                    <w:rPr>
                      <w:rFonts w:ascii="Arial" w:hAnsi="Arial" w:cs="Arial"/>
                      <w:sz w:val="18"/>
                      <w:szCs w:val="18"/>
                    </w:rPr>
                  </w:pPr>
                  <w:r w:rsidRPr="000F2A7B">
                    <w:rPr>
                      <w:rFonts w:ascii="Arial" w:hAnsi="Arial" w:cs="Arial"/>
                      <w:sz w:val="18"/>
                      <w:szCs w:val="18"/>
                    </w:rPr>
                    <w:t xml:space="preserve">  95.4</w:t>
                  </w:r>
                </w:p>
              </w:tc>
              <w:tc>
                <w:tcPr>
                  <w:tcW w:w="1308" w:type="dxa"/>
                  <w:shd w:val="clear" w:color="auto" w:fill="auto"/>
                  <w:tcMar>
                    <w:right w:w="0" w:type="dxa"/>
                  </w:tcMar>
                </w:tcPr>
                <w:p w:rsidR="00B56C2D" w:rsidRPr="000F2A7B" w:rsidRDefault="00B56C2D" w:rsidP="000F2A7B">
                  <w:pPr>
                    <w:spacing w:after="40" w:line="200" w:lineRule="atLeast"/>
                    <w:ind w:left="6" w:right="113"/>
                    <w:jc w:val="right"/>
                    <w:rPr>
                      <w:rFonts w:ascii="Arial" w:hAnsi="Arial" w:cs="Arial"/>
                      <w:sz w:val="18"/>
                      <w:szCs w:val="18"/>
                    </w:rPr>
                  </w:pPr>
                  <w:r w:rsidRPr="000F2A7B">
                    <w:rPr>
                      <w:rFonts w:ascii="Arial" w:hAnsi="Arial" w:cs="Arial"/>
                      <w:sz w:val="18"/>
                      <w:szCs w:val="18"/>
                    </w:rPr>
                    <w:t xml:space="preserve">  95.1</w:t>
                  </w:r>
                </w:p>
              </w:tc>
              <w:tc>
                <w:tcPr>
                  <w:tcW w:w="1309" w:type="dxa"/>
                  <w:shd w:val="clear" w:color="auto" w:fill="auto"/>
                  <w:tcMar>
                    <w:right w:w="0" w:type="dxa"/>
                  </w:tcMar>
                </w:tcPr>
                <w:p w:rsidR="00B56C2D" w:rsidRPr="000F2A7B" w:rsidRDefault="00B56C2D" w:rsidP="000F2A7B">
                  <w:pPr>
                    <w:spacing w:after="40" w:line="200" w:lineRule="atLeast"/>
                    <w:ind w:left="6" w:right="113"/>
                    <w:jc w:val="right"/>
                    <w:rPr>
                      <w:rFonts w:ascii="Arial" w:hAnsi="Arial" w:cs="Arial"/>
                      <w:sz w:val="18"/>
                      <w:szCs w:val="18"/>
                    </w:rPr>
                  </w:pPr>
                  <w:r w:rsidRPr="000F2A7B">
                    <w:rPr>
                      <w:rFonts w:ascii="Arial" w:hAnsi="Arial" w:cs="Arial"/>
                      <w:sz w:val="18"/>
                      <w:szCs w:val="18"/>
                    </w:rPr>
                    <w:t xml:space="preserve">  95.8</w:t>
                  </w:r>
                </w:p>
              </w:tc>
            </w:tr>
            <w:tr w:rsidR="00B56C2D" w:rsidRPr="00760127" w:rsidTr="000F2A7B">
              <w:tc>
                <w:tcPr>
                  <w:tcW w:w="3392" w:type="dxa"/>
                  <w:shd w:val="clear" w:color="auto" w:fill="auto"/>
                  <w:vAlign w:val="bottom"/>
                </w:tcPr>
                <w:p w:rsidR="00B56C2D" w:rsidRPr="000F2A7B" w:rsidRDefault="00B56C2D" w:rsidP="000F2A7B">
                  <w:pPr>
                    <w:tabs>
                      <w:tab w:val="left" w:pos="403"/>
                    </w:tabs>
                    <w:spacing w:after="40" w:line="200" w:lineRule="atLeast"/>
                    <w:ind w:left="6" w:right="113"/>
                    <w:rPr>
                      <w:rFonts w:ascii="Arial" w:hAnsi="Arial" w:cs="Arial"/>
                      <w:sz w:val="18"/>
                      <w:szCs w:val="18"/>
                    </w:rPr>
                  </w:pPr>
                  <w:r w:rsidRPr="000F2A7B">
                    <w:rPr>
                      <w:rFonts w:ascii="Arial" w:hAnsi="Arial" w:cs="Arial"/>
                      <w:sz w:val="18"/>
                      <w:szCs w:val="18"/>
                    </w:rPr>
                    <w:tab/>
                    <w:t>Workers compensation paid</w:t>
                  </w:r>
                </w:p>
              </w:tc>
              <w:tc>
                <w:tcPr>
                  <w:tcW w:w="1308" w:type="dxa"/>
                  <w:shd w:val="clear" w:color="auto" w:fill="auto"/>
                  <w:tcMar>
                    <w:right w:w="0" w:type="dxa"/>
                  </w:tcMar>
                  <w:vAlign w:val="bottom"/>
                </w:tcPr>
                <w:p w:rsidR="00B56C2D" w:rsidRPr="000F2A7B" w:rsidRDefault="00B56C2D" w:rsidP="000F2A7B">
                  <w:pPr>
                    <w:spacing w:after="40" w:line="200" w:lineRule="atLeast"/>
                    <w:ind w:left="6" w:right="113"/>
                    <w:jc w:val="right"/>
                    <w:rPr>
                      <w:rFonts w:ascii="Arial" w:hAnsi="Arial" w:cs="Arial"/>
                      <w:sz w:val="18"/>
                      <w:szCs w:val="18"/>
                    </w:rPr>
                  </w:pPr>
                  <w:r w:rsidRPr="000F2A7B">
                    <w:rPr>
                      <w:rFonts w:ascii="Arial" w:hAnsi="Arial" w:cs="Arial"/>
                      <w:sz w:val="18"/>
                      <w:szCs w:val="18"/>
                    </w:rPr>
                    <w:t>1 537</w:t>
                  </w:r>
                </w:p>
              </w:tc>
              <w:tc>
                <w:tcPr>
                  <w:tcW w:w="1308" w:type="dxa"/>
                  <w:shd w:val="clear" w:color="auto" w:fill="auto"/>
                  <w:tcMar>
                    <w:right w:w="0" w:type="dxa"/>
                  </w:tcMar>
                </w:tcPr>
                <w:p w:rsidR="00B56C2D" w:rsidRPr="000F2A7B" w:rsidRDefault="00B56C2D" w:rsidP="000F2A7B">
                  <w:pPr>
                    <w:spacing w:after="40" w:line="200" w:lineRule="atLeast"/>
                    <w:ind w:left="6" w:right="113"/>
                    <w:jc w:val="right"/>
                    <w:rPr>
                      <w:rFonts w:ascii="Arial" w:hAnsi="Arial" w:cs="Arial"/>
                      <w:sz w:val="18"/>
                      <w:szCs w:val="18"/>
                    </w:rPr>
                  </w:pPr>
                  <w:r w:rsidRPr="000F2A7B">
                    <w:rPr>
                      <w:rFonts w:ascii="Arial" w:hAnsi="Arial" w:cs="Arial"/>
                      <w:sz w:val="18"/>
                      <w:szCs w:val="18"/>
                    </w:rPr>
                    <w:t xml:space="preserve">  1.7</w:t>
                  </w:r>
                </w:p>
              </w:tc>
              <w:tc>
                <w:tcPr>
                  <w:tcW w:w="1308" w:type="dxa"/>
                  <w:shd w:val="clear" w:color="auto" w:fill="auto"/>
                  <w:tcMar>
                    <w:right w:w="0" w:type="dxa"/>
                  </w:tcMar>
                </w:tcPr>
                <w:p w:rsidR="00B56C2D" w:rsidRPr="000F2A7B" w:rsidRDefault="00B56C2D" w:rsidP="000F2A7B">
                  <w:pPr>
                    <w:spacing w:after="40" w:line="200" w:lineRule="atLeast"/>
                    <w:ind w:left="6" w:right="113"/>
                    <w:jc w:val="right"/>
                    <w:rPr>
                      <w:rFonts w:ascii="Arial" w:hAnsi="Arial" w:cs="Arial"/>
                      <w:sz w:val="18"/>
                      <w:szCs w:val="18"/>
                    </w:rPr>
                  </w:pPr>
                  <w:r w:rsidRPr="000F2A7B">
                    <w:rPr>
                      <w:rFonts w:ascii="Arial" w:hAnsi="Arial" w:cs="Arial"/>
                      <w:sz w:val="18"/>
                      <w:szCs w:val="18"/>
                    </w:rPr>
                    <w:t xml:space="preserve">  1.6</w:t>
                  </w:r>
                </w:p>
              </w:tc>
              <w:tc>
                <w:tcPr>
                  <w:tcW w:w="1309" w:type="dxa"/>
                  <w:shd w:val="clear" w:color="auto" w:fill="auto"/>
                  <w:tcMar>
                    <w:right w:w="0" w:type="dxa"/>
                  </w:tcMar>
                </w:tcPr>
                <w:p w:rsidR="00B56C2D" w:rsidRPr="000F2A7B" w:rsidRDefault="00B56C2D" w:rsidP="000F2A7B">
                  <w:pPr>
                    <w:spacing w:after="40" w:line="200" w:lineRule="atLeast"/>
                    <w:ind w:left="6" w:right="113"/>
                    <w:jc w:val="right"/>
                    <w:rPr>
                      <w:rFonts w:ascii="Arial" w:hAnsi="Arial" w:cs="Arial"/>
                      <w:sz w:val="18"/>
                      <w:szCs w:val="18"/>
                    </w:rPr>
                  </w:pPr>
                  <w:r w:rsidRPr="000F2A7B">
                    <w:rPr>
                      <w:rFonts w:ascii="Arial" w:hAnsi="Arial" w:cs="Arial"/>
                      <w:sz w:val="18"/>
                      <w:szCs w:val="18"/>
                    </w:rPr>
                    <w:t xml:space="preserve">  1.9</w:t>
                  </w:r>
                </w:p>
              </w:tc>
            </w:tr>
            <w:tr w:rsidR="00B56C2D" w:rsidRPr="00760127" w:rsidTr="000F2A7B">
              <w:tc>
                <w:tcPr>
                  <w:tcW w:w="3392" w:type="dxa"/>
                  <w:shd w:val="clear" w:color="auto" w:fill="auto"/>
                  <w:vAlign w:val="bottom"/>
                </w:tcPr>
                <w:p w:rsidR="00B56C2D" w:rsidRPr="000F2A7B" w:rsidRDefault="00B56C2D" w:rsidP="000F2A7B">
                  <w:pPr>
                    <w:tabs>
                      <w:tab w:val="left" w:pos="403"/>
                      <w:tab w:val="left" w:pos="462"/>
                    </w:tabs>
                    <w:spacing w:after="40" w:line="200" w:lineRule="atLeast"/>
                    <w:ind w:left="6" w:right="113"/>
                    <w:rPr>
                      <w:rFonts w:ascii="Arial" w:hAnsi="Arial" w:cs="Arial"/>
                      <w:sz w:val="18"/>
                      <w:szCs w:val="18"/>
                    </w:rPr>
                  </w:pPr>
                  <w:r w:rsidRPr="000F2A7B">
                    <w:rPr>
                      <w:rFonts w:ascii="Arial" w:hAnsi="Arial" w:cs="Arial"/>
                      <w:sz w:val="18"/>
                      <w:szCs w:val="18"/>
                    </w:rPr>
                    <w:tab/>
                    <w:t>Other paid (such as, hospital, State)</w:t>
                  </w:r>
                </w:p>
              </w:tc>
              <w:tc>
                <w:tcPr>
                  <w:tcW w:w="1308" w:type="dxa"/>
                  <w:shd w:val="clear" w:color="auto" w:fill="auto"/>
                  <w:tcMar>
                    <w:right w:w="0" w:type="dxa"/>
                  </w:tcMar>
                </w:tcPr>
                <w:p w:rsidR="00B56C2D" w:rsidRPr="000F2A7B" w:rsidRDefault="00B56C2D" w:rsidP="000F2A7B">
                  <w:pPr>
                    <w:spacing w:after="40" w:line="200" w:lineRule="atLeast"/>
                    <w:ind w:left="6" w:right="113"/>
                    <w:jc w:val="right"/>
                    <w:rPr>
                      <w:rFonts w:ascii="Arial" w:hAnsi="Arial" w:cs="Arial"/>
                      <w:sz w:val="18"/>
                      <w:szCs w:val="18"/>
                    </w:rPr>
                  </w:pPr>
                  <w:r w:rsidRPr="000F2A7B">
                    <w:rPr>
                      <w:rFonts w:ascii="Arial" w:hAnsi="Arial" w:cs="Arial"/>
                      <w:sz w:val="18"/>
                      <w:szCs w:val="18"/>
                    </w:rPr>
                    <w:t xml:space="preserve">  603</w:t>
                  </w:r>
                </w:p>
              </w:tc>
              <w:tc>
                <w:tcPr>
                  <w:tcW w:w="1308" w:type="dxa"/>
                  <w:shd w:val="clear" w:color="auto" w:fill="auto"/>
                  <w:tcMar>
                    <w:right w:w="0" w:type="dxa"/>
                  </w:tcMar>
                </w:tcPr>
                <w:p w:rsidR="00B56C2D" w:rsidRPr="000F2A7B" w:rsidRDefault="00B56C2D" w:rsidP="000F2A7B">
                  <w:pPr>
                    <w:spacing w:after="40" w:line="200" w:lineRule="atLeast"/>
                    <w:ind w:left="6" w:right="113"/>
                    <w:jc w:val="right"/>
                    <w:rPr>
                      <w:rFonts w:ascii="Arial" w:hAnsi="Arial" w:cs="Arial"/>
                      <w:sz w:val="18"/>
                      <w:szCs w:val="18"/>
                    </w:rPr>
                  </w:pPr>
                  <w:r w:rsidRPr="000F2A7B">
                    <w:rPr>
                      <w:rFonts w:ascii="Arial" w:hAnsi="Arial" w:cs="Arial"/>
                      <w:sz w:val="18"/>
                      <w:szCs w:val="18"/>
                    </w:rPr>
                    <w:t xml:space="preserve">  0.7</w:t>
                  </w:r>
                </w:p>
              </w:tc>
              <w:tc>
                <w:tcPr>
                  <w:tcW w:w="1308" w:type="dxa"/>
                  <w:shd w:val="clear" w:color="auto" w:fill="auto"/>
                  <w:tcMar>
                    <w:right w:w="0" w:type="dxa"/>
                  </w:tcMar>
                </w:tcPr>
                <w:p w:rsidR="00B56C2D" w:rsidRPr="000F2A7B" w:rsidRDefault="00B56C2D" w:rsidP="000F2A7B">
                  <w:pPr>
                    <w:spacing w:after="40" w:line="200" w:lineRule="atLeast"/>
                    <w:ind w:left="6" w:right="113"/>
                    <w:jc w:val="right"/>
                    <w:rPr>
                      <w:rFonts w:ascii="Arial" w:hAnsi="Arial" w:cs="Arial"/>
                      <w:sz w:val="18"/>
                      <w:szCs w:val="18"/>
                    </w:rPr>
                  </w:pPr>
                  <w:r w:rsidRPr="000F2A7B">
                    <w:rPr>
                      <w:rFonts w:ascii="Arial" w:hAnsi="Arial" w:cs="Arial"/>
                      <w:sz w:val="18"/>
                      <w:szCs w:val="18"/>
                    </w:rPr>
                    <w:t xml:space="preserve">  0.5</w:t>
                  </w:r>
                </w:p>
              </w:tc>
              <w:tc>
                <w:tcPr>
                  <w:tcW w:w="1309" w:type="dxa"/>
                  <w:shd w:val="clear" w:color="auto" w:fill="auto"/>
                  <w:tcMar>
                    <w:right w:w="0" w:type="dxa"/>
                  </w:tcMar>
                </w:tcPr>
                <w:p w:rsidR="00B56C2D" w:rsidRPr="000F2A7B" w:rsidRDefault="00B56C2D" w:rsidP="000F2A7B">
                  <w:pPr>
                    <w:spacing w:after="40" w:line="200" w:lineRule="atLeast"/>
                    <w:ind w:left="6" w:right="113"/>
                    <w:jc w:val="right"/>
                    <w:rPr>
                      <w:rFonts w:ascii="Arial" w:hAnsi="Arial" w:cs="Arial"/>
                      <w:sz w:val="18"/>
                      <w:szCs w:val="18"/>
                    </w:rPr>
                  </w:pPr>
                  <w:r w:rsidRPr="000F2A7B">
                    <w:rPr>
                      <w:rFonts w:ascii="Arial" w:hAnsi="Arial" w:cs="Arial"/>
                      <w:sz w:val="18"/>
                      <w:szCs w:val="18"/>
                    </w:rPr>
                    <w:t xml:space="preserve">  0.8</w:t>
                  </w:r>
                </w:p>
              </w:tc>
            </w:tr>
            <w:tr w:rsidR="00B56C2D" w:rsidRPr="00760127" w:rsidTr="000F2A7B">
              <w:tc>
                <w:tcPr>
                  <w:tcW w:w="3392" w:type="dxa"/>
                  <w:tcBorders>
                    <w:bottom w:val="single" w:sz="4" w:space="0" w:color="BFBFBF"/>
                  </w:tcBorders>
                  <w:shd w:val="clear" w:color="auto" w:fill="auto"/>
                  <w:vAlign w:val="bottom"/>
                </w:tcPr>
                <w:p w:rsidR="00B56C2D" w:rsidRPr="000F2A7B" w:rsidRDefault="00B56C2D" w:rsidP="000F2A7B">
                  <w:pPr>
                    <w:tabs>
                      <w:tab w:val="left" w:pos="200"/>
                    </w:tabs>
                    <w:spacing w:after="40" w:line="200" w:lineRule="atLeast"/>
                    <w:ind w:left="6" w:right="113"/>
                    <w:rPr>
                      <w:rFonts w:ascii="Arial" w:hAnsi="Arial" w:cs="Arial"/>
                      <w:sz w:val="18"/>
                      <w:szCs w:val="18"/>
                    </w:rPr>
                  </w:pPr>
                  <w:r w:rsidRPr="000F2A7B">
                    <w:rPr>
                      <w:rFonts w:ascii="Arial" w:hAnsi="Arial" w:cs="Arial"/>
                      <w:sz w:val="18"/>
                      <w:szCs w:val="18"/>
                    </w:rPr>
                    <w:tab/>
                    <w:t>Indirect encounters</w:t>
                  </w:r>
                  <w:r w:rsidRPr="000F2A7B">
                    <w:rPr>
                      <w:rFonts w:cs="Arial"/>
                      <w:b/>
                      <w:vertAlign w:val="superscript"/>
                    </w:rPr>
                    <w:t>f</w:t>
                  </w:r>
                </w:p>
              </w:tc>
              <w:tc>
                <w:tcPr>
                  <w:tcW w:w="1308" w:type="dxa"/>
                  <w:tcBorders>
                    <w:bottom w:val="single" w:sz="4" w:space="0" w:color="BFBFBF"/>
                  </w:tcBorders>
                  <w:shd w:val="clear" w:color="auto" w:fill="auto"/>
                  <w:tcMar>
                    <w:right w:w="0" w:type="dxa"/>
                  </w:tcMar>
                </w:tcPr>
                <w:p w:rsidR="00B56C2D" w:rsidRPr="000F2A7B" w:rsidRDefault="00B56C2D" w:rsidP="000F2A7B">
                  <w:pPr>
                    <w:spacing w:after="40" w:line="200" w:lineRule="atLeast"/>
                    <w:ind w:left="6" w:right="113"/>
                    <w:jc w:val="right"/>
                    <w:rPr>
                      <w:rFonts w:ascii="Arial" w:hAnsi="Arial" w:cs="Arial"/>
                      <w:sz w:val="18"/>
                      <w:szCs w:val="18"/>
                    </w:rPr>
                  </w:pPr>
                  <w:r w:rsidRPr="000F2A7B">
                    <w:rPr>
                      <w:rFonts w:ascii="Arial" w:hAnsi="Arial" w:cs="Arial"/>
                      <w:sz w:val="18"/>
                      <w:szCs w:val="18"/>
                    </w:rPr>
                    <w:t xml:space="preserve"> 1 542</w:t>
                  </w:r>
                </w:p>
              </w:tc>
              <w:tc>
                <w:tcPr>
                  <w:tcW w:w="1308" w:type="dxa"/>
                  <w:tcBorders>
                    <w:bottom w:val="single" w:sz="4" w:space="0" w:color="BFBFBF"/>
                  </w:tcBorders>
                  <w:shd w:val="clear" w:color="auto" w:fill="auto"/>
                  <w:tcMar>
                    <w:right w:w="0" w:type="dxa"/>
                  </w:tcMar>
                </w:tcPr>
                <w:p w:rsidR="00B56C2D" w:rsidRPr="000F2A7B" w:rsidRDefault="00B56C2D" w:rsidP="000F2A7B">
                  <w:pPr>
                    <w:spacing w:after="40" w:line="200" w:lineRule="atLeast"/>
                    <w:ind w:left="6" w:right="113"/>
                    <w:jc w:val="right"/>
                    <w:rPr>
                      <w:rFonts w:ascii="Arial" w:hAnsi="Arial" w:cs="Arial"/>
                      <w:sz w:val="18"/>
                      <w:szCs w:val="18"/>
                    </w:rPr>
                  </w:pPr>
                  <w:r w:rsidRPr="000F2A7B">
                    <w:rPr>
                      <w:rFonts w:ascii="Arial" w:hAnsi="Arial" w:cs="Arial"/>
                      <w:sz w:val="18"/>
                      <w:szCs w:val="18"/>
                    </w:rPr>
                    <w:t xml:space="preserve">  1.7</w:t>
                  </w:r>
                </w:p>
              </w:tc>
              <w:tc>
                <w:tcPr>
                  <w:tcW w:w="1308" w:type="dxa"/>
                  <w:tcBorders>
                    <w:bottom w:val="single" w:sz="4" w:space="0" w:color="BFBFBF"/>
                  </w:tcBorders>
                  <w:shd w:val="clear" w:color="auto" w:fill="auto"/>
                  <w:tcMar>
                    <w:right w:w="0" w:type="dxa"/>
                  </w:tcMar>
                </w:tcPr>
                <w:p w:rsidR="00B56C2D" w:rsidRPr="000F2A7B" w:rsidRDefault="00B56C2D" w:rsidP="000F2A7B">
                  <w:pPr>
                    <w:spacing w:after="40" w:line="200" w:lineRule="atLeast"/>
                    <w:ind w:left="6" w:right="113"/>
                    <w:jc w:val="right"/>
                    <w:rPr>
                      <w:rFonts w:ascii="Arial" w:hAnsi="Arial" w:cs="Arial"/>
                      <w:sz w:val="18"/>
                      <w:szCs w:val="18"/>
                    </w:rPr>
                  </w:pPr>
                  <w:r w:rsidRPr="000F2A7B">
                    <w:rPr>
                      <w:rFonts w:ascii="Arial" w:hAnsi="Arial" w:cs="Arial"/>
                      <w:sz w:val="18"/>
                      <w:szCs w:val="18"/>
                    </w:rPr>
                    <w:t xml:space="preserve">  1.5</w:t>
                  </w:r>
                </w:p>
              </w:tc>
              <w:tc>
                <w:tcPr>
                  <w:tcW w:w="1309" w:type="dxa"/>
                  <w:tcBorders>
                    <w:bottom w:val="single" w:sz="4" w:space="0" w:color="BFBFBF"/>
                  </w:tcBorders>
                  <w:shd w:val="clear" w:color="auto" w:fill="auto"/>
                  <w:tcMar>
                    <w:right w:w="0" w:type="dxa"/>
                  </w:tcMar>
                </w:tcPr>
                <w:p w:rsidR="00B56C2D" w:rsidRPr="000F2A7B" w:rsidRDefault="00B56C2D" w:rsidP="000F2A7B">
                  <w:pPr>
                    <w:spacing w:after="40" w:line="200" w:lineRule="atLeast"/>
                    <w:ind w:left="6" w:right="113"/>
                    <w:jc w:val="right"/>
                    <w:rPr>
                      <w:rFonts w:ascii="Arial" w:hAnsi="Arial" w:cs="Arial"/>
                      <w:sz w:val="18"/>
                      <w:szCs w:val="18"/>
                    </w:rPr>
                  </w:pPr>
                  <w:r w:rsidRPr="000F2A7B">
                    <w:rPr>
                      <w:rFonts w:ascii="Arial" w:hAnsi="Arial" w:cs="Arial"/>
                      <w:sz w:val="18"/>
                      <w:szCs w:val="18"/>
                    </w:rPr>
                    <w:t xml:space="preserve">  2.0</w:t>
                  </w:r>
                </w:p>
              </w:tc>
            </w:tr>
          </w:tbl>
          <w:p w:rsidR="00F847BC" w:rsidRDefault="00F847BC" w:rsidP="003019F8">
            <w:pPr>
              <w:pStyle w:val="Box"/>
            </w:pPr>
          </w:p>
        </w:tc>
      </w:tr>
      <w:tr w:rsidR="00F847BC" w:rsidTr="003019F8">
        <w:trPr>
          <w:cantSplit/>
        </w:trPr>
        <w:tc>
          <w:tcPr>
            <w:tcW w:w="8771" w:type="dxa"/>
            <w:tcBorders>
              <w:top w:val="nil"/>
              <w:left w:val="nil"/>
              <w:bottom w:val="nil"/>
              <w:right w:val="nil"/>
            </w:tcBorders>
            <w:shd w:val="clear" w:color="auto" w:fill="auto"/>
          </w:tcPr>
          <w:p w:rsidR="00F847BC" w:rsidRPr="00C472CD" w:rsidRDefault="00C472CD" w:rsidP="00A028F5">
            <w:pPr>
              <w:pStyle w:val="Note"/>
              <w:rPr>
                <w:b/>
              </w:rPr>
            </w:pPr>
            <w:r w:rsidRPr="00E70DD2">
              <w:t>LCL = lower confidence limit. UCL = upper confidence limit.</w:t>
            </w:r>
            <w:r>
              <w:t xml:space="preserve"> DVA = </w:t>
            </w:r>
            <w:r w:rsidRPr="00E70DD2">
              <w:t>D</w:t>
            </w:r>
            <w:r>
              <w:t>epartment of Veterans’ Affairs.</w:t>
            </w:r>
            <w:r w:rsidRPr="00E70DD2">
              <w:t xml:space="preserve"> </w:t>
            </w:r>
            <w:r w:rsidRPr="00E70DD2">
              <w:rPr>
                <w:rStyle w:val="NoteLabel"/>
              </w:rPr>
              <w:t>a </w:t>
            </w:r>
            <w:r w:rsidRPr="00E70DD2">
              <w:t xml:space="preserve">An encounter is any professional interchange between a patient and a </w:t>
            </w:r>
            <w:r>
              <w:t xml:space="preserve">GP or </w:t>
            </w:r>
            <w:r w:rsidRPr="00DB7772">
              <w:t xml:space="preserve">other health professional </w:t>
            </w:r>
            <w:r>
              <w:t>(other health professionals include</w:t>
            </w:r>
            <w:r w:rsidRPr="00DB7772">
              <w:t xml:space="preserve"> practice nurses, Aboriginal health wo</w:t>
            </w:r>
            <w:r>
              <w:t>rkers and allied health service professionals)</w:t>
            </w:r>
            <w:r w:rsidRPr="00E70DD2">
              <w:t xml:space="preserve">. </w:t>
            </w:r>
            <w:r w:rsidRPr="00E70DD2">
              <w:rPr>
                <w:rStyle w:val="NoteLabel"/>
              </w:rPr>
              <w:t>b</w:t>
            </w:r>
            <w:r w:rsidRPr="00E70DD2">
              <w:t xml:space="preserve"> Data from the BEACH survey may not be directly comparable with other data on medical practitioners in this Report. </w:t>
            </w:r>
            <w:r w:rsidRPr="00E70DD2">
              <w:rPr>
                <w:rStyle w:val="NoteLabel"/>
              </w:rPr>
              <w:t>c </w:t>
            </w:r>
            <w:r w:rsidRPr="00E70DD2">
              <w:t xml:space="preserve"> Number of encounters after post stratification weighting for GP activity and GP age and sex.</w:t>
            </w:r>
            <w:r>
              <w:t xml:space="preserve"> </w:t>
            </w:r>
            <w:r w:rsidRPr="00E70DD2">
              <w:rPr>
                <w:rStyle w:val="NoteLabel"/>
              </w:rPr>
              <w:t>d</w:t>
            </w:r>
            <w:r w:rsidRPr="00E70DD2">
              <w:t xml:space="preserve"> Missing data removed</w:t>
            </w:r>
            <w:r>
              <w:t xml:space="preserve"> from analysis (</w:t>
            </w:r>
            <w:r>
              <w:rPr>
                <w:i/>
              </w:rPr>
              <w:t>n</w:t>
            </w:r>
            <w:r>
              <w:t xml:space="preserve"> = </w:t>
            </w:r>
            <w:r w:rsidR="009643F9">
              <w:t>7728</w:t>
            </w:r>
            <w:r>
              <w:t>)</w:t>
            </w:r>
            <w:r w:rsidRPr="00E70DD2">
              <w:t>.</w:t>
            </w:r>
            <w:r>
              <w:t xml:space="preserve"> </w:t>
            </w:r>
            <w:r w:rsidRPr="00E70DD2">
              <w:rPr>
                <w:rStyle w:val="NoteLabel"/>
              </w:rPr>
              <w:t>e </w:t>
            </w:r>
            <w:r>
              <w:t xml:space="preserve">Includes 2 encounters for which direct/indirect was not specified. </w:t>
            </w:r>
            <w:r w:rsidRPr="00E70DD2">
              <w:rPr>
                <w:rStyle w:val="NoteLabel"/>
              </w:rPr>
              <w:t>f</w:t>
            </w:r>
            <w:r>
              <w:t xml:space="preserve"> F</w:t>
            </w:r>
            <w:r w:rsidRPr="00E70DD2">
              <w:t>or indirect encounters, the patient is not seen but a service is provided (for example, a prescription or referral). .. Not applicable.</w:t>
            </w:r>
          </w:p>
        </w:tc>
      </w:tr>
      <w:tr w:rsidR="00F847BC" w:rsidTr="003019F8">
        <w:trPr>
          <w:cantSplit/>
        </w:trPr>
        <w:tc>
          <w:tcPr>
            <w:tcW w:w="8771" w:type="dxa"/>
            <w:tcBorders>
              <w:top w:val="nil"/>
              <w:left w:val="nil"/>
              <w:bottom w:val="nil"/>
              <w:right w:val="nil"/>
            </w:tcBorders>
            <w:shd w:val="clear" w:color="auto" w:fill="auto"/>
          </w:tcPr>
          <w:p w:rsidR="00F847BC" w:rsidRDefault="00F847BC" w:rsidP="009643F9">
            <w:pPr>
              <w:pStyle w:val="Source"/>
            </w:pPr>
            <w:r w:rsidRPr="00924DFC">
              <w:rPr>
                <w:i/>
              </w:rPr>
              <w:t>Source</w:t>
            </w:r>
            <w:r w:rsidRPr="00924DFC">
              <w:t xml:space="preserve">: Britt </w:t>
            </w:r>
            <w:r w:rsidRPr="00002DBA">
              <w:t>et al</w:t>
            </w:r>
            <w:r w:rsidRPr="00924DFC">
              <w:t>. (201</w:t>
            </w:r>
            <w:r w:rsidR="009643F9">
              <w:t>4</w:t>
            </w:r>
            <w:r w:rsidRPr="00924DFC">
              <w:t xml:space="preserve">) </w:t>
            </w:r>
            <w:r w:rsidRPr="00924DFC">
              <w:rPr>
                <w:i/>
              </w:rPr>
              <w:t>General practice activity in Australia 201</w:t>
            </w:r>
            <w:r w:rsidR="009643F9">
              <w:rPr>
                <w:i/>
              </w:rPr>
              <w:t>3</w:t>
            </w:r>
            <w:r w:rsidRPr="00924DFC">
              <w:rPr>
                <w:i/>
              </w:rPr>
              <w:noBreakHyphen/>
              <w:t>1</w:t>
            </w:r>
            <w:r w:rsidR="009643F9">
              <w:rPr>
                <w:i/>
              </w:rPr>
              <w:t>4</w:t>
            </w:r>
            <w:r w:rsidRPr="00924DFC">
              <w:t>, Sydney University; table </w:t>
            </w:r>
            <w:r w:rsidR="00C9076B">
              <w:t>10A.</w:t>
            </w:r>
            <w:r w:rsidRPr="00924DFC">
              <w:t>1.</w:t>
            </w:r>
          </w:p>
        </w:tc>
      </w:tr>
      <w:tr w:rsidR="00F847BC" w:rsidTr="003019F8">
        <w:trPr>
          <w:cantSplit/>
        </w:trPr>
        <w:tc>
          <w:tcPr>
            <w:tcW w:w="8771" w:type="dxa"/>
            <w:tcBorders>
              <w:top w:val="nil"/>
              <w:left w:val="nil"/>
              <w:bottom w:val="single" w:sz="6" w:space="0" w:color="78A22F" w:themeColor="accent1"/>
              <w:right w:val="nil"/>
            </w:tcBorders>
            <w:shd w:val="clear" w:color="auto" w:fill="auto"/>
          </w:tcPr>
          <w:p w:rsidR="00F847BC" w:rsidRDefault="00F847BC" w:rsidP="003019F8">
            <w:pPr>
              <w:pStyle w:val="Box"/>
              <w:spacing w:before="0" w:line="120" w:lineRule="exact"/>
            </w:pPr>
          </w:p>
        </w:tc>
      </w:tr>
      <w:tr w:rsidR="00F847BC" w:rsidRPr="000863A5" w:rsidTr="003019F8">
        <w:tc>
          <w:tcPr>
            <w:tcW w:w="8771" w:type="dxa"/>
            <w:tcBorders>
              <w:top w:val="single" w:sz="6" w:space="0" w:color="78A22F" w:themeColor="accent1"/>
              <w:left w:val="nil"/>
              <w:bottom w:val="nil"/>
              <w:right w:val="nil"/>
            </w:tcBorders>
          </w:tcPr>
          <w:p w:rsidR="00F847BC" w:rsidRPr="00626D32" w:rsidRDefault="00F847BC" w:rsidP="003019F8">
            <w:pPr>
              <w:pStyle w:val="BoxSpaceBelow"/>
            </w:pPr>
          </w:p>
        </w:tc>
      </w:tr>
    </w:tbl>
    <w:p w:rsidR="000C2AB6" w:rsidRPr="00E52E8A" w:rsidRDefault="000C2AB6" w:rsidP="00E52E8A">
      <w:pPr>
        <w:pStyle w:val="BodyText"/>
        <w:rPr>
          <w:rStyle w:val="DraftingNote"/>
          <w:b w:val="0"/>
          <w:color w:val="auto"/>
          <w:u w:val="none"/>
        </w:rPr>
      </w:pPr>
      <w:r>
        <w:t>The</w:t>
      </w:r>
      <w:r w:rsidRPr="000C2AB6">
        <w:t xml:space="preserve"> </w:t>
      </w:r>
      <w:r>
        <w:t xml:space="preserve">Australian Government </w:t>
      </w:r>
      <w:r w:rsidR="00A513FB">
        <w:t xml:space="preserve">also </w:t>
      </w:r>
      <w:r>
        <w:t>provides funding for general practice services under initiatives such as</w:t>
      </w:r>
      <w:r w:rsidR="003A1D3E">
        <w:t xml:space="preserve"> </w:t>
      </w:r>
      <w:r w:rsidRPr="000C2AB6">
        <w:t xml:space="preserve">the </w:t>
      </w:r>
      <w:r w:rsidR="00A60D4F">
        <w:t>Practice Incentives Program (</w:t>
      </w:r>
      <w:r w:rsidR="003A1D3E">
        <w:t>PIP</w:t>
      </w:r>
      <w:r w:rsidR="00A60D4F">
        <w:t>)</w:t>
      </w:r>
      <w:r w:rsidR="00F41167" w:rsidRPr="00F41167">
        <w:t xml:space="preserve"> </w:t>
      </w:r>
      <w:r w:rsidR="00F41167" w:rsidRPr="004D42BF">
        <w:t>and</w:t>
      </w:r>
      <w:r w:rsidR="00F41167">
        <w:t xml:space="preserve"> </w:t>
      </w:r>
      <w:r w:rsidR="00F41167" w:rsidRPr="00A07D95">
        <w:t>Medicare Locals</w:t>
      </w:r>
      <w:r w:rsidR="00F41167">
        <w:t xml:space="preserve">. </w:t>
      </w:r>
      <w:r w:rsidR="00CF4AC4">
        <w:t xml:space="preserve">PIP provides financial incentives to </w:t>
      </w:r>
      <w:r w:rsidR="00A60D4F">
        <w:t xml:space="preserve">eligible </w:t>
      </w:r>
      <w:r w:rsidR="00CF4AC4">
        <w:t xml:space="preserve">general practices </w:t>
      </w:r>
      <w:r w:rsidR="00A60D4F">
        <w:t>to</w:t>
      </w:r>
      <w:r w:rsidR="00CF4AC4">
        <w:t xml:space="preserve"> support quality care, and </w:t>
      </w:r>
      <w:r w:rsidR="00CF4AC4" w:rsidRPr="00E52E8A">
        <w:t>improve access and health outcomes</w:t>
      </w:r>
      <w:r w:rsidR="00F41167" w:rsidRPr="00E52E8A">
        <w:t xml:space="preserve"> </w:t>
      </w:r>
      <w:r w:rsidR="00B74FD2" w:rsidRPr="00E52E8A">
        <w:t>(Australian Government DHS 2014).</w:t>
      </w:r>
    </w:p>
    <w:p w:rsidR="00566740" w:rsidRPr="00E52E8A" w:rsidRDefault="0024319B" w:rsidP="00E52E8A">
      <w:pPr>
        <w:pStyle w:val="BodyText"/>
        <w:rPr>
          <w:rStyle w:val="DraftingNote"/>
          <w:b w:val="0"/>
          <w:color w:val="auto"/>
          <w:u w:val="none"/>
        </w:rPr>
      </w:pPr>
      <w:r w:rsidRPr="00E52E8A">
        <w:t xml:space="preserve">Australian Government </w:t>
      </w:r>
      <w:r w:rsidR="00361FD5" w:rsidRPr="00E52E8A">
        <w:t xml:space="preserve">total </w:t>
      </w:r>
      <w:r w:rsidR="00AC7408" w:rsidRPr="00E52E8A">
        <w:t>expenditure on</w:t>
      </w:r>
      <w:r w:rsidRPr="00E52E8A">
        <w:t xml:space="preserve"> </w:t>
      </w:r>
      <w:r w:rsidR="00AC7408" w:rsidRPr="00E52E8A">
        <w:t>general practice in</w:t>
      </w:r>
      <w:r w:rsidR="00361FD5" w:rsidRPr="00E52E8A">
        <w:t xml:space="preserve"> 201</w:t>
      </w:r>
      <w:r w:rsidR="00885DAC" w:rsidRPr="00E52E8A">
        <w:t>3</w:t>
      </w:r>
      <w:r w:rsidR="00361FD5" w:rsidRPr="00E52E8A">
        <w:t>-1</w:t>
      </w:r>
      <w:r w:rsidR="00885DAC" w:rsidRPr="00E52E8A">
        <w:t>4</w:t>
      </w:r>
      <w:r w:rsidR="00361FD5" w:rsidRPr="00E52E8A">
        <w:t xml:space="preserve"> was </w:t>
      </w:r>
      <w:r w:rsidRPr="00E52E8A">
        <w:t>$</w:t>
      </w:r>
      <w:r w:rsidR="00DF697B" w:rsidRPr="00E52E8A">
        <w:t>7</w:t>
      </w:r>
      <w:r w:rsidR="00361FD5" w:rsidRPr="00E52E8A">
        <w:t>.</w:t>
      </w:r>
      <w:r w:rsidR="00885DAC" w:rsidRPr="00E52E8A">
        <w:t>9</w:t>
      </w:r>
      <w:r w:rsidR="001244FC" w:rsidRPr="00E52E8A">
        <w:t> </w:t>
      </w:r>
      <w:r w:rsidRPr="00E52E8A">
        <w:t>billion</w:t>
      </w:r>
      <w:r w:rsidR="00361FD5" w:rsidRPr="00E52E8A">
        <w:t xml:space="preserve"> (table </w:t>
      </w:r>
      <w:r w:rsidR="00C9076B" w:rsidRPr="00E52E8A">
        <w:t>10A.</w:t>
      </w:r>
      <w:r w:rsidR="00361FD5" w:rsidRPr="00E52E8A">
        <w:t>2).</w:t>
      </w:r>
      <w:r w:rsidRPr="00E52E8A">
        <w:t xml:space="preserve"> </w:t>
      </w:r>
      <w:r w:rsidR="00361FD5" w:rsidRPr="00E52E8A">
        <w:t xml:space="preserve">This includes </w:t>
      </w:r>
      <w:r w:rsidR="0047167A" w:rsidRPr="00E52E8A">
        <w:t xml:space="preserve">fee-for-service </w:t>
      </w:r>
      <w:r w:rsidR="00361FD5" w:rsidRPr="00E52E8A">
        <w:t xml:space="preserve">expenditure </w:t>
      </w:r>
      <w:r w:rsidR="00863E40" w:rsidRPr="00E52E8A">
        <w:t>($</w:t>
      </w:r>
      <w:r w:rsidR="00885DAC" w:rsidRPr="00E52E8A">
        <w:t>7</w:t>
      </w:r>
      <w:r w:rsidR="00863E40" w:rsidRPr="00E52E8A">
        <w:t>.</w:t>
      </w:r>
      <w:r w:rsidR="00885DAC" w:rsidRPr="00E52E8A">
        <w:t>3</w:t>
      </w:r>
      <w:r w:rsidR="00863E40" w:rsidRPr="00E52E8A">
        <w:t xml:space="preserve"> billion, or 92 per cent of the total expenditure) </w:t>
      </w:r>
      <w:r w:rsidR="0047167A" w:rsidRPr="00E52E8A">
        <w:t xml:space="preserve">through </w:t>
      </w:r>
      <w:r w:rsidR="00350DA3" w:rsidRPr="00E52E8A">
        <w:t>DHS</w:t>
      </w:r>
      <w:r w:rsidR="005857F8" w:rsidRPr="00E52E8A">
        <w:t xml:space="preserve"> </w:t>
      </w:r>
      <w:r w:rsidR="00361FD5" w:rsidRPr="00E52E8A">
        <w:t>Medicare</w:t>
      </w:r>
      <w:r w:rsidR="0047167A" w:rsidRPr="00E52E8A">
        <w:t xml:space="preserve"> and the Department of Veteran's Affairs (DVA), as well as expenditure on the PIP</w:t>
      </w:r>
      <w:r w:rsidR="00361FD5" w:rsidRPr="00E52E8A">
        <w:t xml:space="preserve"> and Medicare Locals</w:t>
      </w:r>
      <w:r w:rsidR="00221681" w:rsidRPr="00E52E8A">
        <w:t xml:space="preserve"> (</w:t>
      </w:r>
      <w:r w:rsidR="00721DB4" w:rsidRPr="00E52E8A">
        <w:t xml:space="preserve">around </w:t>
      </w:r>
      <w:r w:rsidR="00221681" w:rsidRPr="00E52E8A">
        <w:t>$6</w:t>
      </w:r>
      <w:r w:rsidR="00721DB4" w:rsidRPr="00E52E8A">
        <w:t>00</w:t>
      </w:r>
      <w:r w:rsidR="00221681" w:rsidRPr="00E52E8A">
        <w:t xml:space="preserve"> </w:t>
      </w:r>
      <w:r w:rsidR="00721DB4" w:rsidRPr="00E52E8A">
        <w:t>m</w:t>
      </w:r>
      <w:r w:rsidR="00221681" w:rsidRPr="00E52E8A">
        <w:t>illion, or 8 </w:t>
      </w:r>
      <w:r w:rsidR="00863E40" w:rsidRPr="00E52E8A">
        <w:t>per</w:t>
      </w:r>
      <w:r w:rsidR="00221681" w:rsidRPr="00E52E8A">
        <w:t> </w:t>
      </w:r>
      <w:r w:rsidR="00863E40" w:rsidRPr="00E52E8A">
        <w:t>cent</w:t>
      </w:r>
      <w:r w:rsidR="00221681" w:rsidRPr="00E52E8A">
        <w:t xml:space="preserve"> of the total expenditure</w:t>
      </w:r>
      <w:r w:rsidR="00863E40" w:rsidRPr="00E52E8A">
        <w:t>).</w:t>
      </w:r>
    </w:p>
    <w:p w:rsidR="00A43955" w:rsidRPr="00E52E8A" w:rsidRDefault="00CA7456" w:rsidP="00E52E8A">
      <w:pPr>
        <w:pStyle w:val="BodyText"/>
        <w:rPr>
          <w:rStyle w:val="DraftingNote"/>
          <w:b w:val="0"/>
          <w:color w:val="auto"/>
          <w:u w:val="none"/>
        </w:rPr>
      </w:pPr>
      <w:r w:rsidRPr="00E52E8A">
        <w:t xml:space="preserve">Age standardisation </w:t>
      </w:r>
      <w:r w:rsidR="00C04ABE" w:rsidRPr="00E52E8A">
        <w:t>can be applied to fee-for-service expenditure on general practice to adjust</w:t>
      </w:r>
      <w:r w:rsidRPr="00E52E8A">
        <w:t xml:space="preserve"> for the effect </w:t>
      </w:r>
      <w:r w:rsidR="00A43955" w:rsidRPr="00E52E8A">
        <w:t xml:space="preserve">of variations in age profiles </w:t>
      </w:r>
      <w:r w:rsidR="00CC5304" w:rsidRPr="00E52E8A">
        <w:t>on rates (see c</w:t>
      </w:r>
      <w:r w:rsidR="00A43955" w:rsidRPr="00E52E8A">
        <w:t>hapter 2 for de</w:t>
      </w:r>
      <w:r w:rsidR="00863E40" w:rsidRPr="00E52E8A">
        <w:t>tails</w:t>
      </w:r>
      <w:r w:rsidR="00C04ABE" w:rsidRPr="00E52E8A">
        <w:t>)</w:t>
      </w:r>
      <w:r w:rsidR="00D70DD0" w:rsidRPr="00E52E8A">
        <w:t>. The age-standardised expenditure on general practice per person was</w:t>
      </w:r>
      <w:r w:rsidR="00221681" w:rsidRPr="00E52E8A">
        <w:t xml:space="preserve"> $2</w:t>
      </w:r>
      <w:r w:rsidR="00885DAC" w:rsidRPr="00E52E8A">
        <w:t>99</w:t>
      </w:r>
      <w:r w:rsidR="00221681" w:rsidRPr="00E52E8A">
        <w:t> in 201</w:t>
      </w:r>
      <w:r w:rsidR="00885DAC" w:rsidRPr="00E52E8A">
        <w:t>3</w:t>
      </w:r>
      <w:r w:rsidR="00221681" w:rsidRPr="00E52E8A">
        <w:noBreakHyphen/>
        <w:t>1</w:t>
      </w:r>
      <w:r w:rsidR="00885DAC" w:rsidRPr="00E52E8A">
        <w:t>4</w:t>
      </w:r>
      <w:r w:rsidR="00221681" w:rsidRPr="00E52E8A">
        <w:t>.</w:t>
      </w:r>
    </w:p>
    <w:p w:rsidR="00AC7408" w:rsidRPr="00944E91" w:rsidRDefault="00AC7408" w:rsidP="00E52E8A">
      <w:pPr>
        <w:pStyle w:val="BodyText"/>
      </w:pPr>
      <w:r w:rsidRPr="00E52E8A">
        <w:t>Not all Australian Government funding of primary healthcare services is captured in these</w:t>
      </w:r>
      <w:r>
        <w:t xml:space="preserve"> data. </w:t>
      </w:r>
      <w:r w:rsidR="00CA6C38">
        <w:t>F</w:t>
      </w:r>
      <w:r>
        <w:t xml:space="preserve">unding is </w:t>
      </w:r>
      <w:r w:rsidR="00CA6C38">
        <w:t xml:space="preserve">also </w:t>
      </w:r>
      <w:r>
        <w:t>provided for services delivered in non</w:t>
      </w:r>
      <w:r>
        <w:noBreakHyphen/>
        <w:t>general practice settings</w:t>
      </w:r>
      <w:r w:rsidR="00CA6C38">
        <w:t xml:space="preserve">, particularly in </w:t>
      </w:r>
      <w:r w:rsidR="00CA6C38" w:rsidRPr="003D59EC">
        <w:t>rural and remote areas</w:t>
      </w:r>
      <w:r w:rsidR="002B3B97">
        <w:t>,</w:t>
      </w:r>
      <w:r>
        <w:t xml:space="preserve"> </w:t>
      </w:r>
      <w:r w:rsidR="00F47752">
        <w:t>f</w:t>
      </w:r>
      <w:r w:rsidR="00CA6C38">
        <w:t>or example,</w:t>
      </w:r>
      <w:r>
        <w:t xml:space="preserve"> </w:t>
      </w:r>
      <w:r w:rsidR="002B3B97">
        <w:t xml:space="preserve">in </w:t>
      </w:r>
      <w:r w:rsidRPr="003D59EC">
        <w:t>hospital emergency departments</w:t>
      </w:r>
      <w:r w:rsidRPr="00AF63F2">
        <w:t xml:space="preserve">, </w:t>
      </w:r>
      <w:r w:rsidR="00D16EBA">
        <w:t>Aboriginal and Torres Strait Islander</w:t>
      </w:r>
      <w:r w:rsidRPr="00AF63F2">
        <w:t xml:space="preserve"> primary healthcare </w:t>
      </w:r>
      <w:r w:rsidR="00523425" w:rsidRPr="00AF63F2">
        <w:t xml:space="preserve">and other community health </w:t>
      </w:r>
      <w:r w:rsidRPr="00AF63F2">
        <w:t>services</w:t>
      </w:r>
      <w:r w:rsidR="0026215F" w:rsidRPr="00AF63F2">
        <w:t xml:space="preserve"> </w:t>
      </w:r>
      <w:r w:rsidR="00AF63F2">
        <w:t>a</w:t>
      </w:r>
      <w:r w:rsidR="00523425">
        <w:t xml:space="preserve">nd the </w:t>
      </w:r>
      <w:r w:rsidR="00523425" w:rsidRPr="00523425">
        <w:t>Royal Flying Doctor Service</w:t>
      </w:r>
      <w:r w:rsidR="0081197C">
        <w:t xml:space="preserve">. </w:t>
      </w:r>
      <w:r w:rsidR="00CA6C38">
        <w:t xml:space="preserve">Thus, expenditure on general practice understates expenditure on primary healthcare, particularly in jurisdictions with large </w:t>
      </w:r>
      <w:r w:rsidR="00CA6C38">
        <w:lastRenderedPageBreak/>
        <w:t xml:space="preserve">populations of </w:t>
      </w:r>
      <w:r w:rsidR="00D16EBA">
        <w:t>Aboriginal and Torres Strait Islander</w:t>
      </w:r>
      <w:r w:rsidR="006E4E2B">
        <w:t xml:space="preserve"> Australians</w:t>
      </w:r>
      <w:r w:rsidR="00CA6C38">
        <w:t xml:space="preserve"> and people </w:t>
      </w:r>
      <w:r w:rsidR="006418D0">
        <w:t xml:space="preserve">living </w:t>
      </w:r>
      <w:r w:rsidR="00CA6C38">
        <w:t xml:space="preserve">in rural and </w:t>
      </w:r>
      <w:r w:rsidR="00B60601">
        <w:t>remote areas.</w:t>
      </w:r>
    </w:p>
    <w:p w:rsidR="00B61A9C" w:rsidRPr="00C052BA" w:rsidRDefault="00B61A9C" w:rsidP="00445562">
      <w:pPr>
        <w:pStyle w:val="BodyText"/>
      </w:pPr>
      <w:r w:rsidRPr="00B61A9C">
        <w:t xml:space="preserve">State and Territory governments provide funding for general practice through a number of programs. Generally, this funding is provided indirectly through support services for GPs (such as assistance with housing and relocation, education </w:t>
      </w:r>
      <w:r w:rsidR="009C1A15">
        <w:t>p</w:t>
      </w:r>
      <w:r w:rsidRPr="00B61A9C">
        <w:t>rograms and employment assistance for spouses and family members of doctors in rural areas) or education and support services for public health issues such as diabetes management, smoking cessation, sexual health, and mental health and counselling. Non</w:t>
      </w:r>
      <w:r w:rsidR="00F47752">
        <w:noBreakHyphen/>
      </w:r>
      <w:r w:rsidRPr="00B61A9C">
        <w:t xml:space="preserve">government sources — insurance </w:t>
      </w:r>
      <w:r w:rsidRPr="004372E4">
        <w:t>schemes (such as</w:t>
      </w:r>
      <w:r w:rsidR="00555B68" w:rsidRPr="004372E4">
        <w:t>,</w:t>
      </w:r>
      <w:r w:rsidRPr="004372E4">
        <w:t xml:space="preserve"> workers compensation and third party insurance) and private</w:t>
      </w:r>
      <w:r w:rsidRPr="00B61A9C">
        <w:t xml:space="preserve"> individuals</w:t>
      </w:r>
      <w:r w:rsidR="004253BA">
        <w:t xml:space="preserve"> — also provide payments to GPs.</w:t>
      </w:r>
    </w:p>
    <w:p w:rsidR="001B61DB" w:rsidRDefault="001B61DB" w:rsidP="001B61DB">
      <w:pPr>
        <w:pStyle w:val="Heading4"/>
      </w:pPr>
      <w:r w:rsidRPr="001B61DB">
        <w:t>Pharmaceutical Benefits Scheme and Repatriation Pharmaceutical Benefits Scheme</w:t>
      </w:r>
    </w:p>
    <w:p w:rsidR="0063246E" w:rsidRPr="00E52E8A" w:rsidRDefault="0063246E" w:rsidP="00E52E8A">
      <w:pPr>
        <w:pStyle w:val="BodyText"/>
        <w:rPr>
          <w:rStyle w:val="DraftingNote"/>
          <w:b w:val="0"/>
          <w:color w:val="auto"/>
          <w:u w:val="none"/>
        </w:rPr>
      </w:pPr>
      <w:r w:rsidRPr="00011CE2">
        <w:t xml:space="preserve">Australian Government expenditure on </w:t>
      </w:r>
      <w:r w:rsidR="000E5196">
        <w:t xml:space="preserve">medications through </w:t>
      </w:r>
      <w:r w:rsidRPr="00011CE2">
        <w:t>the PBS and RPBS was around $7.</w:t>
      </w:r>
      <w:r w:rsidR="004B6A74">
        <w:t>7</w:t>
      </w:r>
      <w:r w:rsidRPr="00011CE2">
        <w:t> billion in 201</w:t>
      </w:r>
      <w:r w:rsidR="004B6A74">
        <w:t>3</w:t>
      </w:r>
      <w:r w:rsidRPr="00011CE2">
        <w:noBreakHyphen/>
        <w:t>1</w:t>
      </w:r>
      <w:r w:rsidR="004B6A74">
        <w:t>4</w:t>
      </w:r>
      <w:r>
        <w:t xml:space="preserve"> (tables </w:t>
      </w:r>
      <w:r w:rsidR="00C9076B">
        <w:t>10A.</w:t>
      </w:r>
      <w:r w:rsidR="00514F14">
        <w:t>4</w:t>
      </w:r>
      <w:r>
        <w:t xml:space="preserve"> and </w:t>
      </w:r>
      <w:r w:rsidR="00C9076B">
        <w:t>10A.</w:t>
      </w:r>
      <w:r w:rsidR="00514F14">
        <w:t>5</w:t>
      </w:r>
      <w:r>
        <w:t>)</w:t>
      </w:r>
      <w:r w:rsidRPr="00011CE2">
        <w:t xml:space="preserve">. </w:t>
      </w:r>
      <w:r>
        <w:t xml:space="preserve">Expenditure on the PBS </w:t>
      </w:r>
      <w:r w:rsidR="004F71FF">
        <w:t xml:space="preserve">decreased from around </w:t>
      </w:r>
      <w:r w:rsidR="004F71FF" w:rsidRPr="00011CE2">
        <w:t>$7.</w:t>
      </w:r>
      <w:r w:rsidR="004F71FF">
        <w:t>7</w:t>
      </w:r>
      <w:r w:rsidR="004F71FF" w:rsidRPr="00011CE2">
        <w:t> billion</w:t>
      </w:r>
      <w:r w:rsidR="004F71FF">
        <w:t xml:space="preserve"> </w:t>
      </w:r>
      <w:r w:rsidR="00CF7620">
        <w:t>(</w:t>
      </w:r>
      <w:r w:rsidR="004F71FF">
        <w:t>$346 per </w:t>
      </w:r>
      <w:r w:rsidR="004F71FF" w:rsidRPr="00011CE2">
        <w:t>person</w:t>
      </w:r>
      <w:r w:rsidR="00CF7620">
        <w:t>),</w:t>
      </w:r>
      <w:r w:rsidR="004F71FF">
        <w:t xml:space="preserve"> to </w:t>
      </w:r>
      <w:r w:rsidR="004B6A74">
        <w:t>$7.3</w:t>
      </w:r>
      <w:r w:rsidRPr="00011CE2">
        <w:t> billion</w:t>
      </w:r>
      <w:r w:rsidR="00CF7620">
        <w:t xml:space="preserve"> (</w:t>
      </w:r>
      <w:r w:rsidR="004B6A74">
        <w:t>$313 per </w:t>
      </w:r>
      <w:r w:rsidRPr="00011CE2">
        <w:t>person</w:t>
      </w:r>
      <w:r w:rsidR="00CF7620">
        <w:t>)</w:t>
      </w:r>
      <w:r w:rsidRPr="00011CE2">
        <w:t xml:space="preserve"> </w:t>
      </w:r>
      <w:r w:rsidRPr="004F71FF">
        <w:t xml:space="preserve">in </w:t>
      </w:r>
      <w:r w:rsidR="004F71FF" w:rsidRPr="004F71FF">
        <w:t xml:space="preserve">the period 2009-10 to </w:t>
      </w:r>
      <w:r w:rsidR="004B6A74" w:rsidRPr="004F71FF">
        <w:t>2013</w:t>
      </w:r>
      <w:r w:rsidR="004B6A74" w:rsidRPr="004F71FF">
        <w:noBreakHyphen/>
        <w:t>14</w:t>
      </w:r>
      <w:r w:rsidR="004F71FF" w:rsidRPr="004F71FF">
        <w:t xml:space="preserve"> </w:t>
      </w:r>
      <w:r w:rsidR="004F71FF">
        <w:t xml:space="preserve">(in </w:t>
      </w:r>
      <w:r w:rsidR="004F71FF" w:rsidRPr="00011CE2">
        <w:t>201</w:t>
      </w:r>
      <w:r w:rsidR="004F71FF">
        <w:t>3</w:t>
      </w:r>
      <w:r w:rsidR="004F71FF" w:rsidRPr="00011CE2">
        <w:noBreakHyphen/>
        <w:t>1</w:t>
      </w:r>
      <w:r w:rsidR="004F71FF">
        <w:t xml:space="preserve">4 dollars) </w:t>
      </w:r>
      <w:r w:rsidR="0022284D">
        <w:t>(</w:t>
      </w:r>
      <w:r w:rsidR="00897589">
        <w:t>figure 10.</w:t>
      </w:r>
      <w:r w:rsidR="00C72C0F">
        <w:t>1</w:t>
      </w:r>
      <w:r>
        <w:t>). Over the same period, the proportion of PBS expenditure that is concessional rose from 77.9 to</w:t>
      </w:r>
      <w:r w:rsidRPr="00011CE2">
        <w:t xml:space="preserve"> 78.5 per cent</w:t>
      </w:r>
      <w:r w:rsidR="006D741A">
        <w:t xml:space="preserve"> (tables </w:t>
      </w:r>
      <w:r w:rsidR="00C9076B">
        <w:t>10A.</w:t>
      </w:r>
      <w:r w:rsidR="00B23A37">
        <w:t>4</w:t>
      </w:r>
      <w:r>
        <w:t xml:space="preserve"> and </w:t>
      </w:r>
      <w:r w:rsidR="00C9076B">
        <w:t>10A.</w:t>
      </w:r>
      <w:r w:rsidR="00514F14">
        <w:t>5</w:t>
      </w:r>
      <w:r>
        <w:t>)</w:t>
      </w:r>
      <w:r w:rsidRPr="00011CE2">
        <w:t>.</w:t>
      </w:r>
      <w:r w:rsidR="00B23A37">
        <w:t xml:space="preserve"> Data are presented for a ten year time series in Table 10A.4.</w:t>
      </w:r>
    </w:p>
    <w:p w:rsidR="005A7229" w:rsidRDefault="005A7229" w:rsidP="00F07FF9">
      <w:pPr>
        <w:pStyle w:val="BoxSpaceAbove"/>
        <w:keepLines/>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5A7229" w:rsidTr="005A7229">
        <w:tc>
          <w:tcPr>
            <w:tcW w:w="8771" w:type="dxa"/>
            <w:tcBorders>
              <w:top w:val="single" w:sz="6" w:space="0" w:color="78A22F"/>
              <w:left w:val="nil"/>
              <w:bottom w:val="nil"/>
              <w:right w:val="nil"/>
            </w:tcBorders>
            <w:shd w:val="clear" w:color="auto" w:fill="auto"/>
          </w:tcPr>
          <w:p w:rsidR="005A7229" w:rsidRPr="00176D3F" w:rsidRDefault="005A7229" w:rsidP="00F07FF9">
            <w:pPr>
              <w:pStyle w:val="FigureTitle"/>
            </w:pPr>
            <w:r w:rsidRPr="00784A05">
              <w:rPr>
                <w:b w:val="0"/>
              </w:rPr>
              <w:t xml:space="preserve">Figure </w:t>
            </w:r>
            <w:r w:rsidR="00DF255F">
              <w:rPr>
                <w:b w:val="0"/>
              </w:rPr>
              <w:t>10.</w:t>
            </w:r>
            <w:r w:rsidR="0078724D">
              <w:rPr>
                <w:b w:val="0"/>
                <w:noProof/>
              </w:rPr>
              <w:t>1</w:t>
            </w:r>
            <w:r>
              <w:tab/>
            </w:r>
            <w:r w:rsidR="00E3774E">
              <w:t>PBS expenditure per person</w:t>
            </w:r>
            <w:r w:rsidR="00E3774E" w:rsidRPr="00EA61E4">
              <w:t xml:space="preserve"> </w:t>
            </w:r>
            <w:r w:rsidR="00E3774E">
              <w:t>(</w:t>
            </w:r>
            <w:r w:rsidR="00E3774E" w:rsidRPr="00EA61E4">
              <w:t>201</w:t>
            </w:r>
            <w:r w:rsidR="004B6A74">
              <w:t>3</w:t>
            </w:r>
            <w:r w:rsidR="00E3774E" w:rsidRPr="00EA61E4">
              <w:noBreakHyphen/>
              <w:t>1</w:t>
            </w:r>
            <w:r w:rsidR="004B6A74">
              <w:t>4</w:t>
            </w:r>
            <w:r w:rsidR="00E3774E">
              <w:t xml:space="preserve"> dollars)</w:t>
            </w:r>
            <w:r w:rsidR="00E3774E" w:rsidRPr="00F42C50">
              <w:rPr>
                <w:rStyle w:val="NoteLabel"/>
                <w:b/>
              </w:rPr>
              <w:t>a</w:t>
            </w:r>
            <w:r w:rsidR="00E3774E">
              <w:rPr>
                <w:rStyle w:val="NoteLabel"/>
                <w:b/>
              </w:rPr>
              <w:t>, b, c, d, e, f, g</w:t>
            </w:r>
          </w:p>
        </w:tc>
      </w:tr>
      <w:tr w:rsidR="005A7229" w:rsidTr="005A7229">
        <w:tc>
          <w:tcPr>
            <w:tcW w:w="8771" w:type="dxa"/>
            <w:tcBorders>
              <w:top w:val="nil"/>
              <w:left w:val="nil"/>
              <w:bottom w:val="nil"/>
              <w:right w:val="nil"/>
            </w:tcBorders>
            <w:shd w:val="clear" w:color="auto" w:fill="auto"/>
            <w:tcMar>
              <w:top w:w="28" w:type="dxa"/>
              <w:bottom w:w="28" w:type="dxa"/>
            </w:tcMar>
          </w:tcPr>
          <w:tbl>
            <w:tblPr>
              <w:tblW w:w="8625" w:type="dxa"/>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625"/>
            </w:tblGrid>
            <w:tr w:rsidR="005A7229" w:rsidTr="004B6A74">
              <w:tc>
                <w:tcPr>
                  <w:tcW w:w="5000" w:type="pct"/>
                  <w:tcBorders>
                    <w:top w:val="nil"/>
                    <w:bottom w:val="nil"/>
                  </w:tcBorders>
                </w:tcPr>
                <w:p w:rsidR="005A7229" w:rsidRDefault="00583B5D" w:rsidP="00F07FF9">
                  <w:pPr>
                    <w:pStyle w:val="Figure"/>
                    <w:keepLines/>
                    <w:spacing w:before="60" w:after="60"/>
                  </w:pPr>
                  <w:r>
                    <w:rPr>
                      <w:noProof/>
                    </w:rPr>
                    <w:drawing>
                      <wp:inline distT="0" distB="0" distL="0" distR="0">
                        <wp:extent cx="5391150" cy="2886075"/>
                        <wp:effectExtent l="0" t="0" r="0" b="9525"/>
                        <wp:docPr id="3" name="Picture 3" descr="Figure 10.1 PBS expenditure per person (2013-14 dollars)&#10;&#10;More details can be found within the text surrounding this image.&#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391150" cy="2886075"/>
                                </a:xfrm>
                                <a:prstGeom prst="rect">
                                  <a:avLst/>
                                </a:prstGeom>
                                <a:noFill/>
                                <a:ln>
                                  <a:noFill/>
                                </a:ln>
                              </pic:spPr>
                            </pic:pic>
                          </a:graphicData>
                        </a:graphic>
                      </wp:inline>
                    </w:drawing>
                  </w:r>
                </w:p>
              </w:tc>
            </w:tr>
          </w:tbl>
          <w:p w:rsidR="005A7229" w:rsidRDefault="005A7229" w:rsidP="00F07FF9">
            <w:pPr>
              <w:pStyle w:val="Figure"/>
              <w:keepLines/>
            </w:pPr>
          </w:p>
        </w:tc>
      </w:tr>
      <w:tr w:rsidR="005A7229" w:rsidRPr="00176D3F" w:rsidTr="005A7229">
        <w:tc>
          <w:tcPr>
            <w:tcW w:w="8771" w:type="dxa"/>
            <w:tcBorders>
              <w:top w:val="nil"/>
              <w:left w:val="nil"/>
              <w:bottom w:val="nil"/>
              <w:right w:val="nil"/>
            </w:tcBorders>
            <w:shd w:val="clear" w:color="auto" w:fill="auto"/>
          </w:tcPr>
          <w:p w:rsidR="005A7229" w:rsidRPr="00176D3F" w:rsidRDefault="00E3774E" w:rsidP="004941EF">
            <w:pPr>
              <w:pStyle w:val="Note"/>
              <w:keepNext/>
            </w:pPr>
            <w:r w:rsidRPr="001C6EF4">
              <w:rPr>
                <w:rStyle w:val="NoteLabel"/>
              </w:rPr>
              <w:t>a</w:t>
            </w:r>
            <w:r w:rsidRPr="001C6EF4">
              <w:t> </w:t>
            </w:r>
            <w:r w:rsidR="00364183" w:rsidRPr="00364183">
              <w:t>Time series financial data are adjusted to 2013-14 dollars using the General Government Final Consumption Expenditure (GGFCE) chain price deflator (201</w:t>
            </w:r>
            <w:r w:rsidR="00364183">
              <w:t>3-14 = 100) (table 2A.51). See c</w:t>
            </w:r>
            <w:r w:rsidR="00364183" w:rsidRPr="00364183">
              <w:t>hapter 2 (sections 2.5-6) for details</w:t>
            </w:r>
            <w:r w:rsidRPr="001C6EF4">
              <w:t xml:space="preserve">. </w:t>
            </w:r>
            <w:r w:rsidRPr="001C6EF4">
              <w:rPr>
                <w:rStyle w:val="NoteLabel"/>
              </w:rPr>
              <w:t>b </w:t>
            </w:r>
            <w:r w:rsidR="00D80807">
              <w:t xml:space="preserve"> </w:t>
            </w:r>
            <w:r w:rsidR="00AF0B79" w:rsidRPr="00AF0B79">
              <w:t xml:space="preserve">From 2012-13, rates are derived using the </w:t>
            </w:r>
            <w:r w:rsidR="004941EF" w:rsidRPr="00AF0B79">
              <w:t>ABS</w:t>
            </w:r>
            <w:r w:rsidR="004941EF" w:rsidRPr="008A7C1F">
              <w:t xml:space="preserve"> </w:t>
            </w:r>
            <w:r w:rsidR="004941EF">
              <w:t>(</w:t>
            </w:r>
            <w:r w:rsidR="008A7C1F" w:rsidRPr="008A7C1F">
              <w:t>Australian Bureau of Statistics</w:t>
            </w:r>
            <w:r w:rsidR="008A7C1F">
              <w:t>)</w:t>
            </w:r>
            <w:r w:rsidR="00AF0B79" w:rsidRPr="00AF0B79">
              <w:t xml:space="preserve"> 2011 Census based ERP </w:t>
            </w:r>
            <w:r w:rsidR="00AF0B79">
              <w:t xml:space="preserve">for </w:t>
            </w:r>
            <w:r w:rsidR="00AF0B79" w:rsidRPr="00AF0B79">
              <w:t>31</w:t>
            </w:r>
            <w:r w:rsidR="00B837E2">
              <w:t> </w:t>
            </w:r>
            <w:r w:rsidR="00AF0B79" w:rsidRPr="00AF0B79">
              <w:t xml:space="preserve">December </w:t>
            </w:r>
            <w:r w:rsidR="00AF0B79">
              <w:t xml:space="preserve">and are not comparable with rates in figure 10.6 which use the 30 June ERP. Rates for earlier years are </w:t>
            </w:r>
            <w:r w:rsidR="00AF0B79" w:rsidRPr="00AF0B79">
              <w:t>derived using ERPs based on earlier Censuses. Rates based on different Censuses are not comparable</w:t>
            </w:r>
            <w:r w:rsidR="00D80807">
              <w:t xml:space="preserve">. </w:t>
            </w:r>
            <w:r>
              <w:rPr>
                <w:rStyle w:val="NoteLabel"/>
              </w:rPr>
              <w:t>c</w:t>
            </w:r>
            <w:r w:rsidRPr="001C6EF4">
              <w:rPr>
                <w:rStyle w:val="NoteLabel"/>
              </w:rPr>
              <w:t> </w:t>
            </w:r>
            <w:r>
              <w:t>S</w:t>
            </w:r>
            <w:r w:rsidRPr="001C6EF4">
              <w:t xml:space="preserve">tate and Territory data are only </w:t>
            </w:r>
            <w:r w:rsidRPr="006043D4">
              <w:t xml:space="preserve">available on a cash basis for general and concessional categories. Data are not directly comparable to those published in </w:t>
            </w:r>
            <w:r>
              <w:t>the Department of Health</w:t>
            </w:r>
            <w:r w:rsidRPr="006043D4">
              <w:t>’s annual report which are prepared on an accrual accounting basis and include other categories administered under special arrangements (</w:t>
            </w:r>
            <w:r>
              <w:t>s</w:t>
            </w:r>
            <w:r w:rsidRPr="00363D50">
              <w:t xml:space="preserve">uch as medications </w:t>
            </w:r>
            <w:r>
              <w:t>supplied</w:t>
            </w:r>
            <w:r w:rsidRPr="00363D50">
              <w:t xml:space="preserve"> to remote and very remote areas under s.100 of the </w:t>
            </w:r>
            <w:r w:rsidRPr="00363D50">
              <w:rPr>
                <w:i/>
              </w:rPr>
              <w:t>National Health Act 1953</w:t>
            </w:r>
            <w:r w:rsidRPr="00363D50">
              <w:t xml:space="preserve"> [Cwlth]</w:t>
            </w:r>
            <w:r>
              <w:t xml:space="preserve"> — costing </w:t>
            </w:r>
            <w:r w:rsidRPr="00363D50">
              <w:t>$3</w:t>
            </w:r>
            <w:r w:rsidR="007A4591">
              <w:t>8</w:t>
            </w:r>
            <w:r w:rsidRPr="00363D50">
              <w:t>.</w:t>
            </w:r>
            <w:r w:rsidR="007A4591">
              <w:t>5</w:t>
            </w:r>
            <w:r w:rsidRPr="00363D50">
              <w:t xml:space="preserve"> million </w:t>
            </w:r>
            <w:r>
              <w:t>for 201</w:t>
            </w:r>
            <w:r w:rsidR="007A4591">
              <w:t>3</w:t>
            </w:r>
            <w:r>
              <w:t>-1</w:t>
            </w:r>
            <w:r w:rsidR="007A4591">
              <w:t>4</w:t>
            </w:r>
            <w:r>
              <w:t>, of which the NT accounted for 5</w:t>
            </w:r>
            <w:r w:rsidR="007A4591">
              <w:t>2.4 </w:t>
            </w:r>
            <w:r>
              <w:t>per</w:t>
            </w:r>
            <w:r w:rsidR="007A4591">
              <w:t> cent [table </w:t>
            </w:r>
            <w:r w:rsidR="00C9076B">
              <w:t>10A.</w:t>
            </w:r>
            <w:r>
              <w:t>6]</w:t>
            </w:r>
            <w:r w:rsidRPr="00363D50">
              <w:t>)</w:t>
            </w:r>
            <w:r w:rsidRPr="006043D4">
              <w:t xml:space="preserve">. </w:t>
            </w:r>
            <w:r>
              <w:rPr>
                <w:rStyle w:val="NoteLabel"/>
              </w:rPr>
              <w:t>d</w:t>
            </w:r>
            <w:r w:rsidR="00B837E2">
              <w:rPr>
                <w:rStyle w:val="NoteLabel"/>
              </w:rPr>
              <w:t> </w:t>
            </w:r>
            <w:r w:rsidRPr="006043D4">
              <w:t xml:space="preserve">Includes PBS general ordinary and safety net. </w:t>
            </w:r>
            <w:r>
              <w:rPr>
                <w:rStyle w:val="NoteLabel"/>
              </w:rPr>
              <w:t>e</w:t>
            </w:r>
            <w:r w:rsidRPr="001238C6">
              <w:rPr>
                <w:rStyle w:val="NoteLabel"/>
              </w:rPr>
              <w:t> </w:t>
            </w:r>
            <w:r w:rsidRPr="006043D4">
              <w:t xml:space="preserve">Includes PBS concessional ordinary and concessional free safety net. </w:t>
            </w:r>
            <w:r>
              <w:rPr>
                <w:rStyle w:val="NoteLabel"/>
              </w:rPr>
              <w:t>f</w:t>
            </w:r>
            <w:r w:rsidRPr="006043D4">
              <w:t xml:space="preserve"> Includes RPBS general ordinary and safety net. </w:t>
            </w:r>
            <w:r>
              <w:rPr>
                <w:rStyle w:val="NoteLabel"/>
              </w:rPr>
              <w:t>g</w:t>
            </w:r>
            <w:r w:rsidRPr="006043D4">
              <w:rPr>
                <w:rStyle w:val="NoteLabel"/>
              </w:rPr>
              <w:t> </w:t>
            </w:r>
            <w:r w:rsidRPr="006043D4">
              <w:t>Excludes PBS doctor’s bag.</w:t>
            </w:r>
          </w:p>
        </w:tc>
      </w:tr>
      <w:tr w:rsidR="005A7229" w:rsidRPr="00176D3F" w:rsidTr="005A7229">
        <w:tc>
          <w:tcPr>
            <w:tcW w:w="8771" w:type="dxa"/>
            <w:tcBorders>
              <w:top w:val="nil"/>
              <w:left w:val="nil"/>
              <w:bottom w:val="nil"/>
              <w:right w:val="nil"/>
            </w:tcBorders>
            <w:shd w:val="clear" w:color="auto" w:fill="auto"/>
          </w:tcPr>
          <w:p w:rsidR="005A7229" w:rsidRPr="00176D3F" w:rsidRDefault="00E3774E" w:rsidP="00F07FF9">
            <w:pPr>
              <w:pStyle w:val="Source"/>
              <w:keepNext/>
            </w:pPr>
            <w:r w:rsidRPr="006043D4">
              <w:rPr>
                <w:i/>
              </w:rPr>
              <w:t>Source</w:t>
            </w:r>
            <w:r w:rsidRPr="009E7901">
              <w:t xml:space="preserve">: </w:t>
            </w:r>
            <w:r>
              <w:t>Department of Health</w:t>
            </w:r>
            <w:r w:rsidRPr="009E7901">
              <w:t xml:space="preserve"> (unpublish</w:t>
            </w:r>
            <w:r>
              <w:t xml:space="preserve">ed) PBS Statistics; tables </w:t>
            </w:r>
            <w:r w:rsidR="00C9076B">
              <w:t>10A.</w:t>
            </w:r>
            <w:r>
              <w:t>4</w:t>
            </w:r>
            <w:r w:rsidRPr="009E7901">
              <w:t xml:space="preserve"> and </w:t>
            </w:r>
            <w:r w:rsidR="00C9076B">
              <w:t>10A.</w:t>
            </w:r>
            <w:r>
              <w:t>5</w:t>
            </w:r>
            <w:r w:rsidRPr="009E7901">
              <w:t>.</w:t>
            </w:r>
          </w:p>
        </w:tc>
      </w:tr>
      <w:tr w:rsidR="005A7229" w:rsidTr="005A7229">
        <w:tc>
          <w:tcPr>
            <w:tcW w:w="8771" w:type="dxa"/>
            <w:tcBorders>
              <w:top w:val="nil"/>
              <w:left w:val="nil"/>
              <w:bottom w:val="single" w:sz="6" w:space="0" w:color="78A22F"/>
              <w:right w:val="nil"/>
            </w:tcBorders>
            <w:shd w:val="clear" w:color="auto" w:fill="auto"/>
          </w:tcPr>
          <w:p w:rsidR="005A7229" w:rsidRDefault="005A7229" w:rsidP="00F07FF9">
            <w:pPr>
              <w:pStyle w:val="Figurespace"/>
              <w:keepLines/>
            </w:pPr>
          </w:p>
        </w:tc>
      </w:tr>
      <w:tr w:rsidR="005A7229" w:rsidRPr="000863A5" w:rsidTr="005A7229">
        <w:tc>
          <w:tcPr>
            <w:tcW w:w="8771" w:type="dxa"/>
            <w:tcBorders>
              <w:top w:val="single" w:sz="6" w:space="0" w:color="78A22F"/>
              <w:left w:val="nil"/>
              <w:bottom w:val="nil"/>
              <w:right w:val="nil"/>
            </w:tcBorders>
          </w:tcPr>
          <w:p w:rsidR="005A7229" w:rsidRPr="00626D32" w:rsidRDefault="005A7229" w:rsidP="00F07FF9">
            <w:pPr>
              <w:pStyle w:val="BoxSpaceBelow"/>
              <w:keepNext/>
              <w:keepLines/>
            </w:pPr>
          </w:p>
        </w:tc>
      </w:tr>
    </w:tbl>
    <w:p w:rsidR="00083F1C" w:rsidRDefault="00083F1C" w:rsidP="00083F1C">
      <w:pPr>
        <w:pStyle w:val="Heading4"/>
      </w:pPr>
      <w:r>
        <w:t>Community health services</w:t>
      </w:r>
    </w:p>
    <w:p w:rsidR="00003A18" w:rsidRDefault="00083F1C" w:rsidP="00584945">
      <w:pPr>
        <w:pStyle w:val="BodyText"/>
      </w:pPr>
      <w:r w:rsidRPr="00EB1FD8">
        <w:t xml:space="preserve">In </w:t>
      </w:r>
      <w:r w:rsidR="006D474F" w:rsidRPr="00EB1FD8">
        <w:t>20</w:t>
      </w:r>
      <w:r w:rsidR="00571D83" w:rsidRPr="00EB1FD8">
        <w:t>1</w:t>
      </w:r>
      <w:r w:rsidR="00EB1FD8">
        <w:t>2</w:t>
      </w:r>
      <w:r w:rsidR="006D474F" w:rsidRPr="00EB1FD8">
        <w:t>-</w:t>
      </w:r>
      <w:r w:rsidR="008525F7" w:rsidRPr="00EB1FD8">
        <w:t>1</w:t>
      </w:r>
      <w:r w:rsidR="00EB1FD8">
        <w:t>3</w:t>
      </w:r>
      <w:r w:rsidRPr="00EB1FD8">
        <w:t xml:space="preserve">, government expenditure on </w:t>
      </w:r>
      <w:r w:rsidR="00003A18" w:rsidRPr="00003A18">
        <w:t xml:space="preserve">community </w:t>
      </w:r>
      <w:r w:rsidR="00003A18">
        <w:t xml:space="preserve">health </w:t>
      </w:r>
      <w:r w:rsidR="00003A18" w:rsidRPr="00003A18">
        <w:t xml:space="preserve">and public health </w:t>
      </w:r>
      <w:r w:rsidRPr="00EB1FD8">
        <w:t>was $</w:t>
      </w:r>
      <w:r w:rsidR="00003A18">
        <w:t>9.1</w:t>
      </w:r>
      <w:r w:rsidR="006D474F" w:rsidRPr="00EB1FD8">
        <w:t> </w:t>
      </w:r>
      <w:r w:rsidRPr="00EB1FD8">
        <w:t>billion</w:t>
      </w:r>
      <w:r w:rsidR="005604DE" w:rsidRPr="00EB1FD8">
        <w:t>, of which</w:t>
      </w:r>
      <w:r w:rsidRPr="00EB1FD8">
        <w:t xml:space="preserve"> State, Territory and local government</w:t>
      </w:r>
      <w:r w:rsidR="005604DE" w:rsidRPr="00EB1FD8">
        <w:t>s</w:t>
      </w:r>
      <w:r w:rsidRPr="00EB1FD8">
        <w:t xml:space="preserve"> provid</w:t>
      </w:r>
      <w:r w:rsidR="005604DE" w:rsidRPr="00EB1FD8">
        <w:t>ed</w:t>
      </w:r>
      <w:r w:rsidRPr="00EB1FD8">
        <w:t xml:space="preserve"> </w:t>
      </w:r>
      <w:r w:rsidR="00003A18">
        <w:t>7</w:t>
      </w:r>
      <w:r w:rsidR="00FF48FE">
        <w:t>4.</w:t>
      </w:r>
      <w:r w:rsidR="00003A18">
        <w:t>4</w:t>
      </w:r>
      <w:r w:rsidR="006D474F" w:rsidRPr="00EB1FD8">
        <w:t> </w:t>
      </w:r>
      <w:r w:rsidRPr="00EB1FD8">
        <w:t>per</w:t>
      </w:r>
      <w:r w:rsidR="008A5AB9" w:rsidRPr="00EB1FD8">
        <w:t> </w:t>
      </w:r>
      <w:r w:rsidRPr="00EB1FD8">
        <w:t xml:space="preserve">cent and the Australian Government </w:t>
      </w:r>
      <w:r w:rsidR="00003A18">
        <w:t>25.6</w:t>
      </w:r>
      <w:r w:rsidR="006D474F" w:rsidRPr="00EB1FD8">
        <w:t> </w:t>
      </w:r>
      <w:r w:rsidRPr="00EB1FD8">
        <w:t>per</w:t>
      </w:r>
      <w:r w:rsidR="008A5AB9" w:rsidRPr="00EB1FD8">
        <w:t> </w:t>
      </w:r>
      <w:r w:rsidRPr="00EB1FD8">
        <w:t>cent (</w:t>
      </w:r>
      <w:r w:rsidR="00897589" w:rsidRPr="00EB1FD8">
        <w:t>table 10.</w:t>
      </w:r>
      <w:r w:rsidR="00003A18">
        <w:t>1).</w:t>
      </w:r>
    </w:p>
    <w:p w:rsidR="007416CA" w:rsidRDefault="00A153A8" w:rsidP="00003A18">
      <w:pPr>
        <w:pStyle w:val="BodyText"/>
      </w:pPr>
      <w:r w:rsidRPr="00A153A8">
        <w:t xml:space="preserve">Australian Government </w:t>
      </w:r>
      <w:r w:rsidRPr="00571D83">
        <w:t xml:space="preserve">expenditure on </w:t>
      </w:r>
      <w:r w:rsidR="00003A18" w:rsidRPr="00003A18">
        <w:t xml:space="preserve">Aboriginal and Torres Strait Islander Primary health care services </w:t>
      </w:r>
      <w:r w:rsidR="00761777">
        <w:t>was $5</w:t>
      </w:r>
      <w:r w:rsidR="006F3594">
        <w:t>82</w:t>
      </w:r>
      <w:r w:rsidR="00761777">
        <w:t> </w:t>
      </w:r>
      <w:r>
        <w:t xml:space="preserve">million in </w:t>
      </w:r>
      <w:r w:rsidR="006F3594">
        <w:t>2013-14</w:t>
      </w:r>
      <w:r w:rsidR="00761777">
        <w:t xml:space="preserve"> (table </w:t>
      </w:r>
      <w:r w:rsidR="00C9076B">
        <w:t>10A.</w:t>
      </w:r>
      <w:r w:rsidR="00514F14">
        <w:t>8</w:t>
      </w:r>
      <w:r w:rsidR="00761777">
        <w:t>).</w:t>
      </w:r>
    </w:p>
    <w:p w:rsidR="00A56D0C" w:rsidRDefault="00A56D0C" w:rsidP="00A56D0C">
      <w:pPr>
        <w:pStyle w:val="Heading3"/>
      </w:pPr>
      <w:r w:rsidRPr="00A56D0C">
        <w:lastRenderedPageBreak/>
        <w:t>Size and scope</w:t>
      </w:r>
    </w:p>
    <w:p w:rsidR="003F741A" w:rsidRDefault="003F741A" w:rsidP="003F741A">
      <w:pPr>
        <w:pStyle w:val="Heading4"/>
      </w:pPr>
      <w:r>
        <w:t>General practice</w:t>
      </w:r>
    </w:p>
    <w:p w:rsidR="005D25C7" w:rsidRDefault="008A5AB9" w:rsidP="005D25C7">
      <w:pPr>
        <w:pStyle w:val="BodyText"/>
      </w:pPr>
      <w:r w:rsidRPr="005D25C7">
        <w:t>There were</w:t>
      </w:r>
      <w:r w:rsidR="00843458">
        <w:t xml:space="preserve"> </w:t>
      </w:r>
      <w:r w:rsidR="00843458" w:rsidRPr="00843458">
        <w:t>3</w:t>
      </w:r>
      <w:r w:rsidR="000E13AE">
        <w:t>2</w:t>
      </w:r>
      <w:r w:rsidR="00843458">
        <w:t> </w:t>
      </w:r>
      <w:r w:rsidR="000E13AE">
        <w:t>40</w:t>
      </w:r>
      <w:r w:rsidR="00843458" w:rsidRPr="00843458">
        <w:t>1</w:t>
      </w:r>
      <w:r w:rsidRPr="005D25C7">
        <w:t xml:space="preserve"> vocationally </w:t>
      </w:r>
      <w:r w:rsidR="000B2487" w:rsidRPr="000B2487">
        <w:t xml:space="preserve">registered </w:t>
      </w:r>
      <w:r w:rsidRPr="005D25C7">
        <w:t>GPs and OMPs</w:t>
      </w:r>
      <w:r w:rsidR="005E307A">
        <w:t xml:space="preserve"> — 23 </w:t>
      </w:r>
      <w:r w:rsidR="005E307A" w:rsidRPr="000E13AE">
        <w:t>194</w:t>
      </w:r>
      <w:r w:rsidR="005E307A" w:rsidRPr="005D25C7">
        <w:t xml:space="preserve"> </w:t>
      </w:r>
      <w:r w:rsidR="005E307A">
        <w:t xml:space="preserve">on a </w:t>
      </w:r>
      <w:r w:rsidR="005E307A" w:rsidRPr="005D25C7">
        <w:t>full time workload equivalent (FWE) basis</w:t>
      </w:r>
      <w:r w:rsidRPr="005D25C7">
        <w:t xml:space="preserve"> </w:t>
      </w:r>
      <w:r w:rsidR="005E307A">
        <w:t xml:space="preserve">— </w:t>
      </w:r>
      <w:r w:rsidRPr="005D25C7">
        <w:t>billing Medicare Australia</w:t>
      </w:r>
      <w:r w:rsidR="00FB632B" w:rsidRPr="005D25C7">
        <w:t>, based on MBS claims data,</w:t>
      </w:r>
      <w:r w:rsidRPr="005D25C7">
        <w:t xml:space="preserve"> in</w:t>
      </w:r>
      <w:r w:rsidR="000E13AE">
        <w:t xml:space="preserve"> 2013</w:t>
      </w:r>
      <w:r w:rsidR="00843458">
        <w:t>-1</w:t>
      </w:r>
      <w:r w:rsidR="000E13AE">
        <w:t>4</w:t>
      </w:r>
      <w:r w:rsidRPr="005D25C7">
        <w:t xml:space="preserve"> (see section</w:t>
      </w:r>
      <w:r w:rsidR="00C9076B">
        <w:t xml:space="preserve"> 10.</w:t>
      </w:r>
      <w:r w:rsidRPr="005D25C7">
        <w:t xml:space="preserve">5 for a definition of FWE). This </w:t>
      </w:r>
      <w:r w:rsidR="005E307A">
        <w:t>equated</w:t>
      </w:r>
      <w:r w:rsidRPr="005D25C7">
        <w:t xml:space="preserve"> to</w:t>
      </w:r>
      <w:r w:rsidR="000E13AE">
        <w:t xml:space="preserve"> 99</w:t>
      </w:r>
      <w:r w:rsidR="00843458">
        <w:t>.</w:t>
      </w:r>
      <w:r w:rsidR="000E13AE">
        <w:t>5</w:t>
      </w:r>
      <w:r w:rsidR="004733CD" w:rsidRPr="005D25C7">
        <w:t xml:space="preserve"> </w:t>
      </w:r>
      <w:r w:rsidRPr="005D25C7">
        <w:t xml:space="preserve">FWE </w:t>
      </w:r>
      <w:r w:rsidR="000B2487" w:rsidRPr="000B2487">
        <w:t xml:space="preserve">registered </w:t>
      </w:r>
      <w:r w:rsidRPr="005D25C7">
        <w:t>GPs and OMPs per 100 000 people (</w:t>
      </w:r>
      <w:r w:rsidR="00A46079">
        <w:t>figure 10.2,</w:t>
      </w:r>
      <w:r w:rsidR="005E307A">
        <w:t xml:space="preserve"> </w:t>
      </w:r>
      <w:r w:rsidRPr="005D25C7">
        <w:t>table </w:t>
      </w:r>
      <w:r w:rsidR="00C9076B">
        <w:t>10A.</w:t>
      </w:r>
      <w:r w:rsidR="004C6E58">
        <w:t>9</w:t>
      </w:r>
      <w:r w:rsidRPr="005D25C7">
        <w:t xml:space="preserve">). </w:t>
      </w:r>
      <w:r w:rsidR="005E307A" w:rsidRPr="005D25C7">
        <w:t xml:space="preserve">MBS claims </w:t>
      </w:r>
      <w:r w:rsidRPr="005D25C7">
        <w:t xml:space="preserve">data </w:t>
      </w:r>
      <w:r w:rsidR="005E307A">
        <w:t>do not include</w:t>
      </w:r>
      <w:r w:rsidRPr="005D25C7">
        <w:t xml:space="preserve"> services provided by GPs working </w:t>
      </w:r>
      <w:r w:rsidR="005D25C7" w:rsidRPr="005D25C7">
        <w:t>in</w:t>
      </w:r>
      <w:r w:rsidR="005D25C7" w:rsidRPr="008A5AB9">
        <w:t xml:space="preserve"> </w:t>
      </w:r>
      <w:r w:rsidR="00D16EBA">
        <w:t>Aboriginal and Torres Strait Islander</w:t>
      </w:r>
      <w:r w:rsidR="005D25C7" w:rsidRPr="00656FB0">
        <w:t xml:space="preserve"> primary </w:t>
      </w:r>
      <w:r w:rsidR="005D25C7">
        <w:t>healthcare</w:t>
      </w:r>
      <w:r w:rsidR="005D25C7" w:rsidRPr="00656FB0">
        <w:t xml:space="preserve"> services</w:t>
      </w:r>
      <w:r w:rsidR="005D25C7">
        <w:t>,</w:t>
      </w:r>
      <w:r w:rsidR="005D25C7" w:rsidRPr="00656FB0">
        <w:t xml:space="preserve"> public hospitals</w:t>
      </w:r>
      <w:r w:rsidR="005D25C7" w:rsidRPr="005D25C7">
        <w:t xml:space="preserve"> </w:t>
      </w:r>
      <w:r w:rsidR="005D25C7">
        <w:t xml:space="preserve">and </w:t>
      </w:r>
      <w:r w:rsidRPr="005D25C7">
        <w:t>the Royal Flying Doctor Service</w:t>
      </w:r>
      <w:r w:rsidRPr="00656FB0">
        <w:t xml:space="preserve">. In addition, </w:t>
      </w:r>
      <w:r w:rsidRPr="00FB632B">
        <w:t>for</w:t>
      </w:r>
      <w:r w:rsidRPr="00FB632B">
        <w:rPr>
          <w:color w:val="008000"/>
        </w:rPr>
        <w:t xml:space="preserve"> </w:t>
      </w:r>
      <w:r w:rsidR="00FB632B">
        <w:t xml:space="preserve">some GPs — </w:t>
      </w:r>
      <w:r w:rsidRPr="008A5AB9">
        <w:t>particularly in rural areas</w:t>
      </w:r>
      <w:r w:rsidR="00FB632B">
        <w:t xml:space="preserve"> —</w:t>
      </w:r>
      <w:r w:rsidRPr="008A5AB9">
        <w:t xml:space="preserve"> </w:t>
      </w:r>
      <w:r w:rsidR="00FB632B">
        <w:t>MBS claims provide income</w:t>
      </w:r>
      <w:r w:rsidRPr="008A5AB9">
        <w:t xml:space="preserve"> for only part of their workload. Compared with metropolitan GPs, those in rural or remote areas spend more of their time working in local hospitals, for which they are not paid through </w:t>
      </w:r>
      <w:r w:rsidR="00470888">
        <w:t xml:space="preserve">DHS </w:t>
      </w:r>
      <w:r w:rsidRPr="008A5AB9">
        <w:t>Medicare.</w:t>
      </w:r>
    </w:p>
    <w:p w:rsidR="00863E84" w:rsidRPr="00944E91" w:rsidRDefault="00863E84" w:rsidP="005D25C7">
      <w:pPr>
        <w:pStyle w:val="BodyText"/>
      </w:pPr>
      <w:r w:rsidRPr="00BC5BAB">
        <w:t xml:space="preserve">Nationally, </w:t>
      </w:r>
      <w:r w:rsidRPr="00546697">
        <w:t xml:space="preserve">around </w:t>
      </w:r>
      <w:r w:rsidRPr="007807C4">
        <w:t>5</w:t>
      </w:r>
      <w:r>
        <w:t>889</w:t>
      </w:r>
      <w:r w:rsidRPr="00546697">
        <w:t xml:space="preserve"> </w:t>
      </w:r>
      <w:r w:rsidRPr="00BC5BAB">
        <w:t>general practitioner</w:t>
      </w:r>
      <w:r w:rsidRPr="00BC5BAB">
        <w:noBreakHyphen/>
        <w:t>type services</w:t>
      </w:r>
      <w:r w:rsidRPr="00830612">
        <w:t xml:space="preserve"> </w:t>
      </w:r>
      <w:r w:rsidRPr="00BC5BAB">
        <w:t xml:space="preserve">per 1000 population were provided </w:t>
      </w:r>
      <w:r w:rsidRPr="007C7FF4">
        <w:t xml:space="preserve">under </w:t>
      </w:r>
      <w:r>
        <w:t xml:space="preserve">DHS </w:t>
      </w:r>
      <w:r w:rsidRPr="007C7FF4">
        <w:t>Medicare in</w:t>
      </w:r>
      <w:r>
        <w:t xml:space="preserve"> 2013-14</w:t>
      </w:r>
      <w:r w:rsidRPr="007C7FF4">
        <w:t xml:space="preserve"> (</w:t>
      </w:r>
      <w:r>
        <w:t>figure 10.3</w:t>
      </w:r>
      <w:r w:rsidRPr="00BC5BAB">
        <w:t>)</w:t>
      </w:r>
      <w:r>
        <w:t>.</w:t>
      </w:r>
    </w:p>
    <w:p w:rsidR="00125A3D" w:rsidRDefault="00125A3D" w:rsidP="0067713D">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125A3D" w:rsidTr="0067713D">
        <w:tc>
          <w:tcPr>
            <w:tcW w:w="8771" w:type="dxa"/>
            <w:tcBorders>
              <w:top w:val="single" w:sz="6" w:space="0" w:color="78A22F"/>
              <w:left w:val="nil"/>
              <w:bottom w:val="nil"/>
              <w:right w:val="nil"/>
            </w:tcBorders>
            <w:shd w:val="clear" w:color="auto" w:fill="auto"/>
          </w:tcPr>
          <w:p w:rsidR="00125A3D" w:rsidRPr="00176D3F" w:rsidRDefault="00125A3D" w:rsidP="00125A3D">
            <w:pPr>
              <w:pStyle w:val="FigureTitle"/>
            </w:pPr>
            <w:r w:rsidRPr="00784A05">
              <w:rPr>
                <w:b w:val="0"/>
              </w:rPr>
              <w:t xml:space="preserve">Figure </w:t>
            </w:r>
            <w:r w:rsidR="00DF255F">
              <w:rPr>
                <w:b w:val="0"/>
              </w:rPr>
              <w:t>10.</w:t>
            </w:r>
            <w:r w:rsidR="0078724D">
              <w:rPr>
                <w:b w:val="0"/>
                <w:noProof/>
              </w:rPr>
              <w:t>2</w:t>
            </w:r>
            <w:r>
              <w:tab/>
              <w:t>Availability of GPs (full time workload equivalent)</w:t>
            </w:r>
            <w:r w:rsidRPr="00E23C58">
              <w:rPr>
                <w:rStyle w:val="NoteLabel"/>
                <w:b/>
              </w:rPr>
              <w:t>a</w:t>
            </w:r>
            <w:r>
              <w:rPr>
                <w:rStyle w:val="NoteLabel"/>
                <w:b/>
              </w:rPr>
              <w:t xml:space="preserve">, </w:t>
            </w:r>
            <w:r w:rsidRPr="00AA6CC2">
              <w:rPr>
                <w:rStyle w:val="NoteLabel"/>
                <w:b/>
              </w:rPr>
              <w:t>b</w:t>
            </w:r>
          </w:p>
        </w:tc>
      </w:tr>
      <w:tr w:rsidR="00125A3D" w:rsidTr="0067713D">
        <w:tc>
          <w:tcPr>
            <w:tcW w:w="8771" w:type="dxa"/>
            <w:tcBorders>
              <w:top w:val="nil"/>
              <w:left w:val="nil"/>
              <w:bottom w:val="nil"/>
              <w:right w:val="nil"/>
            </w:tcBorders>
            <w:shd w:val="clear" w:color="auto" w:fill="auto"/>
            <w:tcMar>
              <w:top w:w="28" w:type="dxa"/>
              <w:bottom w:w="28" w:type="dxa"/>
            </w:tcMar>
          </w:tcPr>
          <w:tbl>
            <w:tblPr>
              <w:tblW w:w="8625" w:type="dxa"/>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625"/>
            </w:tblGrid>
            <w:tr w:rsidR="00125A3D" w:rsidTr="00054099">
              <w:tc>
                <w:tcPr>
                  <w:tcW w:w="5000" w:type="pct"/>
                  <w:tcBorders>
                    <w:top w:val="nil"/>
                    <w:bottom w:val="nil"/>
                  </w:tcBorders>
                </w:tcPr>
                <w:p w:rsidR="00125A3D" w:rsidRDefault="00583B5D" w:rsidP="0067713D">
                  <w:pPr>
                    <w:pStyle w:val="Figure"/>
                    <w:spacing w:before="60" w:after="60"/>
                  </w:pPr>
                  <w:r>
                    <w:rPr>
                      <w:noProof/>
                    </w:rPr>
                    <w:drawing>
                      <wp:inline distT="0" distB="0" distL="0" distR="0">
                        <wp:extent cx="5400675" cy="2619375"/>
                        <wp:effectExtent l="0" t="0" r="9525" b="9525"/>
                        <wp:docPr id="4" name="Picture 4" descr="Figure 10.2 Availability of GPs (full time workload equivalent)&#10;&#10;More details can be found within the text surrounding this image.&#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400675" cy="2619375"/>
                                </a:xfrm>
                                <a:prstGeom prst="rect">
                                  <a:avLst/>
                                </a:prstGeom>
                                <a:noFill/>
                                <a:ln>
                                  <a:noFill/>
                                </a:ln>
                              </pic:spPr>
                            </pic:pic>
                          </a:graphicData>
                        </a:graphic>
                      </wp:inline>
                    </w:drawing>
                  </w:r>
                </w:p>
              </w:tc>
            </w:tr>
          </w:tbl>
          <w:p w:rsidR="00125A3D" w:rsidRDefault="00125A3D" w:rsidP="0067713D">
            <w:pPr>
              <w:pStyle w:val="Figure"/>
            </w:pPr>
          </w:p>
        </w:tc>
      </w:tr>
      <w:tr w:rsidR="00125A3D" w:rsidRPr="00176D3F" w:rsidTr="0067713D">
        <w:tc>
          <w:tcPr>
            <w:tcW w:w="8771" w:type="dxa"/>
            <w:tcBorders>
              <w:top w:val="nil"/>
              <w:left w:val="nil"/>
              <w:bottom w:val="nil"/>
              <w:right w:val="nil"/>
            </w:tcBorders>
            <w:shd w:val="clear" w:color="auto" w:fill="auto"/>
          </w:tcPr>
          <w:p w:rsidR="00125A3D" w:rsidRPr="00176D3F" w:rsidRDefault="00125A3D" w:rsidP="00144095">
            <w:pPr>
              <w:pStyle w:val="Note"/>
            </w:pPr>
            <w:r>
              <w:rPr>
                <w:rStyle w:val="NoteLabel"/>
              </w:rPr>
              <w:t>a </w:t>
            </w:r>
            <w:r w:rsidRPr="006414C2">
              <w:t xml:space="preserve">Data include </w:t>
            </w:r>
            <w:r w:rsidRPr="002561B7">
              <w:t xml:space="preserve">vocationally </w:t>
            </w:r>
            <w:r w:rsidRPr="000B2487">
              <w:t xml:space="preserve">registered </w:t>
            </w:r>
            <w:r w:rsidRPr="002561B7">
              <w:t xml:space="preserve">GPs and OMPs billing Medicare who are allocated to a jurisdiction based on the </w:t>
            </w:r>
            <w:r w:rsidRPr="000E556F">
              <w:t>postcode</w:t>
            </w:r>
            <w:r w:rsidRPr="002561B7">
              <w:t xml:space="preserve"> of their</w:t>
            </w:r>
            <w:r>
              <w:t xml:space="preserve"> major practice. </w:t>
            </w:r>
            <w:r w:rsidRPr="00AA6CC2">
              <w:rPr>
                <w:rStyle w:val="NoteLabel"/>
              </w:rPr>
              <w:t>b </w:t>
            </w:r>
            <w:r w:rsidR="00144095" w:rsidRPr="00F333AC">
              <w:t>ERP</w:t>
            </w:r>
            <w:r w:rsidR="00144095">
              <w:t>s</w:t>
            </w:r>
            <w:r w:rsidR="00144095" w:rsidRPr="00F333AC">
              <w:t xml:space="preserve"> </w:t>
            </w:r>
            <w:r w:rsidR="00144095">
              <w:t>u</w:t>
            </w:r>
            <w:r w:rsidR="00144095" w:rsidRPr="00F333AC">
              <w:t xml:space="preserve">sed to derive rates </w:t>
            </w:r>
            <w:r w:rsidR="00AF0B79" w:rsidRPr="00AF0B79">
              <w:t>are revised to the ABS’ final 2011 Census rebased estimates</w:t>
            </w:r>
            <w:r w:rsidR="00144095">
              <w:t xml:space="preserve"> for 31 December</w:t>
            </w:r>
            <w:r w:rsidRPr="00F333AC">
              <w:t xml:space="preserve">. See </w:t>
            </w:r>
            <w:r w:rsidR="00144095">
              <w:t>c</w:t>
            </w:r>
            <w:r w:rsidRPr="00F333AC">
              <w:t>hapter 2 (table 2A.2) for details.</w:t>
            </w:r>
          </w:p>
        </w:tc>
      </w:tr>
      <w:tr w:rsidR="00125A3D" w:rsidRPr="00176D3F" w:rsidTr="0067713D">
        <w:tc>
          <w:tcPr>
            <w:tcW w:w="8771" w:type="dxa"/>
            <w:tcBorders>
              <w:top w:val="nil"/>
              <w:left w:val="nil"/>
              <w:bottom w:val="nil"/>
              <w:right w:val="nil"/>
            </w:tcBorders>
            <w:shd w:val="clear" w:color="auto" w:fill="auto"/>
          </w:tcPr>
          <w:p w:rsidR="00125A3D" w:rsidRPr="00176D3F" w:rsidRDefault="00125A3D" w:rsidP="0067713D">
            <w:pPr>
              <w:pStyle w:val="Source"/>
            </w:pPr>
            <w:r w:rsidRPr="006414C2">
              <w:rPr>
                <w:i/>
              </w:rPr>
              <w:t>Source</w:t>
            </w:r>
            <w:r>
              <w:t>: Department of Health</w:t>
            </w:r>
            <w:r w:rsidRPr="006414C2">
              <w:t xml:space="preserve"> (unpublished)</w:t>
            </w:r>
            <w:r w:rsidRPr="007B2E2E">
              <w:t xml:space="preserve"> MBS </w:t>
            </w:r>
            <w:r>
              <w:t>Statistics</w:t>
            </w:r>
            <w:r w:rsidRPr="006414C2">
              <w:t xml:space="preserve">; </w:t>
            </w:r>
            <w:r w:rsidRPr="00CE2293">
              <w:t>table </w:t>
            </w:r>
            <w:r w:rsidR="00C9076B">
              <w:t>10A.</w:t>
            </w:r>
            <w:r>
              <w:t>9</w:t>
            </w:r>
            <w:r w:rsidRPr="00CE2293">
              <w:t>.</w:t>
            </w:r>
          </w:p>
        </w:tc>
      </w:tr>
      <w:tr w:rsidR="00125A3D" w:rsidTr="0067713D">
        <w:tc>
          <w:tcPr>
            <w:tcW w:w="8771" w:type="dxa"/>
            <w:tcBorders>
              <w:top w:val="nil"/>
              <w:left w:val="nil"/>
              <w:bottom w:val="single" w:sz="6" w:space="0" w:color="78A22F"/>
              <w:right w:val="nil"/>
            </w:tcBorders>
            <w:shd w:val="clear" w:color="auto" w:fill="auto"/>
          </w:tcPr>
          <w:p w:rsidR="00125A3D" w:rsidRDefault="00125A3D" w:rsidP="0067713D">
            <w:pPr>
              <w:pStyle w:val="Figurespace"/>
            </w:pPr>
          </w:p>
        </w:tc>
      </w:tr>
      <w:tr w:rsidR="00125A3D" w:rsidRPr="000863A5" w:rsidTr="0067713D">
        <w:tc>
          <w:tcPr>
            <w:tcW w:w="8771" w:type="dxa"/>
            <w:tcBorders>
              <w:top w:val="single" w:sz="6" w:space="0" w:color="78A22F"/>
              <w:left w:val="nil"/>
              <w:bottom w:val="nil"/>
              <w:right w:val="nil"/>
            </w:tcBorders>
          </w:tcPr>
          <w:p w:rsidR="00125A3D" w:rsidRPr="00626D32" w:rsidRDefault="00125A3D" w:rsidP="0067713D">
            <w:pPr>
              <w:pStyle w:val="BoxSpaceBelow"/>
            </w:pPr>
          </w:p>
        </w:tc>
      </w:tr>
    </w:tbl>
    <w:p w:rsidR="00125A3D" w:rsidRDefault="00125A3D" w:rsidP="0067713D">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125A3D" w:rsidTr="0067713D">
        <w:tc>
          <w:tcPr>
            <w:tcW w:w="8771" w:type="dxa"/>
            <w:tcBorders>
              <w:top w:val="single" w:sz="6" w:space="0" w:color="78A22F"/>
              <w:left w:val="nil"/>
              <w:bottom w:val="nil"/>
              <w:right w:val="nil"/>
            </w:tcBorders>
            <w:shd w:val="clear" w:color="auto" w:fill="auto"/>
          </w:tcPr>
          <w:p w:rsidR="00125A3D" w:rsidRPr="00176D3F" w:rsidRDefault="00125A3D" w:rsidP="00125A3D">
            <w:pPr>
              <w:pStyle w:val="FigureTitle"/>
            </w:pPr>
            <w:r w:rsidRPr="00784A05">
              <w:rPr>
                <w:b w:val="0"/>
              </w:rPr>
              <w:t xml:space="preserve">Figure </w:t>
            </w:r>
            <w:r w:rsidR="00DF255F">
              <w:rPr>
                <w:b w:val="0"/>
              </w:rPr>
              <w:t>10.</w:t>
            </w:r>
            <w:r w:rsidR="0078724D">
              <w:rPr>
                <w:b w:val="0"/>
                <w:noProof/>
              </w:rPr>
              <w:t>3</w:t>
            </w:r>
            <w:r>
              <w:tab/>
            </w:r>
            <w:r w:rsidRPr="003A7BFE">
              <w:t>GP type service use</w:t>
            </w:r>
            <w:r w:rsidRPr="003A7BFE">
              <w:rPr>
                <w:rStyle w:val="NoteLabel"/>
                <w:b/>
              </w:rPr>
              <w:t>a, b</w:t>
            </w:r>
          </w:p>
        </w:tc>
      </w:tr>
      <w:tr w:rsidR="00125A3D" w:rsidTr="0067713D">
        <w:tc>
          <w:tcPr>
            <w:tcW w:w="8771" w:type="dxa"/>
            <w:tcBorders>
              <w:top w:val="nil"/>
              <w:left w:val="nil"/>
              <w:bottom w:val="nil"/>
              <w:right w:val="nil"/>
            </w:tcBorders>
            <w:shd w:val="clear" w:color="auto" w:fill="auto"/>
            <w:tcMar>
              <w:top w:w="28" w:type="dxa"/>
              <w:bottom w:w="28" w:type="dxa"/>
            </w:tcMar>
          </w:tcPr>
          <w:tbl>
            <w:tblPr>
              <w:tblW w:w="8625" w:type="dxa"/>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625"/>
            </w:tblGrid>
            <w:tr w:rsidR="00125A3D" w:rsidTr="000B3500">
              <w:tc>
                <w:tcPr>
                  <w:tcW w:w="5000" w:type="pct"/>
                  <w:tcBorders>
                    <w:top w:val="nil"/>
                    <w:bottom w:val="nil"/>
                  </w:tcBorders>
                </w:tcPr>
                <w:p w:rsidR="00125A3D" w:rsidRDefault="00583B5D" w:rsidP="0067713D">
                  <w:pPr>
                    <w:pStyle w:val="Figure"/>
                    <w:spacing w:before="60" w:after="60"/>
                  </w:pPr>
                  <w:r>
                    <w:rPr>
                      <w:noProof/>
                    </w:rPr>
                    <w:drawing>
                      <wp:inline distT="0" distB="0" distL="0" distR="0">
                        <wp:extent cx="5400675" cy="2695575"/>
                        <wp:effectExtent l="0" t="0" r="9525" b="9525"/>
                        <wp:docPr id="5" name="Picture 5" descr="Figure 10.3 GP type service use&#10;&#10;More details can be found within the text surrounding this image.&#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400675" cy="2695575"/>
                                </a:xfrm>
                                <a:prstGeom prst="rect">
                                  <a:avLst/>
                                </a:prstGeom>
                                <a:noFill/>
                                <a:ln>
                                  <a:noFill/>
                                </a:ln>
                              </pic:spPr>
                            </pic:pic>
                          </a:graphicData>
                        </a:graphic>
                      </wp:inline>
                    </w:drawing>
                  </w:r>
                </w:p>
              </w:tc>
            </w:tr>
          </w:tbl>
          <w:p w:rsidR="00125A3D" w:rsidRDefault="00125A3D" w:rsidP="0067713D">
            <w:pPr>
              <w:pStyle w:val="Figure"/>
            </w:pPr>
          </w:p>
        </w:tc>
      </w:tr>
      <w:tr w:rsidR="00125A3D" w:rsidRPr="00176D3F" w:rsidTr="0067713D">
        <w:tc>
          <w:tcPr>
            <w:tcW w:w="8771" w:type="dxa"/>
            <w:tcBorders>
              <w:top w:val="nil"/>
              <w:left w:val="nil"/>
              <w:bottom w:val="nil"/>
              <w:right w:val="nil"/>
            </w:tcBorders>
            <w:shd w:val="clear" w:color="auto" w:fill="auto"/>
          </w:tcPr>
          <w:p w:rsidR="00125A3D" w:rsidRPr="00176D3F" w:rsidRDefault="00125A3D" w:rsidP="004159A9">
            <w:pPr>
              <w:pStyle w:val="Note"/>
            </w:pPr>
            <w:r>
              <w:rPr>
                <w:rStyle w:val="NoteLabel"/>
              </w:rPr>
              <w:t>a</w:t>
            </w:r>
            <w:r>
              <w:t xml:space="preserve"> </w:t>
            </w:r>
            <w:r w:rsidR="00144095">
              <w:t xml:space="preserve">Rates are </w:t>
            </w:r>
            <w:r w:rsidRPr="00FD3F2E">
              <w:t xml:space="preserve">age standardised to the Australian population at 30 June </w:t>
            </w:r>
            <w:r w:rsidRPr="00C60B1C">
              <w:t xml:space="preserve">2001. </w:t>
            </w:r>
            <w:r w:rsidR="00621C25">
              <w:t>Rates from 2011-12 are derived using</w:t>
            </w:r>
            <w:r w:rsidR="00621C25" w:rsidRPr="00621C25">
              <w:t xml:space="preserve"> ABS’ 2011 Census based </w:t>
            </w:r>
            <w:r w:rsidR="00621C25">
              <w:t>ERPs</w:t>
            </w:r>
            <w:r w:rsidR="00621C25" w:rsidRPr="00621C25">
              <w:t xml:space="preserve">. </w:t>
            </w:r>
            <w:r w:rsidR="00621C25">
              <w:t xml:space="preserve">Rates for previous years use ABS 2006 Census based ERPs. </w:t>
            </w:r>
            <w:r w:rsidR="00621C25" w:rsidRPr="00621C25">
              <w:t>Rates derived using ERPs based on different Censuses are not comparable. See chapter 2 (table</w:t>
            </w:r>
            <w:r w:rsidR="004159A9">
              <w:t> </w:t>
            </w:r>
            <w:r w:rsidR="00621C25" w:rsidRPr="00621C25">
              <w:t>2A.2) for details</w:t>
            </w:r>
            <w:r w:rsidR="00621C25">
              <w:t>.</w:t>
            </w:r>
            <w:r w:rsidR="00144095">
              <w:t xml:space="preserve"> </w:t>
            </w:r>
            <w:r w:rsidRPr="00FD3F2E">
              <w:rPr>
                <w:rStyle w:val="NoteLabel"/>
              </w:rPr>
              <w:t>b </w:t>
            </w:r>
            <w:r w:rsidRPr="00FD3F2E">
              <w:t>Includes non</w:t>
            </w:r>
            <w:r w:rsidRPr="00FD3F2E">
              <w:noBreakHyphen/>
              <w:t>referred</w:t>
            </w:r>
            <w:r w:rsidRPr="003575BF">
              <w:t xml:space="preserve"> attendances by vocationally </w:t>
            </w:r>
            <w:r w:rsidRPr="000B2487">
              <w:t xml:space="preserve">registered </w:t>
            </w:r>
            <w:r w:rsidRPr="003575BF">
              <w:t>GPs and OMPs, and practice nurses.</w:t>
            </w:r>
            <w:r w:rsidR="000B3500">
              <w:t xml:space="preserve"> From 2013-14, includes </w:t>
            </w:r>
            <w:r w:rsidR="000B3500" w:rsidRPr="00FD3F2E">
              <w:t>non</w:t>
            </w:r>
            <w:r w:rsidR="000B3500" w:rsidRPr="00FD3F2E">
              <w:noBreakHyphen/>
              <w:t>referred</w:t>
            </w:r>
            <w:r w:rsidR="000B3500" w:rsidRPr="003575BF">
              <w:t xml:space="preserve"> attendances by </w:t>
            </w:r>
            <w:r w:rsidR="000B3500">
              <w:t>nurse practi</w:t>
            </w:r>
            <w:r w:rsidR="004159A9">
              <w:t>t</w:t>
            </w:r>
            <w:r w:rsidR="000B3500">
              <w:t>ioners.</w:t>
            </w:r>
          </w:p>
        </w:tc>
      </w:tr>
      <w:tr w:rsidR="00125A3D" w:rsidRPr="00176D3F" w:rsidTr="0067713D">
        <w:tc>
          <w:tcPr>
            <w:tcW w:w="8771" w:type="dxa"/>
            <w:tcBorders>
              <w:top w:val="nil"/>
              <w:left w:val="nil"/>
              <w:bottom w:val="nil"/>
              <w:right w:val="nil"/>
            </w:tcBorders>
            <w:shd w:val="clear" w:color="auto" w:fill="auto"/>
          </w:tcPr>
          <w:p w:rsidR="00125A3D" w:rsidRPr="00176D3F" w:rsidRDefault="00125A3D" w:rsidP="0067713D">
            <w:pPr>
              <w:pStyle w:val="Source"/>
            </w:pPr>
            <w:r w:rsidRPr="003575BF">
              <w:rPr>
                <w:i/>
              </w:rPr>
              <w:t>Source</w:t>
            </w:r>
            <w:r w:rsidRPr="003575BF">
              <w:t xml:space="preserve">: </w:t>
            </w:r>
            <w:r>
              <w:t>Department of Health</w:t>
            </w:r>
            <w:r w:rsidRPr="003575BF">
              <w:t xml:space="preserve"> (unpublished) MBS Statistics; DVA (unpublished) </w:t>
            </w:r>
            <w:r w:rsidR="00CF6AA1" w:rsidRPr="00CF6AA1">
              <w:t>DVA data collection</w:t>
            </w:r>
            <w:r w:rsidR="00CF6AA1">
              <w:t xml:space="preserve">; </w:t>
            </w:r>
            <w:r w:rsidRPr="003575BF">
              <w:t xml:space="preserve">ABS (unpublished) </w:t>
            </w:r>
            <w:r w:rsidRPr="003575BF">
              <w:rPr>
                <w:i/>
              </w:rPr>
              <w:t>Australian demographic statistics</w:t>
            </w:r>
            <w:r w:rsidRPr="003575BF">
              <w:t>, Cat. no. 3101.0; table </w:t>
            </w:r>
            <w:r w:rsidR="00C9076B">
              <w:t>10A.</w:t>
            </w:r>
            <w:r>
              <w:t>10</w:t>
            </w:r>
            <w:r w:rsidRPr="003575BF">
              <w:t>.</w:t>
            </w:r>
          </w:p>
        </w:tc>
      </w:tr>
      <w:tr w:rsidR="00125A3D" w:rsidTr="0067713D">
        <w:tc>
          <w:tcPr>
            <w:tcW w:w="8771" w:type="dxa"/>
            <w:tcBorders>
              <w:top w:val="nil"/>
              <w:left w:val="nil"/>
              <w:bottom w:val="single" w:sz="6" w:space="0" w:color="78A22F"/>
              <w:right w:val="nil"/>
            </w:tcBorders>
            <w:shd w:val="clear" w:color="auto" w:fill="auto"/>
          </w:tcPr>
          <w:p w:rsidR="00125A3D" w:rsidRDefault="00125A3D" w:rsidP="0067713D">
            <w:pPr>
              <w:pStyle w:val="Figurespace"/>
            </w:pPr>
          </w:p>
        </w:tc>
      </w:tr>
      <w:tr w:rsidR="00125A3D" w:rsidRPr="000863A5" w:rsidTr="0067713D">
        <w:tc>
          <w:tcPr>
            <w:tcW w:w="8771" w:type="dxa"/>
            <w:tcBorders>
              <w:top w:val="single" w:sz="6" w:space="0" w:color="78A22F"/>
              <w:left w:val="nil"/>
              <w:bottom w:val="nil"/>
              <w:right w:val="nil"/>
            </w:tcBorders>
          </w:tcPr>
          <w:p w:rsidR="00125A3D" w:rsidRPr="00626D32" w:rsidRDefault="00125A3D" w:rsidP="0067713D">
            <w:pPr>
              <w:pStyle w:val="BoxSpaceBelow"/>
            </w:pPr>
          </w:p>
        </w:tc>
      </w:tr>
    </w:tbl>
    <w:p w:rsidR="006414C2" w:rsidRDefault="006414C2" w:rsidP="006414C2">
      <w:pPr>
        <w:pStyle w:val="Heading4"/>
      </w:pPr>
      <w:r>
        <w:t>Pharmaceutical Benefits Scheme and Repatriation Pharmaceutical Benefits Scheme</w:t>
      </w:r>
    </w:p>
    <w:p w:rsidR="00411DDB" w:rsidRDefault="00411DDB" w:rsidP="003F7D2F">
      <w:pPr>
        <w:pStyle w:val="BodyText"/>
      </w:pPr>
      <w:r>
        <w:t>A</w:t>
      </w:r>
      <w:r w:rsidR="003F7D2F" w:rsidRPr="000B1FC8">
        <w:t xml:space="preserve">round </w:t>
      </w:r>
      <w:r w:rsidR="00E16C67">
        <w:t>210</w:t>
      </w:r>
      <w:r w:rsidR="00810940">
        <w:t xml:space="preserve"> </w:t>
      </w:r>
      <w:r w:rsidR="003F7D2F" w:rsidRPr="000B1FC8">
        <w:t>million services</w:t>
      </w:r>
      <w:r w:rsidR="000B1FC8">
        <w:t xml:space="preserve"> </w:t>
      </w:r>
      <w:r>
        <w:t xml:space="preserve">— </w:t>
      </w:r>
      <w:r w:rsidR="00E16C67">
        <w:t>89</w:t>
      </w:r>
      <w:r w:rsidR="00810940">
        <w:t>.</w:t>
      </w:r>
      <w:r w:rsidR="00E16C67">
        <w:t>3</w:t>
      </w:r>
      <w:r w:rsidR="00810940">
        <w:t xml:space="preserve"> per </w:t>
      </w:r>
      <w:r w:rsidRPr="004F4413">
        <w:t xml:space="preserve">cent </w:t>
      </w:r>
      <w:r>
        <w:t xml:space="preserve">of </w:t>
      </w:r>
      <w:r w:rsidR="00830612">
        <w:t>which were</w:t>
      </w:r>
      <w:r w:rsidRPr="00FC47A9">
        <w:t xml:space="preserve"> concessional</w:t>
      </w:r>
      <w:r w:rsidRPr="000B1FC8">
        <w:t xml:space="preserve"> </w:t>
      </w:r>
      <w:r>
        <w:t xml:space="preserve">— were </w:t>
      </w:r>
      <w:r w:rsidR="003F7D2F" w:rsidRPr="000B1FC8">
        <w:t>provided under the PBS</w:t>
      </w:r>
      <w:r w:rsidRPr="00411DDB">
        <w:t xml:space="preserve"> </w:t>
      </w:r>
      <w:r>
        <w:t>i</w:t>
      </w:r>
      <w:r w:rsidRPr="004F4413">
        <w:t>n</w:t>
      </w:r>
      <w:r w:rsidR="00810940">
        <w:t xml:space="preserve"> 201</w:t>
      </w:r>
      <w:r w:rsidR="00E16C67">
        <w:t>3</w:t>
      </w:r>
      <w:r w:rsidR="00810940">
        <w:noBreakHyphen/>
      </w:r>
      <w:r w:rsidR="00810940" w:rsidRPr="00810940">
        <w:t>1</w:t>
      </w:r>
      <w:r w:rsidR="00E16C67">
        <w:t>4</w:t>
      </w:r>
      <w:r w:rsidRPr="004F4413">
        <w:t xml:space="preserve"> </w:t>
      </w:r>
      <w:r w:rsidRPr="000B1FC8">
        <w:t>(</w:t>
      </w:r>
      <w:r w:rsidR="00897589">
        <w:t>table 10.</w:t>
      </w:r>
      <w:r w:rsidR="009821C3">
        <w:t>3</w:t>
      </w:r>
      <w:r w:rsidRPr="000B1FC8">
        <w:t>)</w:t>
      </w:r>
      <w:r>
        <w:t>. This amounted to</w:t>
      </w:r>
      <w:r w:rsidR="00810940">
        <w:t xml:space="preserve"> 9.</w:t>
      </w:r>
      <w:r w:rsidR="00E16C67">
        <w:t>0</w:t>
      </w:r>
      <w:r>
        <w:t> </w:t>
      </w:r>
      <w:r w:rsidR="009439F6">
        <w:t xml:space="preserve">filled </w:t>
      </w:r>
      <w:r w:rsidRPr="004F4413">
        <w:t>prescriptions per person</w:t>
      </w:r>
      <w:r>
        <w:t>. A further</w:t>
      </w:r>
      <w:r w:rsidR="004D55B6">
        <w:t xml:space="preserve"> 12</w:t>
      </w:r>
      <w:r>
        <w:t xml:space="preserve"> million services were provided under the RPBS</w:t>
      </w:r>
      <w:r w:rsidR="00A9780E">
        <w:t xml:space="preserve"> in the same period</w:t>
      </w:r>
      <w:r w:rsidRPr="000B1FC8">
        <w:t>.</w:t>
      </w:r>
    </w:p>
    <w:p w:rsidR="003019F8" w:rsidRDefault="003019F8" w:rsidP="003019F8">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909"/>
      </w:tblGrid>
      <w:tr w:rsidR="003019F8" w:rsidTr="003019F8">
        <w:tc>
          <w:tcPr>
            <w:tcW w:w="8771" w:type="dxa"/>
            <w:tcBorders>
              <w:top w:val="single" w:sz="6" w:space="0" w:color="78A22F" w:themeColor="accent1"/>
              <w:left w:val="nil"/>
              <w:bottom w:val="nil"/>
              <w:right w:val="nil"/>
            </w:tcBorders>
            <w:shd w:val="clear" w:color="auto" w:fill="auto"/>
          </w:tcPr>
          <w:p w:rsidR="003019F8" w:rsidRPr="00784A05" w:rsidRDefault="003019F8" w:rsidP="00020E0E">
            <w:pPr>
              <w:pStyle w:val="TableTitle"/>
            </w:pPr>
            <w:r>
              <w:rPr>
                <w:b w:val="0"/>
              </w:rPr>
              <w:t>Table 10.</w:t>
            </w:r>
            <w:r w:rsidR="0078724D">
              <w:rPr>
                <w:b w:val="0"/>
                <w:noProof/>
              </w:rPr>
              <w:t>3</w:t>
            </w:r>
            <w:r>
              <w:tab/>
            </w:r>
            <w:r w:rsidRPr="005D5651">
              <w:rPr>
                <w:kern w:val="36"/>
              </w:rPr>
              <w:t xml:space="preserve">PBS </w:t>
            </w:r>
            <w:r>
              <w:rPr>
                <w:kern w:val="36"/>
              </w:rPr>
              <w:t>and</w:t>
            </w:r>
            <w:r w:rsidRPr="005D5651">
              <w:rPr>
                <w:kern w:val="36"/>
              </w:rPr>
              <w:t xml:space="preserve"> RPBS </w:t>
            </w:r>
            <w:r w:rsidRPr="008D6F5E">
              <w:rPr>
                <w:kern w:val="36"/>
              </w:rPr>
              <w:t xml:space="preserve">services, </w:t>
            </w:r>
            <w:r w:rsidR="00020E0E">
              <w:rPr>
                <w:kern w:val="36"/>
              </w:rPr>
              <w:t>2013</w:t>
            </w:r>
            <w:r w:rsidRPr="00810940">
              <w:rPr>
                <w:kern w:val="36"/>
              </w:rPr>
              <w:noBreakHyphen/>
              <w:t>1</w:t>
            </w:r>
            <w:r w:rsidR="00020E0E">
              <w:rPr>
                <w:kern w:val="36"/>
              </w:rPr>
              <w:t>4</w:t>
            </w:r>
            <w:r w:rsidRPr="004F4413">
              <w:rPr>
                <w:kern w:val="36"/>
              </w:rPr>
              <w:t xml:space="preserve"> (millio</w:t>
            </w:r>
            <w:r>
              <w:rPr>
                <w:kern w:val="36"/>
              </w:rPr>
              <w:t>n services)</w:t>
            </w:r>
          </w:p>
        </w:tc>
      </w:tr>
      <w:tr w:rsidR="003019F8" w:rsidTr="003019F8">
        <w:trPr>
          <w:cantSplit/>
        </w:trPr>
        <w:tc>
          <w:tcPr>
            <w:tcW w:w="8771" w:type="dxa"/>
            <w:tcBorders>
              <w:top w:val="nil"/>
              <w:left w:val="nil"/>
              <w:bottom w:val="nil"/>
              <w:right w:val="nil"/>
            </w:tcBorders>
            <w:shd w:val="clear" w:color="auto" w:fill="auto"/>
          </w:tcPr>
          <w:tbl>
            <w:tblPr>
              <w:tblW w:w="8625" w:type="dxa"/>
              <w:tblCellMar>
                <w:left w:w="0" w:type="dxa"/>
                <w:right w:w="0" w:type="dxa"/>
              </w:tblCellMar>
              <w:tblLook w:val="0000" w:firstRow="0" w:lastRow="0" w:firstColumn="0" w:lastColumn="0" w:noHBand="0" w:noVBand="0"/>
            </w:tblPr>
            <w:tblGrid>
              <w:gridCol w:w="1753"/>
              <w:gridCol w:w="760"/>
              <w:gridCol w:w="762"/>
              <w:gridCol w:w="762"/>
              <w:gridCol w:w="762"/>
              <w:gridCol w:w="762"/>
              <w:gridCol w:w="763"/>
              <w:gridCol w:w="770"/>
              <w:gridCol w:w="757"/>
              <w:gridCol w:w="774"/>
            </w:tblGrid>
            <w:tr w:rsidR="00415316" w:rsidRPr="007A0995" w:rsidTr="004E551A">
              <w:tc>
                <w:tcPr>
                  <w:tcW w:w="1753" w:type="dxa"/>
                  <w:tcBorders>
                    <w:top w:val="single" w:sz="6" w:space="0" w:color="BFBFBF"/>
                    <w:bottom w:val="single" w:sz="6" w:space="0" w:color="BFBFBF"/>
                  </w:tcBorders>
                  <w:shd w:val="clear" w:color="auto" w:fill="auto"/>
                  <w:vAlign w:val="bottom"/>
                </w:tcPr>
                <w:p w:rsidR="003019F8" w:rsidRPr="004E551A" w:rsidRDefault="003019F8" w:rsidP="004E551A">
                  <w:pPr>
                    <w:pStyle w:val="TableColumnHeading"/>
                    <w:spacing w:before="0" w:afterLines="40" w:after="96"/>
                    <w:jc w:val="left"/>
                    <w:rPr>
                      <w:rFonts w:asciiTheme="minorHAnsi" w:hAnsiTheme="minorHAnsi" w:cstheme="minorHAnsi"/>
                      <w:szCs w:val="18"/>
                    </w:rPr>
                  </w:pPr>
                </w:p>
              </w:tc>
              <w:tc>
                <w:tcPr>
                  <w:tcW w:w="760" w:type="dxa"/>
                  <w:tcBorders>
                    <w:top w:val="single" w:sz="6" w:space="0" w:color="BFBFBF"/>
                    <w:bottom w:val="single" w:sz="6" w:space="0" w:color="BFBFBF"/>
                  </w:tcBorders>
                  <w:shd w:val="clear" w:color="auto" w:fill="auto"/>
                  <w:vAlign w:val="bottom"/>
                </w:tcPr>
                <w:p w:rsidR="003019F8" w:rsidRPr="004E551A" w:rsidRDefault="003019F8" w:rsidP="004E551A">
                  <w:pPr>
                    <w:pStyle w:val="TableColumnHeading"/>
                    <w:spacing w:before="0" w:afterLines="40" w:after="96"/>
                    <w:rPr>
                      <w:rFonts w:asciiTheme="minorHAnsi" w:hAnsiTheme="minorHAnsi" w:cstheme="minorHAnsi"/>
                      <w:szCs w:val="18"/>
                    </w:rPr>
                  </w:pPr>
                  <w:r w:rsidRPr="004E551A">
                    <w:rPr>
                      <w:rFonts w:asciiTheme="minorHAnsi" w:hAnsiTheme="minorHAnsi" w:cstheme="minorHAnsi"/>
                      <w:szCs w:val="18"/>
                    </w:rPr>
                    <w:t>NSW</w:t>
                  </w:r>
                </w:p>
              </w:tc>
              <w:tc>
                <w:tcPr>
                  <w:tcW w:w="762" w:type="dxa"/>
                  <w:tcBorders>
                    <w:top w:val="single" w:sz="6" w:space="0" w:color="BFBFBF"/>
                    <w:bottom w:val="single" w:sz="6" w:space="0" w:color="BFBFBF"/>
                  </w:tcBorders>
                  <w:shd w:val="clear" w:color="auto" w:fill="auto"/>
                  <w:vAlign w:val="bottom"/>
                </w:tcPr>
                <w:p w:rsidR="003019F8" w:rsidRPr="004E551A" w:rsidRDefault="003019F8" w:rsidP="004E551A">
                  <w:pPr>
                    <w:pStyle w:val="TableColumnHeading"/>
                    <w:spacing w:before="0" w:afterLines="40" w:after="96"/>
                    <w:rPr>
                      <w:rFonts w:asciiTheme="minorHAnsi" w:hAnsiTheme="minorHAnsi" w:cstheme="minorHAnsi"/>
                      <w:szCs w:val="18"/>
                    </w:rPr>
                  </w:pPr>
                  <w:r w:rsidRPr="004E551A">
                    <w:rPr>
                      <w:rFonts w:asciiTheme="minorHAnsi" w:hAnsiTheme="minorHAnsi" w:cstheme="minorHAnsi"/>
                      <w:szCs w:val="18"/>
                    </w:rPr>
                    <w:t>Vic</w:t>
                  </w:r>
                </w:p>
              </w:tc>
              <w:tc>
                <w:tcPr>
                  <w:tcW w:w="762" w:type="dxa"/>
                  <w:tcBorders>
                    <w:top w:val="single" w:sz="6" w:space="0" w:color="BFBFBF"/>
                    <w:bottom w:val="single" w:sz="6" w:space="0" w:color="BFBFBF"/>
                  </w:tcBorders>
                  <w:shd w:val="clear" w:color="auto" w:fill="auto"/>
                  <w:vAlign w:val="bottom"/>
                </w:tcPr>
                <w:p w:rsidR="003019F8" w:rsidRPr="004E551A" w:rsidRDefault="003019F8" w:rsidP="004E551A">
                  <w:pPr>
                    <w:pStyle w:val="TableColumnHeading"/>
                    <w:spacing w:before="0" w:afterLines="40" w:after="96"/>
                    <w:rPr>
                      <w:rFonts w:asciiTheme="minorHAnsi" w:hAnsiTheme="minorHAnsi" w:cstheme="minorHAnsi"/>
                      <w:szCs w:val="18"/>
                    </w:rPr>
                  </w:pPr>
                  <w:r w:rsidRPr="004E551A">
                    <w:rPr>
                      <w:rFonts w:asciiTheme="minorHAnsi" w:hAnsiTheme="minorHAnsi" w:cstheme="minorHAnsi"/>
                      <w:szCs w:val="18"/>
                    </w:rPr>
                    <w:t>Qld</w:t>
                  </w:r>
                </w:p>
              </w:tc>
              <w:tc>
                <w:tcPr>
                  <w:tcW w:w="762" w:type="dxa"/>
                  <w:tcBorders>
                    <w:top w:val="single" w:sz="6" w:space="0" w:color="BFBFBF"/>
                    <w:bottom w:val="single" w:sz="6" w:space="0" w:color="BFBFBF"/>
                  </w:tcBorders>
                  <w:shd w:val="clear" w:color="auto" w:fill="auto"/>
                  <w:vAlign w:val="bottom"/>
                </w:tcPr>
                <w:p w:rsidR="003019F8" w:rsidRPr="004E551A" w:rsidRDefault="003019F8" w:rsidP="004E551A">
                  <w:pPr>
                    <w:pStyle w:val="TableColumnHeading"/>
                    <w:spacing w:before="0" w:afterLines="40" w:after="96"/>
                    <w:rPr>
                      <w:rFonts w:asciiTheme="minorHAnsi" w:hAnsiTheme="minorHAnsi" w:cstheme="minorHAnsi"/>
                      <w:szCs w:val="18"/>
                    </w:rPr>
                  </w:pPr>
                  <w:r w:rsidRPr="004E551A">
                    <w:rPr>
                      <w:rFonts w:asciiTheme="minorHAnsi" w:hAnsiTheme="minorHAnsi" w:cstheme="minorHAnsi"/>
                      <w:szCs w:val="18"/>
                    </w:rPr>
                    <w:t>WA</w:t>
                  </w:r>
                </w:p>
              </w:tc>
              <w:tc>
                <w:tcPr>
                  <w:tcW w:w="762" w:type="dxa"/>
                  <w:tcBorders>
                    <w:top w:val="single" w:sz="6" w:space="0" w:color="BFBFBF"/>
                    <w:bottom w:val="single" w:sz="6" w:space="0" w:color="BFBFBF"/>
                  </w:tcBorders>
                  <w:shd w:val="clear" w:color="auto" w:fill="auto"/>
                  <w:vAlign w:val="bottom"/>
                </w:tcPr>
                <w:p w:rsidR="003019F8" w:rsidRPr="004E551A" w:rsidRDefault="003019F8" w:rsidP="004E551A">
                  <w:pPr>
                    <w:pStyle w:val="TableColumnHeading"/>
                    <w:spacing w:before="0" w:afterLines="40" w:after="96"/>
                    <w:rPr>
                      <w:rFonts w:asciiTheme="minorHAnsi" w:hAnsiTheme="minorHAnsi" w:cstheme="minorHAnsi"/>
                      <w:szCs w:val="18"/>
                    </w:rPr>
                  </w:pPr>
                  <w:r w:rsidRPr="004E551A">
                    <w:rPr>
                      <w:rFonts w:asciiTheme="minorHAnsi" w:hAnsiTheme="minorHAnsi" w:cstheme="minorHAnsi"/>
                      <w:szCs w:val="18"/>
                    </w:rPr>
                    <w:t>SA</w:t>
                  </w:r>
                </w:p>
              </w:tc>
              <w:tc>
                <w:tcPr>
                  <w:tcW w:w="763" w:type="dxa"/>
                  <w:tcBorders>
                    <w:top w:val="single" w:sz="6" w:space="0" w:color="BFBFBF"/>
                    <w:bottom w:val="single" w:sz="6" w:space="0" w:color="BFBFBF"/>
                  </w:tcBorders>
                  <w:shd w:val="clear" w:color="auto" w:fill="auto"/>
                  <w:vAlign w:val="bottom"/>
                </w:tcPr>
                <w:p w:rsidR="003019F8" w:rsidRPr="004E551A" w:rsidRDefault="003019F8" w:rsidP="004E551A">
                  <w:pPr>
                    <w:pStyle w:val="TableColumnHeading"/>
                    <w:spacing w:before="0" w:afterLines="40" w:after="96"/>
                    <w:rPr>
                      <w:rFonts w:asciiTheme="minorHAnsi" w:hAnsiTheme="minorHAnsi" w:cstheme="minorHAnsi"/>
                      <w:szCs w:val="18"/>
                    </w:rPr>
                  </w:pPr>
                  <w:r w:rsidRPr="004E551A">
                    <w:rPr>
                      <w:rFonts w:asciiTheme="minorHAnsi" w:hAnsiTheme="minorHAnsi" w:cstheme="minorHAnsi"/>
                      <w:szCs w:val="18"/>
                    </w:rPr>
                    <w:t>Tas</w:t>
                  </w:r>
                </w:p>
              </w:tc>
              <w:tc>
                <w:tcPr>
                  <w:tcW w:w="770" w:type="dxa"/>
                  <w:tcBorders>
                    <w:top w:val="single" w:sz="6" w:space="0" w:color="BFBFBF"/>
                    <w:bottom w:val="single" w:sz="6" w:space="0" w:color="BFBFBF"/>
                  </w:tcBorders>
                  <w:shd w:val="clear" w:color="auto" w:fill="auto"/>
                  <w:vAlign w:val="bottom"/>
                </w:tcPr>
                <w:p w:rsidR="003019F8" w:rsidRPr="004E551A" w:rsidRDefault="003019F8" w:rsidP="004E551A">
                  <w:pPr>
                    <w:pStyle w:val="TableColumnHeading"/>
                    <w:spacing w:before="0" w:afterLines="40" w:after="96"/>
                    <w:rPr>
                      <w:rFonts w:asciiTheme="minorHAnsi" w:hAnsiTheme="minorHAnsi" w:cstheme="minorHAnsi"/>
                      <w:szCs w:val="18"/>
                    </w:rPr>
                  </w:pPr>
                  <w:r w:rsidRPr="004E551A">
                    <w:rPr>
                      <w:rFonts w:asciiTheme="minorHAnsi" w:hAnsiTheme="minorHAnsi" w:cstheme="minorHAnsi"/>
                      <w:szCs w:val="18"/>
                    </w:rPr>
                    <w:t>ACT</w:t>
                  </w:r>
                </w:p>
              </w:tc>
              <w:tc>
                <w:tcPr>
                  <w:tcW w:w="757" w:type="dxa"/>
                  <w:tcBorders>
                    <w:top w:val="single" w:sz="6" w:space="0" w:color="BFBFBF"/>
                    <w:bottom w:val="single" w:sz="6" w:space="0" w:color="BFBFBF"/>
                  </w:tcBorders>
                  <w:shd w:val="clear" w:color="auto" w:fill="auto"/>
                  <w:vAlign w:val="bottom"/>
                </w:tcPr>
                <w:p w:rsidR="003019F8" w:rsidRPr="004E551A" w:rsidRDefault="003019F8" w:rsidP="004E551A">
                  <w:pPr>
                    <w:pStyle w:val="TableColumnHeading"/>
                    <w:spacing w:before="0" w:afterLines="40" w:after="96"/>
                    <w:rPr>
                      <w:rFonts w:asciiTheme="minorHAnsi" w:hAnsiTheme="minorHAnsi" w:cstheme="minorHAnsi"/>
                      <w:szCs w:val="18"/>
                    </w:rPr>
                  </w:pPr>
                  <w:r w:rsidRPr="004E551A">
                    <w:rPr>
                      <w:rFonts w:asciiTheme="minorHAnsi" w:hAnsiTheme="minorHAnsi" w:cstheme="minorHAnsi"/>
                      <w:szCs w:val="18"/>
                    </w:rPr>
                    <w:t>NT</w:t>
                  </w:r>
                </w:p>
              </w:tc>
              <w:tc>
                <w:tcPr>
                  <w:tcW w:w="774" w:type="dxa"/>
                  <w:tcBorders>
                    <w:top w:val="single" w:sz="6" w:space="0" w:color="BFBFBF"/>
                    <w:bottom w:val="single" w:sz="6" w:space="0" w:color="BFBFBF"/>
                  </w:tcBorders>
                  <w:shd w:val="clear" w:color="auto" w:fill="auto"/>
                  <w:vAlign w:val="bottom"/>
                </w:tcPr>
                <w:p w:rsidR="003019F8" w:rsidRPr="004E551A" w:rsidRDefault="003019F8" w:rsidP="004E551A">
                  <w:pPr>
                    <w:pStyle w:val="TableColumnHeading"/>
                    <w:spacing w:before="0" w:afterLines="40" w:after="96"/>
                    <w:rPr>
                      <w:rFonts w:asciiTheme="minorHAnsi" w:hAnsiTheme="minorHAnsi" w:cstheme="minorHAnsi"/>
                      <w:szCs w:val="18"/>
                    </w:rPr>
                  </w:pPr>
                  <w:r w:rsidRPr="004E551A">
                    <w:rPr>
                      <w:rFonts w:asciiTheme="minorHAnsi" w:hAnsiTheme="minorHAnsi" w:cstheme="minorHAnsi"/>
                      <w:szCs w:val="18"/>
                    </w:rPr>
                    <w:t>Aust</w:t>
                  </w:r>
                </w:p>
              </w:tc>
            </w:tr>
            <w:tr w:rsidR="00A96F3E" w:rsidRPr="00A67B56" w:rsidTr="004E551A">
              <w:tc>
                <w:tcPr>
                  <w:tcW w:w="1753" w:type="dxa"/>
                  <w:tcBorders>
                    <w:top w:val="single" w:sz="6" w:space="0" w:color="BFBFBF"/>
                  </w:tcBorders>
                  <w:vAlign w:val="bottom"/>
                </w:tcPr>
                <w:p w:rsidR="00A96F3E" w:rsidRPr="004E551A" w:rsidRDefault="00A96F3E" w:rsidP="004E551A">
                  <w:pPr>
                    <w:pStyle w:val="TableBodyText"/>
                    <w:spacing w:afterLines="40" w:after="96"/>
                    <w:jc w:val="left"/>
                    <w:rPr>
                      <w:rFonts w:asciiTheme="minorHAnsi" w:hAnsiTheme="minorHAnsi" w:cstheme="minorHAnsi"/>
                      <w:szCs w:val="18"/>
                    </w:rPr>
                  </w:pPr>
                  <w:r w:rsidRPr="004E551A">
                    <w:rPr>
                      <w:rFonts w:asciiTheme="minorHAnsi" w:hAnsiTheme="minorHAnsi" w:cstheme="minorHAnsi"/>
                      <w:szCs w:val="18"/>
                    </w:rPr>
                    <w:t>PBS general</w:t>
                  </w:r>
                  <w:r w:rsidRPr="004E551A">
                    <w:rPr>
                      <w:rStyle w:val="NoteLabel"/>
                      <w:rFonts w:asciiTheme="minorHAnsi" w:hAnsiTheme="minorHAnsi" w:cstheme="minorHAnsi"/>
                      <w:szCs w:val="18"/>
                    </w:rPr>
                    <w:t>a</w:t>
                  </w:r>
                </w:p>
              </w:tc>
              <w:tc>
                <w:tcPr>
                  <w:tcW w:w="760" w:type="dxa"/>
                  <w:tcBorders>
                    <w:top w:val="single" w:sz="6" w:space="0" w:color="BFBFBF"/>
                  </w:tcBorders>
                  <w:shd w:val="clear" w:color="auto" w:fill="auto"/>
                  <w:vAlign w:val="bottom"/>
                </w:tcPr>
                <w:p w:rsidR="00A96F3E" w:rsidRPr="004E551A" w:rsidRDefault="00A96F3E" w:rsidP="004E551A">
                  <w:pPr>
                    <w:spacing w:afterLines="40" w:after="96" w:line="200" w:lineRule="atLeast"/>
                    <w:ind w:left="6" w:right="113"/>
                    <w:jc w:val="right"/>
                    <w:rPr>
                      <w:rFonts w:asciiTheme="minorHAnsi" w:hAnsiTheme="minorHAnsi" w:cstheme="minorHAnsi"/>
                      <w:sz w:val="18"/>
                      <w:szCs w:val="18"/>
                    </w:rPr>
                  </w:pPr>
                  <w:r w:rsidRPr="004E551A">
                    <w:rPr>
                      <w:rFonts w:asciiTheme="minorHAnsi" w:hAnsiTheme="minorHAnsi" w:cstheme="minorHAnsi"/>
                      <w:sz w:val="18"/>
                      <w:szCs w:val="18"/>
                    </w:rPr>
                    <w:t xml:space="preserve">  7.2</w:t>
                  </w:r>
                </w:p>
              </w:tc>
              <w:tc>
                <w:tcPr>
                  <w:tcW w:w="762" w:type="dxa"/>
                  <w:tcBorders>
                    <w:top w:val="single" w:sz="6" w:space="0" w:color="BFBFBF"/>
                  </w:tcBorders>
                  <w:shd w:val="clear" w:color="auto" w:fill="auto"/>
                  <w:vAlign w:val="bottom"/>
                </w:tcPr>
                <w:p w:rsidR="00A96F3E" w:rsidRPr="004E551A" w:rsidRDefault="00A96F3E" w:rsidP="004E551A">
                  <w:pPr>
                    <w:spacing w:afterLines="40" w:after="96" w:line="200" w:lineRule="atLeast"/>
                    <w:ind w:left="6" w:right="113"/>
                    <w:jc w:val="right"/>
                    <w:rPr>
                      <w:rFonts w:asciiTheme="minorHAnsi" w:hAnsiTheme="minorHAnsi" w:cstheme="minorHAnsi"/>
                      <w:sz w:val="18"/>
                      <w:szCs w:val="18"/>
                    </w:rPr>
                  </w:pPr>
                  <w:r w:rsidRPr="004E551A">
                    <w:rPr>
                      <w:rFonts w:asciiTheme="minorHAnsi" w:hAnsiTheme="minorHAnsi" w:cstheme="minorHAnsi"/>
                      <w:sz w:val="18"/>
                      <w:szCs w:val="18"/>
                    </w:rPr>
                    <w:t xml:space="preserve">  5.3</w:t>
                  </w:r>
                </w:p>
              </w:tc>
              <w:tc>
                <w:tcPr>
                  <w:tcW w:w="762" w:type="dxa"/>
                  <w:tcBorders>
                    <w:top w:val="single" w:sz="6" w:space="0" w:color="BFBFBF"/>
                  </w:tcBorders>
                  <w:shd w:val="clear" w:color="auto" w:fill="auto"/>
                  <w:vAlign w:val="bottom"/>
                </w:tcPr>
                <w:p w:rsidR="00A96F3E" w:rsidRPr="004E551A" w:rsidRDefault="00A96F3E" w:rsidP="004E551A">
                  <w:pPr>
                    <w:spacing w:afterLines="40" w:after="96" w:line="200" w:lineRule="atLeast"/>
                    <w:ind w:left="6" w:right="113"/>
                    <w:jc w:val="right"/>
                    <w:rPr>
                      <w:rFonts w:asciiTheme="minorHAnsi" w:hAnsiTheme="minorHAnsi" w:cstheme="minorHAnsi"/>
                      <w:sz w:val="18"/>
                      <w:szCs w:val="18"/>
                    </w:rPr>
                  </w:pPr>
                  <w:r w:rsidRPr="004E551A">
                    <w:rPr>
                      <w:rFonts w:asciiTheme="minorHAnsi" w:hAnsiTheme="minorHAnsi" w:cstheme="minorHAnsi"/>
                      <w:sz w:val="18"/>
                      <w:szCs w:val="18"/>
                    </w:rPr>
                    <w:t xml:space="preserve">  4.4</w:t>
                  </w:r>
                </w:p>
              </w:tc>
              <w:tc>
                <w:tcPr>
                  <w:tcW w:w="762" w:type="dxa"/>
                  <w:tcBorders>
                    <w:top w:val="single" w:sz="6" w:space="0" w:color="BFBFBF"/>
                  </w:tcBorders>
                  <w:shd w:val="clear" w:color="auto" w:fill="auto"/>
                  <w:vAlign w:val="bottom"/>
                </w:tcPr>
                <w:p w:rsidR="00A96F3E" w:rsidRPr="004E551A" w:rsidRDefault="00A96F3E" w:rsidP="004E551A">
                  <w:pPr>
                    <w:spacing w:afterLines="40" w:after="96" w:line="200" w:lineRule="atLeast"/>
                    <w:ind w:left="6" w:right="113"/>
                    <w:jc w:val="right"/>
                    <w:rPr>
                      <w:rFonts w:asciiTheme="minorHAnsi" w:hAnsiTheme="minorHAnsi" w:cstheme="minorHAnsi"/>
                      <w:sz w:val="18"/>
                      <w:szCs w:val="18"/>
                    </w:rPr>
                  </w:pPr>
                  <w:r w:rsidRPr="004E551A">
                    <w:rPr>
                      <w:rFonts w:asciiTheme="minorHAnsi" w:hAnsiTheme="minorHAnsi" w:cstheme="minorHAnsi"/>
                      <w:sz w:val="18"/>
                      <w:szCs w:val="18"/>
                    </w:rPr>
                    <w:t xml:space="preserve">  2.6</w:t>
                  </w:r>
                </w:p>
              </w:tc>
              <w:tc>
                <w:tcPr>
                  <w:tcW w:w="762" w:type="dxa"/>
                  <w:tcBorders>
                    <w:top w:val="single" w:sz="6" w:space="0" w:color="BFBFBF"/>
                  </w:tcBorders>
                  <w:shd w:val="clear" w:color="auto" w:fill="auto"/>
                  <w:vAlign w:val="bottom"/>
                </w:tcPr>
                <w:p w:rsidR="00A96F3E" w:rsidRPr="004E551A" w:rsidRDefault="00A96F3E" w:rsidP="004E551A">
                  <w:pPr>
                    <w:spacing w:afterLines="40" w:after="96" w:line="200" w:lineRule="atLeast"/>
                    <w:ind w:left="6" w:right="113"/>
                    <w:jc w:val="right"/>
                    <w:rPr>
                      <w:rFonts w:asciiTheme="minorHAnsi" w:hAnsiTheme="minorHAnsi" w:cstheme="minorHAnsi"/>
                      <w:sz w:val="18"/>
                      <w:szCs w:val="18"/>
                    </w:rPr>
                  </w:pPr>
                  <w:r w:rsidRPr="004E551A">
                    <w:rPr>
                      <w:rFonts w:asciiTheme="minorHAnsi" w:hAnsiTheme="minorHAnsi" w:cstheme="minorHAnsi"/>
                      <w:sz w:val="18"/>
                      <w:szCs w:val="18"/>
                    </w:rPr>
                    <w:t xml:space="preserve">  1.6</w:t>
                  </w:r>
                </w:p>
              </w:tc>
              <w:tc>
                <w:tcPr>
                  <w:tcW w:w="763" w:type="dxa"/>
                  <w:tcBorders>
                    <w:top w:val="single" w:sz="6" w:space="0" w:color="BFBFBF"/>
                  </w:tcBorders>
                  <w:shd w:val="clear" w:color="auto" w:fill="auto"/>
                  <w:vAlign w:val="bottom"/>
                </w:tcPr>
                <w:p w:rsidR="00A96F3E" w:rsidRPr="004E551A" w:rsidRDefault="00A96F3E" w:rsidP="004E551A">
                  <w:pPr>
                    <w:spacing w:afterLines="40" w:after="96" w:line="200" w:lineRule="atLeast"/>
                    <w:ind w:left="6" w:right="113"/>
                    <w:jc w:val="right"/>
                    <w:rPr>
                      <w:rFonts w:asciiTheme="minorHAnsi" w:hAnsiTheme="minorHAnsi" w:cstheme="minorHAnsi"/>
                      <w:sz w:val="18"/>
                      <w:szCs w:val="18"/>
                    </w:rPr>
                  </w:pPr>
                  <w:r w:rsidRPr="004E551A">
                    <w:rPr>
                      <w:rFonts w:asciiTheme="minorHAnsi" w:hAnsiTheme="minorHAnsi" w:cstheme="minorHAnsi"/>
                      <w:sz w:val="18"/>
                      <w:szCs w:val="18"/>
                    </w:rPr>
                    <w:t xml:space="preserve">  0.5</w:t>
                  </w:r>
                </w:p>
              </w:tc>
              <w:tc>
                <w:tcPr>
                  <w:tcW w:w="770" w:type="dxa"/>
                  <w:tcBorders>
                    <w:top w:val="single" w:sz="6" w:space="0" w:color="BFBFBF"/>
                  </w:tcBorders>
                  <w:shd w:val="clear" w:color="auto" w:fill="auto"/>
                  <w:vAlign w:val="bottom"/>
                </w:tcPr>
                <w:p w:rsidR="00A96F3E" w:rsidRPr="004E551A" w:rsidRDefault="00A96F3E" w:rsidP="004E551A">
                  <w:pPr>
                    <w:spacing w:afterLines="40" w:after="96" w:line="200" w:lineRule="atLeast"/>
                    <w:ind w:left="6" w:right="113"/>
                    <w:jc w:val="right"/>
                    <w:rPr>
                      <w:rFonts w:asciiTheme="minorHAnsi" w:hAnsiTheme="minorHAnsi" w:cstheme="minorHAnsi"/>
                      <w:sz w:val="18"/>
                      <w:szCs w:val="18"/>
                    </w:rPr>
                  </w:pPr>
                  <w:r w:rsidRPr="004E551A">
                    <w:rPr>
                      <w:rFonts w:asciiTheme="minorHAnsi" w:hAnsiTheme="minorHAnsi" w:cstheme="minorHAnsi"/>
                      <w:sz w:val="18"/>
                      <w:szCs w:val="18"/>
                    </w:rPr>
                    <w:t xml:space="preserve">  0.5</w:t>
                  </w:r>
                </w:p>
              </w:tc>
              <w:tc>
                <w:tcPr>
                  <w:tcW w:w="757" w:type="dxa"/>
                  <w:tcBorders>
                    <w:top w:val="single" w:sz="6" w:space="0" w:color="BFBFBF"/>
                  </w:tcBorders>
                  <w:shd w:val="clear" w:color="auto" w:fill="auto"/>
                  <w:vAlign w:val="bottom"/>
                </w:tcPr>
                <w:p w:rsidR="00A96F3E" w:rsidRPr="004E551A" w:rsidRDefault="00A96F3E" w:rsidP="004E551A">
                  <w:pPr>
                    <w:spacing w:afterLines="40" w:after="96" w:line="200" w:lineRule="atLeast"/>
                    <w:ind w:left="6" w:right="113"/>
                    <w:jc w:val="right"/>
                    <w:rPr>
                      <w:rFonts w:asciiTheme="minorHAnsi" w:hAnsiTheme="minorHAnsi" w:cstheme="minorHAnsi"/>
                      <w:sz w:val="18"/>
                      <w:szCs w:val="18"/>
                    </w:rPr>
                  </w:pPr>
                  <w:r w:rsidRPr="004E551A">
                    <w:rPr>
                      <w:rFonts w:asciiTheme="minorHAnsi" w:hAnsiTheme="minorHAnsi" w:cstheme="minorHAnsi"/>
                      <w:sz w:val="18"/>
                      <w:szCs w:val="18"/>
                    </w:rPr>
                    <w:t xml:space="preserve">  0.1</w:t>
                  </w:r>
                </w:p>
              </w:tc>
              <w:tc>
                <w:tcPr>
                  <w:tcW w:w="774" w:type="dxa"/>
                  <w:tcBorders>
                    <w:top w:val="single" w:sz="6" w:space="0" w:color="BFBFBF"/>
                  </w:tcBorders>
                  <w:shd w:val="clear" w:color="auto" w:fill="auto"/>
                  <w:vAlign w:val="bottom"/>
                </w:tcPr>
                <w:p w:rsidR="00A96F3E" w:rsidRPr="004E551A" w:rsidRDefault="00A96F3E" w:rsidP="004E551A">
                  <w:pPr>
                    <w:spacing w:afterLines="40" w:after="96" w:line="200" w:lineRule="atLeast"/>
                    <w:ind w:left="6" w:right="113"/>
                    <w:jc w:val="right"/>
                    <w:rPr>
                      <w:rFonts w:asciiTheme="minorHAnsi" w:hAnsiTheme="minorHAnsi" w:cstheme="minorHAnsi"/>
                      <w:sz w:val="18"/>
                      <w:szCs w:val="18"/>
                    </w:rPr>
                  </w:pPr>
                  <w:r w:rsidRPr="004E551A">
                    <w:rPr>
                      <w:rFonts w:asciiTheme="minorHAnsi" w:hAnsiTheme="minorHAnsi" w:cstheme="minorHAnsi"/>
                      <w:sz w:val="18"/>
                      <w:szCs w:val="18"/>
                    </w:rPr>
                    <w:t xml:space="preserve">  22.1</w:t>
                  </w:r>
                </w:p>
              </w:tc>
            </w:tr>
            <w:tr w:rsidR="00A96F3E" w:rsidRPr="00A67B56" w:rsidTr="004E551A">
              <w:tc>
                <w:tcPr>
                  <w:tcW w:w="1753" w:type="dxa"/>
                  <w:vAlign w:val="bottom"/>
                </w:tcPr>
                <w:p w:rsidR="00A96F3E" w:rsidRPr="004E551A" w:rsidRDefault="00A96F3E" w:rsidP="004E551A">
                  <w:pPr>
                    <w:pStyle w:val="TableBodyText"/>
                    <w:spacing w:afterLines="40" w:after="96"/>
                    <w:jc w:val="left"/>
                    <w:rPr>
                      <w:rFonts w:asciiTheme="minorHAnsi" w:hAnsiTheme="minorHAnsi" w:cstheme="minorHAnsi"/>
                      <w:szCs w:val="18"/>
                    </w:rPr>
                  </w:pPr>
                  <w:r w:rsidRPr="004E551A">
                    <w:rPr>
                      <w:rFonts w:asciiTheme="minorHAnsi" w:hAnsiTheme="minorHAnsi" w:cstheme="minorHAnsi"/>
                      <w:szCs w:val="18"/>
                    </w:rPr>
                    <w:t>PBS concessional</w:t>
                  </w:r>
                  <w:r w:rsidRPr="004E551A">
                    <w:rPr>
                      <w:rStyle w:val="NoteLabel"/>
                    </w:rPr>
                    <w:t>b</w:t>
                  </w:r>
                </w:p>
              </w:tc>
              <w:tc>
                <w:tcPr>
                  <w:tcW w:w="760" w:type="dxa"/>
                  <w:shd w:val="clear" w:color="auto" w:fill="auto"/>
                  <w:vAlign w:val="bottom"/>
                </w:tcPr>
                <w:p w:rsidR="00A96F3E" w:rsidRPr="004E551A" w:rsidRDefault="00A96F3E" w:rsidP="004E551A">
                  <w:pPr>
                    <w:spacing w:afterLines="40" w:after="96" w:line="200" w:lineRule="atLeast"/>
                    <w:ind w:left="6" w:right="113"/>
                    <w:jc w:val="right"/>
                    <w:rPr>
                      <w:rFonts w:asciiTheme="minorHAnsi" w:hAnsiTheme="minorHAnsi" w:cstheme="minorHAnsi"/>
                      <w:sz w:val="18"/>
                      <w:szCs w:val="18"/>
                    </w:rPr>
                  </w:pPr>
                  <w:r w:rsidRPr="004E551A">
                    <w:rPr>
                      <w:rFonts w:asciiTheme="minorHAnsi" w:hAnsiTheme="minorHAnsi" w:cstheme="minorHAnsi"/>
                      <w:sz w:val="18"/>
                      <w:szCs w:val="18"/>
                    </w:rPr>
                    <w:t xml:space="preserve">  63.7</w:t>
                  </w:r>
                </w:p>
              </w:tc>
              <w:tc>
                <w:tcPr>
                  <w:tcW w:w="762" w:type="dxa"/>
                  <w:shd w:val="clear" w:color="auto" w:fill="auto"/>
                  <w:vAlign w:val="bottom"/>
                </w:tcPr>
                <w:p w:rsidR="00A96F3E" w:rsidRPr="004E551A" w:rsidRDefault="00A96F3E" w:rsidP="004E551A">
                  <w:pPr>
                    <w:spacing w:afterLines="40" w:after="96" w:line="200" w:lineRule="atLeast"/>
                    <w:ind w:left="6" w:right="113"/>
                    <w:jc w:val="right"/>
                    <w:rPr>
                      <w:rFonts w:asciiTheme="minorHAnsi" w:hAnsiTheme="minorHAnsi" w:cstheme="minorHAnsi"/>
                      <w:sz w:val="18"/>
                      <w:szCs w:val="18"/>
                    </w:rPr>
                  </w:pPr>
                  <w:r w:rsidRPr="004E551A">
                    <w:rPr>
                      <w:rFonts w:asciiTheme="minorHAnsi" w:hAnsiTheme="minorHAnsi" w:cstheme="minorHAnsi"/>
                      <w:sz w:val="18"/>
                      <w:szCs w:val="18"/>
                    </w:rPr>
                    <w:t xml:space="preserve">  47.9</w:t>
                  </w:r>
                </w:p>
              </w:tc>
              <w:tc>
                <w:tcPr>
                  <w:tcW w:w="762" w:type="dxa"/>
                  <w:shd w:val="clear" w:color="auto" w:fill="auto"/>
                  <w:vAlign w:val="bottom"/>
                </w:tcPr>
                <w:p w:rsidR="00A96F3E" w:rsidRPr="004E551A" w:rsidRDefault="00A96F3E" w:rsidP="004E551A">
                  <w:pPr>
                    <w:spacing w:afterLines="40" w:after="96" w:line="200" w:lineRule="atLeast"/>
                    <w:ind w:left="6" w:right="113"/>
                    <w:jc w:val="right"/>
                    <w:rPr>
                      <w:rFonts w:asciiTheme="minorHAnsi" w:hAnsiTheme="minorHAnsi" w:cstheme="minorHAnsi"/>
                      <w:sz w:val="18"/>
                      <w:szCs w:val="18"/>
                    </w:rPr>
                  </w:pPr>
                  <w:r w:rsidRPr="004E551A">
                    <w:rPr>
                      <w:rFonts w:asciiTheme="minorHAnsi" w:hAnsiTheme="minorHAnsi" w:cstheme="minorHAnsi"/>
                      <w:sz w:val="18"/>
                      <w:szCs w:val="18"/>
                    </w:rPr>
                    <w:t xml:space="preserve">  36.5</w:t>
                  </w:r>
                </w:p>
              </w:tc>
              <w:tc>
                <w:tcPr>
                  <w:tcW w:w="762" w:type="dxa"/>
                  <w:shd w:val="clear" w:color="auto" w:fill="auto"/>
                  <w:vAlign w:val="bottom"/>
                </w:tcPr>
                <w:p w:rsidR="00A96F3E" w:rsidRPr="004E551A" w:rsidRDefault="00A96F3E" w:rsidP="004E551A">
                  <w:pPr>
                    <w:spacing w:afterLines="40" w:after="96" w:line="200" w:lineRule="atLeast"/>
                    <w:ind w:left="6" w:right="113"/>
                    <w:jc w:val="right"/>
                    <w:rPr>
                      <w:rFonts w:asciiTheme="minorHAnsi" w:hAnsiTheme="minorHAnsi" w:cstheme="minorHAnsi"/>
                      <w:sz w:val="18"/>
                      <w:szCs w:val="18"/>
                    </w:rPr>
                  </w:pPr>
                  <w:r w:rsidRPr="004E551A">
                    <w:rPr>
                      <w:rFonts w:asciiTheme="minorHAnsi" w:hAnsiTheme="minorHAnsi" w:cstheme="minorHAnsi"/>
                      <w:sz w:val="18"/>
                      <w:szCs w:val="18"/>
                    </w:rPr>
                    <w:t xml:space="preserve">  15.4</w:t>
                  </w:r>
                </w:p>
              </w:tc>
              <w:tc>
                <w:tcPr>
                  <w:tcW w:w="762" w:type="dxa"/>
                  <w:shd w:val="clear" w:color="auto" w:fill="auto"/>
                  <w:vAlign w:val="bottom"/>
                </w:tcPr>
                <w:p w:rsidR="00A96F3E" w:rsidRPr="004E551A" w:rsidRDefault="00A96F3E" w:rsidP="004E551A">
                  <w:pPr>
                    <w:spacing w:afterLines="40" w:after="96" w:line="200" w:lineRule="atLeast"/>
                    <w:ind w:left="6" w:right="113"/>
                    <w:jc w:val="right"/>
                    <w:rPr>
                      <w:rFonts w:asciiTheme="minorHAnsi" w:hAnsiTheme="minorHAnsi" w:cstheme="minorHAnsi"/>
                      <w:sz w:val="18"/>
                      <w:szCs w:val="18"/>
                    </w:rPr>
                  </w:pPr>
                  <w:r w:rsidRPr="004E551A">
                    <w:rPr>
                      <w:rFonts w:asciiTheme="minorHAnsi" w:hAnsiTheme="minorHAnsi" w:cstheme="minorHAnsi"/>
                      <w:sz w:val="18"/>
                      <w:szCs w:val="18"/>
                    </w:rPr>
                    <w:t xml:space="preserve">  16.1</w:t>
                  </w:r>
                </w:p>
              </w:tc>
              <w:tc>
                <w:tcPr>
                  <w:tcW w:w="763" w:type="dxa"/>
                  <w:shd w:val="clear" w:color="auto" w:fill="auto"/>
                  <w:vAlign w:val="bottom"/>
                </w:tcPr>
                <w:p w:rsidR="00A96F3E" w:rsidRPr="004E551A" w:rsidRDefault="00A96F3E" w:rsidP="004E551A">
                  <w:pPr>
                    <w:spacing w:afterLines="40" w:after="96" w:line="200" w:lineRule="atLeast"/>
                    <w:ind w:left="6" w:right="113"/>
                    <w:jc w:val="right"/>
                    <w:rPr>
                      <w:rFonts w:asciiTheme="minorHAnsi" w:hAnsiTheme="minorHAnsi" w:cstheme="minorHAnsi"/>
                      <w:sz w:val="18"/>
                      <w:szCs w:val="18"/>
                    </w:rPr>
                  </w:pPr>
                  <w:r w:rsidRPr="004E551A">
                    <w:rPr>
                      <w:rFonts w:asciiTheme="minorHAnsi" w:hAnsiTheme="minorHAnsi" w:cstheme="minorHAnsi"/>
                      <w:sz w:val="18"/>
                      <w:szCs w:val="18"/>
                    </w:rPr>
                    <w:t xml:space="preserve">  5.4</w:t>
                  </w:r>
                </w:p>
              </w:tc>
              <w:tc>
                <w:tcPr>
                  <w:tcW w:w="770" w:type="dxa"/>
                  <w:shd w:val="clear" w:color="auto" w:fill="auto"/>
                  <w:vAlign w:val="bottom"/>
                </w:tcPr>
                <w:p w:rsidR="00A96F3E" w:rsidRPr="004E551A" w:rsidRDefault="00A96F3E" w:rsidP="004E551A">
                  <w:pPr>
                    <w:spacing w:afterLines="40" w:after="96" w:line="200" w:lineRule="atLeast"/>
                    <w:ind w:left="6" w:right="113"/>
                    <w:jc w:val="right"/>
                    <w:rPr>
                      <w:rFonts w:asciiTheme="minorHAnsi" w:hAnsiTheme="minorHAnsi" w:cstheme="minorHAnsi"/>
                      <w:sz w:val="18"/>
                      <w:szCs w:val="18"/>
                    </w:rPr>
                  </w:pPr>
                  <w:r w:rsidRPr="004E551A">
                    <w:rPr>
                      <w:rFonts w:asciiTheme="minorHAnsi" w:hAnsiTheme="minorHAnsi" w:cstheme="minorHAnsi"/>
                      <w:sz w:val="18"/>
                      <w:szCs w:val="18"/>
                    </w:rPr>
                    <w:t xml:space="preserve">  1.8</w:t>
                  </w:r>
                </w:p>
              </w:tc>
              <w:tc>
                <w:tcPr>
                  <w:tcW w:w="757" w:type="dxa"/>
                  <w:shd w:val="clear" w:color="auto" w:fill="auto"/>
                  <w:vAlign w:val="bottom"/>
                </w:tcPr>
                <w:p w:rsidR="00A96F3E" w:rsidRPr="004E551A" w:rsidRDefault="00A96F3E" w:rsidP="004E551A">
                  <w:pPr>
                    <w:spacing w:afterLines="40" w:after="96" w:line="200" w:lineRule="atLeast"/>
                    <w:ind w:left="6" w:right="113"/>
                    <w:jc w:val="right"/>
                    <w:rPr>
                      <w:rFonts w:asciiTheme="minorHAnsi" w:hAnsiTheme="minorHAnsi" w:cstheme="minorHAnsi"/>
                      <w:sz w:val="18"/>
                      <w:szCs w:val="18"/>
                    </w:rPr>
                  </w:pPr>
                  <w:r w:rsidRPr="004E551A">
                    <w:rPr>
                      <w:rFonts w:asciiTheme="minorHAnsi" w:hAnsiTheme="minorHAnsi" w:cstheme="minorHAnsi"/>
                      <w:sz w:val="18"/>
                      <w:szCs w:val="18"/>
                    </w:rPr>
                    <w:t xml:space="preserve">  0.6</w:t>
                  </w:r>
                </w:p>
              </w:tc>
              <w:tc>
                <w:tcPr>
                  <w:tcW w:w="774" w:type="dxa"/>
                  <w:shd w:val="clear" w:color="auto" w:fill="auto"/>
                  <w:vAlign w:val="bottom"/>
                </w:tcPr>
                <w:p w:rsidR="00A96F3E" w:rsidRPr="004E551A" w:rsidRDefault="00A96F3E" w:rsidP="004E551A">
                  <w:pPr>
                    <w:spacing w:afterLines="40" w:after="96" w:line="200" w:lineRule="atLeast"/>
                    <w:ind w:left="6" w:right="113"/>
                    <w:jc w:val="right"/>
                    <w:rPr>
                      <w:rFonts w:asciiTheme="minorHAnsi" w:hAnsiTheme="minorHAnsi" w:cstheme="minorHAnsi"/>
                      <w:sz w:val="18"/>
                      <w:szCs w:val="18"/>
                    </w:rPr>
                  </w:pPr>
                  <w:r w:rsidRPr="004E551A">
                    <w:rPr>
                      <w:rFonts w:asciiTheme="minorHAnsi" w:hAnsiTheme="minorHAnsi" w:cstheme="minorHAnsi"/>
                      <w:sz w:val="18"/>
                      <w:szCs w:val="18"/>
                    </w:rPr>
                    <w:t xml:space="preserve">  187.3</w:t>
                  </w:r>
                </w:p>
              </w:tc>
            </w:tr>
            <w:tr w:rsidR="00FB7784" w:rsidRPr="00A67B56" w:rsidTr="004E551A">
              <w:tc>
                <w:tcPr>
                  <w:tcW w:w="1753" w:type="dxa"/>
                  <w:vAlign w:val="bottom"/>
                </w:tcPr>
                <w:p w:rsidR="00FB7784" w:rsidRPr="004E551A" w:rsidRDefault="00FB7784" w:rsidP="004E551A">
                  <w:pPr>
                    <w:pStyle w:val="TableBodyText"/>
                    <w:spacing w:afterLines="40" w:after="96"/>
                    <w:jc w:val="left"/>
                    <w:rPr>
                      <w:rStyle w:val="NoteLabel"/>
                      <w:rFonts w:asciiTheme="minorHAnsi" w:hAnsiTheme="minorHAnsi" w:cstheme="minorHAnsi"/>
                      <w:szCs w:val="18"/>
                    </w:rPr>
                  </w:pPr>
                  <w:r w:rsidRPr="004E551A">
                    <w:rPr>
                      <w:rFonts w:asciiTheme="minorHAnsi" w:hAnsiTheme="minorHAnsi" w:cstheme="minorHAnsi"/>
                      <w:szCs w:val="18"/>
                    </w:rPr>
                    <w:t>PBS doctor's bag</w:t>
                  </w:r>
                  <w:r w:rsidRPr="004E551A">
                    <w:rPr>
                      <w:rStyle w:val="NoteLabel"/>
                      <w:rFonts w:asciiTheme="minorHAnsi" w:hAnsiTheme="minorHAnsi" w:cstheme="minorHAnsi"/>
                      <w:szCs w:val="18"/>
                    </w:rPr>
                    <w:t>c</w:t>
                  </w:r>
                </w:p>
              </w:tc>
              <w:tc>
                <w:tcPr>
                  <w:tcW w:w="760" w:type="dxa"/>
                  <w:shd w:val="clear" w:color="auto" w:fill="auto"/>
                  <w:vAlign w:val="bottom"/>
                </w:tcPr>
                <w:p w:rsidR="00FB7784" w:rsidRPr="004E551A" w:rsidRDefault="00FB7784" w:rsidP="004E551A">
                  <w:pPr>
                    <w:spacing w:afterLines="40" w:after="96" w:line="200" w:lineRule="atLeast"/>
                    <w:ind w:left="6" w:right="113"/>
                    <w:jc w:val="right"/>
                    <w:rPr>
                      <w:rFonts w:asciiTheme="minorHAnsi" w:hAnsiTheme="minorHAnsi" w:cstheme="minorHAnsi"/>
                      <w:sz w:val="18"/>
                      <w:szCs w:val="18"/>
                    </w:rPr>
                  </w:pPr>
                  <w:r w:rsidRPr="004E551A">
                    <w:rPr>
                      <w:rFonts w:asciiTheme="minorHAnsi" w:hAnsiTheme="minorHAnsi" w:cstheme="minorHAnsi"/>
                      <w:sz w:val="18"/>
                      <w:szCs w:val="18"/>
                    </w:rPr>
                    <w:t xml:space="preserve">  0.1</w:t>
                  </w:r>
                </w:p>
              </w:tc>
              <w:tc>
                <w:tcPr>
                  <w:tcW w:w="762" w:type="dxa"/>
                  <w:shd w:val="clear" w:color="auto" w:fill="auto"/>
                  <w:vAlign w:val="bottom"/>
                </w:tcPr>
                <w:p w:rsidR="00FB7784" w:rsidRPr="004E551A" w:rsidRDefault="00FB7784" w:rsidP="004E551A">
                  <w:pPr>
                    <w:spacing w:afterLines="40" w:after="96" w:line="200" w:lineRule="atLeast"/>
                    <w:ind w:left="6" w:right="113"/>
                    <w:jc w:val="right"/>
                    <w:rPr>
                      <w:rFonts w:asciiTheme="minorHAnsi" w:hAnsiTheme="minorHAnsi" w:cstheme="minorHAnsi"/>
                      <w:sz w:val="18"/>
                      <w:szCs w:val="18"/>
                    </w:rPr>
                  </w:pPr>
                  <w:r w:rsidRPr="004E551A">
                    <w:rPr>
                      <w:rFonts w:asciiTheme="minorHAnsi" w:hAnsiTheme="minorHAnsi" w:cstheme="minorHAnsi"/>
                      <w:sz w:val="18"/>
                      <w:szCs w:val="18"/>
                    </w:rPr>
                    <w:t xml:space="preserve">  0.1</w:t>
                  </w:r>
                </w:p>
              </w:tc>
              <w:tc>
                <w:tcPr>
                  <w:tcW w:w="762" w:type="dxa"/>
                  <w:shd w:val="clear" w:color="auto" w:fill="auto"/>
                  <w:vAlign w:val="bottom"/>
                </w:tcPr>
                <w:p w:rsidR="00FB7784" w:rsidRPr="004E551A" w:rsidRDefault="00FB7784" w:rsidP="004E551A">
                  <w:pPr>
                    <w:spacing w:afterLines="40" w:after="96" w:line="200" w:lineRule="atLeast"/>
                    <w:ind w:left="6" w:right="113"/>
                    <w:jc w:val="right"/>
                    <w:rPr>
                      <w:rFonts w:asciiTheme="minorHAnsi" w:hAnsiTheme="minorHAnsi" w:cstheme="minorHAnsi"/>
                      <w:sz w:val="18"/>
                      <w:szCs w:val="18"/>
                    </w:rPr>
                  </w:pPr>
                  <w:r w:rsidRPr="004E551A">
                    <w:rPr>
                      <w:rFonts w:asciiTheme="minorHAnsi" w:hAnsiTheme="minorHAnsi" w:cstheme="minorHAnsi"/>
                      <w:sz w:val="18"/>
                      <w:szCs w:val="18"/>
                    </w:rPr>
                    <w:t xml:space="preserve">  0.1</w:t>
                  </w:r>
                </w:p>
              </w:tc>
              <w:tc>
                <w:tcPr>
                  <w:tcW w:w="762" w:type="dxa"/>
                  <w:shd w:val="clear" w:color="auto" w:fill="auto"/>
                  <w:vAlign w:val="bottom"/>
                </w:tcPr>
                <w:p w:rsidR="00FB7784" w:rsidRPr="004E551A" w:rsidRDefault="00FB7784" w:rsidP="004E551A">
                  <w:pPr>
                    <w:spacing w:afterLines="40" w:after="96" w:line="200" w:lineRule="atLeast"/>
                    <w:ind w:left="6" w:right="113"/>
                    <w:jc w:val="right"/>
                    <w:rPr>
                      <w:rFonts w:asciiTheme="minorHAnsi" w:hAnsiTheme="minorHAnsi" w:cstheme="minorHAnsi"/>
                      <w:sz w:val="18"/>
                      <w:szCs w:val="18"/>
                    </w:rPr>
                  </w:pPr>
                  <w:r w:rsidRPr="004E551A">
                    <w:rPr>
                      <w:rFonts w:asciiTheme="minorHAnsi" w:hAnsiTheme="minorHAnsi" w:cstheme="minorHAnsi"/>
                      <w:sz w:val="18"/>
                      <w:szCs w:val="18"/>
                    </w:rPr>
                    <w:t xml:space="preserve">  –</w:t>
                  </w:r>
                </w:p>
              </w:tc>
              <w:tc>
                <w:tcPr>
                  <w:tcW w:w="762" w:type="dxa"/>
                  <w:shd w:val="clear" w:color="auto" w:fill="auto"/>
                  <w:vAlign w:val="bottom"/>
                </w:tcPr>
                <w:p w:rsidR="00FB7784" w:rsidRPr="004E551A" w:rsidRDefault="00FB7784" w:rsidP="004E551A">
                  <w:pPr>
                    <w:spacing w:afterLines="40" w:after="96" w:line="200" w:lineRule="atLeast"/>
                    <w:ind w:left="6" w:right="113"/>
                    <w:jc w:val="right"/>
                    <w:rPr>
                      <w:rFonts w:asciiTheme="minorHAnsi" w:hAnsiTheme="minorHAnsi" w:cstheme="minorHAnsi"/>
                      <w:sz w:val="18"/>
                      <w:szCs w:val="18"/>
                    </w:rPr>
                  </w:pPr>
                  <w:r w:rsidRPr="004E551A">
                    <w:rPr>
                      <w:rFonts w:asciiTheme="minorHAnsi" w:hAnsiTheme="minorHAnsi" w:cstheme="minorHAnsi"/>
                      <w:sz w:val="18"/>
                      <w:szCs w:val="18"/>
                    </w:rPr>
                    <w:t xml:space="preserve">  –</w:t>
                  </w:r>
                </w:p>
              </w:tc>
              <w:tc>
                <w:tcPr>
                  <w:tcW w:w="763" w:type="dxa"/>
                  <w:shd w:val="clear" w:color="auto" w:fill="auto"/>
                  <w:vAlign w:val="bottom"/>
                </w:tcPr>
                <w:p w:rsidR="00FB7784" w:rsidRPr="004E551A" w:rsidRDefault="00FB7784" w:rsidP="004E551A">
                  <w:pPr>
                    <w:spacing w:afterLines="40" w:after="96" w:line="200" w:lineRule="atLeast"/>
                    <w:ind w:left="6" w:right="113"/>
                    <w:jc w:val="right"/>
                    <w:rPr>
                      <w:rFonts w:asciiTheme="minorHAnsi" w:hAnsiTheme="minorHAnsi" w:cstheme="minorHAnsi"/>
                      <w:sz w:val="18"/>
                      <w:szCs w:val="18"/>
                    </w:rPr>
                  </w:pPr>
                  <w:r w:rsidRPr="004E551A">
                    <w:rPr>
                      <w:rFonts w:asciiTheme="minorHAnsi" w:hAnsiTheme="minorHAnsi" w:cstheme="minorHAnsi"/>
                      <w:sz w:val="18"/>
                      <w:szCs w:val="18"/>
                    </w:rPr>
                    <w:t xml:space="preserve">  –</w:t>
                  </w:r>
                </w:p>
              </w:tc>
              <w:tc>
                <w:tcPr>
                  <w:tcW w:w="770" w:type="dxa"/>
                  <w:shd w:val="clear" w:color="auto" w:fill="auto"/>
                  <w:vAlign w:val="bottom"/>
                </w:tcPr>
                <w:p w:rsidR="00FB7784" w:rsidRPr="004E551A" w:rsidRDefault="00FB7784" w:rsidP="004E551A">
                  <w:pPr>
                    <w:spacing w:afterLines="40" w:after="96" w:line="200" w:lineRule="atLeast"/>
                    <w:ind w:left="6" w:right="113"/>
                    <w:jc w:val="right"/>
                    <w:rPr>
                      <w:rFonts w:asciiTheme="minorHAnsi" w:hAnsiTheme="minorHAnsi" w:cstheme="minorHAnsi"/>
                      <w:sz w:val="18"/>
                      <w:szCs w:val="18"/>
                    </w:rPr>
                  </w:pPr>
                  <w:r w:rsidRPr="004E551A">
                    <w:rPr>
                      <w:rFonts w:asciiTheme="minorHAnsi" w:hAnsiTheme="minorHAnsi" w:cstheme="minorHAnsi"/>
                      <w:sz w:val="18"/>
                      <w:szCs w:val="18"/>
                    </w:rPr>
                    <w:t xml:space="preserve">  –</w:t>
                  </w:r>
                </w:p>
              </w:tc>
              <w:tc>
                <w:tcPr>
                  <w:tcW w:w="757" w:type="dxa"/>
                  <w:shd w:val="clear" w:color="auto" w:fill="auto"/>
                  <w:vAlign w:val="bottom"/>
                </w:tcPr>
                <w:p w:rsidR="00FB7784" w:rsidRPr="004E551A" w:rsidRDefault="00FB7784" w:rsidP="004E551A">
                  <w:pPr>
                    <w:spacing w:afterLines="40" w:after="96" w:line="200" w:lineRule="atLeast"/>
                    <w:ind w:left="6" w:right="113"/>
                    <w:jc w:val="right"/>
                    <w:rPr>
                      <w:rFonts w:asciiTheme="minorHAnsi" w:hAnsiTheme="minorHAnsi" w:cstheme="minorHAnsi"/>
                      <w:sz w:val="18"/>
                      <w:szCs w:val="18"/>
                    </w:rPr>
                  </w:pPr>
                  <w:r w:rsidRPr="004E551A">
                    <w:rPr>
                      <w:rFonts w:asciiTheme="minorHAnsi" w:hAnsiTheme="minorHAnsi" w:cstheme="minorHAnsi"/>
                      <w:sz w:val="18"/>
                      <w:szCs w:val="18"/>
                    </w:rPr>
                    <w:t xml:space="preserve">  –</w:t>
                  </w:r>
                </w:p>
              </w:tc>
              <w:tc>
                <w:tcPr>
                  <w:tcW w:w="774" w:type="dxa"/>
                  <w:shd w:val="clear" w:color="auto" w:fill="auto"/>
                  <w:vAlign w:val="bottom"/>
                </w:tcPr>
                <w:p w:rsidR="00FB7784" w:rsidRPr="004E551A" w:rsidRDefault="00FB7784" w:rsidP="004E551A">
                  <w:pPr>
                    <w:spacing w:afterLines="40" w:after="96" w:line="200" w:lineRule="atLeast"/>
                    <w:ind w:left="6" w:right="113"/>
                    <w:jc w:val="right"/>
                    <w:rPr>
                      <w:rFonts w:asciiTheme="minorHAnsi" w:hAnsiTheme="minorHAnsi" w:cstheme="minorHAnsi"/>
                      <w:sz w:val="18"/>
                      <w:szCs w:val="18"/>
                    </w:rPr>
                  </w:pPr>
                  <w:r w:rsidRPr="004E551A">
                    <w:rPr>
                      <w:rFonts w:asciiTheme="minorHAnsi" w:hAnsiTheme="minorHAnsi" w:cstheme="minorHAnsi"/>
                      <w:sz w:val="18"/>
                      <w:szCs w:val="18"/>
                    </w:rPr>
                    <w:t xml:space="preserve">  0.4</w:t>
                  </w:r>
                </w:p>
              </w:tc>
            </w:tr>
            <w:tr w:rsidR="00A96F3E" w:rsidRPr="00817306" w:rsidTr="004E551A">
              <w:tc>
                <w:tcPr>
                  <w:tcW w:w="1753" w:type="dxa"/>
                  <w:vAlign w:val="bottom"/>
                </w:tcPr>
                <w:p w:rsidR="00A96F3E" w:rsidRPr="004E551A" w:rsidRDefault="00A96F3E" w:rsidP="004E551A">
                  <w:pPr>
                    <w:pStyle w:val="TableBodyText"/>
                    <w:spacing w:afterLines="40" w:after="96"/>
                    <w:jc w:val="left"/>
                    <w:rPr>
                      <w:rFonts w:asciiTheme="minorHAnsi" w:hAnsiTheme="minorHAnsi" w:cstheme="minorHAnsi"/>
                      <w:b/>
                      <w:szCs w:val="18"/>
                    </w:rPr>
                  </w:pPr>
                  <w:r w:rsidRPr="004E551A">
                    <w:rPr>
                      <w:rFonts w:asciiTheme="minorHAnsi" w:hAnsiTheme="minorHAnsi" w:cstheme="minorHAnsi"/>
                      <w:b/>
                      <w:szCs w:val="18"/>
                    </w:rPr>
                    <w:t xml:space="preserve">PBS total </w:t>
                  </w:r>
                </w:p>
              </w:tc>
              <w:tc>
                <w:tcPr>
                  <w:tcW w:w="760" w:type="dxa"/>
                  <w:shd w:val="clear" w:color="auto" w:fill="auto"/>
                  <w:vAlign w:val="bottom"/>
                </w:tcPr>
                <w:p w:rsidR="00A96F3E" w:rsidRPr="004E551A" w:rsidRDefault="00A96F3E" w:rsidP="004E551A">
                  <w:pPr>
                    <w:spacing w:afterLines="40" w:after="96" w:line="200" w:lineRule="atLeast"/>
                    <w:ind w:left="6" w:right="113"/>
                    <w:jc w:val="right"/>
                    <w:rPr>
                      <w:rFonts w:asciiTheme="minorHAnsi" w:hAnsiTheme="minorHAnsi" w:cstheme="minorHAnsi"/>
                      <w:sz w:val="18"/>
                      <w:szCs w:val="18"/>
                    </w:rPr>
                  </w:pPr>
                  <w:r w:rsidRPr="004E551A">
                    <w:rPr>
                      <w:rFonts w:asciiTheme="minorHAnsi" w:hAnsiTheme="minorHAnsi" w:cstheme="minorHAnsi"/>
                      <w:sz w:val="18"/>
                      <w:szCs w:val="18"/>
                    </w:rPr>
                    <w:t xml:space="preserve">  71.0</w:t>
                  </w:r>
                </w:p>
              </w:tc>
              <w:tc>
                <w:tcPr>
                  <w:tcW w:w="762" w:type="dxa"/>
                  <w:shd w:val="clear" w:color="auto" w:fill="auto"/>
                  <w:vAlign w:val="bottom"/>
                </w:tcPr>
                <w:p w:rsidR="00A96F3E" w:rsidRPr="004E551A" w:rsidRDefault="00A96F3E" w:rsidP="004E551A">
                  <w:pPr>
                    <w:spacing w:afterLines="40" w:after="96" w:line="200" w:lineRule="atLeast"/>
                    <w:ind w:left="6" w:right="113"/>
                    <w:jc w:val="right"/>
                    <w:rPr>
                      <w:rFonts w:asciiTheme="minorHAnsi" w:hAnsiTheme="minorHAnsi" w:cstheme="minorHAnsi"/>
                      <w:sz w:val="18"/>
                      <w:szCs w:val="18"/>
                    </w:rPr>
                  </w:pPr>
                  <w:r w:rsidRPr="004E551A">
                    <w:rPr>
                      <w:rFonts w:asciiTheme="minorHAnsi" w:hAnsiTheme="minorHAnsi" w:cstheme="minorHAnsi"/>
                      <w:sz w:val="18"/>
                      <w:szCs w:val="18"/>
                    </w:rPr>
                    <w:t xml:space="preserve">  53.3</w:t>
                  </w:r>
                </w:p>
              </w:tc>
              <w:tc>
                <w:tcPr>
                  <w:tcW w:w="762" w:type="dxa"/>
                  <w:shd w:val="clear" w:color="auto" w:fill="auto"/>
                  <w:vAlign w:val="bottom"/>
                </w:tcPr>
                <w:p w:rsidR="00A96F3E" w:rsidRPr="004E551A" w:rsidRDefault="00A96F3E" w:rsidP="004E551A">
                  <w:pPr>
                    <w:spacing w:afterLines="40" w:after="96" w:line="200" w:lineRule="atLeast"/>
                    <w:ind w:left="6" w:right="113"/>
                    <w:jc w:val="right"/>
                    <w:rPr>
                      <w:rFonts w:asciiTheme="minorHAnsi" w:hAnsiTheme="minorHAnsi" w:cstheme="minorHAnsi"/>
                      <w:sz w:val="18"/>
                      <w:szCs w:val="18"/>
                    </w:rPr>
                  </w:pPr>
                  <w:r w:rsidRPr="004E551A">
                    <w:rPr>
                      <w:rFonts w:asciiTheme="minorHAnsi" w:hAnsiTheme="minorHAnsi" w:cstheme="minorHAnsi"/>
                      <w:sz w:val="18"/>
                      <w:szCs w:val="18"/>
                    </w:rPr>
                    <w:t xml:space="preserve">  40.9</w:t>
                  </w:r>
                </w:p>
              </w:tc>
              <w:tc>
                <w:tcPr>
                  <w:tcW w:w="762" w:type="dxa"/>
                  <w:shd w:val="clear" w:color="auto" w:fill="auto"/>
                  <w:vAlign w:val="bottom"/>
                </w:tcPr>
                <w:p w:rsidR="00A96F3E" w:rsidRPr="004E551A" w:rsidRDefault="00A96F3E" w:rsidP="004E551A">
                  <w:pPr>
                    <w:spacing w:afterLines="40" w:after="96" w:line="200" w:lineRule="atLeast"/>
                    <w:ind w:left="6" w:right="113"/>
                    <w:jc w:val="right"/>
                    <w:rPr>
                      <w:rFonts w:asciiTheme="minorHAnsi" w:hAnsiTheme="minorHAnsi" w:cstheme="minorHAnsi"/>
                      <w:sz w:val="18"/>
                      <w:szCs w:val="18"/>
                    </w:rPr>
                  </w:pPr>
                  <w:r w:rsidRPr="004E551A">
                    <w:rPr>
                      <w:rFonts w:asciiTheme="minorHAnsi" w:hAnsiTheme="minorHAnsi" w:cstheme="minorHAnsi"/>
                      <w:sz w:val="18"/>
                      <w:szCs w:val="18"/>
                    </w:rPr>
                    <w:t xml:space="preserve">  18.0</w:t>
                  </w:r>
                </w:p>
              </w:tc>
              <w:tc>
                <w:tcPr>
                  <w:tcW w:w="762" w:type="dxa"/>
                  <w:shd w:val="clear" w:color="auto" w:fill="auto"/>
                  <w:vAlign w:val="bottom"/>
                </w:tcPr>
                <w:p w:rsidR="00A96F3E" w:rsidRPr="004E551A" w:rsidRDefault="00A96F3E" w:rsidP="004E551A">
                  <w:pPr>
                    <w:spacing w:afterLines="40" w:after="96" w:line="200" w:lineRule="atLeast"/>
                    <w:ind w:left="6" w:right="113"/>
                    <w:jc w:val="right"/>
                    <w:rPr>
                      <w:rFonts w:asciiTheme="minorHAnsi" w:hAnsiTheme="minorHAnsi" w:cstheme="minorHAnsi"/>
                      <w:sz w:val="18"/>
                      <w:szCs w:val="18"/>
                    </w:rPr>
                  </w:pPr>
                  <w:r w:rsidRPr="004E551A">
                    <w:rPr>
                      <w:rFonts w:asciiTheme="minorHAnsi" w:hAnsiTheme="minorHAnsi" w:cstheme="minorHAnsi"/>
                      <w:sz w:val="18"/>
                      <w:szCs w:val="18"/>
                    </w:rPr>
                    <w:t xml:space="preserve">  17.8</w:t>
                  </w:r>
                </w:p>
              </w:tc>
              <w:tc>
                <w:tcPr>
                  <w:tcW w:w="763" w:type="dxa"/>
                  <w:shd w:val="clear" w:color="auto" w:fill="auto"/>
                  <w:vAlign w:val="bottom"/>
                </w:tcPr>
                <w:p w:rsidR="00A96F3E" w:rsidRPr="004E551A" w:rsidRDefault="00A96F3E" w:rsidP="004E551A">
                  <w:pPr>
                    <w:spacing w:afterLines="40" w:after="96" w:line="200" w:lineRule="atLeast"/>
                    <w:ind w:left="6" w:right="113"/>
                    <w:jc w:val="right"/>
                    <w:rPr>
                      <w:rFonts w:asciiTheme="minorHAnsi" w:hAnsiTheme="minorHAnsi" w:cstheme="minorHAnsi"/>
                      <w:sz w:val="18"/>
                      <w:szCs w:val="18"/>
                    </w:rPr>
                  </w:pPr>
                  <w:r w:rsidRPr="004E551A">
                    <w:rPr>
                      <w:rFonts w:asciiTheme="minorHAnsi" w:hAnsiTheme="minorHAnsi" w:cstheme="minorHAnsi"/>
                      <w:sz w:val="18"/>
                      <w:szCs w:val="18"/>
                    </w:rPr>
                    <w:t xml:space="preserve">  5.9</w:t>
                  </w:r>
                </w:p>
              </w:tc>
              <w:tc>
                <w:tcPr>
                  <w:tcW w:w="770" w:type="dxa"/>
                  <w:shd w:val="clear" w:color="auto" w:fill="auto"/>
                  <w:vAlign w:val="bottom"/>
                </w:tcPr>
                <w:p w:rsidR="00A96F3E" w:rsidRPr="004E551A" w:rsidRDefault="00A96F3E" w:rsidP="004E551A">
                  <w:pPr>
                    <w:spacing w:afterLines="40" w:after="96" w:line="200" w:lineRule="atLeast"/>
                    <w:ind w:left="6" w:right="113"/>
                    <w:jc w:val="right"/>
                    <w:rPr>
                      <w:rFonts w:asciiTheme="minorHAnsi" w:hAnsiTheme="minorHAnsi" w:cstheme="minorHAnsi"/>
                      <w:sz w:val="18"/>
                      <w:szCs w:val="18"/>
                    </w:rPr>
                  </w:pPr>
                  <w:r w:rsidRPr="004E551A">
                    <w:rPr>
                      <w:rFonts w:asciiTheme="minorHAnsi" w:hAnsiTheme="minorHAnsi" w:cstheme="minorHAnsi"/>
                      <w:sz w:val="18"/>
                      <w:szCs w:val="18"/>
                    </w:rPr>
                    <w:t xml:space="preserve">  2.2</w:t>
                  </w:r>
                </w:p>
              </w:tc>
              <w:tc>
                <w:tcPr>
                  <w:tcW w:w="757" w:type="dxa"/>
                  <w:shd w:val="clear" w:color="auto" w:fill="auto"/>
                  <w:vAlign w:val="bottom"/>
                </w:tcPr>
                <w:p w:rsidR="00A96F3E" w:rsidRPr="004E551A" w:rsidRDefault="00A96F3E" w:rsidP="004E551A">
                  <w:pPr>
                    <w:spacing w:afterLines="40" w:after="96" w:line="200" w:lineRule="atLeast"/>
                    <w:ind w:left="6" w:right="113"/>
                    <w:jc w:val="right"/>
                    <w:rPr>
                      <w:rFonts w:asciiTheme="minorHAnsi" w:hAnsiTheme="minorHAnsi" w:cstheme="minorHAnsi"/>
                      <w:sz w:val="18"/>
                      <w:szCs w:val="18"/>
                    </w:rPr>
                  </w:pPr>
                  <w:r w:rsidRPr="004E551A">
                    <w:rPr>
                      <w:rFonts w:asciiTheme="minorHAnsi" w:hAnsiTheme="minorHAnsi" w:cstheme="minorHAnsi"/>
                      <w:sz w:val="18"/>
                      <w:szCs w:val="18"/>
                    </w:rPr>
                    <w:t xml:space="preserve">  0.7</w:t>
                  </w:r>
                </w:p>
              </w:tc>
              <w:tc>
                <w:tcPr>
                  <w:tcW w:w="774" w:type="dxa"/>
                  <w:shd w:val="clear" w:color="auto" w:fill="auto"/>
                  <w:vAlign w:val="bottom"/>
                </w:tcPr>
                <w:p w:rsidR="00A96F3E" w:rsidRPr="004E551A" w:rsidRDefault="00A96F3E" w:rsidP="004E551A">
                  <w:pPr>
                    <w:spacing w:afterLines="40" w:after="96" w:line="200" w:lineRule="atLeast"/>
                    <w:ind w:left="6" w:right="113"/>
                    <w:jc w:val="right"/>
                    <w:rPr>
                      <w:rFonts w:asciiTheme="minorHAnsi" w:hAnsiTheme="minorHAnsi" w:cstheme="minorHAnsi"/>
                      <w:sz w:val="18"/>
                      <w:szCs w:val="18"/>
                    </w:rPr>
                  </w:pPr>
                  <w:r w:rsidRPr="004E551A">
                    <w:rPr>
                      <w:rFonts w:asciiTheme="minorHAnsi" w:hAnsiTheme="minorHAnsi" w:cstheme="minorHAnsi"/>
                      <w:sz w:val="18"/>
                      <w:szCs w:val="18"/>
                    </w:rPr>
                    <w:t xml:space="preserve">  209.8</w:t>
                  </w:r>
                </w:p>
              </w:tc>
            </w:tr>
            <w:tr w:rsidR="00A96F3E" w:rsidRPr="00A67B56" w:rsidTr="004E551A">
              <w:tc>
                <w:tcPr>
                  <w:tcW w:w="1753" w:type="dxa"/>
                  <w:shd w:val="clear" w:color="auto" w:fill="auto"/>
                  <w:vAlign w:val="bottom"/>
                </w:tcPr>
                <w:p w:rsidR="00A96F3E" w:rsidRPr="004E551A" w:rsidRDefault="00A96F3E" w:rsidP="004E551A">
                  <w:pPr>
                    <w:pStyle w:val="TableBodyText"/>
                    <w:spacing w:afterLines="40" w:after="96"/>
                    <w:jc w:val="left"/>
                    <w:rPr>
                      <w:rFonts w:asciiTheme="minorHAnsi" w:hAnsiTheme="minorHAnsi" w:cstheme="minorHAnsi"/>
                      <w:szCs w:val="18"/>
                    </w:rPr>
                  </w:pPr>
                  <w:r w:rsidRPr="004E551A">
                    <w:rPr>
                      <w:rFonts w:asciiTheme="minorHAnsi" w:hAnsiTheme="minorHAnsi" w:cstheme="minorHAnsi"/>
                      <w:szCs w:val="18"/>
                    </w:rPr>
                    <w:t>RPBS total</w:t>
                  </w:r>
                  <w:r w:rsidRPr="004E551A">
                    <w:rPr>
                      <w:rStyle w:val="NoteLabel"/>
                      <w:rFonts w:asciiTheme="minorHAnsi" w:hAnsiTheme="minorHAnsi" w:cstheme="minorHAnsi"/>
                      <w:szCs w:val="18"/>
                    </w:rPr>
                    <w:t>d</w:t>
                  </w:r>
                  <w:r w:rsidRPr="004E551A">
                    <w:rPr>
                      <w:rFonts w:asciiTheme="minorHAnsi" w:hAnsiTheme="minorHAnsi" w:cstheme="minorHAnsi"/>
                      <w:szCs w:val="18"/>
                    </w:rPr>
                    <w:t xml:space="preserve"> </w:t>
                  </w:r>
                </w:p>
              </w:tc>
              <w:tc>
                <w:tcPr>
                  <w:tcW w:w="760" w:type="dxa"/>
                  <w:shd w:val="clear" w:color="auto" w:fill="auto"/>
                  <w:vAlign w:val="bottom"/>
                </w:tcPr>
                <w:p w:rsidR="00A96F3E" w:rsidRPr="004E551A" w:rsidRDefault="00A96F3E" w:rsidP="004E551A">
                  <w:pPr>
                    <w:spacing w:afterLines="40" w:after="96" w:line="200" w:lineRule="atLeast"/>
                    <w:ind w:left="6" w:right="113"/>
                    <w:jc w:val="right"/>
                    <w:rPr>
                      <w:rFonts w:asciiTheme="minorHAnsi" w:hAnsiTheme="minorHAnsi" w:cstheme="minorHAnsi"/>
                      <w:sz w:val="18"/>
                      <w:szCs w:val="18"/>
                    </w:rPr>
                  </w:pPr>
                  <w:r w:rsidRPr="004E551A">
                    <w:rPr>
                      <w:rFonts w:asciiTheme="minorHAnsi" w:hAnsiTheme="minorHAnsi" w:cstheme="minorHAnsi"/>
                      <w:sz w:val="18"/>
                      <w:szCs w:val="18"/>
                    </w:rPr>
                    <w:t xml:space="preserve">  4.1</w:t>
                  </w:r>
                </w:p>
              </w:tc>
              <w:tc>
                <w:tcPr>
                  <w:tcW w:w="762" w:type="dxa"/>
                  <w:shd w:val="clear" w:color="auto" w:fill="auto"/>
                  <w:vAlign w:val="bottom"/>
                </w:tcPr>
                <w:p w:rsidR="00A96F3E" w:rsidRPr="004E551A" w:rsidRDefault="00A96F3E" w:rsidP="004E551A">
                  <w:pPr>
                    <w:spacing w:afterLines="40" w:after="96" w:line="200" w:lineRule="atLeast"/>
                    <w:ind w:left="6" w:right="113"/>
                    <w:jc w:val="right"/>
                    <w:rPr>
                      <w:rFonts w:asciiTheme="minorHAnsi" w:hAnsiTheme="minorHAnsi" w:cstheme="minorHAnsi"/>
                      <w:sz w:val="18"/>
                      <w:szCs w:val="18"/>
                    </w:rPr>
                  </w:pPr>
                  <w:r w:rsidRPr="004E551A">
                    <w:rPr>
                      <w:rFonts w:asciiTheme="minorHAnsi" w:hAnsiTheme="minorHAnsi" w:cstheme="minorHAnsi"/>
                      <w:sz w:val="18"/>
                      <w:szCs w:val="18"/>
                    </w:rPr>
                    <w:t xml:space="preserve">  2.6</w:t>
                  </w:r>
                </w:p>
              </w:tc>
              <w:tc>
                <w:tcPr>
                  <w:tcW w:w="762" w:type="dxa"/>
                  <w:shd w:val="clear" w:color="auto" w:fill="auto"/>
                  <w:vAlign w:val="bottom"/>
                </w:tcPr>
                <w:p w:rsidR="00A96F3E" w:rsidRPr="004E551A" w:rsidRDefault="00A96F3E" w:rsidP="004E551A">
                  <w:pPr>
                    <w:spacing w:afterLines="40" w:after="96" w:line="200" w:lineRule="atLeast"/>
                    <w:ind w:left="6" w:right="113"/>
                    <w:jc w:val="right"/>
                    <w:rPr>
                      <w:rFonts w:asciiTheme="minorHAnsi" w:hAnsiTheme="minorHAnsi" w:cstheme="minorHAnsi"/>
                      <w:sz w:val="18"/>
                      <w:szCs w:val="18"/>
                    </w:rPr>
                  </w:pPr>
                  <w:r w:rsidRPr="004E551A">
                    <w:rPr>
                      <w:rFonts w:asciiTheme="minorHAnsi" w:hAnsiTheme="minorHAnsi" w:cstheme="minorHAnsi"/>
                      <w:sz w:val="18"/>
                      <w:szCs w:val="18"/>
                    </w:rPr>
                    <w:t xml:space="preserve">  3.0</w:t>
                  </w:r>
                </w:p>
              </w:tc>
              <w:tc>
                <w:tcPr>
                  <w:tcW w:w="762" w:type="dxa"/>
                  <w:shd w:val="clear" w:color="auto" w:fill="auto"/>
                  <w:vAlign w:val="bottom"/>
                </w:tcPr>
                <w:p w:rsidR="00A96F3E" w:rsidRPr="004E551A" w:rsidRDefault="00A96F3E" w:rsidP="004E551A">
                  <w:pPr>
                    <w:spacing w:afterLines="40" w:after="96" w:line="200" w:lineRule="atLeast"/>
                    <w:ind w:left="6" w:right="113"/>
                    <w:jc w:val="right"/>
                    <w:rPr>
                      <w:rFonts w:asciiTheme="minorHAnsi" w:hAnsiTheme="minorHAnsi" w:cstheme="minorHAnsi"/>
                      <w:sz w:val="18"/>
                      <w:szCs w:val="18"/>
                    </w:rPr>
                  </w:pPr>
                  <w:r w:rsidRPr="004E551A">
                    <w:rPr>
                      <w:rFonts w:asciiTheme="minorHAnsi" w:hAnsiTheme="minorHAnsi" w:cstheme="minorHAnsi"/>
                      <w:sz w:val="18"/>
                      <w:szCs w:val="18"/>
                    </w:rPr>
                    <w:t xml:space="preserve">  1.0</w:t>
                  </w:r>
                </w:p>
              </w:tc>
              <w:tc>
                <w:tcPr>
                  <w:tcW w:w="762" w:type="dxa"/>
                  <w:shd w:val="clear" w:color="auto" w:fill="auto"/>
                  <w:vAlign w:val="bottom"/>
                </w:tcPr>
                <w:p w:rsidR="00A96F3E" w:rsidRPr="004E551A" w:rsidRDefault="00A96F3E" w:rsidP="004E551A">
                  <w:pPr>
                    <w:spacing w:afterLines="40" w:after="96" w:line="200" w:lineRule="atLeast"/>
                    <w:ind w:left="6" w:right="113"/>
                    <w:jc w:val="right"/>
                    <w:rPr>
                      <w:rFonts w:asciiTheme="minorHAnsi" w:hAnsiTheme="minorHAnsi" w:cstheme="minorHAnsi"/>
                      <w:sz w:val="18"/>
                      <w:szCs w:val="18"/>
                    </w:rPr>
                  </w:pPr>
                  <w:r w:rsidRPr="004E551A">
                    <w:rPr>
                      <w:rFonts w:asciiTheme="minorHAnsi" w:hAnsiTheme="minorHAnsi" w:cstheme="minorHAnsi"/>
                      <w:sz w:val="18"/>
                      <w:szCs w:val="18"/>
                    </w:rPr>
                    <w:t xml:space="preserve">  0.9</w:t>
                  </w:r>
                </w:p>
              </w:tc>
              <w:tc>
                <w:tcPr>
                  <w:tcW w:w="763" w:type="dxa"/>
                  <w:shd w:val="clear" w:color="auto" w:fill="auto"/>
                  <w:vAlign w:val="bottom"/>
                </w:tcPr>
                <w:p w:rsidR="00A96F3E" w:rsidRPr="004E551A" w:rsidRDefault="00A96F3E" w:rsidP="004E551A">
                  <w:pPr>
                    <w:spacing w:afterLines="40" w:after="96" w:line="200" w:lineRule="atLeast"/>
                    <w:ind w:left="6" w:right="113"/>
                    <w:jc w:val="right"/>
                    <w:rPr>
                      <w:rFonts w:asciiTheme="minorHAnsi" w:hAnsiTheme="minorHAnsi" w:cstheme="minorHAnsi"/>
                      <w:sz w:val="18"/>
                      <w:szCs w:val="18"/>
                    </w:rPr>
                  </w:pPr>
                  <w:r w:rsidRPr="004E551A">
                    <w:rPr>
                      <w:rFonts w:asciiTheme="minorHAnsi" w:hAnsiTheme="minorHAnsi" w:cstheme="minorHAnsi"/>
                      <w:sz w:val="18"/>
                      <w:szCs w:val="18"/>
                    </w:rPr>
                    <w:t xml:space="preserve">  0.4</w:t>
                  </w:r>
                </w:p>
              </w:tc>
              <w:tc>
                <w:tcPr>
                  <w:tcW w:w="770" w:type="dxa"/>
                  <w:shd w:val="clear" w:color="auto" w:fill="auto"/>
                  <w:vAlign w:val="bottom"/>
                </w:tcPr>
                <w:p w:rsidR="00A96F3E" w:rsidRPr="004E551A" w:rsidRDefault="00A96F3E" w:rsidP="004E551A">
                  <w:pPr>
                    <w:spacing w:afterLines="40" w:after="96" w:line="200" w:lineRule="atLeast"/>
                    <w:ind w:left="6" w:right="113"/>
                    <w:jc w:val="right"/>
                    <w:rPr>
                      <w:rFonts w:asciiTheme="minorHAnsi" w:hAnsiTheme="minorHAnsi" w:cstheme="minorHAnsi"/>
                      <w:sz w:val="18"/>
                      <w:szCs w:val="18"/>
                    </w:rPr>
                  </w:pPr>
                  <w:r w:rsidRPr="004E551A">
                    <w:rPr>
                      <w:rFonts w:asciiTheme="minorHAnsi" w:hAnsiTheme="minorHAnsi" w:cstheme="minorHAnsi"/>
                      <w:sz w:val="18"/>
                      <w:szCs w:val="18"/>
                    </w:rPr>
                    <w:t xml:space="preserve">  0.2</w:t>
                  </w:r>
                </w:p>
              </w:tc>
              <w:tc>
                <w:tcPr>
                  <w:tcW w:w="757" w:type="dxa"/>
                  <w:shd w:val="clear" w:color="auto" w:fill="auto"/>
                  <w:vAlign w:val="bottom"/>
                </w:tcPr>
                <w:p w:rsidR="00A96F3E" w:rsidRPr="004E551A" w:rsidRDefault="00A96F3E" w:rsidP="004E551A">
                  <w:pPr>
                    <w:spacing w:afterLines="40" w:after="96" w:line="200" w:lineRule="atLeast"/>
                    <w:ind w:left="6" w:right="113"/>
                    <w:jc w:val="right"/>
                    <w:rPr>
                      <w:rFonts w:asciiTheme="minorHAnsi" w:hAnsiTheme="minorHAnsi" w:cstheme="minorHAnsi"/>
                      <w:sz w:val="18"/>
                      <w:szCs w:val="18"/>
                    </w:rPr>
                  </w:pPr>
                  <w:r w:rsidRPr="004E551A">
                    <w:rPr>
                      <w:rFonts w:asciiTheme="minorHAnsi" w:hAnsiTheme="minorHAnsi" w:cstheme="minorHAnsi"/>
                      <w:sz w:val="18"/>
                      <w:szCs w:val="18"/>
                    </w:rPr>
                    <w:t xml:space="preserve">  0.0</w:t>
                  </w:r>
                </w:p>
              </w:tc>
              <w:tc>
                <w:tcPr>
                  <w:tcW w:w="774" w:type="dxa"/>
                  <w:shd w:val="clear" w:color="auto" w:fill="auto"/>
                  <w:vAlign w:val="bottom"/>
                </w:tcPr>
                <w:p w:rsidR="00A96F3E" w:rsidRPr="004E551A" w:rsidRDefault="00A96F3E" w:rsidP="004E551A">
                  <w:pPr>
                    <w:spacing w:afterLines="40" w:after="96" w:line="200" w:lineRule="atLeast"/>
                    <w:ind w:left="6" w:right="113"/>
                    <w:jc w:val="right"/>
                    <w:rPr>
                      <w:rFonts w:asciiTheme="minorHAnsi" w:hAnsiTheme="minorHAnsi" w:cstheme="minorHAnsi"/>
                      <w:sz w:val="18"/>
                      <w:szCs w:val="18"/>
                    </w:rPr>
                  </w:pPr>
                  <w:r w:rsidRPr="004E551A">
                    <w:rPr>
                      <w:rFonts w:asciiTheme="minorHAnsi" w:hAnsiTheme="minorHAnsi" w:cstheme="minorHAnsi"/>
                      <w:sz w:val="18"/>
                      <w:szCs w:val="18"/>
                    </w:rPr>
                    <w:t xml:space="preserve">  12.3</w:t>
                  </w:r>
                </w:p>
              </w:tc>
            </w:tr>
            <w:tr w:rsidR="00A96F3E" w:rsidRPr="00B07F18" w:rsidTr="004E551A">
              <w:tc>
                <w:tcPr>
                  <w:tcW w:w="1753" w:type="dxa"/>
                  <w:shd w:val="clear" w:color="auto" w:fill="auto"/>
                  <w:vAlign w:val="bottom"/>
                </w:tcPr>
                <w:p w:rsidR="00A96F3E" w:rsidRPr="004E551A" w:rsidRDefault="00A96F3E" w:rsidP="004E551A">
                  <w:pPr>
                    <w:pStyle w:val="TableBodyText"/>
                    <w:spacing w:afterLines="40" w:after="96"/>
                    <w:jc w:val="left"/>
                    <w:rPr>
                      <w:rFonts w:asciiTheme="minorHAnsi" w:hAnsiTheme="minorHAnsi" w:cstheme="minorHAnsi"/>
                      <w:b/>
                      <w:szCs w:val="18"/>
                    </w:rPr>
                  </w:pPr>
                  <w:r w:rsidRPr="004E551A">
                    <w:rPr>
                      <w:rFonts w:asciiTheme="minorHAnsi" w:hAnsiTheme="minorHAnsi" w:cstheme="minorHAnsi"/>
                      <w:b/>
                      <w:szCs w:val="18"/>
                    </w:rPr>
                    <w:t>Total</w:t>
                  </w:r>
                </w:p>
              </w:tc>
              <w:tc>
                <w:tcPr>
                  <w:tcW w:w="760" w:type="dxa"/>
                  <w:shd w:val="clear" w:color="auto" w:fill="auto"/>
                  <w:vAlign w:val="bottom"/>
                </w:tcPr>
                <w:p w:rsidR="00A96F3E" w:rsidRPr="004E551A" w:rsidRDefault="00A96F3E" w:rsidP="004E551A">
                  <w:pPr>
                    <w:spacing w:afterLines="40" w:after="96" w:line="200" w:lineRule="atLeast"/>
                    <w:ind w:left="6" w:right="113"/>
                    <w:jc w:val="right"/>
                    <w:rPr>
                      <w:rFonts w:asciiTheme="minorHAnsi" w:hAnsiTheme="minorHAnsi" w:cstheme="minorHAnsi"/>
                      <w:sz w:val="18"/>
                      <w:szCs w:val="18"/>
                    </w:rPr>
                  </w:pPr>
                  <w:r w:rsidRPr="004E551A">
                    <w:rPr>
                      <w:rFonts w:asciiTheme="minorHAnsi" w:hAnsiTheme="minorHAnsi" w:cstheme="minorHAnsi"/>
                      <w:sz w:val="18"/>
                      <w:szCs w:val="18"/>
                    </w:rPr>
                    <w:t xml:space="preserve">  75.1</w:t>
                  </w:r>
                </w:p>
              </w:tc>
              <w:tc>
                <w:tcPr>
                  <w:tcW w:w="762" w:type="dxa"/>
                  <w:shd w:val="clear" w:color="auto" w:fill="auto"/>
                  <w:vAlign w:val="bottom"/>
                </w:tcPr>
                <w:p w:rsidR="00A96F3E" w:rsidRPr="004E551A" w:rsidRDefault="00A96F3E" w:rsidP="004E551A">
                  <w:pPr>
                    <w:spacing w:afterLines="40" w:after="96" w:line="200" w:lineRule="atLeast"/>
                    <w:ind w:left="6" w:right="113"/>
                    <w:jc w:val="right"/>
                    <w:rPr>
                      <w:rFonts w:asciiTheme="minorHAnsi" w:hAnsiTheme="minorHAnsi" w:cstheme="minorHAnsi"/>
                      <w:sz w:val="18"/>
                      <w:szCs w:val="18"/>
                    </w:rPr>
                  </w:pPr>
                  <w:r w:rsidRPr="004E551A">
                    <w:rPr>
                      <w:rFonts w:asciiTheme="minorHAnsi" w:hAnsiTheme="minorHAnsi" w:cstheme="minorHAnsi"/>
                      <w:sz w:val="18"/>
                      <w:szCs w:val="18"/>
                    </w:rPr>
                    <w:t xml:space="preserve">  55.9</w:t>
                  </w:r>
                </w:p>
              </w:tc>
              <w:tc>
                <w:tcPr>
                  <w:tcW w:w="762" w:type="dxa"/>
                  <w:shd w:val="clear" w:color="auto" w:fill="auto"/>
                  <w:vAlign w:val="bottom"/>
                </w:tcPr>
                <w:p w:rsidR="00A96F3E" w:rsidRPr="004E551A" w:rsidRDefault="00A96F3E" w:rsidP="004E551A">
                  <w:pPr>
                    <w:spacing w:afterLines="40" w:after="96" w:line="200" w:lineRule="atLeast"/>
                    <w:ind w:left="6" w:right="113"/>
                    <w:jc w:val="right"/>
                    <w:rPr>
                      <w:rFonts w:asciiTheme="minorHAnsi" w:hAnsiTheme="minorHAnsi" w:cstheme="minorHAnsi"/>
                      <w:sz w:val="18"/>
                      <w:szCs w:val="18"/>
                    </w:rPr>
                  </w:pPr>
                  <w:r w:rsidRPr="004E551A">
                    <w:rPr>
                      <w:rFonts w:asciiTheme="minorHAnsi" w:hAnsiTheme="minorHAnsi" w:cstheme="minorHAnsi"/>
                      <w:sz w:val="18"/>
                      <w:szCs w:val="18"/>
                    </w:rPr>
                    <w:t xml:space="preserve">  44.0</w:t>
                  </w:r>
                </w:p>
              </w:tc>
              <w:tc>
                <w:tcPr>
                  <w:tcW w:w="762" w:type="dxa"/>
                  <w:shd w:val="clear" w:color="auto" w:fill="auto"/>
                  <w:vAlign w:val="bottom"/>
                </w:tcPr>
                <w:p w:rsidR="00A96F3E" w:rsidRPr="004E551A" w:rsidRDefault="00A96F3E" w:rsidP="004E551A">
                  <w:pPr>
                    <w:spacing w:afterLines="40" w:after="96" w:line="200" w:lineRule="atLeast"/>
                    <w:ind w:left="6" w:right="113"/>
                    <w:jc w:val="right"/>
                    <w:rPr>
                      <w:rFonts w:asciiTheme="minorHAnsi" w:hAnsiTheme="minorHAnsi" w:cstheme="minorHAnsi"/>
                      <w:sz w:val="18"/>
                      <w:szCs w:val="18"/>
                    </w:rPr>
                  </w:pPr>
                  <w:r w:rsidRPr="004E551A">
                    <w:rPr>
                      <w:rFonts w:asciiTheme="minorHAnsi" w:hAnsiTheme="minorHAnsi" w:cstheme="minorHAnsi"/>
                      <w:sz w:val="18"/>
                      <w:szCs w:val="18"/>
                    </w:rPr>
                    <w:t xml:space="preserve">  19.0</w:t>
                  </w:r>
                </w:p>
              </w:tc>
              <w:tc>
                <w:tcPr>
                  <w:tcW w:w="762" w:type="dxa"/>
                  <w:shd w:val="clear" w:color="auto" w:fill="auto"/>
                  <w:vAlign w:val="bottom"/>
                </w:tcPr>
                <w:p w:rsidR="00A96F3E" w:rsidRPr="004E551A" w:rsidRDefault="00A96F3E" w:rsidP="004E551A">
                  <w:pPr>
                    <w:spacing w:afterLines="40" w:after="96" w:line="200" w:lineRule="atLeast"/>
                    <w:ind w:left="6" w:right="113"/>
                    <w:jc w:val="right"/>
                    <w:rPr>
                      <w:rFonts w:asciiTheme="minorHAnsi" w:hAnsiTheme="minorHAnsi" w:cstheme="minorHAnsi"/>
                      <w:sz w:val="18"/>
                      <w:szCs w:val="18"/>
                    </w:rPr>
                  </w:pPr>
                  <w:r w:rsidRPr="004E551A">
                    <w:rPr>
                      <w:rFonts w:asciiTheme="minorHAnsi" w:hAnsiTheme="minorHAnsi" w:cstheme="minorHAnsi"/>
                      <w:sz w:val="18"/>
                      <w:szCs w:val="18"/>
                    </w:rPr>
                    <w:t xml:space="preserve">  18.7</w:t>
                  </w:r>
                </w:p>
              </w:tc>
              <w:tc>
                <w:tcPr>
                  <w:tcW w:w="763" w:type="dxa"/>
                  <w:shd w:val="clear" w:color="auto" w:fill="auto"/>
                  <w:vAlign w:val="bottom"/>
                </w:tcPr>
                <w:p w:rsidR="00A96F3E" w:rsidRPr="004E551A" w:rsidRDefault="00A96F3E" w:rsidP="004E551A">
                  <w:pPr>
                    <w:spacing w:afterLines="40" w:after="96" w:line="200" w:lineRule="atLeast"/>
                    <w:ind w:left="6" w:right="113"/>
                    <w:jc w:val="right"/>
                    <w:rPr>
                      <w:rFonts w:asciiTheme="minorHAnsi" w:hAnsiTheme="minorHAnsi" w:cstheme="minorHAnsi"/>
                      <w:sz w:val="18"/>
                      <w:szCs w:val="18"/>
                    </w:rPr>
                  </w:pPr>
                  <w:r w:rsidRPr="004E551A">
                    <w:rPr>
                      <w:rFonts w:asciiTheme="minorHAnsi" w:hAnsiTheme="minorHAnsi" w:cstheme="minorHAnsi"/>
                      <w:sz w:val="18"/>
                      <w:szCs w:val="18"/>
                    </w:rPr>
                    <w:t xml:space="preserve">  6.2</w:t>
                  </w:r>
                </w:p>
              </w:tc>
              <w:tc>
                <w:tcPr>
                  <w:tcW w:w="770" w:type="dxa"/>
                  <w:shd w:val="clear" w:color="auto" w:fill="auto"/>
                  <w:vAlign w:val="bottom"/>
                </w:tcPr>
                <w:p w:rsidR="00A96F3E" w:rsidRPr="004E551A" w:rsidRDefault="00A96F3E" w:rsidP="004E551A">
                  <w:pPr>
                    <w:spacing w:afterLines="40" w:after="96" w:line="200" w:lineRule="atLeast"/>
                    <w:ind w:left="6" w:right="113"/>
                    <w:jc w:val="right"/>
                    <w:rPr>
                      <w:rFonts w:asciiTheme="minorHAnsi" w:hAnsiTheme="minorHAnsi" w:cstheme="minorHAnsi"/>
                      <w:sz w:val="18"/>
                      <w:szCs w:val="18"/>
                    </w:rPr>
                  </w:pPr>
                  <w:r w:rsidRPr="004E551A">
                    <w:rPr>
                      <w:rFonts w:asciiTheme="minorHAnsi" w:hAnsiTheme="minorHAnsi" w:cstheme="minorHAnsi"/>
                      <w:sz w:val="18"/>
                      <w:szCs w:val="18"/>
                    </w:rPr>
                    <w:t xml:space="preserve">  2.4</w:t>
                  </w:r>
                </w:p>
              </w:tc>
              <w:tc>
                <w:tcPr>
                  <w:tcW w:w="757" w:type="dxa"/>
                  <w:shd w:val="clear" w:color="auto" w:fill="auto"/>
                  <w:vAlign w:val="bottom"/>
                </w:tcPr>
                <w:p w:rsidR="00A96F3E" w:rsidRPr="004E551A" w:rsidRDefault="00A96F3E" w:rsidP="004E551A">
                  <w:pPr>
                    <w:spacing w:afterLines="40" w:after="96" w:line="200" w:lineRule="atLeast"/>
                    <w:ind w:left="6" w:right="113"/>
                    <w:jc w:val="right"/>
                    <w:rPr>
                      <w:rFonts w:asciiTheme="minorHAnsi" w:hAnsiTheme="minorHAnsi" w:cstheme="minorHAnsi"/>
                      <w:sz w:val="18"/>
                      <w:szCs w:val="18"/>
                    </w:rPr>
                  </w:pPr>
                  <w:r w:rsidRPr="004E551A">
                    <w:rPr>
                      <w:rFonts w:asciiTheme="minorHAnsi" w:hAnsiTheme="minorHAnsi" w:cstheme="minorHAnsi"/>
                      <w:sz w:val="18"/>
                      <w:szCs w:val="18"/>
                    </w:rPr>
                    <w:t xml:space="preserve">  0.8</w:t>
                  </w:r>
                </w:p>
              </w:tc>
              <w:tc>
                <w:tcPr>
                  <w:tcW w:w="774" w:type="dxa"/>
                  <w:shd w:val="clear" w:color="auto" w:fill="auto"/>
                  <w:vAlign w:val="bottom"/>
                </w:tcPr>
                <w:p w:rsidR="00A96F3E" w:rsidRPr="004E551A" w:rsidRDefault="00A96F3E" w:rsidP="004E551A">
                  <w:pPr>
                    <w:spacing w:afterLines="40" w:after="96" w:line="200" w:lineRule="atLeast"/>
                    <w:ind w:left="6" w:right="113"/>
                    <w:jc w:val="right"/>
                    <w:rPr>
                      <w:rFonts w:asciiTheme="minorHAnsi" w:hAnsiTheme="minorHAnsi" w:cstheme="minorHAnsi"/>
                      <w:sz w:val="18"/>
                      <w:szCs w:val="18"/>
                    </w:rPr>
                  </w:pPr>
                  <w:r w:rsidRPr="004E551A">
                    <w:rPr>
                      <w:rFonts w:asciiTheme="minorHAnsi" w:hAnsiTheme="minorHAnsi" w:cstheme="minorHAnsi"/>
                      <w:sz w:val="18"/>
                      <w:szCs w:val="18"/>
                    </w:rPr>
                    <w:t xml:space="preserve">  222.2</w:t>
                  </w:r>
                </w:p>
              </w:tc>
            </w:tr>
            <w:tr w:rsidR="00A96F3E" w:rsidRPr="00A67B56" w:rsidTr="004E551A">
              <w:tc>
                <w:tcPr>
                  <w:tcW w:w="1753" w:type="dxa"/>
                  <w:tcBorders>
                    <w:bottom w:val="single" w:sz="6" w:space="0" w:color="BFBFBF"/>
                  </w:tcBorders>
                  <w:shd w:val="clear" w:color="auto" w:fill="auto"/>
                  <w:vAlign w:val="bottom"/>
                </w:tcPr>
                <w:p w:rsidR="00A96F3E" w:rsidRPr="004E551A" w:rsidRDefault="00A96F3E" w:rsidP="004E551A">
                  <w:pPr>
                    <w:pStyle w:val="TableBodyText"/>
                    <w:spacing w:afterLines="40" w:after="96"/>
                    <w:jc w:val="left"/>
                    <w:rPr>
                      <w:rFonts w:asciiTheme="minorHAnsi" w:hAnsiTheme="minorHAnsi" w:cstheme="minorHAnsi"/>
                      <w:szCs w:val="18"/>
                    </w:rPr>
                  </w:pPr>
                  <w:r w:rsidRPr="004E551A">
                    <w:rPr>
                      <w:rFonts w:asciiTheme="minorHAnsi" w:hAnsiTheme="minorHAnsi" w:cstheme="minorHAnsi"/>
                      <w:szCs w:val="18"/>
                    </w:rPr>
                    <w:t>PBS services per person</w:t>
                  </w:r>
                  <w:r w:rsidR="0064274E" w:rsidRPr="004E551A">
                    <w:rPr>
                      <w:rFonts w:asciiTheme="minorHAnsi" w:hAnsiTheme="minorHAnsi" w:cstheme="minorHAnsi"/>
                      <w:szCs w:val="18"/>
                    </w:rPr>
                    <w:t xml:space="preserve"> (no.)</w:t>
                  </w:r>
                  <w:r w:rsidRPr="004E551A">
                    <w:rPr>
                      <w:rStyle w:val="NoteLabel"/>
                      <w:rFonts w:asciiTheme="minorHAnsi" w:hAnsiTheme="minorHAnsi" w:cstheme="minorHAnsi"/>
                      <w:szCs w:val="18"/>
                    </w:rPr>
                    <w:t>e</w:t>
                  </w:r>
                </w:p>
              </w:tc>
              <w:tc>
                <w:tcPr>
                  <w:tcW w:w="760" w:type="dxa"/>
                  <w:tcBorders>
                    <w:bottom w:val="single" w:sz="6" w:space="0" w:color="BFBFBF"/>
                  </w:tcBorders>
                  <w:shd w:val="clear" w:color="auto" w:fill="auto"/>
                  <w:vAlign w:val="bottom"/>
                </w:tcPr>
                <w:p w:rsidR="00A96F3E" w:rsidRPr="004E551A" w:rsidRDefault="00A96F3E" w:rsidP="004E551A">
                  <w:pPr>
                    <w:spacing w:afterLines="40" w:after="96" w:line="200" w:lineRule="atLeast"/>
                    <w:ind w:left="6" w:right="113"/>
                    <w:jc w:val="right"/>
                    <w:rPr>
                      <w:rFonts w:asciiTheme="minorHAnsi" w:hAnsiTheme="minorHAnsi" w:cstheme="minorHAnsi"/>
                      <w:sz w:val="18"/>
                      <w:szCs w:val="18"/>
                    </w:rPr>
                  </w:pPr>
                  <w:r w:rsidRPr="004E551A">
                    <w:rPr>
                      <w:rFonts w:asciiTheme="minorHAnsi" w:hAnsiTheme="minorHAnsi" w:cstheme="minorHAnsi"/>
                      <w:sz w:val="18"/>
                      <w:szCs w:val="18"/>
                    </w:rPr>
                    <w:t xml:space="preserve">  9.5</w:t>
                  </w:r>
                </w:p>
              </w:tc>
              <w:tc>
                <w:tcPr>
                  <w:tcW w:w="762" w:type="dxa"/>
                  <w:tcBorders>
                    <w:bottom w:val="single" w:sz="6" w:space="0" w:color="BFBFBF"/>
                  </w:tcBorders>
                  <w:shd w:val="clear" w:color="auto" w:fill="auto"/>
                  <w:vAlign w:val="bottom"/>
                </w:tcPr>
                <w:p w:rsidR="00A96F3E" w:rsidRPr="004E551A" w:rsidRDefault="00A96F3E" w:rsidP="004E551A">
                  <w:pPr>
                    <w:spacing w:afterLines="40" w:after="96" w:line="200" w:lineRule="atLeast"/>
                    <w:ind w:left="6" w:right="113"/>
                    <w:jc w:val="right"/>
                    <w:rPr>
                      <w:rFonts w:asciiTheme="minorHAnsi" w:hAnsiTheme="minorHAnsi" w:cstheme="minorHAnsi"/>
                      <w:sz w:val="18"/>
                      <w:szCs w:val="18"/>
                    </w:rPr>
                  </w:pPr>
                  <w:r w:rsidRPr="004E551A">
                    <w:rPr>
                      <w:rFonts w:asciiTheme="minorHAnsi" w:hAnsiTheme="minorHAnsi" w:cstheme="minorHAnsi"/>
                      <w:sz w:val="18"/>
                      <w:szCs w:val="18"/>
                    </w:rPr>
                    <w:t xml:space="preserve">  9.2</w:t>
                  </w:r>
                </w:p>
              </w:tc>
              <w:tc>
                <w:tcPr>
                  <w:tcW w:w="762" w:type="dxa"/>
                  <w:tcBorders>
                    <w:bottom w:val="single" w:sz="6" w:space="0" w:color="BFBFBF"/>
                  </w:tcBorders>
                  <w:shd w:val="clear" w:color="auto" w:fill="auto"/>
                  <w:vAlign w:val="bottom"/>
                </w:tcPr>
                <w:p w:rsidR="00A96F3E" w:rsidRPr="004E551A" w:rsidRDefault="00A96F3E" w:rsidP="004E551A">
                  <w:pPr>
                    <w:spacing w:afterLines="40" w:after="96" w:line="200" w:lineRule="atLeast"/>
                    <w:ind w:left="6" w:right="113"/>
                    <w:jc w:val="right"/>
                    <w:rPr>
                      <w:rFonts w:asciiTheme="minorHAnsi" w:hAnsiTheme="minorHAnsi" w:cstheme="minorHAnsi"/>
                      <w:sz w:val="18"/>
                      <w:szCs w:val="18"/>
                    </w:rPr>
                  </w:pPr>
                  <w:r w:rsidRPr="004E551A">
                    <w:rPr>
                      <w:rFonts w:asciiTheme="minorHAnsi" w:hAnsiTheme="minorHAnsi" w:cstheme="minorHAnsi"/>
                      <w:sz w:val="18"/>
                      <w:szCs w:val="18"/>
                    </w:rPr>
                    <w:t xml:space="preserve">  8.7</w:t>
                  </w:r>
                </w:p>
              </w:tc>
              <w:tc>
                <w:tcPr>
                  <w:tcW w:w="762" w:type="dxa"/>
                  <w:tcBorders>
                    <w:bottom w:val="single" w:sz="6" w:space="0" w:color="BFBFBF"/>
                  </w:tcBorders>
                  <w:shd w:val="clear" w:color="auto" w:fill="auto"/>
                  <w:vAlign w:val="bottom"/>
                </w:tcPr>
                <w:p w:rsidR="00A96F3E" w:rsidRPr="004E551A" w:rsidRDefault="00A96F3E" w:rsidP="004E551A">
                  <w:pPr>
                    <w:spacing w:afterLines="40" w:after="96" w:line="200" w:lineRule="atLeast"/>
                    <w:ind w:left="6" w:right="113"/>
                    <w:jc w:val="right"/>
                    <w:rPr>
                      <w:rFonts w:asciiTheme="minorHAnsi" w:hAnsiTheme="minorHAnsi" w:cstheme="minorHAnsi"/>
                      <w:sz w:val="18"/>
                      <w:szCs w:val="18"/>
                    </w:rPr>
                  </w:pPr>
                  <w:r w:rsidRPr="004E551A">
                    <w:rPr>
                      <w:rFonts w:asciiTheme="minorHAnsi" w:hAnsiTheme="minorHAnsi" w:cstheme="minorHAnsi"/>
                      <w:sz w:val="18"/>
                      <w:szCs w:val="18"/>
                    </w:rPr>
                    <w:t xml:space="preserve">  7.1</w:t>
                  </w:r>
                </w:p>
              </w:tc>
              <w:tc>
                <w:tcPr>
                  <w:tcW w:w="762" w:type="dxa"/>
                  <w:tcBorders>
                    <w:bottom w:val="single" w:sz="6" w:space="0" w:color="BFBFBF"/>
                  </w:tcBorders>
                  <w:shd w:val="clear" w:color="auto" w:fill="auto"/>
                  <w:vAlign w:val="bottom"/>
                </w:tcPr>
                <w:p w:rsidR="00A96F3E" w:rsidRPr="004E551A" w:rsidRDefault="00A96F3E" w:rsidP="004E551A">
                  <w:pPr>
                    <w:spacing w:afterLines="40" w:after="96" w:line="200" w:lineRule="atLeast"/>
                    <w:ind w:left="6" w:right="113"/>
                    <w:jc w:val="right"/>
                    <w:rPr>
                      <w:rFonts w:asciiTheme="minorHAnsi" w:hAnsiTheme="minorHAnsi" w:cstheme="minorHAnsi"/>
                      <w:sz w:val="18"/>
                      <w:szCs w:val="18"/>
                    </w:rPr>
                  </w:pPr>
                  <w:r w:rsidRPr="004E551A">
                    <w:rPr>
                      <w:rFonts w:asciiTheme="minorHAnsi" w:hAnsiTheme="minorHAnsi" w:cstheme="minorHAnsi"/>
                      <w:sz w:val="18"/>
                      <w:szCs w:val="18"/>
                    </w:rPr>
                    <w:t xml:space="preserve">  10.6</w:t>
                  </w:r>
                </w:p>
              </w:tc>
              <w:tc>
                <w:tcPr>
                  <w:tcW w:w="763" w:type="dxa"/>
                  <w:tcBorders>
                    <w:bottom w:val="single" w:sz="6" w:space="0" w:color="BFBFBF"/>
                  </w:tcBorders>
                  <w:shd w:val="clear" w:color="auto" w:fill="auto"/>
                  <w:vAlign w:val="bottom"/>
                </w:tcPr>
                <w:p w:rsidR="00A96F3E" w:rsidRPr="004E551A" w:rsidRDefault="00A96F3E" w:rsidP="004E551A">
                  <w:pPr>
                    <w:spacing w:afterLines="40" w:after="96" w:line="200" w:lineRule="atLeast"/>
                    <w:ind w:left="6" w:right="113"/>
                    <w:jc w:val="right"/>
                    <w:rPr>
                      <w:rFonts w:asciiTheme="minorHAnsi" w:hAnsiTheme="minorHAnsi" w:cstheme="minorHAnsi"/>
                      <w:sz w:val="18"/>
                      <w:szCs w:val="18"/>
                    </w:rPr>
                  </w:pPr>
                  <w:r w:rsidRPr="004E551A">
                    <w:rPr>
                      <w:rFonts w:asciiTheme="minorHAnsi" w:hAnsiTheme="minorHAnsi" w:cstheme="minorHAnsi"/>
                      <w:sz w:val="18"/>
                      <w:szCs w:val="18"/>
                    </w:rPr>
                    <w:t xml:space="preserve">  11.4</w:t>
                  </w:r>
                </w:p>
              </w:tc>
              <w:tc>
                <w:tcPr>
                  <w:tcW w:w="770" w:type="dxa"/>
                  <w:tcBorders>
                    <w:bottom w:val="single" w:sz="6" w:space="0" w:color="BFBFBF"/>
                  </w:tcBorders>
                  <w:shd w:val="clear" w:color="auto" w:fill="auto"/>
                  <w:vAlign w:val="bottom"/>
                </w:tcPr>
                <w:p w:rsidR="00A96F3E" w:rsidRPr="004E551A" w:rsidRDefault="00A96F3E" w:rsidP="004E551A">
                  <w:pPr>
                    <w:spacing w:afterLines="40" w:after="96" w:line="200" w:lineRule="atLeast"/>
                    <w:ind w:left="6" w:right="113"/>
                    <w:jc w:val="right"/>
                    <w:rPr>
                      <w:rFonts w:asciiTheme="minorHAnsi" w:hAnsiTheme="minorHAnsi" w:cstheme="minorHAnsi"/>
                      <w:sz w:val="18"/>
                      <w:szCs w:val="18"/>
                    </w:rPr>
                  </w:pPr>
                  <w:r w:rsidRPr="004E551A">
                    <w:rPr>
                      <w:rFonts w:asciiTheme="minorHAnsi" w:hAnsiTheme="minorHAnsi" w:cstheme="minorHAnsi"/>
                      <w:sz w:val="18"/>
                      <w:szCs w:val="18"/>
                    </w:rPr>
                    <w:t xml:space="preserve">  5.8</w:t>
                  </w:r>
                </w:p>
              </w:tc>
              <w:tc>
                <w:tcPr>
                  <w:tcW w:w="757" w:type="dxa"/>
                  <w:tcBorders>
                    <w:bottom w:val="single" w:sz="6" w:space="0" w:color="BFBFBF"/>
                  </w:tcBorders>
                  <w:shd w:val="clear" w:color="auto" w:fill="auto"/>
                  <w:vAlign w:val="bottom"/>
                </w:tcPr>
                <w:p w:rsidR="00A96F3E" w:rsidRPr="004E551A" w:rsidRDefault="00A96F3E" w:rsidP="004E551A">
                  <w:pPr>
                    <w:spacing w:afterLines="40" w:after="96" w:line="200" w:lineRule="atLeast"/>
                    <w:ind w:left="6" w:right="113"/>
                    <w:jc w:val="right"/>
                    <w:rPr>
                      <w:rFonts w:asciiTheme="minorHAnsi" w:hAnsiTheme="minorHAnsi" w:cstheme="minorHAnsi"/>
                      <w:sz w:val="18"/>
                      <w:szCs w:val="18"/>
                    </w:rPr>
                  </w:pPr>
                  <w:r w:rsidRPr="004E551A">
                    <w:rPr>
                      <w:rFonts w:asciiTheme="minorHAnsi" w:hAnsiTheme="minorHAnsi" w:cstheme="minorHAnsi"/>
                      <w:sz w:val="18"/>
                      <w:szCs w:val="18"/>
                    </w:rPr>
                    <w:t xml:space="preserve">  3.0</w:t>
                  </w:r>
                </w:p>
              </w:tc>
              <w:tc>
                <w:tcPr>
                  <w:tcW w:w="774" w:type="dxa"/>
                  <w:tcBorders>
                    <w:bottom w:val="single" w:sz="6" w:space="0" w:color="BFBFBF"/>
                  </w:tcBorders>
                  <w:shd w:val="clear" w:color="auto" w:fill="auto"/>
                  <w:vAlign w:val="bottom"/>
                </w:tcPr>
                <w:p w:rsidR="00A96F3E" w:rsidRPr="004E551A" w:rsidRDefault="00A96F3E" w:rsidP="004E551A">
                  <w:pPr>
                    <w:spacing w:afterLines="40" w:after="96" w:line="200" w:lineRule="atLeast"/>
                    <w:ind w:left="6" w:right="113"/>
                    <w:jc w:val="right"/>
                    <w:rPr>
                      <w:rFonts w:asciiTheme="minorHAnsi" w:hAnsiTheme="minorHAnsi" w:cstheme="minorHAnsi"/>
                      <w:sz w:val="18"/>
                      <w:szCs w:val="18"/>
                    </w:rPr>
                  </w:pPr>
                  <w:r w:rsidRPr="004E551A">
                    <w:rPr>
                      <w:rFonts w:asciiTheme="minorHAnsi" w:hAnsiTheme="minorHAnsi" w:cstheme="minorHAnsi"/>
                      <w:sz w:val="18"/>
                      <w:szCs w:val="18"/>
                    </w:rPr>
                    <w:t xml:space="preserve">  9.0</w:t>
                  </w:r>
                </w:p>
              </w:tc>
            </w:tr>
          </w:tbl>
          <w:p w:rsidR="003019F8" w:rsidRDefault="003019F8" w:rsidP="003019F8">
            <w:pPr>
              <w:pStyle w:val="Box"/>
            </w:pPr>
          </w:p>
        </w:tc>
      </w:tr>
      <w:tr w:rsidR="003019F8" w:rsidTr="003019F8">
        <w:trPr>
          <w:cantSplit/>
        </w:trPr>
        <w:tc>
          <w:tcPr>
            <w:tcW w:w="8771" w:type="dxa"/>
            <w:tcBorders>
              <w:top w:val="nil"/>
              <w:left w:val="nil"/>
              <w:bottom w:val="nil"/>
              <w:right w:val="nil"/>
            </w:tcBorders>
            <w:shd w:val="clear" w:color="auto" w:fill="auto"/>
          </w:tcPr>
          <w:p w:rsidR="003019F8" w:rsidRPr="003019F8" w:rsidRDefault="003019F8" w:rsidP="003019F8">
            <w:pPr>
              <w:pStyle w:val="Note"/>
              <w:keepNext/>
            </w:pPr>
            <w:r w:rsidRPr="001238C6">
              <w:rPr>
                <w:rStyle w:val="NoteLabel"/>
              </w:rPr>
              <w:t>a</w:t>
            </w:r>
            <w:r w:rsidRPr="001238C6">
              <w:rPr>
                <w:rFonts w:cs="Arial"/>
              </w:rPr>
              <w:t> </w:t>
            </w:r>
            <w:r w:rsidRPr="001238C6">
              <w:t xml:space="preserve">Includes PBS general ordinary and safety net. </w:t>
            </w:r>
            <w:r w:rsidRPr="001238C6">
              <w:rPr>
                <w:rStyle w:val="NoteLabel"/>
              </w:rPr>
              <w:t>b </w:t>
            </w:r>
            <w:r w:rsidRPr="001238C6">
              <w:t xml:space="preserve">Includes PBS concessional ordinary and concessional free safety net. </w:t>
            </w:r>
            <w:r w:rsidRPr="001238C6">
              <w:rPr>
                <w:rStyle w:val="NoteLabel"/>
              </w:rPr>
              <w:t>c </w:t>
            </w:r>
            <w:r>
              <w:t xml:space="preserve"> Supplies to prescribers for use in a medical emergency. </w:t>
            </w:r>
            <w:r w:rsidRPr="001238C6">
              <w:rPr>
                <w:rStyle w:val="NoteLabel"/>
              </w:rPr>
              <w:t>d </w:t>
            </w:r>
            <w:r>
              <w:t xml:space="preserve"> I</w:t>
            </w:r>
            <w:r w:rsidRPr="001238C6">
              <w:t xml:space="preserve">ncludes RPBS general ordinary and safety net. </w:t>
            </w:r>
            <w:r>
              <w:rPr>
                <w:rStyle w:val="NoteLabel"/>
              </w:rPr>
              <w:t>e</w:t>
            </w:r>
            <w:r w:rsidRPr="001238C6">
              <w:rPr>
                <w:rStyle w:val="NoteLabel"/>
              </w:rPr>
              <w:t> </w:t>
            </w:r>
            <w:r w:rsidRPr="001238C6">
              <w:t>Excludes PBS doctor's bag.</w:t>
            </w:r>
            <w:r>
              <w:t xml:space="preserve"> – Nil or rounded to zero.</w:t>
            </w:r>
          </w:p>
        </w:tc>
      </w:tr>
      <w:tr w:rsidR="003019F8" w:rsidTr="003019F8">
        <w:trPr>
          <w:cantSplit/>
        </w:trPr>
        <w:tc>
          <w:tcPr>
            <w:tcW w:w="8771" w:type="dxa"/>
            <w:tcBorders>
              <w:top w:val="nil"/>
              <w:left w:val="nil"/>
              <w:bottom w:val="nil"/>
              <w:right w:val="nil"/>
            </w:tcBorders>
            <w:shd w:val="clear" w:color="auto" w:fill="auto"/>
          </w:tcPr>
          <w:p w:rsidR="003019F8" w:rsidRDefault="003019F8" w:rsidP="003019F8">
            <w:pPr>
              <w:pStyle w:val="Source"/>
            </w:pPr>
            <w:r w:rsidRPr="001238C6">
              <w:rPr>
                <w:i/>
              </w:rPr>
              <w:t>Source</w:t>
            </w:r>
            <w:r w:rsidRPr="001238C6">
              <w:t xml:space="preserve">: </w:t>
            </w:r>
            <w:r>
              <w:t>Department of Health</w:t>
            </w:r>
            <w:r w:rsidRPr="001238C6">
              <w:t xml:space="preserve"> (unpublished) PBS Statistics; table</w:t>
            </w:r>
            <w:r>
              <w:t>s</w:t>
            </w:r>
            <w:r w:rsidRPr="001238C6">
              <w:t xml:space="preserve"> </w:t>
            </w:r>
            <w:r w:rsidR="00C9076B">
              <w:t>10A.</w:t>
            </w:r>
            <w:r>
              <w:t xml:space="preserve">11 and </w:t>
            </w:r>
            <w:r w:rsidR="00C9076B">
              <w:t>10A.</w:t>
            </w:r>
            <w:r>
              <w:t>12</w:t>
            </w:r>
            <w:r w:rsidRPr="001238C6">
              <w:t>.</w:t>
            </w:r>
          </w:p>
        </w:tc>
      </w:tr>
      <w:tr w:rsidR="003019F8" w:rsidTr="003019F8">
        <w:trPr>
          <w:cantSplit/>
        </w:trPr>
        <w:tc>
          <w:tcPr>
            <w:tcW w:w="8771" w:type="dxa"/>
            <w:tcBorders>
              <w:top w:val="nil"/>
              <w:left w:val="nil"/>
              <w:bottom w:val="single" w:sz="6" w:space="0" w:color="78A22F" w:themeColor="accent1"/>
              <w:right w:val="nil"/>
            </w:tcBorders>
            <w:shd w:val="clear" w:color="auto" w:fill="auto"/>
          </w:tcPr>
          <w:p w:rsidR="003019F8" w:rsidRDefault="003019F8" w:rsidP="003019F8">
            <w:pPr>
              <w:pStyle w:val="Box"/>
              <w:spacing w:before="0" w:line="120" w:lineRule="exact"/>
            </w:pPr>
          </w:p>
        </w:tc>
      </w:tr>
      <w:tr w:rsidR="003019F8" w:rsidRPr="000863A5" w:rsidTr="003019F8">
        <w:tc>
          <w:tcPr>
            <w:tcW w:w="8771" w:type="dxa"/>
            <w:tcBorders>
              <w:top w:val="single" w:sz="6" w:space="0" w:color="78A22F" w:themeColor="accent1"/>
              <w:left w:val="nil"/>
              <w:bottom w:val="nil"/>
              <w:right w:val="nil"/>
            </w:tcBorders>
          </w:tcPr>
          <w:p w:rsidR="003019F8" w:rsidRPr="00626D32" w:rsidRDefault="003019F8" w:rsidP="003019F8">
            <w:pPr>
              <w:pStyle w:val="BoxSpaceBelow"/>
            </w:pPr>
          </w:p>
        </w:tc>
      </w:tr>
    </w:tbl>
    <w:p w:rsidR="00A43D54" w:rsidRDefault="00554031" w:rsidP="00554031">
      <w:pPr>
        <w:pStyle w:val="Heading4"/>
      </w:pPr>
      <w:r w:rsidRPr="00554031">
        <w:t>Community health services</w:t>
      </w:r>
    </w:p>
    <w:p w:rsidR="00554031" w:rsidRDefault="00554031" w:rsidP="006A75CD">
      <w:pPr>
        <w:pStyle w:val="BodyText"/>
      </w:pPr>
      <w:r>
        <w:t>The range of community health services available varies considerab</w:t>
      </w:r>
      <w:r w:rsidR="008B6FA4">
        <w:t xml:space="preserve">ly across jurisdictions. </w:t>
      </w:r>
      <w:r w:rsidR="008B6FA4" w:rsidRPr="00EC7D14">
        <w:t>Tables </w:t>
      </w:r>
      <w:r w:rsidR="00C9076B">
        <w:t>10A.</w:t>
      </w:r>
      <w:r w:rsidR="00FD3321">
        <w:t>10</w:t>
      </w:r>
      <w:r w:rsidR="00F4663E">
        <w:t>7</w:t>
      </w:r>
      <w:r w:rsidR="00E31E46" w:rsidRPr="00EC7D14">
        <w:t>–</w:t>
      </w:r>
      <w:r w:rsidR="00C9076B">
        <w:t>10A.</w:t>
      </w:r>
      <w:r w:rsidR="008A25EA">
        <w:t>1</w:t>
      </w:r>
      <w:r w:rsidR="005817CF">
        <w:t>1</w:t>
      </w:r>
      <w:r w:rsidR="00DD4CFE">
        <w:t>5</w:t>
      </w:r>
      <w:r w:rsidR="006F3AE5" w:rsidRPr="00EC7D14">
        <w:t xml:space="preserve"> </w:t>
      </w:r>
      <w:r w:rsidRPr="00EC7D14">
        <w:t>provide</w:t>
      </w:r>
      <w:r>
        <w:t xml:space="preserve"> information on community health programs in each jurisdiction. The </w:t>
      </w:r>
      <w:r w:rsidRPr="00B87582">
        <w:t>more significant of these program</w:t>
      </w:r>
      <w:r w:rsidR="00B87582">
        <w:t xml:space="preserve">s </w:t>
      </w:r>
      <w:r>
        <w:t>are described below. Other community health programs provided by some jurisdictions include:</w:t>
      </w:r>
    </w:p>
    <w:p w:rsidR="00554031" w:rsidRDefault="00554031" w:rsidP="00554031">
      <w:pPr>
        <w:pStyle w:val="ListBullet"/>
      </w:pPr>
      <w:r>
        <w:t>women’s health services that provide services and health promotion programs for</w:t>
      </w:r>
      <w:r w:rsidR="00CD0F1E">
        <w:t xml:space="preserve"> women across a range of health-</w:t>
      </w:r>
      <w:r>
        <w:t>related areas</w:t>
      </w:r>
    </w:p>
    <w:p w:rsidR="00554031" w:rsidRDefault="00627ED5" w:rsidP="00554031">
      <w:pPr>
        <w:pStyle w:val="ListBullet"/>
      </w:pPr>
      <w:r>
        <w:t>men’s health programs</w:t>
      </w:r>
      <w:r w:rsidR="00554031">
        <w:t xml:space="preserve"> </w:t>
      </w:r>
      <w:r>
        <w:t>(</w:t>
      </w:r>
      <w:r w:rsidR="00554031">
        <w:t>mainly promotional and educational programs</w:t>
      </w:r>
      <w:r>
        <w:t>)</w:t>
      </w:r>
    </w:p>
    <w:p w:rsidR="00554031" w:rsidRDefault="00554031" w:rsidP="00554031">
      <w:pPr>
        <w:pStyle w:val="ListBullet"/>
      </w:pPr>
      <w:r>
        <w:t>allied health services</w:t>
      </w:r>
    </w:p>
    <w:p w:rsidR="00554031" w:rsidRDefault="00554031" w:rsidP="00554031">
      <w:pPr>
        <w:pStyle w:val="ListBullet"/>
      </w:pPr>
      <w:r>
        <w:t>community rehabilitation programs.</w:t>
      </w:r>
    </w:p>
    <w:p w:rsidR="00554031" w:rsidRDefault="00554031" w:rsidP="006A75CD">
      <w:pPr>
        <w:pStyle w:val="BodyText"/>
      </w:pPr>
      <w:r>
        <w:t>Community health programs that address mental health, home and community care, and aged care assessments are reported in chapter</w:t>
      </w:r>
      <w:r w:rsidR="00627ED5">
        <w:t>s 12 (</w:t>
      </w:r>
      <w:r w:rsidR="00BA2CB2" w:rsidRPr="004D7297">
        <w:t>Mental health management</w:t>
      </w:r>
      <w:r w:rsidR="00A2574C">
        <w:t xml:space="preserve">), </w:t>
      </w:r>
      <w:r w:rsidR="00627ED5">
        <w:t>13 </w:t>
      </w:r>
      <w:r>
        <w:t>(Aged care</w:t>
      </w:r>
      <w:r w:rsidR="00267380">
        <w:t xml:space="preserve"> services</w:t>
      </w:r>
      <w:r w:rsidR="00A2574C">
        <w:t>) and 14 (Services for people with disability)</w:t>
      </w:r>
      <w:r w:rsidR="002A4BFF">
        <w:t>.</w:t>
      </w:r>
    </w:p>
    <w:p w:rsidR="00554031" w:rsidRDefault="00554031" w:rsidP="00554031">
      <w:pPr>
        <w:pStyle w:val="Heading5"/>
      </w:pPr>
      <w:r>
        <w:t>Maternal and child health</w:t>
      </w:r>
    </w:p>
    <w:p w:rsidR="00554031" w:rsidRDefault="00554031" w:rsidP="00CC4FB1">
      <w:pPr>
        <w:pStyle w:val="BodyText"/>
      </w:pPr>
      <w:r w:rsidRPr="00CC4FB1">
        <w:t>All jurisdictions provide maternal and child health services</w:t>
      </w:r>
      <w:r>
        <w:t xml:space="preserve">. These include: parenting support programs (including antenatal and postnatal programs); early childhood nursing programs; disease prevention programs (including childhood immunisations); and early intervention and treatment programs related to child development and health. Some jurisdictions also provide specialist programs through child health services, including hearing screening programs, and mothers and babies residential programs. Performance </w:t>
      </w:r>
      <w:r>
        <w:lastRenderedPageBreak/>
        <w:t>indicators for maternity services in public hospi</w:t>
      </w:r>
      <w:r w:rsidR="00863E84">
        <w:t>tals are reported in chapter 11</w:t>
      </w:r>
      <w:r w:rsidR="008B6FA4">
        <w:t> </w:t>
      </w:r>
      <w:r>
        <w:t>(Public hospitals).</w:t>
      </w:r>
    </w:p>
    <w:p w:rsidR="00554031" w:rsidRDefault="00554031" w:rsidP="00554031">
      <w:pPr>
        <w:pStyle w:val="Heading5"/>
      </w:pPr>
      <w:r>
        <w:t>Public dental services</w:t>
      </w:r>
    </w:p>
    <w:p w:rsidR="00554031" w:rsidRPr="00E52E8A" w:rsidRDefault="00554031" w:rsidP="00E52E8A">
      <w:pPr>
        <w:pStyle w:val="BodyText"/>
        <w:rPr>
          <w:rStyle w:val="DraftingNote"/>
          <w:b w:val="0"/>
          <w:color w:val="auto"/>
          <w:u w:val="none"/>
        </w:rPr>
      </w:pPr>
      <w:r>
        <w:t>All jurisdictions provide some form of public dental service for primary school children. Some jurisdictions</w:t>
      </w:r>
      <w:r w:rsidR="008C7B1B">
        <w:t xml:space="preserve"> </w:t>
      </w:r>
      <w:r>
        <w:t xml:space="preserve">also provide dental services </w:t>
      </w:r>
      <w:r w:rsidRPr="004D42BF">
        <w:t xml:space="preserve">to </w:t>
      </w:r>
      <w:r w:rsidR="00CC5304" w:rsidRPr="004D42BF">
        <w:t>preschool and</w:t>
      </w:r>
      <w:r w:rsidR="00C75A0C" w:rsidRPr="004D42BF">
        <w:t xml:space="preserve"> </w:t>
      </w:r>
      <w:r w:rsidRPr="004D42BF">
        <w:t>secondary</w:t>
      </w:r>
      <w:r>
        <w:t xml:space="preserve"> school </w:t>
      </w:r>
      <w:r w:rsidRPr="00EC7D14">
        <w:t>students (tables </w:t>
      </w:r>
      <w:r w:rsidR="00C9076B">
        <w:t>10A.</w:t>
      </w:r>
      <w:r w:rsidR="00FD3321">
        <w:t>10</w:t>
      </w:r>
      <w:r w:rsidR="00F4663E">
        <w:t>7</w:t>
      </w:r>
      <w:r w:rsidR="00E31E46" w:rsidRPr="00EC7D14">
        <w:t>–</w:t>
      </w:r>
      <w:r w:rsidR="00C9076B">
        <w:t>10A.</w:t>
      </w:r>
      <w:r w:rsidR="00FD3321">
        <w:t>11</w:t>
      </w:r>
      <w:r w:rsidR="00DD4CFE">
        <w:t>5</w:t>
      </w:r>
      <w:r w:rsidRPr="00EC7D14">
        <w:t>).</w:t>
      </w:r>
    </w:p>
    <w:p w:rsidR="00554031" w:rsidRDefault="00554031" w:rsidP="00CC4FB1">
      <w:pPr>
        <w:pStyle w:val="BodyText"/>
      </w:pPr>
      <w:r>
        <w:t xml:space="preserve">State and </w:t>
      </w:r>
      <w:r w:rsidR="00EA4CFD">
        <w:t>T</w:t>
      </w:r>
      <w:r>
        <w:t>erritor</w:t>
      </w:r>
      <w:r w:rsidR="00EA4CFD">
        <w:t>y governments</w:t>
      </w:r>
      <w:r w:rsidR="00705709">
        <w:t xml:space="preserve"> </w:t>
      </w:r>
      <w:r>
        <w:t>also provide some general dental services and a limited range of specialist dental se</w:t>
      </w:r>
      <w:r w:rsidR="00EA4CFD">
        <w:t xml:space="preserve">rvices to disadvantaged adults who are </w:t>
      </w:r>
      <w:r>
        <w:t>holders of concess</w:t>
      </w:r>
      <w:r w:rsidR="00705709">
        <w:t xml:space="preserve">ion cards issued by Centrelink. </w:t>
      </w:r>
      <w:r w:rsidR="00705709" w:rsidRPr="00CC4FB1">
        <w:t xml:space="preserve">The Australian Government contributes funding </w:t>
      </w:r>
      <w:r w:rsidR="00705709" w:rsidRPr="00BC6119">
        <w:t xml:space="preserve">through </w:t>
      </w:r>
      <w:r w:rsidR="009E358D" w:rsidRPr="00BC6119">
        <w:t>the National Partnership Agreement on Treating More Public Dental Patients.</w:t>
      </w:r>
      <w:r w:rsidR="00705709">
        <w:t xml:space="preserve"> </w:t>
      </w:r>
      <w:r>
        <w:t>In some jurisdictions, specialist dental services are provided mainly by qualified dental specialists; in others, they are provided in dental teaching hospitals as part of training programs for dental specialists (National Advisory Committee on Oral Health </w:t>
      </w:r>
      <w:r w:rsidRPr="00BB1D41">
        <w:t>2004</w:t>
      </w:r>
      <w:r w:rsidRPr="009F5CD3">
        <w:t>).</w:t>
      </w:r>
      <w:r>
        <w:t xml:space="preserve"> </w:t>
      </w:r>
      <w:r w:rsidR="00BD6B6B">
        <w:t>Most</w:t>
      </w:r>
      <w:r>
        <w:t xml:space="preserve"> jurisdictions provided public dental services in</w:t>
      </w:r>
      <w:r w:rsidR="007B6545">
        <w:t xml:space="preserve"> 201</w:t>
      </w:r>
      <w:r w:rsidR="00C83084">
        <w:t>3</w:t>
      </w:r>
      <w:r w:rsidR="007B6545">
        <w:t>-</w:t>
      </w:r>
      <w:r w:rsidR="00C83084">
        <w:t>14</w:t>
      </w:r>
      <w:r>
        <w:t xml:space="preserve"> targeted </w:t>
      </w:r>
      <w:r w:rsidR="00A94000">
        <w:t>at disadvantaged people (tables </w:t>
      </w:r>
      <w:r w:rsidR="00C9076B">
        <w:t>10A.</w:t>
      </w:r>
      <w:r w:rsidR="00FD3321">
        <w:t>10</w:t>
      </w:r>
      <w:r w:rsidR="00F4663E">
        <w:t>7</w:t>
      </w:r>
      <w:r w:rsidR="00E31E46">
        <w:t>–</w:t>
      </w:r>
      <w:r w:rsidR="00C9076B">
        <w:t>10A.</w:t>
      </w:r>
      <w:r w:rsidR="008A25EA">
        <w:t>1</w:t>
      </w:r>
      <w:r w:rsidR="00CD5993">
        <w:t>1</w:t>
      </w:r>
      <w:r w:rsidR="00DD4CFE">
        <w:t>5</w:t>
      </w:r>
      <w:r w:rsidR="005428DE" w:rsidRPr="004D22CA">
        <w:t>)</w:t>
      </w:r>
      <w:r w:rsidR="005428DE">
        <w:t>.</w:t>
      </w:r>
      <w:r w:rsidR="00D86AB7">
        <w:t xml:space="preserve"> </w:t>
      </w:r>
      <w:r w:rsidR="00BB1D41">
        <w:t>C</w:t>
      </w:r>
      <w:r w:rsidR="00863ACF">
        <w:t>urrent</w:t>
      </w:r>
      <w:r w:rsidR="00D86AB7">
        <w:t xml:space="preserve"> data </w:t>
      </w:r>
      <w:r w:rsidR="00863ACF">
        <w:t>are</w:t>
      </w:r>
      <w:r w:rsidR="00D86AB7">
        <w:t xml:space="preserve"> not available for use of public dental services for the 201</w:t>
      </w:r>
      <w:r w:rsidR="00C83084">
        <w:t>5</w:t>
      </w:r>
      <w:r w:rsidR="00D86AB7">
        <w:t xml:space="preserve"> Report</w:t>
      </w:r>
      <w:r w:rsidR="00BB1D41">
        <w:t xml:space="preserve"> — </w:t>
      </w:r>
      <w:r w:rsidR="00BB1D41" w:rsidRPr="007B6545">
        <w:t>2010</w:t>
      </w:r>
      <w:r w:rsidR="00BB1D41" w:rsidRPr="00BB1D41">
        <w:t xml:space="preserve"> </w:t>
      </w:r>
      <w:r w:rsidR="00BB1D41">
        <w:t>data are again reported in table 10.4</w:t>
      </w:r>
      <w:r w:rsidR="00D86AB7">
        <w:t>.</w:t>
      </w:r>
    </w:p>
    <w:p w:rsidR="0003641B" w:rsidRPr="00944E91" w:rsidRDefault="0087629A" w:rsidP="00FD1D1E">
      <w:pPr>
        <w:pStyle w:val="BodyText"/>
      </w:pPr>
      <w:r w:rsidRPr="0094159B">
        <w:t>Nationally</w:t>
      </w:r>
      <w:r w:rsidRPr="007B6545">
        <w:t xml:space="preserve">, </w:t>
      </w:r>
      <w:r w:rsidR="0096064A" w:rsidRPr="007B6545">
        <w:t>74.4</w:t>
      </w:r>
      <w:r w:rsidR="00CB1AD7" w:rsidRPr="007B6545">
        <w:t xml:space="preserve"> public dental services </w:t>
      </w:r>
      <w:r w:rsidR="005403BE" w:rsidRPr="007B6545">
        <w:t xml:space="preserve">were provided per 1000 people </w:t>
      </w:r>
      <w:r w:rsidR="00CB1AD7" w:rsidRPr="007B6545">
        <w:t>in 20</w:t>
      </w:r>
      <w:r w:rsidR="0096064A" w:rsidRPr="007B6545">
        <w:t>1</w:t>
      </w:r>
      <w:r w:rsidR="00CB1AD7" w:rsidRPr="007B6545">
        <w:t>0</w:t>
      </w:r>
      <w:r w:rsidR="00CF0294" w:rsidRPr="007B6545">
        <w:t>. Of these,</w:t>
      </w:r>
      <w:r w:rsidR="00CB1AD7" w:rsidRPr="007B6545">
        <w:t xml:space="preserve"> </w:t>
      </w:r>
      <w:r w:rsidR="005403BE" w:rsidRPr="007B6545">
        <w:t xml:space="preserve">around </w:t>
      </w:r>
      <w:r w:rsidR="0096064A" w:rsidRPr="007B6545">
        <w:t>19.5</w:t>
      </w:r>
      <w:r w:rsidR="005403BE" w:rsidRPr="0094159B">
        <w:t xml:space="preserve"> per cent</w:t>
      </w:r>
      <w:r w:rsidR="00CB1AD7" w:rsidRPr="0094159B">
        <w:t xml:space="preserve"> were emergency ser</w:t>
      </w:r>
      <w:r w:rsidRPr="0094159B">
        <w:t>vices</w:t>
      </w:r>
      <w:r w:rsidR="00AD39A9" w:rsidRPr="0094159B">
        <w:t xml:space="preserve"> (</w:t>
      </w:r>
      <w:r w:rsidR="00897589">
        <w:t>table 10.</w:t>
      </w:r>
      <w:r w:rsidR="009821C3">
        <w:t>4</w:t>
      </w:r>
      <w:r w:rsidR="00AD39A9" w:rsidRPr="0094159B">
        <w:t>)</w:t>
      </w:r>
      <w:r w:rsidR="0094159B">
        <w:t>.</w:t>
      </w:r>
    </w:p>
    <w:p w:rsidR="003019F8" w:rsidRDefault="003019F8" w:rsidP="003019F8">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3019F8" w:rsidTr="003019F8">
        <w:tc>
          <w:tcPr>
            <w:tcW w:w="8771" w:type="dxa"/>
            <w:tcBorders>
              <w:top w:val="single" w:sz="6" w:space="0" w:color="78A22F" w:themeColor="accent1"/>
              <w:left w:val="nil"/>
              <w:bottom w:val="nil"/>
              <w:right w:val="nil"/>
            </w:tcBorders>
            <w:shd w:val="clear" w:color="auto" w:fill="auto"/>
          </w:tcPr>
          <w:p w:rsidR="003019F8" w:rsidRPr="00784A05" w:rsidRDefault="003019F8" w:rsidP="002324BA">
            <w:pPr>
              <w:pStyle w:val="TableTitle"/>
            </w:pPr>
            <w:r>
              <w:rPr>
                <w:b w:val="0"/>
              </w:rPr>
              <w:t>Table 10.</w:t>
            </w:r>
            <w:r w:rsidR="0078724D">
              <w:rPr>
                <w:b w:val="0"/>
                <w:noProof/>
              </w:rPr>
              <w:t>4</w:t>
            </w:r>
            <w:r>
              <w:tab/>
            </w:r>
            <w:r w:rsidR="002324BA" w:rsidRPr="0020036F">
              <w:t xml:space="preserve">Use of public dental services by service type, </w:t>
            </w:r>
            <w:r w:rsidR="002324BA">
              <w:t>p</w:t>
            </w:r>
            <w:r w:rsidR="002324BA" w:rsidRPr="0020036F">
              <w:t xml:space="preserve">er 1000 people, </w:t>
            </w:r>
            <w:r w:rsidR="002324BA" w:rsidRPr="007B6545">
              <w:t>2010</w:t>
            </w:r>
            <w:r w:rsidR="002324BA" w:rsidRPr="007B6545">
              <w:rPr>
                <w:rStyle w:val="NoteLabel"/>
                <w:b/>
              </w:rPr>
              <w:t>a, b</w:t>
            </w:r>
            <w:r w:rsidR="002324BA" w:rsidRPr="0020036F">
              <w:rPr>
                <w:rStyle w:val="NoteLabel"/>
                <w:b/>
              </w:rPr>
              <w:t>, c, d</w:t>
            </w:r>
          </w:p>
        </w:tc>
      </w:tr>
      <w:tr w:rsidR="003019F8" w:rsidTr="003019F8">
        <w:trPr>
          <w:cantSplit/>
        </w:trPr>
        <w:tc>
          <w:tcPr>
            <w:tcW w:w="8771" w:type="dxa"/>
            <w:tcBorders>
              <w:top w:val="nil"/>
              <w:left w:val="nil"/>
              <w:bottom w:val="nil"/>
              <w:right w:val="nil"/>
            </w:tcBorders>
            <w:shd w:val="clear" w:color="auto" w:fill="auto"/>
          </w:tcPr>
          <w:tbl>
            <w:tblPr>
              <w:tblW w:w="5000" w:type="pct"/>
              <w:tblCellMar>
                <w:left w:w="0" w:type="dxa"/>
                <w:right w:w="0" w:type="dxa"/>
              </w:tblCellMar>
              <w:tblLook w:val="0000" w:firstRow="0" w:lastRow="0" w:firstColumn="0" w:lastColumn="0" w:noHBand="0" w:noVBand="0"/>
            </w:tblPr>
            <w:tblGrid>
              <w:gridCol w:w="2021"/>
              <w:gridCol w:w="607"/>
              <w:gridCol w:w="729"/>
              <w:gridCol w:w="729"/>
              <w:gridCol w:w="738"/>
              <w:gridCol w:w="729"/>
              <w:gridCol w:w="738"/>
              <w:gridCol w:w="729"/>
              <w:gridCol w:w="738"/>
              <w:gridCol w:w="729"/>
            </w:tblGrid>
            <w:tr w:rsidR="003019F8" w:rsidRPr="0020036F" w:rsidTr="002279E6">
              <w:tc>
                <w:tcPr>
                  <w:tcW w:w="2127" w:type="dxa"/>
                  <w:tcBorders>
                    <w:top w:val="single" w:sz="6" w:space="0" w:color="BFBFBF"/>
                    <w:bottom w:val="single" w:sz="6" w:space="0" w:color="BFBFBF"/>
                  </w:tcBorders>
                  <w:shd w:val="clear" w:color="auto" w:fill="auto"/>
                </w:tcPr>
                <w:p w:rsidR="003019F8" w:rsidRPr="00944E91" w:rsidRDefault="003019F8" w:rsidP="003019F8">
                  <w:pPr>
                    <w:pStyle w:val="TableColumnHeading"/>
                    <w:rPr>
                      <w:rStyle w:val="NoteLabel"/>
                      <w:b w:val="0"/>
                      <w:position w:val="0"/>
                      <w:sz w:val="20"/>
                    </w:rPr>
                  </w:pPr>
                </w:p>
              </w:tc>
              <w:tc>
                <w:tcPr>
                  <w:tcW w:w="614" w:type="dxa"/>
                  <w:tcBorders>
                    <w:top w:val="single" w:sz="6" w:space="0" w:color="BFBFBF"/>
                    <w:bottom w:val="single" w:sz="6" w:space="0" w:color="BFBFBF"/>
                  </w:tcBorders>
                  <w:shd w:val="clear" w:color="auto" w:fill="auto"/>
                </w:tcPr>
                <w:p w:rsidR="003019F8" w:rsidRPr="007A0995" w:rsidRDefault="003019F8" w:rsidP="003019F8">
                  <w:pPr>
                    <w:pStyle w:val="TableColumnHeading"/>
                  </w:pPr>
                  <w:r w:rsidRPr="007A0995">
                    <w:t>NSW</w:t>
                  </w:r>
                </w:p>
              </w:tc>
              <w:tc>
                <w:tcPr>
                  <w:tcW w:w="756" w:type="dxa"/>
                  <w:tcBorders>
                    <w:top w:val="single" w:sz="6" w:space="0" w:color="BFBFBF"/>
                    <w:bottom w:val="single" w:sz="6" w:space="0" w:color="BFBFBF"/>
                  </w:tcBorders>
                  <w:shd w:val="clear" w:color="auto" w:fill="auto"/>
                </w:tcPr>
                <w:p w:rsidR="003019F8" w:rsidRPr="007A0995" w:rsidRDefault="003019F8" w:rsidP="003019F8">
                  <w:pPr>
                    <w:pStyle w:val="TableColumnHeading"/>
                  </w:pPr>
                  <w:r w:rsidRPr="007A0995">
                    <w:t>Vic</w:t>
                  </w:r>
                </w:p>
              </w:tc>
              <w:tc>
                <w:tcPr>
                  <w:tcW w:w="756" w:type="dxa"/>
                  <w:tcBorders>
                    <w:top w:val="single" w:sz="6" w:space="0" w:color="BFBFBF"/>
                    <w:bottom w:val="single" w:sz="6" w:space="0" w:color="BFBFBF"/>
                  </w:tcBorders>
                  <w:shd w:val="clear" w:color="auto" w:fill="auto"/>
                </w:tcPr>
                <w:p w:rsidR="003019F8" w:rsidRPr="007A0995" w:rsidRDefault="003019F8" w:rsidP="003019F8">
                  <w:pPr>
                    <w:pStyle w:val="TableColumnHeading"/>
                  </w:pPr>
                  <w:r w:rsidRPr="007A0995">
                    <w:t>Qld</w:t>
                  </w:r>
                </w:p>
              </w:tc>
              <w:tc>
                <w:tcPr>
                  <w:tcW w:w="756" w:type="dxa"/>
                  <w:tcBorders>
                    <w:top w:val="single" w:sz="6" w:space="0" w:color="BFBFBF"/>
                    <w:bottom w:val="single" w:sz="6" w:space="0" w:color="BFBFBF"/>
                  </w:tcBorders>
                  <w:shd w:val="clear" w:color="auto" w:fill="auto"/>
                </w:tcPr>
                <w:p w:rsidR="003019F8" w:rsidRPr="007A0995" w:rsidRDefault="003019F8" w:rsidP="003019F8">
                  <w:pPr>
                    <w:pStyle w:val="TableColumnHeading"/>
                  </w:pPr>
                  <w:r w:rsidRPr="007A0995">
                    <w:t>WA</w:t>
                  </w:r>
                </w:p>
              </w:tc>
              <w:tc>
                <w:tcPr>
                  <w:tcW w:w="756" w:type="dxa"/>
                  <w:tcBorders>
                    <w:top w:val="single" w:sz="6" w:space="0" w:color="BFBFBF"/>
                    <w:bottom w:val="single" w:sz="6" w:space="0" w:color="BFBFBF"/>
                  </w:tcBorders>
                  <w:shd w:val="clear" w:color="auto" w:fill="auto"/>
                </w:tcPr>
                <w:p w:rsidR="003019F8" w:rsidRPr="007A0995" w:rsidRDefault="003019F8" w:rsidP="003019F8">
                  <w:pPr>
                    <w:pStyle w:val="TableColumnHeading"/>
                  </w:pPr>
                  <w:r w:rsidRPr="007A0995">
                    <w:t>SA</w:t>
                  </w:r>
                </w:p>
              </w:tc>
              <w:tc>
                <w:tcPr>
                  <w:tcW w:w="756" w:type="dxa"/>
                  <w:tcBorders>
                    <w:top w:val="single" w:sz="6" w:space="0" w:color="BFBFBF"/>
                    <w:bottom w:val="single" w:sz="6" w:space="0" w:color="BFBFBF"/>
                  </w:tcBorders>
                  <w:shd w:val="clear" w:color="auto" w:fill="auto"/>
                </w:tcPr>
                <w:p w:rsidR="003019F8" w:rsidRPr="007A0995" w:rsidRDefault="003019F8" w:rsidP="003019F8">
                  <w:pPr>
                    <w:pStyle w:val="TableColumnHeading"/>
                  </w:pPr>
                  <w:r w:rsidRPr="007A0995">
                    <w:t>Tas</w:t>
                  </w:r>
                </w:p>
              </w:tc>
              <w:tc>
                <w:tcPr>
                  <w:tcW w:w="756" w:type="dxa"/>
                  <w:tcBorders>
                    <w:top w:val="single" w:sz="6" w:space="0" w:color="BFBFBF"/>
                    <w:bottom w:val="single" w:sz="6" w:space="0" w:color="BFBFBF"/>
                  </w:tcBorders>
                  <w:shd w:val="clear" w:color="auto" w:fill="auto"/>
                </w:tcPr>
                <w:p w:rsidR="003019F8" w:rsidRPr="007A0995" w:rsidRDefault="003019F8" w:rsidP="003019F8">
                  <w:pPr>
                    <w:pStyle w:val="TableColumnHeading"/>
                  </w:pPr>
                  <w:r w:rsidRPr="007A0995">
                    <w:t>ACT</w:t>
                  </w:r>
                </w:p>
              </w:tc>
              <w:tc>
                <w:tcPr>
                  <w:tcW w:w="756" w:type="dxa"/>
                  <w:tcBorders>
                    <w:top w:val="single" w:sz="6" w:space="0" w:color="BFBFBF"/>
                    <w:bottom w:val="single" w:sz="6" w:space="0" w:color="BFBFBF"/>
                  </w:tcBorders>
                  <w:shd w:val="clear" w:color="auto" w:fill="auto"/>
                </w:tcPr>
                <w:p w:rsidR="003019F8" w:rsidRPr="007A0995" w:rsidRDefault="003019F8" w:rsidP="003019F8">
                  <w:pPr>
                    <w:pStyle w:val="TableColumnHeading"/>
                  </w:pPr>
                  <w:r w:rsidRPr="007A0995">
                    <w:t>NT</w:t>
                  </w:r>
                </w:p>
              </w:tc>
              <w:tc>
                <w:tcPr>
                  <w:tcW w:w="756" w:type="dxa"/>
                  <w:tcBorders>
                    <w:top w:val="single" w:sz="6" w:space="0" w:color="BFBFBF"/>
                    <w:bottom w:val="single" w:sz="6" w:space="0" w:color="BFBFBF"/>
                  </w:tcBorders>
                  <w:shd w:val="clear" w:color="auto" w:fill="auto"/>
                </w:tcPr>
                <w:p w:rsidR="003019F8" w:rsidRPr="007A0995" w:rsidRDefault="003019F8" w:rsidP="003019F8">
                  <w:pPr>
                    <w:pStyle w:val="TableColumnHeading"/>
                  </w:pPr>
                  <w:r w:rsidRPr="007A0995">
                    <w:t>Aust</w:t>
                  </w:r>
                </w:p>
              </w:tc>
            </w:tr>
            <w:tr w:rsidR="003019F8" w:rsidRPr="00F828ED" w:rsidTr="006E4242">
              <w:tc>
                <w:tcPr>
                  <w:tcW w:w="2127" w:type="dxa"/>
                  <w:tcBorders>
                    <w:top w:val="single" w:sz="6" w:space="0" w:color="BFBFBF"/>
                  </w:tcBorders>
                </w:tcPr>
                <w:p w:rsidR="003019F8" w:rsidRPr="00F828ED" w:rsidRDefault="003019F8" w:rsidP="003019F8">
                  <w:pPr>
                    <w:pStyle w:val="TableBodyText"/>
                    <w:spacing w:afterLines="40" w:after="96"/>
                    <w:jc w:val="left"/>
                  </w:pPr>
                  <w:r w:rsidRPr="00F828ED">
                    <w:t>Emergency services</w:t>
                  </w:r>
                  <w:r w:rsidRPr="00F828ED">
                    <w:rPr>
                      <w:rStyle w:val="NoteLabel"/>
                    </w:rPr>
                    <w:t>e</w:t>
                  </w:r>
                </w:p>
              </w:tc>
              <w:tc>
                <w:tcPr>
                  <w:tcW w:w="614" w:type="dxa"/>
                  <w:tcBorders>
                    <w:top w:val="single" w:sz="6" w:space="0" w:color="BFBFBF"/>
                  </w:tcBorders>
                  <w:shd w:val="clear" w:color="auto" w:fill="auto"/>
                  <w:vAlign w:val="bottom"/>
                </w:tcPr>
                <w:p w:rsidR="003019F8" w:rsidRPr="00F828ED" w:rsidRDefault="003019F8" w:rsidP="003019F8">
                  <w:pPr>
                    <w:pStyle w:val="TableBodyText"/>
                    <w:spacing w:afterLines="40" w:after="96"/>
                  </w:pPr>
                  <w:r w:rsidRPr="00F828ED">
                    <w:t>9.6</w:t>
                  </w:r>
                </w:p>
              </w:tc>
              <w:tc>
                <w:tcPr>
                  <w:tcW w:w="756" w:type="dxa"/>
                  <w:tcBorders>
                    <w:top w:val="single" w:sz="6" w:space="0" w:color="BFBFBF"/>
                  </w:tcBorders>
                  <w:shd w:val="clear" w:color="auto" w:fill="auto"/>
                  <w:vAlign w:val="bottom"/>
                </w:tcPr>
                <w:p w:rsidR="003019F8" w:rsidRPr="00F828ED" w:rsidRDefault="003019F8" w:rsidP="003019F8">
                  <w:pPr>
                    <w:pStyle w:val="TableBodyText"/>
                    <w:spacing w:afterLines="40" w:after="96"/>
                  </w:pPr>
                  <w:r w:rsidRPr="00F828ED">
                    <w:t>10.4</w:t>
                  </w:r>
                </w:p>
              </w:tc>
              <w:tc>
                <w:tcPr>
                  <w:tcW w:w="756" w:type="dxa"/>
                  <w:tcBorders>
                    <w:top w:val="single" w:sz="6" w:space="0" w:color="BFBFBF"/>
                  </w:tcBorders>
                  <w:shd w:val="clear" w:color="auto" w:fill="auto"/>
                  <w:vAlign w:val="bottom"/>
                </w:tcPr>
                <w:p w:rsidR="003019F8" w:rsidRPr="00F828ED" w:rsidRDefault="003019F8" w:rsidP="003019F8">
                  <w:pPr>
                    <w:pStyle w:val="TableBodyText"/>
                    <w:spacing w:afterLines="40" w:after="96"/>
                  </w:pPr>
                  <w:r w:rsidRPr="00F828ED">
                    <w:t>26.9</w:t>
                  </w:r>
                </w:p>
              </w:tc>
              <w:tc>
                <w:tcPr>
                  <w:tcW w:w="756" w:type="dxa"/>
                  <w:tcBorders>
                    <w:top w:val="single" w:sz="6" w:space="0" w:color="BFBFBF"/>
                  </w:tcBorders>
                  <w:shd w:val="clear" w:color="auto" w:fill="auto"/>
                  <w:vAlign w:val="bottom"/>
                </w:tcPr>
                <w:p w:rsidR="003019F8" w:rsidRPr="00F828ED" w:rsidRDefault="003019F8" w:rsidP="003019F8">
                  <w:pPr>
                    <w:pStyle w:val="TableBodyText"/>
                    <w:spacing w:afterLines="40" w:after="96"/>
                  </w:pPr>
                  <w:r w:rsidRPr="00F828ED">
                    <w:t>12.4</w:t>
                  </w:r>
                </w:p>
              </w:tc>
              <w:tc>
                <w:tcPr>
                  <w:tcW w:w="756" w:type="dxa"/>
                  <w:tcBorders>
                    <w:top w:val="single" w:sz="6" w:space="0" w:color="BFBFBF"/>
                  </w:tcBorders>
                  <w:shd w:val="clear" w:color="auto" w:fill="auto"/>
                  <w:vAlign w:val="bottom"/>
                </w:tcPr>
                <w:p w:rsidR="003019F8" w:rsidRPr="00F828ED" w:rsidRDefault="003019F8" w:rsidP="003019F8">
                  <w:pPr>
                    <w:pStyle w:val="TableBodyText"/>
                    <w:spacing w:afterLines="40" w:after="96"/>
                  </w:pPr>
                  <w:r w:rsidRPr="00F828ED">
                    <w:t>13.3</w:t>
                  </w:r>
                </w:p>
              </w:tc>
              <w:tc>
                <w:tcPr>
                  <w:tcW w:w="756" w:type="dxa"/>
                  <w:tcBorders>
                    <w:top w:val="single" w:sz="6" w:space="0" w:color="BFBFBF"/>
                  </w:tcBorders>
                  <w:shd w:val="clear" w:color="auto" w:fill="auto"/>
                  <w:vAlign w:val="bottom"/>
                </w:tcPr>
                <w:p w:rsidR="003019F8" w:rsidRPr="00F828ED" w:rsidRDefault="003019F8" w:rsidP="003019F8">
                  <w:pPr>
                    <w:pStyle w:val="TableBodyText"/>
                    <w:spacing w:afterLines="40" w:after="96"/>
                  </w:pPr>
                  <w:r w:rsidRPr="00F828ED">
                    <w:t>29.3</w:t>
                  </w:r>
                </w:p>
              </w:tc>
              <w:tc>
                <w:tcPr>
                  <w:tcW w:w="756" w:type="dxa"/>
                  <w:tcBorders>
                    <w:top w:val="single" w:sz="6" w:space="0" w:color="BFBFBF"/>
                  </w:tcBorders>
                  <w:shd w:val="clear" w:color="auto" w:fill="auto"/>
                  <w:vAlign w:val="bottom"/>
                </w:tcPr>
                <w:p w:rsidR="003019F8" w:rsidRPr="00F828ED" w:rsidRDefault="003019F8" w:rsidP="003019F8">
                  <w:pPr>
                    <w:pStyle w:val="TableBodyText"/>
                    <w:spacing w:afterLines="40" w:after="96"/>
                  </w:pPr>
                  <w:r w:rsidRPr="00F828ED">
                    <w:t>14.6</w:t>
                  </w:r>
                </w:p>
              </w:tc>
              <w:tc>
                <w:tcPr>
                  <w:tcW w:w="756" w:type="dxa"/>
                  <w:tcBorders>
                    <w:top w:val="single" w:sz="6" w:space="0" w:color="BFBFBF"/>
                  </w:tcBorders>
                  <w:shd w:val="clear" w:color="auto" w:fill="auto"/>
                  <w:vAlign w:val="bottom"/>
                </w:tcPr>
                <w:p w:rsidR="003019F8" w:rsidRPr="00F828ED" w:rsidRDefault="003019F8" w:rsidP="003019F8">
                  <w:pPr>
                    <w:pStyle w:val="TableBodyText"/>
                    <w:spacing w:afterLines="40" w:after="96"/>
                  </w:pPr>
                  <w:r w:rsidRPr="00F828ED">
                    <w:t>25.6</w:t>
                  </w:r>
                </w:p>
              </w:tc>
              <w:tc>
                <w:tcPr>
                  <w:tcW w:w="756" w:type="dxa"/>
                  <w:tcBorders>
                    <w:top w:val="single" w:sz="6" w:space="0" w:color="BFBFBF"/>
                  </w:tcBorders>
                  <w:shd w:val="clear" w:color="auto" w:fill="auto"/>
                  <w:vAlign w:val="bottom"/>
                </w:tcPr>
                <w:p w:rsidR="003019F8" w:rsidRPr="00F828ED" w:rsidRDefault="003019F8" w:rsidP="003019F8">
                  <w:pPr>
                    <w:pStyle w:val="TableBodyText"/>
                    <w:spacing w:afterLines="40" w:after="96"/>
                  </w:pPr>
                  <w:r w:rsidRPr="00F828ED">
                    <w:t>14.5</w:t>
                  </w:r>
                </w:p>
              </w:tc>
            </w:tr>
            <w:tr w:rsidR="003019F8" w:rsidRPr="00F828ED" w:rsidTr="006E4242">
              <w:tc>
                <w:tcPr>
                  <w:tcW w:w="2127" w:type="dxa"/>
                </w:tcPr>
                <w:p w:rsidR="003019F8" w:rsidRPr="00F828ED" w:rsidRDefault="003019F8" w:rsidP="003019F8">
                  <w:pPr>
                    <w:pStyle w:val="TableBodyText"/>
                    <w:spacing w:afterLines="40" w:after="96"/>
                    <w:jc w:val="left"/>
                  </w:pPr>
                  <w:r w:rsidRPr="00F828ED">
                    <w:t>General services</w:t>
                  </w:r>
                </w:p>
              </w:tc>
              <w:tc>
                <w:tcPr>
                  <w:tcW w:w="614" w:type="dxa"/>
                  <w:shd w:val="clear" w:color="auto" w:fill="auto"/>
                  <w:vAlign w:val="bottom"/>
                </w:tcPr>
                <w:p w:rsidR="003019F8" w:rsidRPr="00F828ED" w:rsidRDefault="003019F8" w:rsidP="003019F8">
                  <w:pPr>
                    <w:pStyle w:val="TableBodyText"/>
                    <w:spacing w:afterLines="40" w:after="96"/>
                  </w:pPr>
                  <w:r w:rsidRPr="00F828ED">
                    <w:t>34.1</w:t>
                  </w:r>
                </w:p>
              </w:tc>
              <w:tc>
                <w:tcPr>
                  <w:tcW w:w="756" w:type="dxa"/>
                  <w:shd w:val="clear" w:color="auto" w:fill="auto"/>
                  <w:vAlign w:val="bottom"/>
                </w:tcPr>
                <w:p w:rsidR="003019F8" w:rsidRPr="00F828ED" w:rsidRDefault="003019F8" w:rsidP="003019F8">
                  <w:pPr>
                    <w:pStyle w:val="TableBodyText"/>
                    <w:spacing w:afterLines="40" w:after="96"/>
                  </w:pPr>
                  <w:r w:rsidRPr="00F828ED">
                    <w:t>45.0</w:t>
                  </w:r>
                </w:p>
              </w:tc>
              <w:tc>
                <w:tcPr>
                  <w:tcW w:w="756" w:type="dxa"/>
                  <w:shd w:val="clear" w:color="auto" w:fill="auto"/>
                  <w:vAlign w:val="bottom"/>
                </w:tcPr>
                <w:p w:rsidR="003019F8" w:rsidRPr="00F828ED" w:rsidRDefault="003019F8" w:rsidP="003019F8">
                  <w:pPr>
                    <w:pStyle w:val="TableBodyText"/>
                    <w:spacing w:afterLines="40" w:after="96"/>
                  </w:pPr>
                  <w:r w:rsidRPr="00F828ED">
                    <w:t>71.0</w:t>
                  </w:r>
                </w:p>
              </w:tc>
              <w:tc>
                <w:tcPr>
                  <w:tcW w:w="756" w:type="dxa"/>
                  <w:shd w:val="clear" w:color="auto" w:fill="auto"/>
                  <w:vAlign w:val="bottom"/>
                </w:tcPr>
                <w:p w:rsidR="003019F8" w:rsidRPr="00F828ED" w:rsidRDefault="003019F8" w:rsidP="003019F8">
                  <w:pPr>
                    <w:pStyle w:val="TableBodyText"/>
                    <w:spacing w:afterLines="40" w:after="96"/>
                  </w:pPr>
                  <w:r w:rsidRPr="00F828ED">
                    <w:t>113.6</w:t>
                  </w:r>
                </w:p>
              </w:tc>
              <w:tc>
                <w:tcPr>
                  <w:tcW w:w="756" w:type="dxa"/>
                  <w:shd w:val="clear" w:color="auto" w:fill="auto"/>
                  <w:vAlign w:val="bottom"/>
                </w:tcPr>
                <w:p w:rsidR="003019F8" w:rsidRPr="00F828ED" w:rsidRDefault="003019F8" w:rsidP="003019F8">
                  <w:pPr>
                    <w:pStyle w:val="TableBodyText"/>
                    <w:spacing w:afterLines="40" w:after="96"/>
                  </w:pPr>
                  <w:r w:rsidRPr="00F828ED">
                    <w:t>84.1</w:t>
                  </w:r>
                </w:p>
              </w:tc>
              <w:tc>
                <w:tcPr>
                  <w:tcW w:w="756" w:type="dxa"/>
                  <w:shd w:val="clear" w:color="auto" w:fill="auto"/>
                  <w:vAlign w:val="bottom"/>
                </w:tcPr>
                <w:p w:rsidR="003019F8" w:rsidRPr="00F828ED" w:rsidRDefault="003019F8" w:rsidP="003019F8">
                  <w:pPr>
                    <w:pStyle w:val="TableBodyText"/>
                    <w:spacing w:afterLines="40" w:after="96"/>
                  </w:pPr>
                  <w:r w:rsidRPr="00F828ED">
                    <w:t>106.2</w:t>
                  </w:r>
                </w:p>
              </w:tc>
              <w:tc>
                <w:tcPr>
                  <w:tcW w:w="756" w:type="dxa"/>
                  <w:shd w:val="clear" w:color="auto" w:fill="auto"/>
                  <w:vAlign w:val="bottom"/>
                </w:tcPr>
                <w:p w:rsidR="003019F8" w:rsidRPr="00F828ED" w:rsidRDefault="003019F8" w:rsidP="003019F8">
                  <w:pPr>
                    <w:pStyle w:val="TableBodyText"/>
                    <w:spacing w:afterLines="40" w:after="96"/>
                  </w:pPr>
                  <w:r w:rsidRPr="00F828ED">
                    <w:t>81.7</w:t>
                  </w:r>
                </w:p>
              </w:tc>
              <w:tc>
                <w:tcPr>
                  <w:tcW w:w="756" w:type="dxa"/>
                  <w:shd w:val="clear" w:color="auto" w:fill="auto"/>
                  <w:vAlign w:val="bottom"/>
                </w:tcPr>
                <w:p w:rsidR="003019F8" w:rsidRPr="00F828ED" w:rsidRDefault="003019F8" w:rsidP="003019F8">
                  <w:pPr>
                    <w:pStyle w:val="TableBodyText"/>
                    <w:spacing w:afterLines="40" w:after="96"/>
                  </w:pPr>
                  <w:r w:rsidRPr="00F828ED">
                    <w:t>157.7</w:t>
                  </w:r>
                </w:p>
              </w:tc>
              <w:tc>
                <w:tcPr>
                  <w:tcW w:w="756" w:type="dxa"/>
                  <w:shd w:val="clear" w:color="auto" w:fill="auto"/>
                  <w:vAlign w:val="bottom"/>
                </w:tcPr>
                <w:p w:rsidR="003019F8" w:rsidRPr="00F828ED" w:rsidRDefault="003019F8" w:rsidP="003019F8">
                  <w:pPr>
                    <w:pStyle w:val="TableBodyText"/>
                    <w:spacing w:afterLines="40" w:after="96"/>
                  </w:pPr>
                  <w:r w:rsidRPr="00F828ED">
                    <w:t>59.9</w:t>
                  </w:r>
                </w:p>
              </w:tc>
            </w:tr>
            <w:tr w:rsidR="003019F8" w:rsidRPr="00F828ED" w:rsidTr="006E4242">
              <w:tc>
                <w:tcPr>
                  <w:tcW w:w="2127" w:type="dxa"/>
                  <w:tcBorders>
                    <w:bottom w:val="single" w:sz="6" w:space="0" w:color="BFBFBF"/>
                  </w:tcBorders>
                  <w:shd w:val="clear" w:color="auto" w:fill="auto"/>
                </w:tcPr>
                <w:p w:rsidR="003019F8" w:rsidRPr="00F828ED" w:rsidRDefault="003019F8" w:rsidP="003019F8">
                  <w:pPr>
                    <w:pStyle w:val="TableBodyText"/>
                    <w:spacing w:afterLines="40" w:after="96"/>
                    <w:jc w:val="left"/>
                  </w:pPr>
                  <w:r w:rsidRPr="00F828ED">
                    <w:t>All services</w:t>
                  </w:r>
                </w:p>
              </w:tc>
              <w:tc>
                <w:tcPr>
                  <w:tcW w:w="614" w:type="dxa"/>
                  <w:tcBorders>
                    <w:bottom w:val="single" w:sz="6" w:space="0" w:color="BFBFBF"/>
                  </w:tcBorders>
                  <w:shd w:val="clear" w:color="auto" w:fill="auto"/>
                  <w:vAlign w:val="bottom"/>
                </w:tcPr>
                <w:p w:rsidR="003019F8" w:rsidRPr="00F828ED" w:rsidRDefault="003019F8" w:rsidP="003019F8">
                  <w:pPr>
                    <w:pStyle w:val="TableBodyText"/>
                    <w:spacing w:afterLines="40" w:after="96"/>
                  </w:pPr>
                  <w:r w:rsidRPr="00F828ED">
                    <w:t>43.7</w:t>
                  </w:r>
                </w:p>
              </w:tc>
              <w:tc>
                <w:tcPr>
                  <w:tcW w:w="756" w:type="dxa"/>
                  <w:tcBorders>
                    <w:bottom w:val="single" w:sz="6" w:space="0" w:color="BFBFBF"/>
                  </w:tcBorders>
                  <w:shd w:val="clear" w:color="auto" w:fill="auto"/>
                  <w:vAlign w:val="bottom"/>
                </w:tcPr>
                <w:p w:rsidR="003019F8" w:rsidRPr="00F828ED" w:rsidRDefault="003019F8" w:rsidP="003019F8">
                  <w:pPr>
                    <w:pStyle w:val="TableBodyText"/>
                    <w:spacing w:afterLines="40" w:after="96"/>
                  </w:pPr>
                  <w:r w:rsidRPr="00F828ED">
                    <w:t>55.4</w:t>
                  </w:r>
                </w:p>
              </w:tc>
              <w:tc>
                <w:tcPr>
                  <w:tcW w:w="756" w:type="dxa"/>
                  <w:tcBorders>
                    <w:bottom w:val="single" w:sz="6" w:space="0" w:color="BFBFBF"/>
                  </w:tcBorders>
                  <w:shd w:val="clear" w:color="auto" w:fill="auto"/>
                  <w:vAlign w:val="bottom"/>
                </w:tcPr>
                <w:p w:rsidR="003019F8" w:rsidRPr="00F828ED" w:rsidRDefault="003019F8" w:rsidP="003019F8">
                  <w:pPr>
                    <w:pStyle w:val="TableBodyText"/>
                    <w:spacing w:afterLines="40" w:after="96"/>
                  </w:pPr>
                  <w:r w:rsidRPr="00F828ED">
                    <w:t>97.9</w:t>
                  </w:r>
                </w:p>
              </w:tc>
              <w:tc>
                <w:tcPr>
                  <w:tcW w:w="756" w:type="dxa"/>
                  <w:tcBorders>
                    <w:bottom w:val="single" w:sz="6" w:space="0" w:color="BFBFBF"/>
                  </w:tcBorders>
                  <w:shd w:val="clear" w:color="auto" w:fill="auto"/>
                  <w:vAlign w:val="bottom"/>
                </w:tcPr>
                <w:p w:rsidR="003019F8" w:rsidRPr="00F828ED" w:rsidRDefault="003019F8" w:rsidP="003019F8">
                  <w:pPr>
                    <w:pStyle w:val="TableBodyText"/>
                    <w:spacing w:afterLines="40" w:after="96"/>
                  </w:pPr>
                  <w:r w:rsidRPr="00F828ED">
                    <w:t>126.0</w:t>
                  </w:r>
                </w:p>
              </w:tc>
              <w:tc>
                <w:tcPr>
                  <w:tcW w:w="756" w:type="dxa"/>
                  <w:tcBorders>
                    <w:bottom w:val="single" w:sz="6" w:space="0" w:color="BFBFBF"/>
                  </w:tcBorders>
                  <w:shd w:val="clear" w:color="auto" w:fill="auto"/>
                  <w:vAlign w:val="bottom"/>
                </w:tcPr>
                <w:p w:rsidR="003019F8" w:rsidRPr="00F828ED" w:rsidRDefault="003019F8" w:rsidP="003019F8">
                  <w:pPr>
                    <w:pStyle w:val="TableBodyText"/>
                    <w:spacing w:afterLines="40" w:after="96"/>
                  </w:pPr>
                  <w:r w:rsidRPr="00F828ED">
                    <w:t>97.3</w:t>
                  </w:r>
                </w:p>
              </w:tc>
              <w:tc>
                <w:tcPr>
                  <w:tcW w:w="756" w:type="dxa"/>
                  <w:tcBorders>
                    <w:bottom w:val="single" w:sz="6" w:space="0" w:color="BFBFBF"/>
                  </w:tcBorders>
                  <w:shd w:val="clear" w:color="auto" w:fill="auto"/>
                  <w:vAlign w:val="bottom"/>
                </w:tcPr>
                <w:p w:rsidR="003019F8" w:rsidRPr="00F828ED" w:rsidRDefault="003019F8" w:rsidP="003019F8">
                  <w:pPr>
                    <w:pStyle w:val="TableBodyText"/>
                    <w:spacing w:afterLines="40" w:after="96"/>
                  </w:pPr>
                  <w:r w:rsidRPr="00F828ED">
                    <w:t>135.4</w:t>
                  </w:r>
                </w:p>
              </w:tc>
              <w:tc>
                <w:tcPr>
                  <w:tcW w:w="756" w:type="dxa"/>
                  <w:tcBorders>
                    <w:bottom w:val="single" w:sz="6" w:space="0" w:color="BFBFBF"/>
                  </w:tcBorders>
                  <w:shd w:val="clear" w:color="auto" w:fill="auto"/>
                  <w:vAlign w:val="bottom"/>
                </w:tcPr>
                <w:p w:rsidR="003019F8" w:rsidRPr="00F828ED" w:rsidRDefault="003019F8" w:rsidP="003019F8">
                  <w:pPr>
                    <w:pStyle w:val="TableBodyText"/>
                    <w:spacing w:afterLines="40" w:after="96"/>
                  </w:pPr>
                  <w:r w:rsidRPr="00F828ED">
                    <w:t>96.3</w:t>
                  </w:r>
                </w:p>
              </w:tc>
              <w:tc>
                <w:tcPr>
                  <w:tcW w:w="756" w:type="dxa"/>
                  <w:tcBorders>
                    <w:bottom w:val="single" w:sz="6" w:space="0" w:color="BFBFBF"/>
                  </w:tcBorders>
                  <w:shd w:val="clear" w:color="auto" w:fill="auto"/>
                  <w:vAlign w:val="bottom"/>
                </w:tcPr>
                <w:p w:rsidR="003019F8" w:rsidRPr="00F828ED" w:rsidRDefault="003019F8" w:rsidP="003019F8">
                  <w:pPr>
                    <w:pStyle w:val="TableBodyText"/>
                    <w:spacing w:afterLines="40" w:after="96"/>
                  </w:pPr>
                  <w:r w:rsidRPr="00F828ED">
                    <w:t>183.3</w:t>
                  </w:r>
                </w:p>
              </w:tc>
              <w:tc>
                <w:tcPr>
                  <w:tcW w:w="756" w:type="dxa"/>
                  <w:tcBorders>
                    <w:bottom w:val="single" w:sz="6" w:space="0" w:color="BFBFBF"/>
                  </w:tcBorders>
                  <w:shd w:val="clear" w:color="auto" w:fill="auto"/>
                  <w:vAlign w:val="bottom"/>
                </w:tcPr>
                <w:p w:rsidR="003019F8" w:rsidRPr="00F828ED" w:rsidRDefault="003019F8" w:rsidP="003019F8">
                  <w:pPr>
                    <w:pStyle w:val="TableBodyText"/>
                    <w:spacing w:afterLines="40" w:after="96"/>
                  </w:pPr>
                  <w:r w:rsidRPr="00F828ED">
                    <w:t>74.4</w:t>
                  </w:r>
                </w:p>
              </w:tc>
            </w:tr>
          </w:tbl>
          <w:p w:rsidR="003019F8" w:rsidRDefault="003019F8" w:rsidP="003019F8">
            <w:pPr>
              <w:pStyle w:val="Box"/>
            </w:pPr>
          </w:p>
        </w:tc>
      </w:tr>
      <w:tr w:rsidR="003019F8" w:rsidTr="003019F8">
        <w:trPr>
          <w:cantSplit/>
        </w:trPr>
        <w:tc>
          <w:tcPr>
            <w:tcW w:w="8771" w:type="dxa"/>
            <w:tcBorders>
              <w:top w:val="nil"/>
              <w:left w:val="nil"/>
              <w:bottom w:val="nil"/>
              <w:right w:val="nil"/>
            </w:tcBorders>
            <w:shd w:val="clear" w:color="auto" w:fill="auto"/>
          </w:tcPr>
          <w:p w:rsidR="003019F8" w:rsidRPr="003019F8" w:rsidRDefault="003019F8" w:rsidP="003019F8">
            <w:pPr>
              <w:pStyle w:val="Note"/>
              <w:keepNext/>
            </w:pPr>
            <w:r w:rsidRPr="0020036F">
              <w:rPr>
                <w:rStyle w:val="NoteLabel"/>
              </w:rPr>
              <w:t>a</w:t>
            </w:r>
            <w:r w:rsidRPr="0020036F">
              <w:rPr>
                <w:rFonts w:ascii="Times New Roman" w:hAnsi="Times New Roman"/>
                <w:b/>
                <w:sz w:val="26"/>
              </w:rPr>
              <w:t xml:space="preserve"> </w:t>
            </w:r>
            <w:r w:rsidRPr="0020036F">
              <w:t xml:space="preserve">Rates are age standardised to the Australian population at 30 June 2001. </w:t>
            </w:r>
            <w:r w:rsidRPr="0020036F">
              <w:rPr>
                <w:rStyle w:val="NoteLabel"/>
              </w:rPr>
              <w:t>b</w:t>
            </w:r>
            <w:r w:rsidRPr="0020036F">
              <w:t xml:space="preserve"> Limited to dentate people aged 5 years or over. </w:t>
            </w:r>
            <w:r w:rsidRPr="0020036F">
              <w:rPr>
                <w:rStyle w:val="NoteLabel"/>
              </w:rPr>
              <w:t>c</w:t>
            </w:r>
            <w:r w:rsidRPr="0020036F">
              <w:t xml:space="preserve"> Data are for the number of people who used a public dental service at least once in the preceding 12 months, not for the number of services provided. </w:t>
            </w:r>
            <w:r w:rsidRPr="0020036F">
              <w:rPr>
                <w:rStyle w:val="NoteLabel"/>
              </w:rPr>
              <w:t>d</w:t>
            </w:r>
            <w:r w:rsidRPr="0020036F">
              <w:t xml:space="preserve"> Type of service at the most recent visit. </w:t>
            </w:r>
            <w:r w:rsidRPr="0020036F">
              <w:rPr>
                <w:rStyle w:val="NoteLabel"/>
              </w:rPr>
              <w:t>e</w:t>
            </w:r>
            <w:r w:rsidRPr="0020036F">
              <w:t> Emergency visit is a visit for relief of pain.</w:t>
            </w:r>
          </w:p>
        </w:tc>
      </w:tr>
      <w:tr w:rsidR="003019F8" w:rsidTr="003019F8">
        <w:trPr>
          <w:cantSplit/>
        </w:trPr>
        <w:tc>
          <w:tcPr>
            <w:tcW w:w="8771" w:type="dxa"/>
            <w:tcBorders>
              <w:top w:val="nil"/>
              <w:left w:val="nil"/>
              <w:bottom w:val="nil"/>
              <w:right w:val="nil"/>
            </w:tcBorders>
            <w:shd w:val="clear" w:color="auto" w:fill="auto"/>
          </w:tcPr>
          <w:p w:rsidR="003019F8" w:rsidRDefault="003019F8" w:rsidP="00B06590">
            <w:pPr>
              <w:pStyle w:val="Source"/>
            </w:pPr>
            <w:r w:rsidRPr="0020036F">
              <w:rPr>
                <w:i/>
              </w:rPr>
              <w:t>Source</w:t>
            </w:r>
            <w:r w:rsidRPr="0020036F">
              <w:t xml:space="preserve">: AIHW (unpublished) National Dental Telephone Interview Survey; ABS (unpublished) </w:t>
            </w:r>
            <w:r w:rsidRPr="0020036F">
              <w:rPr>
                <w:i/>
              </w:rPr>
              <w:t>Australian Demographic Statistics</w:t>
            </w:r>
            <w:r w:rsidRPr="0020036F">
              <w:t xml:space="preserve">, Cat. no. 3101.0; table </w:t>
            </w:r>
            <w:r w:rsidR="00C9076B">
              <w:t>10A.</w:t>
            </w:r>
            <w:r>
              <w:t>13</w:t>
            </w:r>
            <w:r w:rsidRPr="0020036F">
              <w:t>.</w:t>
            </w:r>
          </w:p>
        </w:tc>
      </w:tr>
      <w:tr w:rsidR="003019F8" w:rsidTr="003019F8">
        <w:trPr>
          <w:cantSplit/>
        </w:trPr>
        <w:tc>
          <w:tcPr>
            <w:tcW w:w="8771" w:type="dxa"/>
            <w:tcBorders>
              <w:top w:val="nil"/>
              <w:left w:val="nil"/>
              <w:bottom w:val="single" w:sz="6" w:space="0" w:color="78A22F" w:themeColor="accent1"/>
              <w:right w:val="nil"/>
            </w:tcBorders>
            <w:shd w:val="clear" w:color="auto" w:fill="auto"/>
          </w:tcPr>
          <w:p w:rsidR="003019F8" w:rsidRDefault="003019F8" w:rsidP="003019F8">
            <w:pPr>
              <w:pStyle w:val="Box"/>
              <w:spacing w:before="0" w:line="120" w:lineRule="exact"/>
            </w:pPr>
          </w:p>
        </w:tc>
      </w:tr>
      <w:tr w:rsidR="003019F8" w:rsidRPr="000863A5" w:rsidTr="003019F8">
        <w:tc>
          <w:tcPr>
            <w:tcW w:w="8771" w:type="dxa"/>
            <w:tcBorders>
              <w:top w:val="single" w:sz="6" w:space="0" w:color="78A22F" w:themeColor="accent1"/>
              <w:left w:val="nil"/>
              <w:bottom w:val="nil"/>
              <w:right w:val="nil"/>
            </w:tcBorders>
          </w:tcPr>
          <w:p w:rsidR="003019F8" w:rsidRPr="00626D32" w:rsidRDefault="003019F8" w:rsidP="003019F8">
            <w:pPr>
              <w:pStyle w:val="BoxSpaceBelow"/>
            </w:pPr>
          </w:p>
        </w:tc>
      </w:tr>
    </w:tbl>
    <w:p w:rsidR="00554031" w:rsidRDefault="00554031" w:rsidP="00554031">
      <w:pPr>
        <w:pStyle w:val="Heading5"/>
      </w:pPr>
      <w:r w:rsidRPr="003D0F55">
        <w:t>Alcohol and other drug treatment</w:t>
      </w:r>
    </w:p>
    <w:p w:rsidR="00554031" w:rsidRPr="00944E91" w:rsidRDefault="00554031" w:rsidP="00CC4FB1">
      <w:pPr>
        <w:pStyle w:val="BodyText"/>
      </w:pPr>
      <w:r>
        <w:t>Alcohol and other drug treatment activities range fr</w:t>
      </w:r>
      <w:r w:rsidR="00824D82">
        <w:t xml:space="preserve">om a brief intervention to </w:t>
      </w:r>
      <w:r w:rsidR="00824D82">
        <w:br/>
        <w:t xml:space="preserve">long </w:t>
      </w:r>
      <w:r>
        <w:t xml:space="preserve">term residential treatment. Types of treatment include detoxification, pharmacological treatment (also known as substitution or maintenance treatment), counselling and rehabilitation. </w:t>
      </w:r>
      <w:r w:rsidR="00863ACF">
        <w:t>D</w:t>
      </w:r>
      <w:r>
        <w:t xml:space="preserve">ata included here have been sourced from a </w:t>
      </w:r>
      <w:r w:rsidRPr="0096618F">
        <w:t xml:space="preserve">report on the Alcohol and </w:t>
      </w:r>
      <w:r w:rsidRPr="0096618F">
        <w:lastRenderedPageBreak/>
        <w:t>Other Drug Treatment Services National Minimum Data Set</w:t>
      </w:r>
      <w:r w:rsidR="002528A7">
        <w:t xml:space="preserve"> </w:t>
      </w:r>
      <w:r w:rsidR="00F462B2" w:rsidRPr="00330023">
        <w:t>(AODTS–NMDS)</w:t>
      </w:r>
      <w:r w:rsidR="00F462B2">
        <w:t xml:space="preserve"> </w:t>
      </w:r>
      <w:r w:rsidR="002528A7">
        <w:t xml:space="preserve">— a </w:t>
      </w:r>
      <w:r w:rsidR="002528A7" w:rsidRPr="002528A7">
        <w:t xml:space="preserve">collection of data from publicly funded </w:t>
      </w:r>
      <w:r w:rsidR="00B71ACA">
        <w:t xml:space="preserve">government and non-government </w:t>
      </w:r>
      <w:r w:rsidR="002528A7" w:rsidRPr="002528A7">
        <w:t>treatment services</w:t>
      </w:r>
      <w:r w:rsidRPr="0096618F">
        <w:t xml:space="preserve"> </w:t>
      </w:r>
      <w:r w:rsidRPr="002D00F8">
        <w:t>(AIHW </w:t>
      </w:r>
      <w:r w:rsidRPr="00413818">
        <w:t>20</w:t>
      </w:r>
      <w:r w:rsidR="00E716FD" w:rsidRPr="00413818">
        <w:t>1</w:t>
      </w:r>
      <w:r w:rsidR="00962D07">
        <w:t>4</w:t>
      </w:r>
      <w:r w:rsidR="003525ED">
        <w:t>b</w:t>
      </w:r>
      <w:r w:rsidRPr="00413818">
        <w:t>).</w:t>
      </w:r>
      <w:r w:rsidR="00373587" w:rsidRPr="00413818">
        <w:t xml:space="preserve"> </w:t>
      </w:r>
      <w:r w:rsidR="0041643A" w:rsidRPr="00CC4FB1">
        <w:t>Treatment activities are excluded from that collection if the agencies provide medication for dependence on opioid drugs such as heroin (opioid pharmacotherapy treatment) where no other treatment is provided, are located within prisons or detention centres, or in acute care and psychiatric hospitals provid</w:t>
      </w:r>
      <w:r w:rsidR="00A7037A" w:rsidRPr="00CC4FB1">
        <w:t>ing</w:t>
      </w:r>
      <w:r w:rsidR="0041643A" w:rsidRPr="00CC4FB1">
        <w:t xml:space="preserve"> treatment only to admitted patients. While in scope, the majority of primary healthcare services for Aboriginal and Torres Strait Islander Australian</w:t>
      </w:r>
      <w:r w:rsidR="004E17BB">
        <w:t>s</w:t>
      </w:r>
      <w:r w:rsidR="0041643A" w:rsidRPr="00CC4FB1">
        <w:t xml:space="preserve"> that are funded by the Australian government do not report to the AODTS NMDS</w:t>
      </w:r>
      <w:r w:rsidR="00C61863" w:rsidRPr="00211B55">
        <w:t>.</w:t>
      </w:r>
    </w:p>
    <w:p w:rsidR="00554031" w:rsidRPr="0096618F" w:rsidRDefault="00554031" w:rsidP="00584945">
      <w:pPr>
        <w:pStyle w:val="BodyText"/>
      </w:pPr>
      <w:r w:rsidRPr="0096618F">
        <w:t xml:space="preserve">A total </w:t>
      </w:r>
      <w:r w:rsidRPr="00330023">
        <w:t>of</w:t>
      </w:r>
      <w:r w:rsidR="00C26C92">
        <w:t xml:space="preserve"> </w:t>
      </w:r>
      <w:r w:rsidR="002C1A1E">
        <w:t>714</w:t>
      </w:r>
      <w:r w:rsidRPr="00330023">
        <w:t xml:space="preserve"> alcohol</w:t>
      </w:r>
      <w:r w:rsidRPr="00B12D49">
        <w:t xml:space="preserve"> and other drug treatment </w:t>
      </w:r>
      <w:r w:rsidR="000675A1" w:rsidRPr="00330023">
        <w:t>agencies</w:t>
      </w:r>
      <w:r w:rsidRPr="00330023">
        <w:t xml:space="preserve"> </w:t>
      </w:r>
      <w:r w:rsidR="002B24E3" w:rsidRPr="00330023">
        <w:t>reported</w:t>
      </w:r>
      <w:r w:rsidR="00C26C92">
        <w:t xml:space="preserve"> 201</w:t>
      </w:r>
      <w:r w:rsidR="002C1A1E">
        <w:t>2</w:t>
      </w:r>
      <w:r w:rsidR="00C26C92">
        <w:t>-1</w:t>
      </w:r>
      <w:r w:rsidR="002C1A1E">
        <w:t>3</w:t>
      </w:r>
      <w:r w:rsidRPr="00330023">
        <w:t xml:space="preserve"> data </w:t>
      </w:r>
      <w:r w:rsidR="00484AC2">
        <w:br/>
      </w:r>
      <w:r w:rsidR="002B24E3" w:rsidRPr="00330023">
        <w:t>to</w:t>
      </w:r>
      <w:r w:rsidRPr="00330023">
        <w:t xml:space="preserve"> </w:t>
      </w:r>
      <w:r w:rsidR="002B24E3" w:rsidRPr="00330023">
        <w:t>the AODTS–NMDS</w:t>
      </w:r>
      <w:r w:rsidRPr="00330023">
        <w:t xml:space="preserve">. Of these, </w:t>
      </w:r>
      <w:r w:rsidR="00C26C92" w:rsidRPr="00C26C92">
        <w:t>317</w:t>
      </w:r>
      <w:r w:rsidRPr="00C26C92">
        <w:t xml:space="preserve"> (</w:t>
      </w:r>
      <w:r w:rsidR="00C26C92" w:rsidRPr="00C26C92">
        <w:t>4</w:t>
      </w:r>
      <w:r w:rsidR="002C1A1E">
        <w:t>4</w:t>
      </w:r>
      <w:r w:rsidR="00C26C92" w:rsidRPr="00C26C92">
        <w:t>.</w:t>
      </w:r>
      <w:r w:rsidR="002C1A1E">
        <w:t>4</w:t>
      </w:r>
      <w:r w:rsidRPr="00C26C92">
        <w:t> per cent) identified</w:t>
      </w:r>
      <w:r w:rsidRPr="00330023">
        <w:t xml:space="preserve"> as government providers </w:t>
      </w:r>
      <w:r w:rsidRPr="00C26C92">
        <w:t xml:space="preserve">and </w:t>
      </w:r>
      <w:r w:rsidR="009C0D36" w:rsidRPr="00C26C92">
        <w:t>3</w:t>
      </w:r>
      <w:r w:rsidR="002C1A1E">
        <w:t>97</w:t>
      </w:r>
      <w:r w:rsidR="00EC5C87" w:rsidRPr="00C26C92">
        <w:t> </w:t>
      </w:r>
      <w:r w:rsidR="003645D5" w:rsidRPr="00C26C92">
        <w:t>(</w:t>
      </w:r>
      <w:r w:rsidR="00C26C92" w:rsidRPr="00C26C92">
        <w:t>5</w:t>
      </w:r>
      <w:r w:rsidR="002C1A1E">
        <w:t>5</w:t>
      </w:r>
      <w:r w:rsidR="00C26C92" w:rsidRPr="00C26C92">
        <w:t>.</w:t>
      </w:r>
      <w:r w:rsidR="002C1A1E">
        <w:t>6</w:t>
      </w:r>
      <w:r w:rsidR="003645D5" w:rsidRPr="00C26C92">
        <w:t> </w:t>
      </w:r>
      <w:r w:rsidRPr="00C26C92">
        <w:t>per</w:t>
      </w:r>
      <w:r w:rsidR="003645D5" w:rsidRPr="00C26C92">
        <w:t> </w:t>
      </w:r>
      <w:r w:rsidRPr="00C26C92">
        <w:t>cent) as</w:t>
      </w:r>
      <w:r w:rsidRPr="00330023">
        <w:t xml:space="preserve"> non</w:t>
      </w:r>
      <w:r w:rsidR="00F30F44" w:rsidRPr="00330023">
        <w:t>-</w:t>
      </w:r>
      <w:r w:rsidRPr="00330023">
        <w:t xml:space="preserve">government </w:t>
      </w:r>
      <w:r w:rsidRPr="001727B9">
        <w:t>provider</w:t>
      </w:r>
      <w:r w:rsidR="003645D5" w:rsidRPr="001727B9">
        <w:t>s (table </w:t>
      </w:r>
      <w:r w:rsidR="00C9076B">
        <w:t>10A.</w:t>
      </w:r>
      <w:r w:rsidR="00A67B56" w:rsidRPr="001727B9">
        <w:t>1</w:t>
      </w:r>
      <w:r w:rsidR="00705AF9">
        <w:t>4</w:t>
      </w:r>
      <w:r w:rsidR="00F30F44" w:rsidRPr="001727B9">
        <w:t xml:space="preserve">). </w:t>
      </w:r>
      <w:r w:rsidR="003645D5" w:rsidRPr="00B12D49">
        <w:t>There were</w:t>
      </w:r>
      <w:r w:rsidR="00C26C92">
        <w:t xml:space="preserve"> </w:t>
      </w:r>
      <w:r w:rsidR="00E856E8" w:rsidRPr="00E856E8">
        <w:t>162</w:t>
      </w:r>
      <w:r w:rsidR="00E856E8">
        <w:t> </w:t>
      </w:r>
      <w:r w:rsidR="00E856E8" w:rsidRPr="00E856E8">
        <w:t xml:space="preserve">362 </w:t>
      </w:r>
      <w:r w:rsidRPr="00F81BCE">
        <w:t xml:space="preserve">reported closed treatment episodes in </w:t>
      </w:r>
      <w:r w:rsidR="00E856E8">
        <w:t>2012</w:t>
      </w:r>
      <w:r w:rsidR="00C26C92">
        <w:t>-1</w:t>
      </w:r>
      <w:r w:rsidR="00E856E8">
        <w:t>3</w:t>
      </w:r>
      <w:r w:rsidR="00C26C92" w:rsidRPr="00330023">
        <w:t xml:space="preserve"> </w:t>
      </w:r>
      <w:r w:rsidR="00253646">
        <w:t xml:space="preserve">(table </w:t>
      </w:r>
      <w:r w:rsidR="00C9076B">
        <w:t>10A.</w:t>
      </w:r>
      <w:r w:rsidR="00253646">
        <w:t>1</w:t>
      </w:r>
      <w:r w:rsidR="00705AF9">
        <w:t>4</w:t>
      </w:r>
      <w:r w:rsidR="00253646">
        <w:t xml:space="preserve">) </w:t>
      </w:r>
      <w:r w:rsidRPr="00F81BCE">
        <w:t>(see section</w:t>
      </w:r>
      <w:r w:rsidR="00C9076B">
        <w:t xml:space="preserve"> 10.</w:t>
      </w:r>
      <w:r w:rsidRPr="00F81BCE">
        <w:t>5 for a</w:t>
      </w:r>
      <w:r w:rsidRPr="00B12D49">
        <w:t xml:space="preserve"> definition of </w:t>
      </w:r>
      <w:r w:rsidR="00B019E3" w:rsidRPr="00B12D49">
        <w:t xml:space="preserve">a </w:t>
      </w:r>
      <w:r w:rsidRPr="00B12D49">
        <w:t xml:space="preserve">closed treatment episode). Clients seeking treatment for their own </w:t>
      </w:r>
      <w:r w:rsidRPr="00F81BCE">
        <w:t>substance use</w:t>
      </w:r>
      <w:r w:rsidRPr="00C26C92">
        <w:t xml:space="preserve">, </w:t>
      </w:r>
      <w:r w:rsidR="009E2DED" w:rsidRPr="00C26C92">
        <w:t>6</w:t>
      </w:r>
      <w:r w:rsidR="00E856E8">
        <w:t>8</w:t>
      </w:r>
      <w:r w:rsidR="009E2DED" w:rsidRPr="00C26C92">
        <w:t>.</w:t>
      </w:r>
      <w:r w:rsidR="00E856E8">
        <w:t>1</w:t>
      </w:r>
      <w:r w:rsidR="002D500B" w:rsidRPr="00C26C92">
        <w:t> per cent</w:t>
      </w:r>
      <w:r w:rsidR="002D500B" w:rsidRPr="00F81BCE">
        <w:t xml:space="preserve"> </w:t>
      </w:r>
      <w:r w:rsidRPr="00F81BCE">
        <w:t>of</w:t>
      </w:r>
      <w:r w:rsidRPr="00B12D49">
        <w:t xml:space="preserve"> whom</w:t>
      </w:r>
      <w:r w:rsidR="0010325E" w:rsidRPr="00B12D49">
        <w:t xml:space="preserve"> </w:t>
      </w:r>
      <w:r w:rsidR="003645D5" w:rsidRPr="00B12D49">
        <w:t xml:space="preserve">were male, accounted </w:t>
      </w:r>
      <w:r w:rsidR="003645D5" w:rsidRPr="00D77ED7">
        <w:t>for</w:t>
      </w:r>
      <w:r w:rsidR="00C26C92">
        <w:t xml:space="preserve"> </w:t>
      </w:r>
      <w:r w:rsidR="00E856E8" w:rsidRPr="00E856E8">
        <w:t>155</w:t>
      </w:r>
      <w:r w:rsidR="00E856E8">
        <w:t> </w:t>
      </w:r>
      <w:r w:rsidR="00E856E8" w:rsidRPr="00E856E8">
        <w:t xml:space="preserve">151 </w:t>
      </w:r>
      <w:r w:rsidRPr="00D77ED7">
        <w:t>closed</w:t>
      </w:r>
      <w:r w:rsidRPr="0096618F">
        <w:t xml:space="preserve"> </w:t>
      </w:r>
      <w:r w:rsidRPr="00F81BCE">
        <w:t xml:space="preserve">treatment episodes </w:t>
      </w:r>
      <w:r w:rsidR="00253646">
        <w:t xml:space="preserve">(table </w:t>
      </w:r>
      <w:r w:rsidR="00C9076B">
        <w:t>10A.</w:t>
      </w:r>
      <w:r w:rsidR="00253646">
        <w:t>1</w:t>
      </w:r>
      <w:r w:rsidR="00705AF9">
        <w:t>4</w:t>
      </w:r>
      <w:r w:rsidR="00253646">
        <w:t xml:space="preserve">) </w:t>
      </w:r>
      <w:r w:rsidRPr="00F81BCE">
        <w:t>(AIHW</w:t>
      </w:r>
      <w:r w:rsidR="003645D5" w:rsidRPr="00F81BCE">
        <w:t> </w:t>
      </w:r>
      <w:r w:rsidR="007D5530" w:rsidRPr="005D0E19">
        <w:t>201</w:t>
      </w:r>
      <w:r w:rsidR="00E856E8">
        <w:t>4</w:t>
      </w:r>
      <w:r w:rsidR="00AF332C">
        <w:t>b</w:t>
      </w:r>
      <w:r w:rsidR="0088407B" w:rsidRPr="00F81BCE">
        <w:t>)</w:t>
      </w:r>
      <w:r w:rsidRPr="00F81BCE">
        <w:t>.</w:t>
      </w:r>
    </w:p>
    <w:p w:rsidR="002A76FF" w:rsidRDefault="009473E0" w:rsidP="009473E0">
      <w:pPr>
        <w:pStyle w:val="BodyText"/>
      </w:pPr>
      <w:r>
        <w:t xml:space="preserve">Alcohol was the most </w:t>
      </w:r>
      <w:r w:rsidRPr="0053407F">
        <w:t xml:space="preserve">commonly reported </w:t>
      </w:r>
      <w:r>
        <w:t>principal drug of concern (4</w:t>
      </w:r>
      <w:r w:rsidR="00C0038E">
        <w:t>1</w:t>
      </w:r>
      <w:r>
        <w:t>.</w:t>
      </w:r>
      <w:r w:rsidR="00C0038E">
        <w:t>1</w:t>
      </w:r>
      <w:r>
        <w:t> </w:t>
      </w:r>
      <w:r w:rsidRPr="0053407F">
        <w:t>per cent</w:t>
      </w:r>
      <w:r>
        <w:t>), followed by cannabis (</w:t>
      </w:r>
      <w:r w:rsidRPr="00355D80">
        <w:t>2</w:t>
      </w:r>
      <w:r w:rsidR="00C0038E">
        <w:t>3</w:t>
      </w:r>
      <w:r w:rsidRPr="00355D80">
        <w:t>.</w:t>
      </w:r>
      <w:r w:rsidR="00C0038E">
        <w:t>6</w:t>
      </w:r>
      <w:r w:rsidRPr="00355D80">
        <w:t> </w:t>
      </w:r>
      <w:r w:rsidRPr="0053407F">
        <w:t>per cent</w:t>
      </w:r>
      <w:r>
        <w:t>), amphetamines (1</w:t>
      </w:r>
      <w:r w:rsidR="00C0038E">
        <w:t>4</w:t>
      </w:r>
      <w:r>
        <w:t>.</w:t>
      </w:r>
      <w:r w:rsidR="00C0038E">
        <w:t>4</w:t>
      </w:r>
      <w:r>
        <w:t> </w:t>
      </w:r>
      <w:r w:rsidRPr="0053407F">
        <w:t>per cent</w:t>
      </w:r>
      <w:r w:rsidR="00C0038E">
        <w:t>) and heroin (8.3</w:t>
      </w:r>
      <w:r>
        <w:t> </w:t>
      </w:r>
      <w:r w:rsidRPr="0053407F">
        <w:t>per cent</w:t>
      </w:r>
      <w:r>
        <w:t xml:space="preserve">), </w:t>
      </w:r>
      <w:r w:rsidRPr="0053407F">
        <w:t xml:space="preserve">in closed </w:t>
      </w:r>
      <w:r w:rsidR="00C14F89" w:rsidRPr="0053407F">
        <w:t xml:space="preserve">treatment </w:t>
      </w:r>
      <w:r w:rsidRPr="0053407F">
        <w:t>episodes for clients seeking treatment for their own substance abuse</w:t>
      </w:r>
      <w:r>
        <w:t xml:space="preserve">. </w:t>
      </w:r>
      <w:r w:rsidR="00C14F89">
        <w:t xml:space="preserve">Additional drugs of concern were reported in </w:t>
      </w:r>
      <w:r w:rsidR="00C0038E">
        <w:t>6</w:t>
      </w:r>
      <w:r w:rsidR="00B54946">
        <w:t>2.9</w:t>
      </w:r>
      <w:r w:rsidR="00C14F89">
        <w:t xml:space="preserve"> per cent of the episodes</w:t>
      </w:r>
      <w:r w:rsidR="002A76FF">
        <w:t xml:space="preserve"> (AIHW </w:t>
      </w:r>
      <w:r w:rsidR="00451018">
        <w:t>2014</w:t>
      </w:r>
      <w:r w:rsidR="00AF332C">
        <w:t>b</w:t>
      </w:r>
      <w:r w:rsidR="002A76FF">
        <w:t>)</w:t>
      </w:r>
      <w:r w:rsidR="00C14F89">
        <w:t>.</w:t>
      </w:r>
    </w:p>
    <w:p w:rsidR="009473E0" w:rsidRDefault="009473E0" w:rsidP="00CC4FB1">
      <w:pPr>
        <w:pStyle w:val="BodyText"/>
      </w:pPr>
      <w:r>
        <w:t xml:space="preserve">Alcohol was the most common principal drug of concern in all states and territories. Cannabis was the second most common principal drug in all states and territories except </w:t>
      </w:r>
      <w:r w:rsidR="00EE0797">
        <w:t>SA</w:t>
      </w:r>
      <w:r>
        <w:t>, where amphetamines were more common</w:t>
      </w:r>
      <w:r w:rsidR="004D4531">
        <w:t xml:space="preserve"> </w:t>
      </w:r>
      <w:r w:rsidR="004D4531" w:rsidRPr="00CC4FB1">
        <w:t>and the NT, where volatile solvents were more common</w:t>
      </w:r>
      <w:r w:rsidRPr="00355D80">
        <w:t xml:space="preserve"> </w:t>
      </w:r>
      <w:r w:rsidRPr="0053407F">
        <w:t>(AIHW </w:t>
      </w:r>
      <w:r w:rsidRPr="005D0E19">
        <w:t>201</w:t>
      </w:r>
      <w:r w:rsidR="00451018">
        <w:t>4</w:t>
      </w:r>
      <w:r w:rsidR="00AF332C">
        <w:t>b</w:t>
      </w:r>
      <w:r w:rsidRPr="0053407F">
        <w:t xml:space="preserve">). Further information on alcohol and other drug treatment services funded by governments is included in tables </w:t>
      </w:r>
      <w:r w:rsidR="00C9076B">
        <w:t>10A.</w:t>
      </w:r>
      <w:r w:rsidR="003B3CD1">
        <w:t>10</w:t>
      </w:r>
      <w:r w:rsidR="00F4663E">
        <w:t>7</w:t>
      </w:r>
      <w:r w:rsidRPr="0053407F">
        <w:t>–</w:t>
      </w:r>
      <w:r w:rsidR="00C9076B">
        <w:t>10A.</w:t>
      </w:r>
      <w:r w:rsidR="002A7C7C">
        <w:t>11</w:t>
      </w:r>
      <w:r w:rsidR="00DD4CFE">
        <w:t>5</w:t>
      </w:r>
      <w:r w:rsidRPr="0053407F">
        <w:t>.</w:t>
      </w:r>
    </w:p>
    <w:p w:rsidR="00554031" w:rsidRDefault="00D16EBA" w:rsidP="003645D5">
      <w:pPr>
        <w:pStyle w:val="Heading5"/>
      </w:pPr>
      <w:r w:rsidRPr="00451018">
        <w:t>Aboriginal and Torres Strait Islander</w:t>
      </w:r>
      <w:r w:rsidR="00554031" w:rsidRPr="00451018">
        <w:t xml:space="preserve"> </w:t>
      </w:r>
      <w:r w:rsidR="0024779C" w:rsidRPr="0024779C">
        <w:t>Primary Health Care Services</w:t>
      </w:r>
    </w:p>
    <w:p w:rsidR="00463DCA" w:rsidRPr="00FE4B8F" w:rsidRDefault="00463DCA" w:rsidP="00463DCA">
      <w:pPr>
        <w:pStyle w:val="BodyText"/>
      </w:pPr>
      <w:r>
        <w:t xml:space="preserve">Aboriginal and Torres Strait Islander </w:t>
      </w:r>
      <w:r w:rsidR="003B138D">
        <w:t xml:space="preserve">people </w:t>
      </w:r>
      <w:r>
        <w:t xml:space="preserve">use a range of primary healthcare </w:t>
      </w:r>
      <w:r w:rsidR="00FE4B8F">
        <w:t xml:space="preserve">services, including private GPs and </w:t>
      </w:r>
      <w:r w:rsidR="00FE4B8F" w:rsidRPr="00451018">
        <w:t>Aboriginal and Torres Strait Islander Primary Health Care Service</w:t>
      </w:r>
      <w:r w:rsidR="00FE4B8F">
        <w:t xml:space="preserve">s. The latter, available in all jurisdictions, </w:t>
      </w:r>
      <w:r w:rsidRPr="00FE4B8F">
        <w:t>provide comprehensive primary health care and</w:t>
      </w:r>
      <w:r>
        <w:t>/or</w:t>
      </w:r>
      <w:r w:rsidRPr="00FE4B8F">
        <w:t xml:space="preserve"> substance use, social and emotional wellbeing and mental health services</w:t>
      </w:r>
      <w:r>
        <w:t>,</w:t>
      </w:r>
      <w:r w:rsidRPr="00FE4B8F">
        <w:t xml:space="preserve"> to Aboriginal and Torres Strait Islander people</w:t>
      </w:r>
      <w:r>
        <w:t xml:space="preserve">. They </w:t>
      </w:r>
      <w:r w:rsidR="00FE4B8F">
        <w:t xml:space="preserve">are funded by </w:t>
      </w:r>
      <w:r w:rsidR="00FE4B8F" w:rsidRPr="0096148E">
        <w:t>Australian</w:t>
      </w:r>
      <w:r w:rsidR="00FE4B8F">
        <w:t>,</w:t>
      </w:r>
      <w:r w:rsidR="00FE4B8F" w:rsidRPr="0096148E">
        <w:t xml:space="preserve"> State and Territory</w:t>
      </w:r>
      <w:r w:rsidR="00FE4B8F">
        <w:t xml:space="preserve"> governments, with the Australian Government contributing the greater share</w:t>
      </w:r>
      <w:r w:rsidR="004935FB">
        <w:t>.</w:t>
      </w:r>
    </w:p>
    <w:p w:rsidR="00FE4B8F" w:rsidRPr="00FC701A" w:rsidRDefault="00FE4B8F" w:rsidP="00FE4B8F">
      <w:pPr>
        <w:pStyle w:val="BodyText"/>
      </w:pPr>
      <w:r w:rsidRPr="00FC701A">
        <w:t>In addition, other health programs for Aboriginal and Torres Strait Islander Australians are funded by a number of jurisdictions. In 2012</w:t>
      </w:r>
      <w:r w:rsidRPr="00FC701A">
        <w:noBreakHyphen/>
        <w:t>13, these programs included services such as health promotion, education and counselling; alcohol, tobacco and other drug services; sexual health services; allied health services; disease/illness prevention; and improvements to nutrition standards (tables 10A.10</w:t>
      </w:r>
      <w:r w:rsidR="00F4663E">
        <w:t>7</w:t>
      </w:r>
      <w:r w:rsidRPr="00FC701A">
        <w:t>–10A.11</w:t>
      </w:r>
      <w:r w:rsidR="00F4663E">
        <w:t>5</w:t>
      </w:r>
      <w:r w:rsidRPr="00FC701A">
        <w:t>).</w:t>
      </w:r>
    </w:p>
    <w:p w:rsidR="00D21EC7" w:rsidRDefault="003E7AEF" w:rsidP="00906C92">
      <w:pPr>
        <w:pStyle w:val="BodyText"/>
      </w:pPr>
      <w:r w:rsidRPr="00944E91">
        <w:lastRenderedPageBreak/>
        <w:t>From the 2008</w:t>
      </w:r>
      <w:r w:rsidRPr="00944E91">
        <w:noBreakHyphen/>
        <w:t>09 reporting period, d</w:t>
      </w:r>
      <w:r w:rsidR="00FD1BED" w:rsidRPr="00944E91">
        <w:t xml:space="preserve">ata on </w:t>
      </w:r>
      <w:r w:rsidR="00D16EBA">
        <w:t>Aboriginal and Torres Strait Islander</w:t>
      </w:r>
      <w:r w:rsidR="0033202E" w:rsidRPr="00944E91">
        <w:t xml:space="preserve"> </w:t>
      </w:r>
      <w:r w:rsidR="00FD1BED" w:rsidRPr="00944E91">
        <w:t xml:space="preserve">primary healthcare services that receive funding from the Australian Government </w:t>
      </w:r>
      <w:r w:rsidRPr="00944E91">
        <w:t>have been</w:t>
      </w:r>
      <w:r w:rsidR="00FD1BED" w:rsidRPr="00944E91">
        <w:t xml:space="preserve"> collected through the</w:t>
      </w:r>
      <w:r w:rsidR="00C41F42" w:rsidRPr="00944E91">
        <w:t xml:space="preserve"> Online Services Report</w:t>
      </w:r>
      <w:r w:rsidR="00920097" w:rsidRPr="00944E91">
        <w:t xml:space="preserve"> (OSR) </w:t>
      </w:r>
      <w:r w:rsidR="00FD1BED" w:rsidRPr="00944E91">
        <w:t>questionnaire</w:t>
      </w:r>
      <w:r w:rsidRPr="00944E91">
        <w:t>.</w:t>
      </w:r>
      <w:r w:rsidR="00FB7877" w:rsidRPr="00944E91">
        <w:t xml:space="preserve"> </w:t>
      </w:r>
      <w:r w:rsidR="004E1DFE" w:rsidRPr="004E1DFE">
        <w:t xml:space="preserve">Many of the services receive additional funding from State and Territory governments and other sources. The </w:t>
      </w:r>
      <w:r w:rsidR="004E1DFE">
        <w:t>OSR</w:t>
      </w:r>
      <w:r w:rsidR="004E1DFE" w:rsidRPr="004E1DFE">
        <w:t xml:space="preserve"> data rep</w:t>
      </w:r>
      <w:r w:rsidR="00920097">
        <w:t xml:space="preserve">orted here represent </w:t>
      </w:r>
      <w:r w:rsidR="00E26CC3">
        <w:t>funding from all sources</w:t>
      </w:r>
      <w:r w:rsidR="004E1DFE" w:rsidRPr="004E1DFE">
        <w:t>.</w:t>
      </w:r>
    </w:p>
    <w:p w:rsidR="00FB7877" w:rsidRDefault="00FB7877" w:rsidP="00CC4FB1">
      <w:pPr>
        <w:pStyle w:val="BodyText"/>
      </w:pPr>
      <w:r w:rsidRPr="00193CD7">
        <w:t>For</w:t>
      </w:r>
      <w:r w:rsidR="007B6545">
        <w:t xml:space="preserve"> 201</w:t>
      </w:r>
      <w:r w:rsidR="00F63203">
        <w:t>2</w:t>
      </w:r>
      <w:r w:rsidR="007B6545">
        <w:noBreakHyphen/>
        <w:t>1</w:t>
      </w:r>
      <w:r w:rsidR="00F63203">
        <w:t>3</w:t>
      </w:r>
      <w:r w:rsidR="007B6545">
        <w:t xml:space="preserve">, </w:t>
      </w:r>
      <w:r w:rsidRPr="00193CD7">
        <w:t>OSR data are reported for</w:t>
      </w:r>
      <w:r w:rsidR="007B6545">
        <w:t xml:space="preserve"> 2</w:t>
      </w:r>
      <w:r w:rsidR="00F63203">
        <w:t>05</w:t>
      </w:r>
      <w:r w:rsidRPr="00193CD7">
        <w:t> </w:t>
      </w:r>
      <w:r w:rsidR="00D16EBA">
        <w:t>Aboriginal and Torres Strait Islander</w:t>
      </w:r>
      <w:r w:rsidRPr="00193CD7">
        <w:t xml:space="preserve"> primary healthcare services (table </w:t>
      </w:r>
      <w:r w:rsidR="00C9076B">
        <w:t>10A.</w:t>
      </w:r>
      <w:r w:rsidR="002D6480">
        <w:t>1</w:t>
      </w:r>
      <w:r w:rsidR="00705AF9">
        <w:t>5</w:t>
      </w:r>
      <w:r w:rsidRPr="00193CD7">
        <w:t>). Of these services</w:t>
      </w:r>
      <w:r w:rsidR="007B6545">
        <w:t>, 9</w:t>
      </w:r>
      <w:r w:rsidR="00F63203">
        <w:t>2</w:t>
      </w:r>
      <w:r w:rsidR="007B6545">
        <w:t xml:space="preserve"> (4</w:t>
      </w:r>
      <w:r w:rsidR="00F63203">
        <w:t>4</w:t>
      </w:r>
      <w:r w:rsidR="007B6545">
        <w:t>.</w:t>
      </w:r>
      <w:r w:rsidR="00F63203">
        <w:t>9</w:t>
      </w:r>
      <w:r w:rsidR="007B6545">
        <w:t> per cent)</w:t>
      </w:r>
      <w:r w:rsidRPr="00193CD7">
        <w:t xml:space="preserve"> were located in remote or very</w:t>
      </w:r>
      <w:r w:rsidRPr="00FB7877">
        <w:t xml:space="preserve"> </w:t>
      </w:r>
      <w:r w:rsidRPr="00193CD7">
        <w:t>remote areas (table </w:t>
      </w:r>
      <w:r w:rsidR="00C9076B">
        <w:t>10A.</w:t>
      </w:r>
      <w:r w:rsidR="00E60498" w:rsidRPr="00193CD7">
        <w:t>1</w:t>
      </w:r>
      <w:r w:rsidR="00705AF9">
        <w:t>6</w:t>
      </w:r>
      <w:r w:rsidRPr="00193CD7">
        <w:t xml:space="preserve">). </w:t>
      </w:r>
      <w:r w:rsidRPr="00C271E9">
        <w:t xml:space="preserve">They </w:t>
      </w:r>
      <w:r w:rsidRPr="003C7C65">
        <w:t>provided a range of primary healthcare services (table </w:t>
      </w:r>
      <w:r w:rsidR="00C9076B" w:rsidRPr="003C7C65">
        <w:t>10A.</w:t>
      </w:r>
      <w:r w:rsidR="00E60498" w:rsidRPr="003C7C65">
        <w:t>1</w:t>
      </w:r>
      <w:r w:rsidR="00705AF9" w:rsidRPr="003C7C65">
        <w:t>7</w:t>
      </w:r>
      <w:r w:rsidR="003C7C65">
        <w:t xml:space="preserve"> — historical data are reported in table 10A.1</w:t>
      </w:r>
      <w:r w:rsidR="009D325C">
        <w:t>8</w:t>
      </w:r>
      <w:r w:rsidRPr="003C7C65">
        <w:t xml:space="preserve">). An episode of healthcare </w:t>
      </w:r>
      <w:r w:rsidRPr="004C7AAD">
        <w:t xml:space="preserve">is defined in the </w:t>
      </w:r>
      <w:r w:rsidR="00C84A87" w:rsidRPr="004C7AAD">
        <w:t>OSR</w:t>
      </w:r>
      <w:r w:rsidRPr="004C7AAD">
        <w:t xml:space="preserve"> data collection as contact between an individual client and staff of a service to provide healthcare. </w:t>
      </w:r>
      <w:r w:rsidR="00F866F0" w:rsidRPr="007B6545">
        <w:t>Around</w:t>
      </w:r>
      <w:r w:rsidRPr="007B6545">
        <w:t xml:space="preserve"> </w:t>
      </w:r>
      <w:r w:rsidR="00F63203">
        <w:t>3.1</w:t>
      </w:r>
      <w:r w:rsidRPr="007B6545">
        <w:t> million episodes of</w:t>
      </w:r>
      <w:r w:rsidRPr="004C7AAD">
        <w:t xml:space="preserve"> healthcare were provided by participating services in</w:t>
      </w:r>
      <w:r w:rsidR="007B6545">
        <w:t xml:space="preserve"> 201</w:t>
      </w:r>
      <w:r w:rsidR="00F63203">
        <w:t>2</w:t>
      </w:r>
      <w:r w:rsidR="007B6545">
        <w:noBreakHyphen/>
        <w:t>1</w:t>
      </w:r>
      <w:r w:rsidR="00F63203">
        <w:t>3</w:t>
      </w:r>
      <w:r w:rsidRPr="004C7AAD">
        <w:t xml:space="preserve"> (</w:t>
      </w:r>
      <w:r w:rsidR="00897589">
        <w:t>table 10.</w:t>
      </w:r>
      <w:r w:rsidR="009821C3">
        <w:t>5</w:t>
      </w:r>
      <w:r w:rsidRPr="004C7AAD">
        <w:t xml:space="preserve">). Of these, </w:t>
      </w:r>
      <w:r w:rsidR="004C7AAD" w:rsidRPr="004C7AAD">
        <w:t>around</w:t>
      </w:r>
      <w:r w:rsidRPr="004C7AAD">
        <w:t xml:space="preserve"> </w:t>
      </w:r>
      <w:r w:rsidR="00F866F0" w:rsidRPr="00CC4FB1">
        <w:t>1</w:t>
      </w:r>
      <w:r w:rsidR="004C7AAD" w:rsidRPr="00CC4FB1">
        <w:t>.</w:t>
      </w:r>
      <w:r w:rsidR="00A612D9" w:rsidRPr="00CC4FB1">
        <w:t>4</w:t>
      </w:r>
      <w:r w:rsidR="00F866F0" w:rsidRPr="00CC4FB1">
        <w:t> million</w:t>
      </w:r>
      <w:r w:rsidRPr="00CC4FB1">
        <w:t xml:space="preserve"> (</w:t>
      </w:r>
      <w:r w:rsidR="004C7AAD" w:rsidRPr="00CC4FB1">
        <w:t>4</w:t>
      </w:r>
      <w:r w:rsidR="00A612D9" w:rsidRPr="00CC4FB1">
        <w:t>5</w:t>
      </w:r>
      <w:r w:rsidR="004C7AAD" w:rsidRPr="00CC4FB1">
        <w:t>.</w:t>
      </w:r>
      <w:r w:rsidR="0041643A" w:rsidRPr="00CC4FB1">
        <w:t>4</w:t>
      </w:r>
      <w:r w:rsidRPr="004D42BF">
        <w:t> per</w:t>
      </w:r>
      <w:r w:rsidRPr="004C7AAD">
        <w:t xml:space="preserve"> cent) were in remote or </w:t>
      </w:r>
      <w:r w:rsidR="002350C7" w:rsidRPr="004C7AAD">
        <w:t>very remote areas (table </w:t>
      </w:r>
      <w:r w:rsidR="00C9076B">
        <w:t>10A.</w:t>
      </w:r>
      <w:r w:rsidR="00E60498" w:rsidRPr="004C7AAD">
        <w:t>1</w:t>
      </w:r>
      <w:r w:rsidR="00705AF9">
        <w:t>6</w:t>
      </w:r>
      <w:r w:rsidR="00BF5E69" w:rsidRPr="004C7AAD">
        <w:t>).</w:t>
      </w:r>
    </w:p>
    <w:p w:rsidR="003019F8" w:rsidRDefault="003019F8" w:rsidP="003019F8">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909"/>
      </w:tblGrid>
      <w:tr w:rsidR="003019F8" w:rsidTr="003019F8">
        <w:tc>
          <w:tcPr>
            <w:tcW w:w="8771" w:type="dxa"/>
            <w:tcBorders>
              <w:top w:val="single" w:sz="6" w:space="0" w:color="78A22F" w:themeColor="accent1"/>
              <w:left w:val="nil"/>
              <w:bottom w:val="nil"/>
              <w:right w:val="nil"/>
            </w:tcBorders>
            <w:shd w:val="clear" w:color="auto" w:fill="auto"/>
          </w:tcPr>
          <w:p w:rsidR="003019F8" w:rsidRPr="00784A05" w:rsidRDefault="003019F8" w:rsidP="003019F8">
            <w:pPr>
              <w:pStyle w:val="TableTitle"/>
            </w:pPr>
            <w:r>
              <w:rPr>
                <w:b w:val="0"/>
              </w:rPr>
              <w:t>Table 10.</w:t>
            </w:r>
            <w:r w:rsidR="0078724D">
              <w:rPr>
                <w:b w:val="0"/>
                <w:noProof/>
              </w:rPr>
              <w:t>5</w:t>
            </w:r>
            <w:r>
              <w:tab/>
            </w:r>
            <w:r w:rsidRPr="003645D5">
              <w:t xml:space="preserve">Estimated episodes of healthcare for </w:t>
            </w:r>
            <w:r w:rsidR="00D16EBA">
              <w:t>Aboriginal and Torres Strait Islander</w:t>
            </w:r>
            <w:r>
              <w:t xml:space="preserve"> Australians</w:t>
            </w:r>
            <w:r w:rsidRPr="003645D5">
              <w:t xml:space="preserve"> by services for which </w:t>
            </w:r>
            <w:r>
              <w:t>OSR</w:t>
            </w:r>
            <w:r w:rsidRPr="003645D5">
              <w:t xml:space="preserve"> data are reported (‘000)</w:t>
            </w:r>
            <w:r w:rsidRPr="003645D5">
              <w:rPr>
                <w:rStyle w:val="NoteLabel"/>
                <w:b/>
              </w:rPr>
              <w:t>a</w:t>
            </w:r>
          </w:p>
        </w:tc>
      </w:tr>
      <w:tr w:rsidR="003019F8" w:rsidTr="003019F8">
        <w:trPr>
          <w:cantSplit/>
        </w:trPr>
        <w:tc>
          <w:tcPr>
            <w:tcW w:w="8771" w:type="dxa"/>
            <w:tcBorders>
              <w:top w:val="nil"/>
              <w:left w:val="nil"/>
              <w:bottom w:val="nil"/>
              <w:right w:val="nil"/>
            </w:tcBorders>
            <w:shd w:val="clear" w:color="auto" w:fill="auto"/>
          </w:tcPr>
          <w:tbl>
            <w:tblPr>
              <w:tblW w:w="8789" w:type="dxa"/>
              <w:tblCellMar>
                <w:left w:w="0" w:type="dxa"/>
                <w:right w:w="0" w:type="dxa"/>
              </w:tblCellMar>
              <w:tblLook w:val="0000" w:firstRow="0" w:lastRow="0" w:firstColumn="0" w:lastColumn="0" w:noHBand="0" w:noVBand="0"/>
            </w:tblPr>
            <w:tblGrid>
              <w:gridCol w:w="1490"/>
              <w:gridCol w:w="804"/>
              <w:gridCol w:w="804"/>
              <w:gridCol w:w="805"/>
              <w:gridCol w:w="805"/>
              <w:gridCol w:w="805"/>
              <w:gridCol w:w="805"/>
              <w:gridCol w:w="805"/>
              <w:gridCol w:w="805"/>
              <w:gridCol w:w="861"/>
            </w:tblGrid>
            <w:tr w:rsidR="003019F8" w:rsidRPr="002D7487" w:rsidTr="00D360F2">
              <w:tc>
                <w:tcPr>
                  <w:tcW w:w="1490" w:type="dxa"/>
                  <w:tcBorders>
                    <w:top w:val="single" w:sz="6" w:space="0" w:color="BFBFBF"/>
                    <w:bottom w:val="single" w:sz="6" w:space="0" w:color="BFBFBF"/>
                  </w:tcBorders>
                  <w:shd w:val="clear" w:color="auto" w:fill="auto"/>
                </w:tcPr>
                <w:p w:rsidR="003019F8" w:rsidRPr="002D7487" w:rsidRDefault="003019F8" w:rsidP="002D7487">
                  <w:pPr>
                    <w:pStyle w:val="TableColumnHeading"/>
                    <w:rPr>
                      <w:rStyle w:val="NoteLabel"/>
                      <w:b w:val="0"/>
                      <w:position w:val="0"/>
                    </w:rPr>
                  </w:pPr>
                </w:p>
              </w:tc>
              <w:tc>
                <w:tcPr>
                  <w:tcW w:w="804" w:type="dxa"/>
                  <w:tcBorders>
                    <w:top w:val="single" w:sz="6" w:space="0" w:color="BFBFBF"/>
                    <w:bottom w:val="single" w:sz="6" w:space="0" w:color="BFBFBF"/>
                  </w:tcBorders>
                  <w:shd w:val="clear" w:color="auto" w:fill="auto"/>
                </w:tcPr>
                <w:p w:rsidR="003019F8" w:rsidRPr="002D7487" w:rsidRDefault="003019F8" w:rsidP="002D7487">
                  <w:pPr>
                    <w:pStyle w:val="TableColumnHeading"/>
                    <w:rPr>
                      <w:rStyle w:val="NoteLabel"/>
                      <w:b w:val="0"/>
                      <w:position w:val="0"/>
                    </w:rPr>
                  </w:pPr>
                  <w:r w:rsidRPr="002D7487">
                    <w:rPr>
                      <w:rStyle w:val="NoteLabel"/>
                      <w:b w:val="0"/>
                      <w:position w:val="0"/>
                    </w:rPr>
                    <w:t xml:space="preserve">NSW </w:t>
                  </w:r>
                </w:p>
              </w:tc>
              <w:tc>
                <w:tcPr>
                  <w:tcW w:w="804" w:type="dxa"/>
                  <w:tcBorders>
                    <w:top w:val="single" w:sz="6" w:space="0" w:color="BFBFBF"/>
                    <w:bottom w:val="single" w:sz="6" w:space="0" w:color="BFBFBF"/>
                  </w:tcBorders>
                  <w:shd w:val="clear" w:color="auto" w:fill="auto"/>
                </w:tcPr>
                <w:p w:rsidR="003019F8" w:rsidRPr="002D7487" w:rsidRDefault="003019F8" w:rsidP="002D7487">
                  <w:pPr>
                    <w:pStyle w:val="TableColumnHeading"/>
                    <w:rPr>
                      <w:rStyle w:val="NoteLabel"/>
                      <w:b w:val="0"/>
                      <w:position w:val="0"/>
                    </w:rPr>
                  </w:pPr>
                  <w:r w:rsidRPr="002D7487">
                    <w:rPr>
                      <w:rStyle w:val="NoteLabel"/>
                      <w:b w:val="0"/>
                      <w:position w:val="0"/>
                    </w:rPr>
                    <w:t>Vic</w:t>
                  </w:r>
                  <w:r w:rsidRPr="002D7487">
                    <w:rPr>
                      <w:rStyle w:val="NoteLabel"/>
                      <w:b w:val="0"/>
                      <w:position w:val="0"/>
                    </w:rPr>
                    <w:tab/>
                  </w:r>
                </w:p>
              </w:tc>
              <w:tc>
                <w:tcPr>
                  <w:tcW w:w="805" w:type="dxa"/>
                  <w:tcBorders>
                    <w:top w:val="single" w:sz="6" w:space="0" w:color="BFBFBF"/>
                    <w:bottom w:val="single" w:sz="6" w:space="0" w:color="BFBFBF"/>
                  </w:tcBorders>
                  <w:shd w:val="clear" w:color="auto" w:fill="auto"/>
                </w:tcPr>
                <w:p w:rsidR="003019F8" w:rsidRPr="002D7487" w:rsidRDefault="003019F8" w:rsidP="002D7487">
                  <w:pPr>
                    <w:pStyle w:val="TableColumnHeading"/>
                    <w:rPr>
                      <w:rStyle w:val="NoteLabel"/>
                      <w:b w:val="0"/>
                      <w:position w:val="0"/>
                    </w:rPr>
                  </w:pPr>
                  <w:r w:rsidRPr="002D7487">
                    <w:rPr>
                      <w:rStyle w:val="NoteLabel"/>
                      <w:b w:val="0"/>
                      <w:position w:val="0"/>
                    </w:rPr>
                    <w:t>Qld</w:t>
                  </w:r>
                  <w:r w:rsidRPr="002D7487">
                    <w:rPr>
                      <w:rStyle w:val="NoteLabel"/>
                      <w:b w:val="0"/>
                      <w:position w:val="0"/>
                    </w:rPr>
                    <w:tab/>
                  </w:r>
                </w:p>
              </w:tc>
              <w:tc>
                <w:tcPr>
                  <w:tcW w:w="805" w:type="dxa"/>
                  <w:tcBorders>
                    <w:top w:val="single" w:sz="6" w:space="0" w:color="BFBFBF"/>
                    <w:bottom w:val="single" w:sz="6" w:space="0" w:color="BFBFBF"/>
                  </w:tcBorders>
                  <w:shd w:val="clear" w:color="auto" w:fill="auto"/>
                </w:tcPr>
                <w:p w:rsidR="003019F8" w:rsidRPr="002D7487" w:rsidRDefault="003019F8" w:rsidP="002D7487">
                  <w:pPr>
                    <w:pStyle w:val="TableColumnHeading"/>
                    <w:rPr>
                      <w:rStyle w:val="NoteLabel"/>
                      <w:b w:val="0"/>
                      <w:position w:val="0"/>
                    </w:rPr>
                  </w:pPr>
                  <w:r w:rsidRPr="002D7487">
                    <w:rPr>
                      <w:rStyle w:val="NoteLabel"/>
                      <w:b w:val="0"/>
                      <w:position w:val="0"/>
                    </w:rPr>
                    <w:t>WA</w:t>
                  </w:r>
                  <w:r w:rsidRPr="002D7487">
                    <w:rPr>
                      <w:rStyle w:val="NoteLabel"/>
                      <w:b w:val="0"/>
                      <w:position w:val="0"/>
                    </w:rPr>
                    <w:tab/>
                  </w:r>
                </w:p>
              </w:tc>
              <w:tc>
                <w:tcPr>
                  <w:tcW w:w="805" w:type="dxa"/>
                  <w:tcBorders>
                    <w:top w:val="single" w:sz="6" w:space="0" w:color="BFBFBF"/>
                    <w:bottom w:val="single" w:sz="6" w:space="0" w:color="BFBFBF"/>
                  </w:tcBorders>
                  <w:shd w:val="clear" w:color="auto" w:fill="auto"/>
                </w:tcPr>
                <w:p w:rsidR="003019F8" w:rsidRPr="002D7487" w:rsidRDefault="003019F8" w:rsidP="002D7487">
                  <w:pPr>
                    <w:pStyle w:val="TableColumnHeading"/>
                    <w:rPr>
                      <w:rStyle w:val="NoteLabel"/>
                      <w:b w:val="0"/>
                      <w:position w:val="0"/>
                    </w:rPr>
                  </w:pPr>
                  <w:r w:rsidRPr="002D7487">
                    <w:rPr>
                      <w:rStyle w:val="NoteLabel"/>
                      <w:b w:val="0"/>
                      <w:position w:val="0"/>
                    </w:rPr>
                    <w:t>SA</w:t>
                  </w:r>
                  <w:r w:rsidRPr="002D7487">
                    <w:rPr>
                      <w:rStyle w:val="NoteLabel"/>
                      <w:b w:val="0"/>
                      <w:position w:val="0"/>
                    </w:rPr>
                    <w:tab/>
                  </w:r>
                </w:p>
              </w:tc>
              <w:tc>
                <w:tcPr>
                  <w:tcW w:w="805" w:type="dxa"/>
                  <w:tcBorders>
                    <w:top w:val="single" w:sz="6" w:space="0" w:color="BFBFBF"/>
                    <w:bottom w:val="single" w:sz="6" w:space="0" w:color="BFBFBF"/>
                  </w:tcBorders>
                  <w:shd w:val="clear" w:color="auto" w:fill="auto"/>
                </w:tcPr>
                <w:p w:rsidR="003019F8" w:rsidRPr="002D7487" w:rsidRDefault="003019F8" w:rsidP="002D7487">
                  <w:pPr>
                    <w:pStyle w:val="TableColumnHeading"/>
                    <w:rPr>
                      <w:rStyle w:val="NoteLabel"/>
                      <w:b w:val="0"/>
                      <w:position w:val="0"/>
                    </w:rPr>
                  </w:pPr>
                  <w:r w:rsidRPr="002D7487">
                    <w:rPr>
                      <w:rStyle w:val="NoteLabel"/>
                      <w:b w:val="0"/>
                      <w:position w:val="0"/>
                    </w:rPr>
                    <w:t>Tas</w:t>
                  </w:r>
                  <w:r w:rsidRPr="002D7487">
                    <w:rPr>
                      <w:rStyle w:val="NoteLabel"/>
                      <w:b w:val="0"/>
                      <w:position w:val="0"/>
                    </w:rPr>
                    <w:tab/>
                  </w:r>
                </w:p>
              </w:tc>
              <w:tc>
                <w:tcPr>
                  <w:tcW w:w="805" w:type="dxa"/>
                  <w:tcBorders>
                    <w:top w:val="single" w:sz="6" w:space="0" w:color="BFBFBF"/>
                    <w:bottom w:val="single" w:sz="6" w:space="0" w:color="BFBFBF"/>
                  </w:tcBorders>
                </w:tcPr>
                <w:p w:rsidR="003019F8" w:rsidRPr="002D7487" w:rsidRDefault="003019F8" w:rsidP="002D7487">
                  <w:pPr>
                    <w:pStyle w:val="TableColumnHeading"/>
                    <w:rPr>
                      <w:rStyle w:val="NoteLabel"/>
                      <w:b w:val="0"/>
                      <w:position w:val="0"/>
                    </w:rPr>
                  </w:pPr>
                  <w:r w:rsidRPr="002D7487">
                    <w:rPr>
                      <w:rStyle w:val="NoteLabel"/>
                      <w:b w:val="0"/>
                      <w:position w:val="0"/>
                    </w:rPr>
                    <w:t>ACT</w:t>
                  </w:r>
                </w:p>
              </w:tc>
              <w:tc>
                <w:tcPr>
                  <w:tcW w:w="805" w:type="dxa"/>
                  <w:tcBorders>
                    <w:top w:val="single" w:sz="6" w:space="0" w:color="BFBFBF"/>
                    <w:bottom w:val="single" w:sz="6" w:space="0" w:color="BFBFBF"/>
                  </w:tcBorders>
                  <w:shd w:val="clear" w:color="auto" w:fill="auto"/>
                </w:tcPr>
                <w:p w:rsidR="003019F8" w:rsidRPr="002D7487" w:rsidRDefault="003019F8" w:rsidP="002D7487">
                  <w:pPr>
                    <w:pStyle w:val="TableColumnHeading"/>
                    <w:rPr>
                      <w:rStyle w:val="NoteLabel"/>
                      <w:b w:val="0"/>
                      <w:position w:val="0"/>
                    </w:rPr>
                  </w:pPr>
                  <w:r w:rsidRPr="002D7487">
                    <w:rPr>
                      <w:rStyle w:val="NoteLabel"/>
                      <w:b w:val="0"/>
                      <w:position w:val="0"/>
                    </w:rPr>
                    <w:t>NT</w:t>
                  </w:r>
                  <w:r w:rsidRPr="002D7487">
                    <w:rPr>
                      <w:rStyle w:val="NoteLabel"/>
                      <w:b w:val="0"/>
                      <w:position w:val="0"/>
                    </w:rPr>
                    <w:tab/>
                  </w:r>
                </w:p>
              </w:tc>
              <w:tc>
                <w:tcPr>
                  <w:tcW w:w="861" w:type="dxa"/>
                  <w:tcBorders>
                    <w:top w:val="single" w:sz="6" w:space="0" w:color="BFBFBF"/>
                    <w:bottom w:val="single" w:sz="6" w:space="0" w:color="BFBFBF"/>
                  </w:tcBorders>
                  <w:shd w:val="clear" w:color="auto" w:fill="auto"/>
                </w:tcPr>
                <w:p w:rsidR="003019F8" w:rsidRPr="002D7487" w:rsidRDefault="003019F8" w:rsidP="002D7487">
                  <w:pPr>
                    <w:pStyle w:val="TableColumnHeading"/>
                    <w:rPr>
                      <w:rStyle w:val="NoteLabel"/>
                      <w:b w:val="0"/>
                      <w:position w:val="0"/>
                    </w:rPr>
                  </w:pPr>
                  <w:r w:rsidRPr="002D7487">
                    <w:rPr>
                      <w:rStyle w:val="NoteLabel"/>
                      <w:b w:val="0"/>
                      <w:position w:val="0"/>
                    </w:rPr>
                    <w:t>Aust</w:t>
                  </w:r>
                </w:p>
              </w:tc>
            </w:tr>
            <w:tr w:rsidR="00F63203" w:rsidRPr="009949CD" w:rsidTr="00680958">
              <w:tc>
                <w:tcPr>
                  <w:tcW w:w="1490" w:type="dxa"/>
                  <w:tcBorders>
                    <w:top w:val="single" w:sz="6" w:space="0" w:color="BFBFBF"/>
                  </w:tcBorders>
                  <w:shd w:val="clear" w:color="auto" w:fill="auto"/>
                </w:tcPr>
                <w:p w:rsidR="00F63203" w:rsidRPr="009949CD" w:rsidRDefault="00F63203" w:rsidP="002D7487">
                  <w:pPr>
                    <w:pStyle w:val="TableBodyText"/>
                    <w:jc w:val="left"/>
                  </w:pPr>
                  <w:r w:rsidRPr="009949CD">
                    <w:t>2008-09</w:t>
                  </w:r>
                </w:p>
              </w:tc>
              <w:tc>
                <w:tcPr>
                  <w:tcW w:w="804" w:type="dxa"/>
                  <w:tcBorders>
                    <w:top w:val="single" w:sz="6" w:space="0" w:color="BFBFBF"/>
                  </w:tcBorders>
                  <w:shd w:val="clear" w:color="auto" w:fill="auto"/>
                  <w:vAlign w:val="center"/>
                </w:tcPr>
                <w:p w:rsidR="00F63203" w:rsidRPr="00801934" w:rsidRDefault="00F63203" w:rsidP="00801934">
                  <w:pPr>
                    <w:pStyle w:val="TableBodyText"/>
                    <w:spacing w:afterLines="40" w:after="96"/>
                  </w:pPr>
                  <w:r w:rsidRPr="00801934">
                    <w:t xml:space="preserve">  452</w:t>
                  </w:r>
                </w:p>
              </w:tc>
              <w:tc>
                <w:tcPr>
                  <w:tcW w:w="804" w:type="dxa"/>
                  <w:tcBorders>
                    <w:top w:val="single" w:sz="6" w:space="0" w:color="BFBFBF"/>
                  </w:tcBorders>
                  <w:shd w:val="clear" w:color="auto" w:fill="auto"/>
                  <w:vAlign w:val="center"/>
                </w:tcPr>
                <w:p w:rsidR="00F63203" w:rsidRPr="00801934" w:rsidRDefault="00F63203" w:rsidP="00801934">
                  <w:pPr>
                    <w:pStyle w:val="TableBodyText"/>
                    <w:spacing w:afterLines="40" w:after="96"/>
                  </w:pPr>
                  <w:r w:rsidRPr="00801934">
                    <w:t xml:space="preserve">  160</w:t>
                  </w:r>
                </w:p>
              </w:tc>
              <w:tc>
                <w:tcPr>
                  <w:tcW w:w="805" w:type="dxa"/>
                  <w:tcBorders>
                    <w:top w:val="single" w:sz="6" w:space="0" w:color="BFBFBF"/>
                  </w:tcBorders>
                  <w:shd w:val="clear" w:color="auto" w:fill="auto"/>
                  <w:vAlign w:val="center"/>
                </w:tcPr>
                <w:p w:rsidR="00F63203" w:rsidRPr="00801934" w:rsidRDefault="00F63203" w:rsidP="00801934">
                  <w:pPr>
                    <w:pStyle w:val="TableBodyText"/>
                    <w:spacing w:afterLines="40" w:after="96"/>
                  </w:pPr>
                  <w:r w:rsidRPr="00801934">
                    <w:t xml:space="preserve">  336</w:t>
                  </w:r>
                </w:p>
              </w:tc>
              <w:tc>
                <w:tcPr>
                  <w:tcW w:w="805" w:type="dxa"/>
                  <w:tcBorders>
                    <w:top w:val="single" w:sz="6" w:space="0" w:color="BFBFBF"/>
                  </w:tcBorders>
                  <w:shd w:val="clear" w:color="auto" w:fill="auto"/>
                  <w:vAlign w:val="center"/>
                </w:tcPr>
                <w:p w:rsidR="00F63203" w:rsidRPr="00801934" w:rsidRDefault="00F63203" w:rsidP="00801934">
                  <w:pPr>
                    <w:pStyle w:val="TableBodyText"/>
                    <w:spacing w:afterLines="40" w:after="96"/>
                  </w:pPr>
                  <w:r w:rsidRPr="00801934">
                    <w:t xml:space="preserve">  306</w:t>
                  </w:r>
                </w:p>
              </w:tc>
              <w:tc>
                <w:tcPr>
                  <w:tcW w:w="805" w:type="dxa"/>
                  <w:tcBorders>
                    <w:top w:val="single" w:sz="6" w:space="0" w:color="BFBFBF"/>
                  </w:tcBorders>
                  <w:shd w:val="clear" w:color="auto" w:fill="auto"/>
                  <w:vAlign w:val="center"/>
                </w:tcPr>
                <w:p w:rsidR="00F63203" w:rsidRPr="00801934" w:rsidRDefault="00F63203" w:rsidP="00801934">
                  <w:pPr>
                    <w:pStyle w:val="TableBodyText"/>
                    <w:spacing w:afterLines="40" w:after="96"/>
                  </w:pPr>
                  <w:r w:rsidRPr="00801934">
                    <w:t xml:space="preserve">  191</w:t>
                  </w:r>
                </w:p>
              </w:tc>
              <w:tc>
                <w:tcPr>
                  <w:tcW w:w="805" w:type="dxa"/>
                  <w:tcBorders>
                    <w:top w:val="single" w:sz="6" w:space="0" w:color="BFBFBF"/>
                  </w:tcBorders>
                  <w:shd w:val="clear" w:color="auto" w:fill="auto"/>
                  <w:vAlign w:val="center"/>
                </w:tcPr>
                <w:p w:rsidR="00F63203" w:rsidRPr="00801934" w:rsidRDefault="00F63203" w:rsidP="00801934">
                  <w:pPr>
                    <w:pStyle w:val="TableBodyText"/>
                    <w:spacing w:afterLines="40" w:after="96"/>
                  </w:pPr>
                  <w:r w:rsidRPr="00801934">
                    <w:t xml:space="preserve">  35</w:t>
                  </w:r>
                </w:p>
              </w:tc>
              <w:tc>
                <w:tcPr>
                  <w:tcW w:w="805" w:type="dxa"/>
                  <w:tcBorders>
                    <w:top w:val="single" w:sz="6" w:space="0" w:color="BFBFBF"/>
                  </w:tcBorders>
                  <w:shd w:val="clear" w:color="auto" w:fill="auto"/>
                  <w:vAlign w:val="center"/>
                </w:tcPr>
                <w:p w:rsidR="00F63203" w:rsidRPr="00801934" w:rsidRDefault="00F63203" w:rsidP="00801934">
                  <w:pPr>
                    <w:pStyle w:val="TableBodyText"/>
                    <w:spacing w:afterLines="40" w:after="96"/>
                  </w:pPr>
                  <w:r w:rsidRPr="00801934">
                    <w:t xml:space="preserve">  23</w:t>
                  </w:r>
                </w:p>
              </w:tc>
              <w:tc>
                <w:tcPr>
                  <w:tcW w:w="805" w:type="dxa"/>
                  <w:tcBorders>
                    <w:top w:val="single" w:sz="6" w:space="0" w:color="BFBFBF"/>
                  </w:tcBorders>
                  <w:shd w:val="clear" w:color="auto" w:fill="auto"/>
                  <w:vAlign w:val="center"/>
                </w:tcPr>
                <w:p w:rsidR="00F63203" w:rsidRPr="00801934" w:rsidRDefault="00F63203" w:rsidP="00801934">
                  <w:pPr>
                    <w:pStyle w:val="TableBodyText"/>
                    <w:spacing w:afterLines="40" w:after="96"/>
                  </w:pPr>
                  <w:r w:rsidRPr="00801934">
                    <w:t xml:space="preserve">  586</w:t>
                  </w:r>
                </w:p>
              </w:tc>
              <w:tc>
                <w:tcPr>
                  <w:tcW w:w="861" w:type="dxa"/>
                  <w:tcBorders>
                    <w:top w:val="single" w:sz="6" w:space="0" w:color="BFBFBF"/>
                  </w:tcBorders>
                  <w:shd w:val="clear" w:color="auto" w:fill="auto"/>
                  <w:vAlign w:val="center"/>
                </w:tcPr>
                <w:p w:rsidR="00F63203" w:rsidRPr="00801934" w:rsidRDefault="00F63203" w:rsidP="00801934">
                  <w:pPr>
                    <w:pStyle w:val="TableBodyText"/>
                    <w:spacing w:afterLines="40" w:after="96"/>
                  </w:pPr>
                  <w:r w:rsidRPr="00801934">
                    <w:t xml:space="preserve"> 2 089</w:t>
                  </w:r>
                </w:p>
              </w:tc>
            </w:tr>
            <w:tr w:rsidR="00F63203" w:rsidRPr="009949CD" w:rsidTr="001B34B6">
              <w:tc>
                <w:tcPr>
                  <w:tcW w:w="1490" w:type="dxa"/>
                  <w:shd w:val="clear" w:color="auto" w:fill="auto"/>
                </w:tcPr>
                <w:p w:rsidR="00F63203" w:rsidRPr="009949CD" w:rsidRDefault="00F63203" w:rsidP="002D7487">
                  <w:pPr>
                    <w:pStyle w:val="TableBodyText"/>
                    <w:jc w:val="left"/>
                  </w:pPr>
                  <w:r w:rsidRPr="009949CD">
                    <w:t>2009-10</w:t>
                  </w:r>
                </w:p>
              </w:tc>
              <w:tc>
                <w:tcPr>
                  <w:tcW w:w="804" w:type="dxa"/>
                  <w:shd w:val="clear" w:color="auto" w:fill="auto"/>
                  <w:vAlign w:val="center"/>
                </w:tcPr>
                <w:p w:rsidR="00F63203" w:rsidRPr="00801934" w:rsidRDefault="00F63203" w:rsidP="00801934">
                  <w:pPr>
                    <w:pStyle w:val="TableBodyText"/>
                    <w:spacing w:afterLines="40" w:after="96"/>
                  </w:pPr>
                  <w:r w:rsidRPr="00801934">
                    <w:t xml:space="preserve">  542</w:t>
                  </w:r>
                </w:p>
              </w:tc>
              <w:tc>
                <w:tcPr>
                  <w:tcW w:w="804" w:type="dxa"/>
                  <w:shd w:val="clear" w:color="auto" w:fill="auto"/>
                  <w:vAlign w:val="center"/>
                </w:tcPr>
                <w:p w:rsidR="00F63203" w:rsidRPr="00801934" w:rsidRDefault="00F63203" w:rsidP="00801934">
                  <w:pPr>
                    <w:pStyle w:val="TableBodyText"/>
                    <w:spacing w:afterLines="40" w:after="96"/>
                  </w:pPr>
                  <w:r w:rsidRPr="00801934">
                    <w:t xml:space="preserve">  185</w:t>
                  </w:r>
                </w:p>
              </w:tc>
              <w:tc>
                <w:tcPr>
                  <w:tcW w:w="805" w:type="dxa"/>
                  <w:shd w:val="clear" w:color="auto" w:fill="auto"/>
                  <w:vAlign w:val="center"/>
                </w:tcPr>
                <w:p w:rsidR="00F63203" w:rsidRPr="00801934" w:rsidRDefault="00F63203" w:rsidP="00801934">
                  <w:pPr>
                    <w:pStyle w:val="TableBodyText"/>
                    <w:spacing w:afterLines="40" w:after="96"/>
                  </w:pPr>
                  <w:r w:rsidRPr="00801934">
                    <w:t xml:space="preserve">  379</w:t>
                  </w:r>
                </w:p>
              </w:tc>
              <w:tc>
                <w:tcPr>
                  <w:tcW w:w="805" w:type="dxa"/>
                  <w:shd w:val="clear" w:color="auto" w:fill="auto"/>
                  <w:vAlign w:val="center"/>
                </w:tcPr>
                <w:p w:rsidR="00F63203" w:rsidRPr="00801934" w:rsidRDefault="00F63203" w:rsidP="00801934">
                  <w:pPr>
                    <w:pStyle w:val="TableBodyText"/>
                    <w:spacing w:afterLines="40" w:after="96"/>
                  </w:pPr>
                  <w:r w:rsidRPr="00801934">
                    <w:t xml:space="preserve">  409</w:t>
                  </w:r>
                </w:p>
              </w:tc>
              <w:tc>
                <w:tcPr>
                  <w:tcW w:w="805" w:type="dxa"/>
                  <w:shd w:val="clear" w:color="auto" w:fill="auto"/>
                  <w:vAlign w:val="center"/>
                </w:tcPr>
                <w:p w:rsidR="00F63203" w:rsidRPr="00801934" w:rsidRDefault="00F63203" w:rsidP="00801934">
                  <w:pPr>
                    <w:pStyle w:val="TableBodyText"/>
                    <w:spacing w:afterLines="40" w:after="96"/>
                  </w:pPr>
                  <w:r w:rsidRPr="00801934">
                    <w:t xml:space="preserve">  192</w:t>
                  </w:r>
                </w:p>
              </w:tc>
              <w:tc>
                <w:tcPr>
                  <w:tcW w:w="805" w:type="dxa"/>
                  <w:shd w:val="clear" w:color="auto" w:fill="auto"/>
                  <w:vAlign w:val="center"/>
                </w:tcPr>
                <w:p w:rsidR="00F63203" w:rsidRPr="00801934" w:rsidRDefault="00F63203" w:rsidP="00801934">
                  <w:pPr>
                    <w:pStyle w:val="TableBodyText"/>
                    <w:spacing w:afterLines="40" w:after="96"/>
                  </w:pPr>
                  <w:r w:rsidRPr="00801934">
                    <w:t xml:space="preserve">  36</w:t>
                  </w:r>
                </w:p>
              </w:tc>
              <w:tc>
                <w:tcPr>
                  <w:tcW w:w="805" w:type="dxa"/>
                  <w:shd w:val="clear" w:color="auto" w:fill="auto"/>
                  <w:vAlign w:val="center"/>
                </w:tcPr>
                <w:p w:rsidR="00F63203" w:rsidRPr="00801934" w:rsidRDefault="00F63203" w:rsidP="00801934">
                  <w:pPr>
                    <w:pStyle w:val="TableBodyText"/>
                    <w:spacing w:afterLines="40" w:after="96"/>
                  </w:pPr>
                  <w:r w:rsidRPr="00801934">
                    <w:t xml:space="preserve">  26</w:t>
                  </w:r>
                </w:p>
              </w:tc>
              <w:tc>
                <w:tcPr>
                  <w:tcW w:w="805" w:type="dxa"/>
                  <w:shd w:val="clear" w:color="auto" w:fill="auto"/>
                  <w:vAlign w:val="center"/>
                </w:tcPr>
                <w:p w:rsidR="00F63203" w:rsidRPr="00801934" w:rsidRDefault="00F63203" w:rsidP="00801934">
                  <w:pPr>
                    <w:pStyle w:val="TableBodyText"/>
                    <w:spacing w:afterLines="40" w:after="96"/>
                  </w:pPr>
                  <w:r w:rsidRPr="00801934">
                    <w:t xml:space="preserve">  622</w:t>
                  </w:r>
                </w:p>
              </w:tc>
              <w:tc>
                <w:tcPr>
                  <w:tcW w:w="861" w:type="dxa"/>
                  <w:shd w:val="clear" w:color="auto" w:fill="auto"/>
                  <w:vAlign w:val="center"/>
                </w:tcPr>
                <w:p w:rsidR="00F63203" w:rsidRPr="00801934" w:rsidRDefault="00F63203" w:rsidP="00801934">
                  <w:pPr>
                    <w:pStyle w:val="TableBodyText"/>
                    <w:spacing w:afterLines="40" w:after="96"/>
                  </w:pPr>
                  <w:r w:rsidRPr="00801934">
                    <w:t xml:space="preserve"> 2 391</w:t>
                  </w:r>
                </w:p>
              </w:tc>
            </w:tr>
            <w:tr w:rsidR="00F63203" w:rsidRPr="00B72CA4" w:rsidTr="001B34B6">
              <w:tc>
                <w:tcPr>
                  <w:tcW w:w="1490" w:type="dxa"/>
                  <w:shd w:val="clear" w:color="auto" w:fill="auto"/>
                </w:tcPr>
                <w:p w:rsidR="00F63203" w:rsidRPr="009949CD" w:rsidRDefault="00F63203" w:rsidP="002D7487">
                  <w:pPr>
                    <w:pStyle w:val="TableBodyText"/>
                    <w:jc w:val="left"/>
                  </w:pPr>
                  <w:r w:rsidRPr="009949CD">
                    <w:t>2010-11</w:t>
                  </w:r>
                </w:p>
              </w:tc>
              <w:tc>
                <w:tcPr>
                  <w:tcW w:w="804" w:type="dxa"/>
                  <w:shd w:val="clear" w:color="auto" w:fill="auto"/>
                  <w:vAlign w:val="center"/>
                </w:tcPr>
                <w:p w:rsidR="00F63203" w:rsidRPr="00801934" w:rsidRDefault="00F63203" w:rsidP="00801934">
                  <w:pPr>
                    <w:pStyle w:val="TableBodyText"/>
                    <w:spacing w:afterLines="40" w:after="96"/>
                  </w:pPr>
                  <w:r w:rsidRPr="00801934">
                    <w:t xml:space="preserve">  522</w:t>
                  </w:r>
                </w:p>
              </w:tc>
              <w:tc>
                <w:tcPr>
                  <w:tcW w:w="804" w:type="dxa"/>
                  <w:shd w:val="clear" w:color="auto" w:fill="auto"/>
                  <w:vAlign w:val="center"/>
                </w:tcPr>
                <w:p w:rsidR="00F63203" w:rsidRPr="00801934" w:rsidRDefault="00F63203" w:rsidP="00801934">
                  <w:pPr>
                    <w:pStyle w:val="TableBodyText"/>
                    <w:spacing w:afterLines="40" w:after="96"/>
                  </w:pPr>
                  <w:r w:rsidRPr="00801934">
                    <w:t xml:space="preserve">  201</w:t>
                  </w:r>
                </w:p>
              </w:tc>
              <w:tc>
                <w:tcPr>
                  <w:tcW w:w="805" w:type="dxa"/>
                  <w:shd w:val="clear" w:color="auto" w:fill="auto"/>
                  <w:vAlign w:val="center"/>
                </w:tcPr>
                <w:p w:rsidR="00F63203" w:rsidRPr="00801934" w:rsidRDefault="00F63203" w:rsidP="00801934">
                  <w:pPr>
                    <w:pStyle w:val="TableBodyText"/>
                    <w:spacing w:afterLines="40" w:after="96"/>
                  </w:pPr>
                  <w:r w:rsidRPr="00801934">
                    <w:t xml:space="preserve">  310</w:t>
                  </w:r>
                </w:p>
              </w:tc>
              <w:tc>
                <w:tcPr>
                  <w:tcW w:w="805" w:type="dxa"/>
                  <w:shd w:val="clear" w:color="auto" w:fill="auto"/>
                  <w:vAlign w:val="center"/>
                </w:tcPr>
                <w:p w:rsidR="00F63203" w:rsidRPr="00801934" w:rsidRDefault="00F63203" w:rsidP="00801934">
                  <w:pPr>
                    <w:pStyle w:val="TableBodyText"/>
                    <w:spacing w:afterLines="40" w:after="96"/>
                  </w:pPr>
                  <w:r w:rsidRPr="00801934">
                    <w:t xml:space="preserve">  473</w:t>
                  </w:r>
                </w:p>
              </w:tc>
              <w:tc>
                <w:tcPr>
                  <w:tcW w:w="805" w:type="dxa"/>
                  <w:shd w:val="clear" w:color="auto" w:fill="auto"/>
                  <w:vAlign w:val="center"/>
                </w:tcPr>
                <w:p w:rsidR="00F63203" w:rsidRPr="00801934" w:rsidRDefault="00F63203" w:rsidP="00801934">
                  <w:pPr>
                    <w:pStyle w:val="TableBodyText"/>
                    <w:spacing w:afterLines="40" w:after="96"/>
                  </w:pPr>
                  <w:r w:rsidRPr="00801934">
                    <w:t xml:space="preserve">  222</w:t>
                  </w:r>
                </w:p>
              </w:tc>
              <w:tc>
                <w:tcPr>
                  <w:tcW w:w="805" w:type="dxa"/>
                  <w:shd w:val="clear" w:color="auto" w:fill="auto"/>
                  <w:vAlign w:val="center"/>
                </w:tcPr>
                <w:p w:rsidR="00F63203" w:rsidRPr="00801934" w:rsidRDefault="00F63203" w:rsidP="00801934">
                  <w:pPr>
                    <w:pStyle w:val="TableBodyText"/>
                    <w:spacing w:afterLines="40" w:after="96"/>
                  </w:pPr>
                  <w:r w:rsidRPr="00801934">
                    <w:t xml:space="preserve">  38</w:t>
                  </w:r>
                </w:p>
              </w:tc>
              <w:tc>
                <w:tcPr>
                  <w:tcW w:w="805" w:type="dxa"/>
                  <w:shd w:val="clear" w:color="auto" w:fill="auto"/>
                  <w:vAlign w:val="center"/>
                </w:tcPr>
                <w:p w:rsidR="00F63203" w:rsidRPr="00801934" w:rsidRDefault="00F63203" w:rsidP="00801934">
                  <w:pPr>
                    <w:pStyle w:val="TableBodyText"/>
                    <w:spacing w:afterLines="40" w:after="96"/>
                  </w:pPr>
                  <w:r w:rsidRPr="00801934">
                    <w:t xml:space="preserve">  30</w:t>
                  </w:r>
                </w:p>
              </w:tc>
              <w:tc>
                <w:tcPr>
                  <w:tcW w:w="805" w:type="dxa"/>
                  <w:shd w:val="clear" w:color="auto" w:fill="auto"/>
                  <w:vAlign w:val="center"/>
                </w:tcPr>
                <w:p w:rsidR="00F63203" w:rsidRPr="00801934" w:rsidRDefault="00F63203" w:rsidP="00801934">
                  <w:pPr>
                    <w:pStyle w:val="TableBodyText"/>
                    <w:spacing w:afterLines="40" w:after="96"/>
                  </w:pPr>
                  <w:r w:rsidRPr="00801934">
                    <w:t xml:space="preserve">  704</w:t>
                  </w:r>
                </w:p>
              </w:tc>
              <w:tc>
                <w:tcPr>
                  <w:tcW w:w="861" w:type="dxa"/>
                  <w:shd w:val="clear" w:color="auto" w:fill="auto"/>
                  <w:vAlign w:val="center"/>
                </w:tcPr>
                <w:p w:rsidR="00F63203" w:rsidRPr="00801934" w:rsidRDefault="00F63203" w:rsidP="00801934">
                  <w:pPr>
                    <w:pStyle w:val="TableBodyText"/>
                    <w:spacing w:afterLines="40" w:after="96"/>
                  </w:pPr>
                  <w:r w:rsidRPr="00801934">
                    <w:t xml:space="preserve"> 2 498</w:t>
                  </w:r>
                </w:p>
              </w:tc>
            </w:tr>
            <w:tr w:rsidR="00F63203" w:rsidRPr="00B72CA4" w:rsidTr="001B34B6">
              <w:tc>
                <w:tcPr>
                  <w:tcW w:w="1490" w:type="dxa"/>
                  <w:shd w:val="clear" w:color="auto" w:fill="auto"/>
                </w:tcPr>
                <w:p w:rsidR="00F63203" w:rsidRPr="009949CD" w:rsidRDefault="00F63203" w:rsidP="002D7487">
                  <w:pPr>
                    <w:pStyle w:val="TableBodyText"/>
                    <w:jc w:val="left"/>
                  </w:pPr>
                  <w:r>
                    <w:t>2011-12</w:t>
                  </w:r>
                </w:p>
              </w:tc>
              <w:tc>
                <w:tcPr>
                  <w:tcW w:w="804" w:type="dxa"/>
                  <w:shd w:val="clear" w:color="auto" w:fill="auto"/>
                  <w:vAlign w:val="center"/>
                </w:tcPr>
                <w:p w:rsidR="00F63203" w:rsidRPr="00801934" w:rsidRDefault="00F63203" w:rsidP="00801934">
                  <w:pPr>
                    <w:pStyle w:val="TableBodyText"/>
                    <w:spacing w:afterLines="40" w:after="96"/>
                  </w:pPr>
                  <w:r w:rsidRPr="00801934">
                    <w:t xml:space="preserve">  516</w:t>
                  </w:r>
                </w:p>
              </w:tc>
              <w:tc>
                <w:tcPr>
                  <w:tcW w:w="804" w:type="dxa"/>
                  <w:shd w:val="clear" w:color="auto" w:fill="auto"/>
                  <w:vAlign w:val="center"/>
                </w:tcPr>
                <w:p w:rsidR="00F63203" w:rsidRPr="00801934" w:rsidRDefault="00F63203" w:rsidP="00801934">
                  <w:pPr>
                    <w:pStyle w:val="TableBodyText"/>
                    <w:spacing w:afterLines="40" w:after="96"/>
                  </w:pPr>
                  <w:r w:rsidRPr="00801934">
                    <w:t xml:space="preserve">  234</w:t>
                  </w:r>
                </w:p>
              </w:tc>
              <w:tc>
                <w:tcPr>
                  <w:tcW w:w="805" w:type="dxa"/>
                  <w:shd w:val="clear" w:color="auto" w:fill="auto"/>
                  <w:vAlign w:val="center"/>
                </w:tcPr>
                <w:p w:rsidR="00F63203" w:rsidRPr="00801934" w:rsidRDefault="00F63203" w:rsidP="00801934">
                  <w:pPr>
                    <w:pStyle w:val="TableBodyText"/>
                    <w:spacing w:afterLines="40" w:after="96"/>
                  </w:pPr>
                  <w:r w:rsidRPr="00801934">
                    <w:t xml:space="preserve">  475</w:t>
                  </w:r>
                </w:p>
              </w:tc>
              <w:tc>
                <w:tcPr>
                  <w:tcW w:w="805" w:type="dxa"/>
                  <w:shd w:val="clear" w:color="auto" w:fill="auto"/>
                  <w:vAlign w:val="center"/>
                </w:tcPr>
                <w:p w:rsidR="00F63203" w:rsidRPr="00801934" w:rsidRDefault="00F63203" w:rsidP="00801934">
                  <w:pPr>
                    <w:pStyle w:val="TableBodyText"/>
                    <w:spacing w:afterLines="40" w:after="96"/>
                  </w:pPr>
                  <w:r w:rsidRPr="00801934">
                    <w:t xml:space="preserve">  462</w:t>
                  </w:r>
                </w:p>
              </w:tc>
              <w:tc>
                <w:tcPr>
                  <w:tcW w:w="805" w:type="dxa"/>
                  <w:shd w:val="clear" w:color="auto" w:fill="auto"/>
                  <w:vAlign w:val="center"/>
                </w:tcPr>
                <w:p w:rsidR="00F63203" w:rsidRPr="00801934" w:rsidRDefault="00F63203" w:rsidP="00801934">
                  <w:pPr>
                    <w:pStyle w:val="TableBodyText"/>
                    <w:spacing w:afterLines="40" w:after="96"/>
                  </w:pPr>
                  <w:r w:rsidRPr="00801934">
                    <w:t xml:space="preserve">  216</w:t>
                  </w:r>
                </w:p>
              </w:tc>
              <w:tc>
                <w:tcPr>
                  <w:tcW w:w="805" w:type="dxa"/>
                  <w:shd w:val="clear" w:color="auto" w:fill="auto"/>
                  <w:vAlign w:val="center"/>
                </w:tcPr>
                <w:p w:rsidR="00F63203" w:rsidRPr="00801934" w:rsidRDefault="00F63203" w:rsidP="00801934">
                  <w:pPr>
                    <w:pStyle w:val="TableBodyText"/>
                    <w:spacing w:afterLines="40" w:after="96"/>
                  </w:pPr>
                  <w:r w:rsidRPr="00801934">
                    <w:t xml:space="preserve">  44</w:t>
                  </w:r>
                </w:p>
              </w:tc>
              <w:tc>
                <w:tcPr>
                  <w:tcW w:w="805" w:type="dxa"/>
                  <w:shd w:val="clear" w:color="auto" w:fill="auto"/>
                  <w:vAlign w:val="center"/>
                </w:tcPr>
                <w:p w:rsidR="00F63203" w:rsidRPr="00801934" w:rsidRDefault="00F63203" w:rsidP="00801934">
                  <w:pPr>
                    <w:pStyle w:val="TableBodyText"/>
                    <w:spacing w:afterLines="40" w:after="96"/>
                  </w:pPr>
                  <w:r w:rsidRPr="00801934">
                    <w:t xml:space="preserve">  34</w:t>
                  </w:r>
                </w:p>
              </w:tc>
              <w:tc>
                <w:tcPr>
                  <w:tcW w:w="805" w:type="dxa"/>
                  <w:shd w:val="clear" w:color="auto" w:fill="auto"/>
                  <w:vAlign w:val="center"/>
                </w:tcPr>
                <w:p w:rsidR="00F63203" w:rsidRPr="00801934" w:rsidRDefault="00F63203" w:rsidP="00801934">
                  <w:pPr>
                    <w:pStyle w:val="TableBodyText"/>
                    <w:spacing w:afterLines="40" w:after="96"/>
                  </w:pPr>
                  <w:r w:rsidRPr="00801934">
                    <w:t xml:space="preserve">  641</w:t>
                  </w:r>
                </w:p>
              </w:tc>
              <w:tc>
                <w:tcPr>
                  <w:tcW w:w="861" w:type="dxa"/>
                  <w:shd w:val="clear" w:color="auto" w:fill="auto"/>
                  <w:vAlign w:val="center"/>
                </w:tcPr>
                <w:p w:rsidR="00F63203" w:rsidRPr="00801934" w:rsidRDefault="00F63203" w:rsidP="00801934">
                  <w:pPr>
                    <w:pStyle w:val="TableBodyText"/>
                    <w:spacing w:afterLines="40" w:after="96"/>
                  </w:pPr>
                  <w:r w:rsidRPr="00801934">
                    <w:t xml:space="preserve"> 2 621</w:t>
                  </w:r>
                </w:p>
              </w:tc>
            </w:tr>
            <w:tr w:rsidR="00F63203" w:rsidRPr="00B72CA4" w:rsidTr="001B34B6">
              <w:tc>
                <w:tcPr>
                  <w:tcW w:w="1490" w:type="dxa"/>
                  <w:tcBorders>
                    <w:bottom w:val="single" w:sz="6" w:space="0" w:color="BFBFBF"/>
                  </w:tcBorders>
                  <w:shd w:val="clear" w:color="auto" w:fill="auto"/>
                </w:tcPr>
                <w:p w:rsidR="00F63203" w:rsidRDefault="00F63203" w:rsidP="002D7487">
                  <w:pPr>
                    <w:pStyle w:val="TableBodyText"/>
                    <w:jc w:val="left"/>
                  </w:pPr>
                  <w:r>
                    <w:t>2012-13</w:t>
                  </w:r>
                </w:p>
              </w:tc>
              <w:tc>
                <w:tcPr>
                  <w:tcW w:w="804" w:type="dxa"/>
                  <w:tcBorders>
                    <w:bottom w:val="single" w:sz="6" w:space="0" w:color="BFBFBF"/>
                  </w:tcBorders>
                  <w:shd w:val="clear" w:color="auto" w:fill="auto"/>
                  <w:vAlign w:val="center"/>
                </w:tcPr>
                <w:p w:rsidR="00F63203" w:rsidRPr="00801934" w:rsidRDefault="00F63203" w:rsidP="00801934">
                  <w:pPr>
                    <w:pStyle w:val="TableBodyText"/>
                    <w:spacing w:afterLines="40" w:after="96"/>
                  </w:pPr>
                  <w:r w:rsidRPr="00801934">
                    <w:t xml:space="preserve">  622</w:t>
                  </w:r>
                </w:p>
              </w:tc>
              <w:tc>
                <w:tcPr>
                  <w:tcW w:w="804" w:type="dxa"/>
                  <w:tcBorders>
                    <w:bottom w:val="single" w:sz="6" w:space="0" w:color="BFBFBF"/>
                  </w:tcBorders>
                  <w:shd w:val="clear" w:color="auto" w:fill="auto"/>
                  <w:vAlign w:val="center"/>
                </w:tcPr>
                <w:p w:rsidR="00F63203" w:rsidRPr="00801934" w:rsidRDefault="00F63203" w:rsidP="00801934">
                  <w:pPr>
                    <w:pStyle w:val="TableBodyText"/>
                    <w:spacing w:afterLines="40" w:after="96"/>
                  </w:pPr>
                  <w:r w:rsidRPr="00801934">
                    <w:t xml:space="preserve">  238</w:t>
                  </w:r>
                </w:p>
              </w:tc>
              <w:tc>
                <w:tcPr>
                  <w:tcW w:w="805" w:type="dxa"/>
                  <w:tcBorders>
                    <w:bottom w:val="single" w:sz="6" w:space="0" w:color="BFBFBF"/>
                  </w:tcBorders>
                  <w:shd w:val="clear" w:color="auto" w:fill="auto"/>
                  <w:vAlign w:val="center"/>
                </w:tcPr>
                <w:p w:rsidR="00F63203" w:rsidRPr="00801934" w:rsidRDefault="00F63203" w:rsidP="00801934">
                  <w:pPr>
                    <w:pStyle w:val="TableBodyText"/>
                    <w:spacing w:afterLines="40" w:after="96"/>
                  </w:pPr>
                  <w:r w:rsidRPr="00801934">
                    <w:t xml:space="preserve">  575</w:t>
                  </w:r>
                </w:p>
              </w:tc>
              <w:tc>
                <w:tcPr>
                  <w:tcW w:w="805" w:type="dxa"/>
                  <w:tcBorders>
                    <w:bottom w:val="single" w:sz="6" w:space="0" w:color="BFBFBF"/>
                  </w:tcBorders>
                  <w:shd w:val="clear" w:color="auto" w:fill="auto"/>
                  <w:vAlign w:val="center"/>
                </w:tcPr>
                <w:p w:rsidR="00F63203" w:rsidRPr="00801934" w:rsidRDefault="00F63203" w:rsidP="00801934">
                  <w:pPr>
                    <w:pStyle w:val="TableBodyText"/>
                    <w:spacing w:afterLines="40" w:after="96"/>
                  </w:pPr>
                  <w:r w:rsidRPr="00801934">
                    <w:t xml:space="preserve">  583</w:t>
                  </w:r>
                </w:p>
              </w:tc>
              <w:tc>
                <w:tcPr>
                  <w:tcW w:w="805" w:type="dxa"/>
                  <w:tcBorders>
                    <w:bottom w:val="single" w:sz="6" w:space="0" w:color="BFBFBF"/>
                  </w:tcBorders>
                  <w:shd w:val="clear" w:color="auto" w:fill="auto"/>
                  <w:vAlign w:val="center"/>
                </w:tcPr>
                <w:p w:rsidR="00F63203" w:rsidRPr="00801934" w:rsidRDefault="00F63203" w:rsidP="00801934">
                  <w:pPr>
                    <w:pStyle w:val="TableBodyText"/>
                    <w:spacing w:afterLines="40" w:after="96"/>
                  </w:pPr>
                  <w:r w:rsidRPr="00801934">
                    <w:t xml:space="preserve">  217</w:t>
                  </w:r>
                </w:p>
              </w:tc>
              <w:tc>
                <w:tcPr>
                  <w:tcW w:w="805" w:type="dxa"/>
                  <w:tcBorders>
                    <w:bottom w:val="single" w:sz="6" w:space="0" w:color="BFBFBF"/>
                  </w:tcBorders>
                  <w:shd w:val="clear" w:color="auto" w:fill="auto"/>
                  <w:vAlign w:val="center"/>
                </w:tcPr>
                <w:p w:rsidR="00F63203" w:rsidRPr="00801934" w:rsidRDefault="00F63203" w:rsidP="00801934">
                  <w:pPr>
                    <w:pStyle w:val="TableBodyText"/>
                    <w:spacing w:afterLines="40" w:after="96"/>
                  </w:pPr>
                  <w:r w:rsidRPr="00801934">
                    <w:t xml:space="preserve">  53</w:t>
                  </w:r>
                </w:p>
              </w:tc>
              <w:tc>
                <w:tcPr>
                  <w:tcW w:w="805" w:type="dxa"/>
                  <w:tcBorders>
                    <w:bottom w:val="single" w:sz="6" w:space="0" w:color="BFBFBF"/>
                  </w:tcBorders>
                  <w:shd w:val="clear" w:color="auto" w:fill="auto"/>
                  <w:vAlign w:val="center"/>
                </w:tcPr>
                <w:p w:rsidR="00F63203" w:rsidRPr="00801934" w:rsidRDefault="00F63203" w:rsidP="00801934">
                  <w:pPr>
                    <w:pStyle w:val="TableBodyText"/>
                    <w:spacing w:afterLines="40" w:after="96"/>
                  </w:pPr>
                  <w:r w:rsidRPr="00801934">
                    <w:t xml:space="preserve">  38</w:t>
                  </w:r>
                </w:p>
              </w:tc>
              <w:tc>
                <w:tcPr>
                  <w:tcW w:w="805" w:type="dxa"/>
                  <w:tcBorders>
                    <w:bottom w:val="single" w:sz="6" w:space="0" w:color="BFBFBF"/>
                  </w:tcBorders>
                  <w:shd w:val="clear" w:color="auto" w:fill="auto"/>
                  <w:vAlign w:val="center"/>
                </w:tcPr>
                <w:p w:rsidR="00F63203" w:rsidRPr="00801934" w:rsidRDefault="00F63203" w:rsidP="00801934">
                  <w:pPr>
                    <w:pStyle w:val="TableBodyText"/>
                    <w:spacing w:afterLines="40" w:after="96"/>
                  </w:pPr>
                  <w:r w:rsidRPr="00801934">
                    <w:t xml:space="preserve">  743</w:t>
                  </w:r>
                </w:p>
              </w:tc>
              <w:tc>
                <w:tcPr>
                  <w:tcW w:w="861" w:type="dxa"/>
                  <w:tcBorders>
                    <w:bottom w:val="single" w:sz="6" w:space="0" w:color="BFBFBF"/>
                  </w:tcBorders>
                  <w:shd w:val="clear" w:color="auto" w:fill="auto"/>
                  <w:vAlign w:val="center"/>
                </w:tcPr>
                <w:p w:rsidR="00F63203" w:rsidRPr="00801934" w:rsidRDefault="00F63203" w:rsidP="00801934">
                  <w:pPr>
                    <w:pStyle w:val="TableBodyText"/>
                    <w:spacing w:afterLines="40" w:after="96"/>
                  </w:pPr>
                  <w:r w:rsidRPr="00801934">
                    <w:t xml:space="preserve"> 3 068</w:t>
                  </w:r>
                </w:p>
              </w:tc>
            </w:tr>
          </w:tbl>
          <w:p w:rsidR="003019F8" w:rsidRDefault="003019F8" w:rsidP="003019F8">
            <w:pPr>
              <w:pStyle w:val="Box"/>
            </w:pPr>
          </w:p>
        </w:tc>
      </w:tr>
      <w:tr w:rsidR="003019F8" w:rsidTr="00CC4FB1">
        <w:trPr>
          <w:cantSplit/>
        </w:trPr>
        <w:tc>
          <w:tcPr>
            <w:tcW w:w="8771" w:type="dxa"/>
            <w:tcBorders>
              <w:top w:val="nil"/>
              <w:left w:val="nil"/>
              <w:bottom w:val="nil"/>
              <w:right w:val="nil"/>
            </w:tcBorders>
            <w:shd w:val="clear" w:color="auto" w:fill="auto"/>
          </w:tcPr>
          <w:p w:rsidR="003019F8" w:rsidRPr="003019F8" w:rsidRDefault="003019F8" w:rsidP="003019F8">
            <w:pPr>
              <w:pStyle w:val="Note"/>
            </w:pPr>
            <w:r w:rsidRPr="009949CD">
              <w:rPr>
                <w:rStyle w:val="NoteLabel"/>
              </w:rPr>
              <w:t>a</w:t>
            </w:r>
            <w:r w:rsidRPr="009949CD">
              <w:rPr>
                <w:rFonts w:cs="Arial"/>
              </w:rPr>
              <w:t> </w:t>
            </w:r>
            <w:r w:rsidRPr="009949CD">
              <w:t>An episode of healthcare involves contact between an individual client and service staff to provide healthcare. Group work is not included. Transport is included only if it involves provision of healthcare and/or information by staff. Outreach provision is included, for example episodes at outstation visits, park clinics and satellite clinics. Episodes of healthcare delivered over the phone are included.</w:t>
            </w:r>
          </w:p>
        </w:tc>
      </w:tr>
      <w:tr w:rsidR="003019F8" w:rsidTr="00CC4FB1">
        <w:trPr>
          <w:cantSplit/>
        </w:trPr>
        <w:tc>
          <w:tcPr>
            <w:tcW w:w="8771" w:type="dxa"/>
            <w:tcBorders>
              <w:top w:val="nil"/>
              <w:left w:val="nil"/>
              <w:bottom w:val="nil"/>
              <w:right w:val="nil"/>
            </w:tcBorders>
            <w:shd w:val="clear" w:color="auto" w:fill="auto"/>
          </w:tcPr>
          <w:p w:rsidR="003019F8" w:rsidRDefault="003019F8" w:rsidP="00503924">
            <w:pPr>
              <w:pStyle w:val="Source"/>
            </w:pPr>
            <w:r w:rsidRPr="009949CD">
              <w:rPr>
                <w:i/>
              </w:rPr>
              <w:t>Source</w:t>
            </w:r>
            <w:r w:rsidRPr="009949CD">
              <w:t xml:space="preserve">: </w:t>
            </w:r>
            <w:r w:rsidRPr="0042420A">
              <w:t>AIHW (201</w:t>
            </w:r>
            <w:r w:rsidR="0042420A" w:rsidRPr="0042420A">
              <w:t>4</w:t>
            </w:r>
            <w:r w:rsidRPr="0042420A">
              <w:t xml:space="preserve"> and previous issues) </w:t>
            </w:r>
            <w:r w:rsidR="007E3964">
              <w:rPr>
                <w:rFonts w:cs="Arial"/>
                <w:i/>
                <w:szCs w:val="18"/>
              </w:rPr>
              <w:t>Aboriginal and Torres Strait Islander health organisations: Online Services Report – key results</w:t>
            </w:r>
            <w:r w:rsidRPr="0042420A">
              <w:t xml:space="preserve">, </w:t>
            </w:r>
            <w:r w:rsidRPr="0042420A">
              <w:rPr>
                <w:lang w:val="en"/>
              </w:rPr>
              <w:t>Cat. nos IHW 31, 56, 79</w:t>
            </w:r>
            <w:r w:rsidR="0042420A">
              <w:rPr>
                <w:lang w:val="en"/>
              </w:rPr>
              <w:t>,</w:t>
            </w:r>
            <w:r w:rsidRPr="0042420A">
              <w:rPr>
                <w:lang w:val="en"/>
              </w:rPr>
              <w:t xml:space="preserve"> 104</w:t>
            </w:r>
            <w:r w:rsidR="0042420A">
              <w:rPr>
                <w:lang w:val="en"/>
              </w:rPr>
              <w:t xml:space="preserve"> and</w:t>
            </w:r>
            <w:r w:rsidR="007E3964">
              <w:rPr>
                <w:lang w:val="en"/>
              </w:rPr>
              <w:t xml:space="preserve"> 139</w:t>
            </w:r>
            <w:r w:rsidRPr="0042420A">
              <w:t>;</w:t>
            </w:r>
            <w:r w:rsidRPr="0020036F">
              <w:t xml:space="preserve"> table </w:t>
            </w:r>
            <w:r w:rsidR="00C9076B">
              <w:t>10A.</w:t>
            </w:r>
            <w:r>
              <w:t>15.</w:t>
            </w:r>
          </w:p>
        </w:tc>
      </w:tr>
      <w:tr w:rsidR="003019F8" w:rsidTr="003019F8">
        <w:trPr>
          <w:cantSplit/>
        </w:trPr>
        <w:tc>
          <w:tcPr>
            <w:tcW w:w="8771" w:type="dxa"/>
            <w:tcBorders>
              <w:top w:val="nil"/>
              <w:left w:val="nil"/>
              <w:bottom w:val="single" w:sz="6" w:space="0" w:color="78A22F" w:themeColor="accent1"/>
              <w:right w:val="nil"/>
            </w:tcBorders>
            <w:shd w:val="clear" w:color="auto" w:fill="auto"/>
          </w:tcPr>
          <w:p w:rsidR="003019F8" w:rsidRDefault="003019F8" w:rsidP="003019F8">
            <w:pPr>
              <w:pStyle w:val="Box"/>
              <w:spacing w:before="0" w:line="120" w:lineRule="exact"/>
            </w:pPr>
          </w:p>
        </w:tc>
      </w:tr>
      <w:tr w:rsidR="003019F8" w:rsidRPr="000863A5" w:rsidTr="003019F8">
        <w:tc>
          <w:tcPr>
            <w:tcW w:w="8771" w:type="dxa"/>
            <w:tcBorders>
              <w:top w:val="single" w:sz="6" w:space="0" w:color="78A22F" w:themeColor="accent1"/>
              <w:left w:val="nil"/>
              <w:bottom w:val="nil"/>
              <w:right w:val="nil"/>
            </w:tcBorders>
          </w:tcPr>
          <w:p w:rsidR="003019F8" w:rsidRPr="00626D32" w:rsidRDefault="003019F8" w:rsidP="003019F8">
            <w:pPr>
              <w:pStyle w:val="BoxSpaceBelow"/>
            </w:pPr>
          </w:p>
        </w:tc>
      </w:tr>
    </w:tbl>
    <w:p w:rsidR="00BB710E" w:rsidRPr="00944E91" w:rsidRDefault="00BB710E" w:rsidP="00CC4FB1">
      <w:pPr>
        <w:pStyle w:val="BodyText"/>
      </w:pPr>
      <w:r>
        <w:t xml:space="preserve">The services included in the </w:t>
      </w:r>
      <w:r w:rsidR="00B71A84">
        <w:t>OSR</w:t>
      </w:r>
      <w:r>
        <w:t xml:space="preserve"> data collection </w:t>
      </w:r>
      <w:r w:rsidRPr="00B71A84">
        <w:t>employed</w:t>
      </w:r>
      <w:r w:rsidR="00650104">
        <w:t xml:space="preserve"> </w:t>
      </w:r>
      <w:r w:rsidR="00233D0F" w:rsidRPr="004D42BF">
        <w:t>around</w:t>
      </w:r>
      <w:r w:rsidR="005A5099" w:rsidRPr="004D42BF">
        <w:t xml:space="preserve"> </w:t>
      </w:r>
      <w:r w:rsidR="00941809">
        <w:t>4344</w:t>
      </w:r>
      <w:r w:rsidR="00333F49" w:rsidRPr="004D42BF">
        <w:t xml:space="preserve"> </w:t>
      </w:r>
      <w:r w:rsidRPr="004D42BF">
        <w:t>full time equivalent health</w:t>
      </w:r>
      <w:r w:rsidR="0064449A" w:rsidRPr="004D42BF">
        <w:t>care</w:t>
      </w:r>
      <w:r w:rsidRPr="004D42BF">
        <w:t xml:space="preserve"> staff (as at </w:t>
      </w:r>
      <w:r w:rsidR="00B71DA2" w:rsidRPr="004D42BF">
        <w:t>30 June</w:t>
      </w:r>
      <w:r w:rsidR="00EB7494" w:rsidRPr="004D42BF">
        <w:t> </w:t>
      </w:r>
      <w:r w:rsidR="00B71DA2" w:rsidRPr="004D42BF">
        <w:t>20</w:t>
      </w:r>
      <w:r w:rsidR="00333F49" w:rsidRPr="004D42BF">
        <w:t>1</w:t>
      </w:r>
      <w:r w:rsidR="00941809">
        <w:t>3</w:t>
      </w:r>
      <w:r w:rsidRPr="004D42BF">
        <w:t>). Of these,</w:t>
      </w:r>
      <w:r w:rsidR="00333F49" w:rsidRPr="004D42BF">
        <w:t xml:space="preserve"> </w:t>
      </w:r>
      <w:r w:rsidR="00941809">
        <w:t>2386</w:t>
      </w:r>
      <w:r w:rsidRPr="004D42BF">
        <w:t xml:space="preserve"> were</w:t>
      </w:r>
      <w:r w:rsidRPr="001E6CFC">
        <w:t xml:space="preserve"> </w:t>
      </w:r>
      <w:r w:rsidR="00D16EBA">
        <w:t>Aboriginal and Torres Strait Islander</w:t>
      </w:r>
      <w:r w:rsidRPr="00B71A84">
        <w:t xml:space="preserve"> </w:t>
      </w:r>
      <w:r w:rsidR="0034525D">
        <w:t xml:space="preserve">Australians </w:t>
      </w:r>
      <w:r w:rsidRPr="001E6CFC">
        <w:t>(</w:t>
      </w:r>
      <w:r w:rsidR="00941809">
        <w:t>54.9</w:t>
      </w:r>
      <w:r w:rsidRPr="005A5099">
        <w:t xml:space="preserve"> per cent). The proportions of doctors and nurses employed by </w:t>
      </w:r>
      <w:r w:rsidR="00B71A84" w:rsidRPr="005A5099">
        <w:t xml:space="preserve">surveyed </w:t>
      </w:r>
      <w:r w:rsidR="00C21FB2" w:rsidRPr="005A5099">
        <w:t xml:space="preserve">services </w:t>
      </w:r>
      <w:r w:rsidRPr="005A5099">
        <w:t xml:space="preserve">who were </w:t>
      </w:r>
      <w:r w:rsidR="00D16EBA">
        <w:t>Aboriginal and Torres Strait Islander</w:t>
      </w:r>
      <w:r w:rsidRPr="005A5099">
        <w:t xml:space="preserve"> </w:t>
      </w:r>
      <w:r w:rsidR="0034525D" w:rsidRPr="005A5099">
        <w:t>Australians</w:t>
      </w:r>
      <w:r w:rsidR="00BF046E">
        <w:t xml:space="preserve">, </w:t>
      </w:r>
      <w:r w:rsidR="006D741A">
        <w:br/>
      </w:r>
      <w:r w:rsidR="00BF046E">
        <w:t xml:space="preserve">while remaining relatively low, </w:t>
      </w:r>
      <w:r w:rsidR="00AA732F">
        <w:t xml:space="preserve">have </w:t>
      </w:r>
      <w:r w:rsidR="00022259">
        <w:t>increased</w:t>
      </w:r>
      <w:r w:rsidR="00AA732F">
        <w:t xml:space="preserve"> in the period 2010–2013 — </w:t>
      </w:r>
      <w:r w:rsidR="006D741A">
        <w:t>rising from 4.8 per </w:t>
      </w:r>
      <w:r w:rsidR="00022259">
        <w:t>cent to 7</w:t>
      </w:r>
      <w:r w:rsidR="00022259" w:rsidRPr="005A5099">
        <w:t>.</w:t>
      </w:r>
      <w:r w:rsidR="00022259">
        <w:t>2</w:t>
      </w:r>
      <w:r w:rsidR="00022259" w:rsidRPr="005A5099">
        <w:t xml:space="preserve"> per cent </w:t>
      </w:r>
      <w:r w:rsidR="00AA732F">
        <w:t>for doctors</w:t>
      </w:r>
      <w:r w:rsidR="00022259">
        <w:t xml:space="preserve"> and from</w:t>
      </w:r>
      <w:r w:rsidR="00AA732F">
        <w:t xml:space="preserve"> </w:t>
      </w:r>
      <w:r w:rsidR="005337DE" w:rsidRPr="00CC4FB1">
        <w:t>10.4</w:t>
      </w:r>
      <w:r w:rsidR="00022259">
        <w:t xml:space="preserve"> per cent to </w:t>
      </w:r>
      <w:r w:rsidR="00022259" w:rsidRPr="005A5099">
        <w:t>1</w:t>
      </w:r>
      <w:r w:rsidR="00022259">
        <w:t>4</w:t>
      </w:r>
      <w:r w:rsidR="00022259" w:rsidRPr="005A5099">
        <w:t>.</w:t>
      </w:r>
      <w:r w:rsidR="00022259">
        <w:t>4</w:t>
      </w:r>
      <w:r w:rsidR="00022259" w:rsidRPr="005A5099">
        <w:t> per cent</w:t>
      </w:r>
      <w:r w:rsidR="00BF046E">
        <w:t xml:space="preserve"> for nurses </w:t>
      </w:r>
      <w:r w:rsidR="00D371B3" w:rsidRPr="00B71A84">
        <w:t>(</w:t>
      </w:r>
      <w:r w:rsidRPr="001E6CFC">
        <w:t>table </w:t>
      </w:r>
      <w:r w:rsidR="00C9076B">
        <w:t>10A.</w:t>
      </w:r>
      <w:r w:rsidR="00E60498" w:rsidRPr="001E6CFC">
        <w:t>1</w:t>
      </w:r>
      <w:r w:rsidR="00EC1149">
        <w:t>9</w:t>
      </w:r>
      <w:r w:rsidR="00FD3F2E">
        <w:t>).</w:t>
      </w:r>
    </w:p>
    <w:p w:rsidR="00A43D54" w:rsidRPr="00BC1CC1" w:rsidRDefault="006A586C" w:rsidP="00BC1CC1">
      <w:pPr>
        <w:pStyle w:val="Heading2"/>
      </w:pPr>
      <w:bookmarkStart w:id="8" w:name="_Toc208034412"/>
      <w:bookmarkStart w:id="9" w:name="_Toc274941100"/>
      <w:bookmarkStart w:id="10" w:name="_Toc396916147"/>
      <w:r w:rsidRPr="00BC1CC1">
        <w:lastRenderedPageBreak/>
        <w:t>10</w:t>
      </w:r>
      <w:r w:rsidR="00EC42DB" w:rsidRPr="00BC1CC1">
        <w:t>.</w:t>
      </w:r>
      <w:r w:rsidR="00C44281" w:rsidRPr="00BC1CC1">
        <w:t>2</w:t>
      </w:r>
      <w:r w:rsidR="003D3E53" w:rsidRPr="00BC1CC1">
        <w:tab/>
      </w:r>
      <w:r w:rsidR="00FD18CA" w:rsidRPr="00BC1CC1">
        <w:t>Framework of performance indicators</w:t>
      </w:r>
      <w:bookmarkEnd w:id="8"/>
      <w:bookmarkEnd w:id="9"/>
      <w:bookmarkEnd w:id="10"/>
    </w:p>
    <w:p w:rsidR="00A43D54" w:rsidRPr="003376E6" w:rsidRDefault="00FD18CA" w:rsidP="006A75CD">
      <w:pPr>
        <w:pStyle w:val="BodyText"/>
      </w:pPr>
      <w:r w:rsidRPr="00FD18CA">
        <w:t>The performance indicator framework is based on shared government objectives for primary and community health (box</w:t>
      </w:r>
      <w:r>
        <w:t> </w:t>
      </w:r>
      <w:r w:rsidR="007300C3">
        <w:t>1</w:t>
      </w:r>
      <w:r w:rsidR="00897589">
        <w:t>0</w:t>
      </w:r>
      <w:r w:rsidR="007300C3">
        <w:t>.1</w:t>
      </w:r>
      <w:r w:rsidRPr="00FD18CA">
        <w:t>). The framework will evolve as better indicators are developed and as the focus and objectives for primary and community health change. In particular, the Steering Committee plans to develop and report against more indicators relating to community health services.</w:t>
      </w:r>
    </w:p>
    <w:p w:rsidR="007C4567" w:rsidRDefault="007C4567" w:rsidP="007C4567">
      <w:pPr>
        <w:pStyle w:val="BodyText"/>
      </w:pPr>
      <w:r>
        <w:t>COAG has agreed six National Agreements to enhance accountability to the public for the outcomes achieved or outputs delivered by a range of government services (see chapter 1 for more detail on reforms t</w:t>
      </w:r>
      <w:r w:rsidR="008042F1">
        <w:t>o federal financial relations).</w:t>
      </w:r>
    </w:p>
    <w:p w:rsidR="002C6F35" w:rsidRPr="00E52E8A" w:rsidRDefault="007C4567" w:rsidP="00E52E8A">
      <w:pPr>
        <w:pStyle w:val="BodyText"/>
        <w:rPr>
          <w:rStyle w:val="DraftingNote"/>
          <w:b w:val="0"/>
          <w:color w:val="auto"/>
          <w:u w:val="none"/>
        </w:rPr>
      </w:pPr>
      <w:r w:rsidRPr="00FB3AD4">
        <w:t xml:space="preserve">The </w:t>
      </w:r>
      <w:r w:rsidRPr="00B41FA7">
        <w:rPr>
          <w:i/>
        </w:rPr>
        <w:t>National Healthcare Agreement</w:t>
      </w:r>
      <w:r w:rsidRPr="00FB3AD4">
        <w:t xml:space="preserve"> </w:t>
      </w:r>
      <w:r>
        <w:t xml:space="preserve">(NHA) </w:t>
      </w:r>
      <w:r w:rsidRPr="00FB3AD4">
        <w:t xml:space="preserve">covers the areas of health and aged care services, </w:t>
      </w:r>
      <w:r>
        <w:t>and</w:t>
      </w:r>
      <w:r w:rsidRPr="00FB3AD4">
        <w:t xml:space="preserve"> </w:t>
      </w:r>
      <w:r>
        <w:t xml:space="preserve">health indicators in </w:t>
      </w:r>
      <w:r w:rsidRPr="00FB3AD4">
        <w:t xml:space="preserve">the </w:t>
      </w:r>
      <w:r w:rsidRPr="00B41FA7">
        <w:rPr>
          <w:i/>
        </w:rPr>
        <w:t xml:space="preserve">National </w:t>
      </w:r>
      <w:r w:rsidR="003D014C">
        <w:rPr>
          <w:i/>
        </w:rPr>
        <w:t>Indigenous</w:t>
      </w:r>
      <w:r w:rsidRPr="00B41FA7">
        <w:rPr>
          <w:i/>
        </w:rPr>
        <w:t xml:space="preserve"> Reform Agreement</w:t>
      </w:r>
      <w:r>
        <w:t xml:space="preserve"> establish</w:t>
      </w:r>
      <w:r w:rsidRPr="00FB3AD4">
        <w:t xml:space="preserve"> specific outcomes for reducing the level of disadvantage experienced by </w:t>
      </w:r>
      <w:r w:rsidR="00D16EBA">
        <w:t>Aboriginal and Torres Strait Islander</w:t>
      </w:r>
      <w:r w:rsidRPr="00FB3AD4">
        <w:t xml:space="preserve"> Australians.</w:t>
      </w:r>
      <w:r>
        <w:t xml:space="preserve"> Both agreements include sets of performance indicators. </w:t>
      </w:r>
      <w:r w:rsidR="00343EAC" w:rsidRPr="00343EAC">
        <w:t xml:space="preserve">The Steering Committee collates NIRA performance information for analysis by the Department of Prime Minister and Cabinet. </w:t>
      </w:r>
      <w:r w:rsidR="005F0738" w:rsidRPr="005F0738">
        <w:t>Performance indicators reported in this chapter are aligned with health performance indicators in the most recent version of the NHA, where relevant.</w:t>
      </w:r>
    </w:p>
    <w:p w:rsidR="005A7229" w:rsidRDefault="005A722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5A7229" w:rsidTr="005A7229">
        <w:tc>
          <w:tcPr>
            <w:tcW w:w="8771" w:type="dxa"/>
            <w:tcBorders>
              <w:top w:val="single" w:sz="6" w:space="0" w:color="78A22F"/>
              <w:left w:val="nil"/>
              <w:bottom w:val="nil"/>
              <w:right w:val="nil"/>
            </w:tcBorders>
            <w:shd w:val="clear" w:color="auto" w:fill="F2F2F2" w:themeFill="background1" w:themeFillShade="F2"/>
          </w:tcPr>
          <w:p w:rsidR="005A7229" w:rsidRDefault="005A7229">
            <w:pPr>
              <w:pStyle w:val="BoxTitle"/>
            </w:pPr>
            <w:r>
              <w:rPr>
                <w:b w:val="0"/>
              </w:rPr>
              <w:t xml:space="preserve">Box </w:t>
            </w:r>
            <w:r w:rsidR="00DF255F">
              <w:rPr>
                <w:b w:val="0"/>
              </w:rPr>
              <w:t>10.</w:t>
            </w:r>
            <w:r w:rsidR="0078724D">
              <w:rPr>
                <w:b w:val="0"/>
                <w:noProof/>
              </w:rPr>
              <w:t>1</w:t>
            </w:r>
            <w:r>
              <w:tab/>
            </w:r>
            <w:r w:rsidRPr="005A7229">
              <w:t>Objectives for primary and community health</w:t>
            </w:r>
          </w:p>
        </w:tc>
      </w:tr>
      <w:tr w:rsidR="005A7229" w:rsidTr="005A7229">
        <w:trPr>
          <w:cantSplit/>
        </w:trPr>
        <w:tc>
          <w:tcPr>
            <w:tcW w:w="8771" w:type="dxa"/>
            <w:tcBorders>
              <w:top w:val="nil"/>
              <w:left w:val="nil"/>
              <w:bottom w:val="nil"/>
              <w:right w:val="nil"/>
            </w:tcBorders>
            <w:shd w:val="clear" w:color="auto" w:fill="F2F2F2" w:themeFill="background1" w:themeFillShade="F2"/>
          </w:tcPr>
          <w:p w:rsidR="005A7229" w:rsidRPr="003376E6" w:rsidRDefault="005A7229" w:rsidP="005A7229">
            <w:pPr>
              <w:pStyle w:val="Box"/>
            </w:pPr>
            <w:r>
              <w:t>Primary and community health services aim to support and improve the health of Australians by:</w:t>
            </w:r>
          </w:p>
          <w:p w:rsidR="005A7229" w:rsidRDefault="005A7229" w:rsidP="005A7229">
            <w:pPr>
              <w:pStyle w:val="BoxListBullet"/>
            </w:pPr>
            <w:r>
              <w:t>providing a universally accessible point of entry to the healthcare system</w:t>
            </w:r>
          </w:p>
          <w:p w:rsidR="005A7229" w:rsidRDefault="005A7229" w:rsidP="005A7229">
            <w:pPr>
              <w:pStyle w:val="BoxListBullet"/>
            </w:pPr>
            <w:r>
              <w:t>promoting health and preventing illness</w:t>
            </w:r>
          </w:p>
          <w:p w:rsidR="005A7229" w:rsidRDefault="005A7229" w:rsidP="005A7229">
            <w:pPr>
              <w:pStyle w:val="BoxListBullet"/>
            </w:pPr>
            <w:r>
              <w:t>providing timely and high quality healthcare that meets individual needs, throughout the lifespan — directly, and/or by facilitating access to the appropriate service(s)</w:t>
            </w:r>
          </w:p>
          <w:p w:rsidR="005A7229" w:rsidRDefault="005A7229" w:rsidP="005A7229">
            <w:pPr>
              <w:pStyle w:val="BoxListBullet"/>
            </w:pPr>
            <w:r>
              <w:t>coordinating service provision to ensure continuity of care where more than one service type, and/or ongoing service provision, is required to meet individuals’ healthcare needs.</w:t>
            </w:r>
          </w:p>
          <w:p w:rsidR="005A7229" w:rsidRDefault="005A7229" w:rsidP="005A7229">
            <w:pPr>
              <w:pStyle w:val="Box"/>
            </w:pPr>
            <w:r>
              <w:t xml:space="preserve">In addition, governments aim to ensure </w:t>
            </w:r>
            <w:r w:rsidRPr="0030021B">
              <w:t>that interventions provided by</w:t>
            </w:r>
            <w:r w:rsidRPr="0030021B">
              <w:rPr>
                <w:b/>
              </w:rPr>
              <w:t xml:space="preserve"> </w:t>
            </w:r>
            <w:r>
              <w:t xml:space="preserve">primary and community health services are </w:t>
            </w:r>
            <w:r w:rsidRPr="00173AF7">
              <w:t>based on best practice evidence and</w:t>
            </w:r>
            <w:r>
              <w:t xml:space="preserve"> delivered in an equitable and efficient manner.</w:t>
            </w:r>
          </w:p>
        </w:tc>
      </w:tr>
      <w:tr w:rsidR="005A7229" w:rsidTr="005A7229">
        <w:trPr>
          <w:cantSplit/>
        </w:trPr>
        <w:tc>
          <w:tcPr>
            <w:tcW w:w="8771" w:type="dxa"/>
            <w:tcBorders>
              <w:top w:val="nil"/>
              <w:left w:val="nil"/>
              <w:bottom w:val="single" w:sz="6" w:space="0" w:color="78A22F"/>
              <w:right w:val="nil"/>
            </w:tcBorders>
            <w:shd w:val="clear" w:color="auto" w:fill="F2F2F2" w:themeFill="background1" w:themeFillShade="F2"/>
          </w:tcPr>
          <w:p w:rsidR="005A7229" w:rsidRDefault="005A7229">
            <w:pPr>
              <w:pStyle w:val="Box"/>
              <w:spacing w:before="0" w:line="120" w:lineRule="exact"/>
            </w:pPr>
          </w:p>
        </w:tc>
      </w:tr>
      <w:tr w:rsidR="005A7229" w:rsidRPr="000863A5" w:rsidTr="005A7229">
        <w:tc>
          <w:tcPr>
            <w:tcW w:w="8771" w:type="dxa"/>
            <w:tcBorders>
              <w:top w:val="single" w:sz="6" w:space="0" w:color="78A22F"/>
              <w:left w:val="nil"/>
              <w:bottom w:val="nil"/>
              <w:right w:val="nil"/>
            </w:tcBorders>
          </w:tcPr>
          <w:p w:rsidR="005A7229" w:rsidRPr="00626D32" w:rsidRDefault="005A7229" w:rsidP="005A7229">
            <w:pPr>
              <w:pStyle w:val="BoxSpaceBelow"/>
            </w:pPr>
          </w:p>
        </w:tc>
      </w:tr>
    </w:tbl>
    <w:p w:rsidR="00D11E5E" w:rsidRPr="00E52E8A" w:rsidRDefault="00631BB6" w:rsidP="00E52E8A">
      <w:pPr>
        <w:pStyle w:val="BodyText"/>
      </w:pPr>
      <w:r w:rsidRPr="00FD18CA">
        <w:t xml:space="preserve">The performance indicator framework </w:t>
      </w:r>
      <w:r>
        <w:t xml:space="preserve">provides information on equity, efficiency and effectiveness, and distinguishes the outputs and outcomes of health services </w:t>
      </w:r>
      <w:r w:rsidRPr="00FD18CA">
        <w:t>(</w:t>
      </w:r>
      <w:r w:rsidR="00897589">
        <w:t>figure 10.</w:t>
      </w:r>
      <w:r w:rsidR="008149C0">
        <w:t>4</w:t>
      </w:r>
      <w:r w:rsidRPr="00EA5ED5">
        <w:t>).</w:t>
      </w:r>
      <w:r w:rsidRPr="00FD18CA">
        <w:t xml:space="preserve"> The performance indicator framework shows which data are comparable in the </w:t>
      </w:r>
      <w:r w:rsidRPr="00597DC3">
        <w:t>201</w:t>
      </w:r>
      <w:r w:rsidR="00FE12D6">
        <w:t>5</w:t>
      </w:r>
      <w:r>
        <w:t> </w:t>
      </w:r>
      <w:r w:rsidRPr="00FD18CA">
        <w:t>Report</w:t>
      </w:r>
      <w:r w:rsidRPr="00EA5ED5">
        <w:t>.</w:t>
      </w:r>
      <w:r w:rsidRPr="00FD18CA">
        <w:t xml:space="preserve"> For data that are not considered directly comparable, text includes relevant caveats and supporting commentary. Chapter</w:t>
      </w:r>
      <w:r>
        <w:t> </w:t>
      </w:r>
      <w:r w:rsidRPr="00FD18CA">
        <w:t>1 discusses d</w:t>
      </w:r>
      <w:r w:rsidR="00FE12D6">
        <w:t xml:space="preserve">ata comparability </w:t>
      </w:r>
      <w:r w:rsidR="002E00E7" w:rsidRPr="00CC4FB1">
        <w:t>and data completeness</w:t>
      </w:r>
      <w:r w:rsidR="002E00E7" w:rsidRPr="002E00E7">
        <w:t xml:space="preserve"> </w:t>
      </w:r>
      <w:r w:rsidR="00FE12D6">
        <w:t>from a Report</w:t>
      </w:r>
      <w:r w:rsidR="00FE12D6">
        <w:noBreakHyphen/>
      </w:r>
      <w:r w:rsidRPr="00FD18CA">
        <w:t>wide pers</w:t>
      </w:r>
      <w:r w:rsidR="001D6FDD">
        <w:t>pective (see </w:t>
      </w:r>
      <w:r w:rsidRPr="00FD18CA">
        <w:t>section</w:t>
      </w:r>
      <w:r w:rsidR="0032631D">
        <w:t> 1.6)</w:t>
      </w:r>
      <w:r w:rsidR="00301B94">
        <w:t>.</w:t>
      </w:r>
    </w:p>
    <w:p w:rsidR="004D37D2" w:rsidRDefault="00631BB6" w:rsidP="009F1275">
      <w:pPr>
        <w:pStyle w:val="BodyText"/>
      </w:pPr>
      <w:r>
        <w:t xml:space="preserve">The Report’s </w:t>
      </w:r>
      <w:r w:rsidR="007D1F0C" w:rsidRPr="007D1F0C">
        <w:t xml:space="preserve">statistical context chapter </w:t>
      </w:r>
      <w:r>
        <w:t xml:space="preserve">contains data that may assist in interpreting the performance indicators presented in this chapter. These data cover a range of demographic </w:t>
      </w:r>
      <w:r>
        <w:lastRenderedPageBreak/>
        <w:t xml:space="preserve">and geographic characteristics, including age profile, geographic distribution of the population, income levels, education levels, tenure of dwellings and cultural heritage (including </w:t>
      </w:r>
      <w:r w:rsidR="00FE12D6" w:rsidRPr="00BF19EA">
        <w:t>Indigenous</w:t>
      </w:r>
      <w:r w:rsidR="00FE12D6" w:rsidRPr="00FE12D6">
        <w:t xml:space="preserve">- </w:t>
      </w:r>
      <w:r>
        <w:t>and ethnic</w:t>
      </w:r>
      <w:r w:rsidR="00FE12D6">
        <w:noBreakHyphen/>
      </w:r>
      <w:r>
        <w:t>status) (</w:t>
      </w:r>
      <w:r w:rsidR="009E534A">
        <w:t>chapter 2</w:t>
      </w:r>
      <w:r>
        <w:t>).</w:t>
      </w:r>
      <w:r w:rsidR="004D37D2">
        <w:t xml:space="preserve"> </w:t>
      </w:r>
    </w:p>
    <w:p w:rsidR="00A13431" w:rsidRDefault="00A13431" w:rsidP="0067713D">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13431" w:rsidTr="0067713D">
        <w:tc>
          <w:tcPr>
            <w:tcW w:w="8771" w:type="dxa"/>
            <w:tcBorders>
              <w:top w:val="single" w:sz="6" w:space="0" w:color="78A22F"/>
              <w:left w:val="nil"/>
              <w:bottom w:val="nil"/>
              <w:right w:val="nil"/>
            </w:tcBorders>
            <w:shd w:val="clear" w:color="auto" w:fill="auto"/>
          </w:tcPr>
          <w:p w:rsidR="00A13431" w:rsidRPr="00176D3F" w:rsidRDefault="00A13431" w:rsidP="00A13431">
            <w:pPr>
              <w:pStyle w:val="FigureTitle"/>
            </w:pPr>
            <w:r w:rsidRPr="00784A05">
              <w:rPr>
                <w:b w:val="0"/>
              </w:rPr>
              <w:t xml:space="preserve">Figure </w:t>
            </w:r>
            <w:r w:rsidR="00DF255F">
              <w:rPr>
                <w:b w:val="0"/>
              </w:rPr>
              <w:t>10.</w:t>
            </w:r>
            <w:r w:rsidR="0078724D">
              <w:rPr>
                <w:b w:val="0"/>
                <w:noProof/>
              </w:rPr>
              <w:t>4</w:t>
            </w:r>
            <w:r>
              <w:tab/>
            </w:r>
            <w:r w:rsidRPr="00B15B54">
              <w:t>Primary and community health performance indicator</w:t>
            </w:r>
            <w:r w:rsidRPr="006B7429">
              <w:t xml:space="preserve"> framework</w:t>
            </w:r>
          </w:p>
        </w:tc>
      </w:tr>
      <w:tr w:rsidR="00A13431" w:rsidTr="0067713D">
        <w:tc>
          <w:tcPr>
            <w:tcW w:w="8771" w:type="dxa"/>
            <w:tcBorders>
              <w:top w:val="nil"/>
              <w:left w:val="nil"/>
              <w:bottom w:val="nil"/>
              <w:right w:val="nil"/>
            </w:tcBorders>
            <w:shd w:val="clear" w:color="auto" w:fill="auto"/>
            <w:tcMar>
              <w:top w:w="28" w:type="dxa"/>
              <w:bottom w:w="28" w:type="dxa"/>
            </w:tcMar>
          </w:tcPr>
          <w:tbl>
            <w:tblPr>
              <w:tblW w:w="8625" w:type="dxa"/>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625"/>
            </w:tblGrid>
            <w:tr w:rsidR="00A13431" w:rsidTr="008E289E">
              <w:trPr>
                <w:trHeight w:val="10380"/>
              </w:trPr>
              <w:tc>
                <w:tcPr>
                  <w:tcW w:w="5000" w:type="pct"/>
                  <w:tcBorders>
                    <w:top w:val="nil"/>
                    <w:bottom w:val="nil"/>
                  </w:tcBorders>
                </w:tcPr>
                <w:p w:rsidR="00483C46" w:rsidRDefault="00583B5D" w:rsidP="0067713D">
                  <w:pPr>
                    <w:pStyle w:val="Figure"/>
                    <w:spacing w:before="60" w:after="60"/>
                  </w:pPr>
                  <w:r>
                    <w:rPr>
                      <w:noProof/>
                    </w:rPr>
                    <w:drawing>
                      <wp:inline distT="0" distB="0" distL="0" distR="0">
                        <wp:extent cx="5553075" cy="6648450"/>
                        <wp:effectExtent l="0" t="0" r="9525" b="0"/>
                        <wp:docPr id="6" name="Picture 6" descr="Figure 10.4 Primary and community health performance indicator framework &#10;&#10;More details can be found within the text surrounding this image.&#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553075" cy="6648450"/>
                                </a:xfrm>
                                <a:prstGeom prst="rect">
                                  <a:avLst/>
                                </a:prstGeom>
                                <a:noFill/>
                                <a:ln>
                                  <a:noFill/>
                                </a:ln>
                              </pic:spPr>
                            </pic:pic>
                          </a:graphicData>
                        </a:graphic>
                      </wp:inline>
                    </w:drawing>
                  </w:r>
                </w:p>
              </w:tc>
            </w:tr>
          </w:tbl>
          <w:p w:rsidR="00A13431" w:rsidRDefault="00A13431" w:rsidP="0067713D">
            <w:pPr>
              <w:pStyle w:val="Figure"/>
            </w:pPr>
          </w:p>
        </w:tc>
      </w:tr>
      <w:tr w:rsidR="00A13431" w:rsidTr="0067713D">
        <w:tc>
          <w:tcPr>
            <w:tcW w:w="8771" w:type="dxa"/>
            <w:tcBorders>
              <w:top w:val="nil"/>
              <w:left w:val="nil"/>
              <w:bottom w:val="single" w:sz="6" w:space="0" w:color="78A22F"/>
              <w:right w:val="nil"/>
            </w:tcBorders>
            <w:shd w:val="clear" w:color="auto" w:fill="auto"/>
          </w:tcPr>
          <w:p w:rsidR="00A13431" w:rsidRDefault="00A13431" w:rsidP="0067713D">
            <w:pPr>
              <w:pStyle w:val="Figurespace"/>
            </w:pPr>
          </w:p>
        </w:tc>
      </w:tr>
      <w:tr w:rsidR="00A13431" w:rsidRPr="000863A5" w:rsidTr="0067713D">
        <w:tc>
          <w:tcPr>
            <w:tcW w:w="8771" w:type="dxa"/>
            <w:tcBorders>
              <w:top w:val="single" w:sz="6" w:space="0" w:color="78A22F"/>
              <w:left w:val="nil"/>
              <w:bottom w:val="nil"/>
              <w:right w:val="nil"/>
            </w:tcBorders>
          </w:tcPr>
          <w:p w:rsidR="00A13431" w:rsidRPr="00626D32" w:rsidRDefault="00A13431" w:rsidP="0067713D">
            <w:pPr>
              <w:pStyle w:val="BoxSpaceBelow"/>
            </w:pPr>
          </w:p>
        </w:tc>
      </w:tr>
    </w:tbl>
    <w:p w:rsidR="00876785" w:rsidRPr="00E52E8A" w:rsidRDefault="00AD1EF2" w:rsidP="00E52E8A">
      <w:pPr>
        <w:pStyle w:val="BodyText"/>
      </w:pPr>
      <w:r w:rsidRPr="00AD1EF2">
        <w:lastRenderedPageBreak/>
        <w:t xml:space="preserve">Data quality information (DQI) is being progressively introduced for all indicators in the Report. The purpose of DQI is to provide structured and consistent information about quality aspects of data </w:t>
      </w:r>
      <w:r w:rsidR="00876785">
        <w:t xml:space="preserve">used to </w:t>
      </w:r>
      <w:r w:rsidRPr="00D90FA2">
        <w:t>report</w:t>
      </w:r>
      <w:r w:rsidRPr="00AD1EF2">
        <w:t xml:space="preserve"> on performance indicators</w:t>
      </w:r>
      <w:r w:rsidR="001A22F0">
        <w:t xml:space="preserve">, </w:t>
      </w:r>
      <w:r w:rsidR="001A22F0" w:rsidRPr="001A22F0">
        <w:t xml:space="preserve">in addition to </w:t>
      </w:r>
      <w:r w:rsidR="001A22F0">
        <w:t xml:space="preserve">the </w:t>
      </w:r>
      <w:r w:rsidR="001A22F0" w:rsidRPr="001A22F0">
        <w:t>material in the chapter and attachment tables.</w:t>
      </w:r>
      <w:r w:rsidRPr="00AD1EF2">
        <w:t xml:space="preserve"> DQI in this Report cover the seven dimensions in the </w:t>
      </w:r>
      <w:r w:rsidR="00886237" w:rsidRPr="00886237">
        <w:t xml:space="preserve">Australian Bureau of Statistics </w:t>
      </w:r>
      <w:r w:rsidR="00886237">
        <w:t>(</w:t>
      </w:r>
      <w:r w:rsidRPr="00AD1EF2">
        <w:t>ABS</w:t>
      </w:r>
      <w:r w:rsidR="00886237">
        <w:t>)</w:t>
      </w:r>
      <w:r w:rsidRPr="00AD1EF2">
        <w:t xml:space="preserve"> data quality framework (institutional environment, relevance, timeliness, accuracy, coherence, accessibility and interpretability) in addition to dimensions that define and describe performance indicators in a consistent manner, and key data gaps and issues identified by the Steering Committee. All DQI for the</w:t>
      </w:r>
      <w:r w:rsidR="00FD3EAC">
        <w:t xml:space="preserve"> 201</w:t>
      </w:r>
      <w:r w:rsidR="001A22F0">
        <w:t>5</w:t>
      </w:r>
      <w:r w:rsidRPr="00AD1EF2">
        <w:t xml:space="preserve"> Report can be found at </w:t>
      </w:r>
      <w:r w:rsidR="00786AB7">
        <w:t>www.pc.gov.au</w:t>
      </w:r>
      <w:r w:rsidR="001A22F0" w:rsidRPr="00E10846">
        <w:t>/rogs/2015</w:t>
      </w:r>
      <w:r w:rsidRPr="00AD1EF2">
        <w:t>.</w:t>
      </w:r>
    </w:p>
    <w:p w:rsidR="00B14170" w:rsidRPr="00BC1CC1" w:rsidRDefault="00EC42DB" w:rsidP="00BC1CC1">
      <w:pPr>
        <w:pStyle w:val="Heading2"/>
      </w:pPr>
      <w:bookmarkStart w:id="11" w:name="_Toc208034413"/>
      <w:bookmarkStart w:id="12" w:name="_Toc274941101"/>
      <w:bookmarkStart w:id="13" w:name="_Toc396916148"/>
      <w:r w:rsidRPr="00BC1CC1">
        <w:t>1</w:t>
      </w:r>
      <w:r w:rsidR="006A586C" w:rsidRPr="00BC1CC1">
        <w:t>0</w:t>
      </w:r>
      <w:r w:rsidRPr="00BC1CC1">
        <w:t>.</w:t>
      </w:r>
      <w:r w:rsidR="00C44281" w:rsidRPr="00BC1CC1">
        <w:t>3</w:t>
      </w:r>
      <w:r w:rsidR="003D3E53" w:rsidRPr="00BC1CC1">
        <w:tab/>
      </w:r>
      <w:r w:rsidR="00B14170" w:rsidRPr="00BC1CC1">
        <w:t>Key performance indicator results</w:t>
      </w:r>
      <w:bookmarkEnd w:id="11"/>
      <w:bookmarkEnd w:id="12"/>
      <w:bookmarkEnd w:id="13"/>
    </w:p>
    <w:p w:rsidR="00B14170" w:rsidRDefault="00B14170" w:rsidP="009821EC">
      <w:pPr>
        <w:pStyle w:val="BodyText"/>
      </w:pPr>
      <w:r w:rsidRPr="00B14170">
        <w:t>Different delivery contexts, locations and</w:t>
      </w:r>
      <w:r w:rsidR="00DB4814">
        <w:t xml:space="preserve"> client factors</w:t>
      </w:r>
      <w:r w:rsidRPr="00B14170">
        <w:t xml:space="preserve"> may affect the equity, effectiveness and efficien</w:t>
      </w:r>
      <w:r>
        <w:t xml:space="preserve">cy </w:t>
      </w:r>
      <w:r w:rsidR="00786E59">
        <w:t>of</w:t>
      </w:r>
      <w:r w:rsidR="004A469F">
        <w:t xml:space="preserve"> primary and community </w:t>
      </w:r>
      <w:r w:rsidR="00786E59">
        <w:t>health services.</w:t>
      </w:r>
    </w:p>
    <w:p w:rsidR="00B14170" w:rsidRDefault="00B14170" w:rsidP="00B14170">
      <w:pPr>
        <w:pStyle w:val="Heading3"/>
      </w:pPr>
      <w:r w:rsidRPr="00B14170">
        <w:t>Outputs</w:t>
      </w:r>
    </w:p>
    <w:p w:rsidR="00B14170" w:rsidRDefault="00B14170" w:rsidP="006A75CD">
      <w:pPr>
        <w:pStyle w:val="BodyText"/>
      </w:pPr>
      <w:r>
        <w:t>Outputs are the services delivered (while outcomes are the impact of these services on the status of an individual or group) (see chapter 1, section 1.5).</w:t>
      </w:r>
    </w:p>
    <w:p w:rsidR="00865E22" w:rsidRPr="00865E22" w:rsidRDefault="00B14170" w:rsidP="00865E22">
      <w:pPr>
        <w:pStyle w:val="Heading3"/>
      </w:pPr>
      <w:r>
        <w:t>Equity</w:t>
      </w:r>
    </w:p>
    <w:p w:rsidR="00720464" w:rsidRDefault="00720464" w:rsidP="006A75CD">
      <w:pPr>
        <w:pStyle w:val="BodyText"/>
      </w:pPr>
      <w:r>
        <w:t xml:space="preserve">For the purposes of this Report, equity is defined in terms of </w:t>
      </w:r>
      <w:r w:rsidR="00E1661B">
        <w:t>adequa</w:t>
      </w:r>
      <w:r w:rsidR="00465AB7">
        <w:t>te</w:t>
      </w:r>
      <w:r>
        <w:t xml:space="preserve"> access to government services for all Australians. </w:t>
      </w:r>
      <w:r w:rsidR="00465AB7">
        <w:t xml:space="preserve">Access to primary and community health services </w:t>
      </w:r>
      <w:r w:rsidR="00A46FBE">
        <w:t>can</w:t>
      </w:r>
      <w:r w:rsidR="00465AB7">
        <w:t xml:space="preserve"> be </w:t>
      </w:r>
      <w:r w:rsidR="005F3603">
        <w:t>affected</w:t>
      </w:r>
      <w:r w:rsidR="00465AB7">
        <w:t xml:space="preserve"> through </w:t>
      </w:r>
      <w:r w:rsidR="005F3603">
        <w:t xml:space="preserve">factors such as </w:t>
      </w:r>
      <w:r w:rsidR="00465AB7">
        <w:t>disability, socioeconomic circumstance, age, geographic distance, cultural issues and English language proficiency (see chapter 1).</w:t>
      </w:r>
      <w:r w:rsidR="00465AB7" w:rsidRPr="00465AB7">
        <w:t xml:space="preserve"> </w:t>
      </w:r>
      <w:r w:rsidR="005F3603">
        <w:t>S</w:t>
      </w:r>
      <w:r w:rsidR="00465AB7">
        <w:t xml:space="preserve">uch </w:t>
      </w:r>
      <w:r w:rsidR="005F3603">
        <w:t>issues</w:t>
      </w:r>
      <w:r w:rsidR="00465AB7" w:rsidRPr="00465AB7">
        <w:t xml:space="preserve"> </w:t>
      </w:r>
      <w:r w:rsidR="00465AB7">
        <w:t xml:space="preserve">have contributed to the generally poor health status of </w:t>
      </w:r>
      <w:r w:rsidR="00D16EBA">
        <w:t>Aboriginal and Torres Strait Islander</w:t>
      </w:r>
      <w:r w:rsidR="006E4E2B">
        <w:t xml:space="preserve"> Australians</w:t>
      </w:r>
      <w:r w:rsidR="00465AB7" w:rsidRPr="00EA5ED5">
        <w:t xml:space="preserve"> relative</w:t>
      </w:r>
      <w:r w:rsidR="00A23D19" w:rsidRPr="00EA5ED5">
        <w:t xml:space="preserve"> to other Australians (</w:t>
      </w:r>
      <w:r w:rsidR="00465AB7" w:rsidRPr="00EA5ED5">
        <w:t>SCRGSP 20</w:t>
      </w:r>
      <w:r w:rsidR="00EA5ED5" w:rsidRPr="00EA5ED5">
        <w:t>1</w:t>
      </w:r>
      <w:r w:rsidR="0033570A">
        <w:t>4</w:t>
      </w:r>
      <w:r w:rsidR="00465AB7">
        <w:t>).</w:t>
      </w:r>
    </w:p>
    <w:p w:rsidR="00B14170" w:rsidRDefault="00B14170" w:rsidP="00B14170">
      <w:pPr>
        <w:pStyle w:val="Heading4"/>
      </w:pPr>
      <w:r>
        <w:t>Access</w:t>
      </w:r>
    </w:p>
    <w:p w:rsidR="00B14170" w:rsidRDefault="00B14170" w:rsidP="00B14170">
      <w:pPr>
        <w:pStyle w:val="Heading5"/>
      </w:pPr>
      <w:r w:rsidRPr="00B14170">
        <w:t>Availability of PBS medicines</w:t>
      </w:r>
    </w:p>
    <w:p w:rsidR="007E10EF" w:rsidRPr="007E10EF" w:rsidRDefault="007E10EF" w:rsidP="007E10EF">
      <w:pPr>
        <w:pStyle w:val="BodyText"/>
      </w:pPr>
      <w:r>
        <w:t xml:space="preserve">‘Availability of PBS medicines’ is an indicator of </w:t>
      </w:r>
      <w:r w:rsidR="004F50FD">
        <w:t xml:space="preserve">governments’ objective to provide </w:t>
      </w:r>
      <w:r>
        <w:t>equit</w:t>
      </w:r>
      <w:r w:rsidR="004F50FD">
        <w:t>able</w:t>
      </w:r>
      <w:r>
        <w:t xml:space="preserve"> access to </w:t>
      </w:r>
      <w:r w:rsidR="002C71F6">
        <w:t>PBS medicines</w:t>
      </w:r>
      <w:r w:rsidR="00627ED5">
        <w:t xml:space="preserve"> (</w:t>
      </w:r>
      <w:r w:rsidR="00897589">
        <w:t>box 10.</w:t>
      </w:r>
      <w:r w:rsidR="00445562" w:rsidRPr="00EA5ED5">
        <w:t>2</w:t>
      </w:r>
      <w:r w:rsidR="00105A71">
        <w:t>)</w:t>
      </w:r>
      <w:r>
        <w:t>.</w:t>
      </w:r>
    </w:p>
    <w:p w:rsidR="00E8358F" w:rsidRDefault="00E8358F">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8358F" w:rsidTr="00867BB6">
        <w:tc>
          <w:tcPr>
            <w:tcW w:w="8771" w:type="dxa"/>
            <w:tcBorders>
              <w:top w:val="single" w:sz="6" w:space="0" w:color="78A22F"/>
              <w:left w:val="nil"/>
              <w:bottom w:val="nil"/>
              <w:right w:val="nil"/>
            </w:tcBorders>
            <w:shd w:val="clear" w:color="auto" w:fill="F2F2F2" w:themeFill="background1" w:themeFillShade="F2"/>
          </w:tcPr>
          <w:p w:rsidR="00E8358F" w:rsidRDefault="00E8358F">
            <w:pPr>
              <w:pStyle w:val="BoxTitle"/>
            </w:pPr>
            <w:r>
              <w:rPr>
                <w:b w:val="0"/>
              </w:rPr>
              <w:t>Box 10.</w:t>
            </w:r>
            <w:r w:rsidR="0078724D">
              <w:rPr>
                <w:b w:val="0"/>
                <w:noProof/>
              </w:rPr>
              <w:t>2</w:t>
            </w:r>
            <w:r>
              <w:tab/>
            </w:r>
            <w:r w:rsidRPr="00B14170">
              <w:t>Availability of PBS medicines</w:t>
            </w:r>
          </w:p>
        </w:tc>
      </w:tr>
      <w:tr w:rsidR="00E8358F" w:rsidTr="00867BB6">
        <w:trPr>
          <w:cantSplit/>
        </w:trPr>
        <w:tc>
          <w:tcPr>
            <w:tcW w:w="8771" w:type="dxa"/>
            <w:tcBorders>
              <w:top w:val="nil"/>
              <w:left w:val="nil"/>
              <w:bottom w:val="nil"/>
              <w:right w:val="nil"/>
            </w:tcBorders>
            <w:shd w:val="clear" w:color="auto" w:fill="F2F2F2" w:themeFill="background1" w:themeFillShade="F2"/>
          </w:tcPr>
          <w:p w:rsidR="00E8358F" w:rsidRDefault="00E8358F" w:rsidP="00867BB6">
            <w:pPr>
              <w:pStyle w:val="Box"/>
            </w:pPr>
            <w:r>
              <w:t>‘Availability of PBS medicines’ is defined by three measures:</w:t>
            </w:r>
          </w:p>
          <w:p w:rsidR="00E8358F" w:rsidRDefault="00E8358F" w:rsidP="00867BB6">
            <w:pPr>
              <w:pStyle w:val="BoxListBullet"/>
            </w:pPr>
            <w:r>
              <w:t>people per pharmacy by region, defined as the estimated resident population (ERP), divided by the number of pharmacies, in urban and in rural regions</w:t>
            </w:r>
          </w:p>
          <w:p w:rsidR="00E8358F" w:rsidRDefault="00E8358F" w:rsidP="00867BB6">
            <w:pPr>
              <w:pStyle w:val="BoxListBullet"/>
            </w:pPr>
            <w:r>
              <w:t>PBS expenditure per person by region, defined as expenditure on PBS medicines, divided by the ERP, in urban and in rural regions</w:t>
            </w:r>
          </w:p>
          <w:p w:rsidR="00E8358F" w:rsidRDefault="00E8358F" w:rsidP="00867BB6">
            <w:pPr>
              <w:pStyle w:val="BoxListBullet"/>
            </w:pPr>
            <w:r>
              <w:t>proportion of PBS prescriptions filled at a concessional rate, defined as the number of PBS prescriptions filled at a concessional rate, divided by the total number of prescriptions filled.</w:t>
            </w:r>
          </w:p>
          <w:p w:rsidR="00E8358F" w:rsidRDefault="00E8358F" w:rsidP="00867BB6">
            <w:pPr>
              <w:pStyle w:val="Box"/>
            </w:pPr>
            <w:r>
              <w:t xml:space="preserve">This indicator is difficult to interpret. A low or decreasing number of people per pharmacy may indicate greater availability of PBS medicines. High or increasing PBS expenditure per person may indicate improved availability of PBS medicines. A high or increasing proportion of PBS prescriptions filled at a concessional rate may indicate improved availability of PBS </w:t>
            </w:r>
            <w:r w:rsidRPr="00656137">
              <w:t>prescriptions to disadvantaged people.</w:t>
            </w:r>
            <w:r>
              <w:t xml:space="preserve"> It is also important that there are not large discrepancies by region in these measures.</w:t>
            </w:r>
          </w:p>
          <w:p w:rsidR="00E8358F" w:rsidRDefault="00E8358F" w:rsidP="00867BB6">
            <w:pPr>
              <w:pStyle w:val="Box"/>
            </w:pPr>
            <w:r>
              <w:t xml:space="preserve">Medicines are important in treating illness and can also be important in preventing illness from occurring. The availability of medicines is therefore a significant determinant of people’s health and medicines should be available to those who require them, regardless of residential geolocation </w:t>
            </w:r>
            <w:r w:rsidRPr="00656137">
              <w:t>or socioeconomic circumstance</w:t>
            </w:r>
            <w:r>
              <w:t>.</w:t>
            </w:r>
          </w:p>
          <w:p w:rsidR="00E8358F" w:rsidRDefault="00E8358F" w:rsidP="00867BB6">
            <w:pPr>
              <w:pStyle w:val="Box"/>
            </w:pPr>
            <w:r>
              <w:t>This indicator does not provide information on whether the services are appropriate for the needs of the people receiving them.</w:t>
            </w:r>
          </w:p>
          <w:p w:rsidR="00E8358F" w:rsidRDefault="00E8358F" w:rsidP="00867BB6">
            <w:pPr>
              <w:pStyle w:val="Box"/>
            </w:pPr>
            <w:r>
              <w:t>Data reported for this indicator are:</w:t>
            </w:r>
          </w:p>
          <w:p w:rsidR="00E8358F" w:rsidRDefault="00E8358F" w:rsidP="00867BB6">
            <w:pPr>
              <w:pStyle w:val="BoxListBullet"/>
            </w:pPr>
            <w:r>
              <w:t xml:space="preserve">comparable (subject to caveats) </w:t>
            </w:r>
            <w:r w:rsidRPr="000F11C2">
              <w:t>across jurisdictions and over time</w:t>
            </w:r>
          </w:p>
          <w:p w:rsidR="004E1F10" w:rsidRPr="004E1F10" w:rsidRDefault="00E8358F" w:rsidP="004E1F10">
            <w:pPr>
              <w:pStyle w:val="BoxListBullet"/>
            </w:pPr>
            <w:r>
              <w:t xml:space="preserve">complete (subject to caveats) </w:t>
            </w:r>
            <w:r w:rsidRPr="0040369B">
              <w:t>for the current reporting period</w:t>
            </w:r>
            <w:r>
              <w:t xml:space="preserve">. </w:t>
            </w:r>
            <w:r w:rsidR="004E1F10" w:rsidRPr="004E1F10">
              <w:t>All required data are available for all jurisdictions for 201</w:t>
            </w:r>
            <w:r w:rsidR="00683D74">
              <w:t>4</w:t>
            </w:r>
            <w:r w:rsidR="004E1F10" w:rsidRPr="004E1F10">
              <w:t xml:space="preserve"> for </w:t>
            </w:r>
            <w:r w:rsidR="004E1F10">
              <w:t>people per pharmacy by region</w:t>
            </w:r>
            <w:r w:rsidR="004E1F10" w:rsidRPr="004E1F10">
              <w:t xml:space="preserve"> and for 201</w:t>
            </w:r>
            <w:r w:rsidR="004E1F10">
              <w:t>3</w:t>
            </w:r>
            <w:r w:rsidR="004E1F10" w:rsidRPr="004E1F10">
              <w:t>-1</w:t>
            </w:r>
            <w:r w:rsidR="004E1F10">
              <w:t>4</w:t>
            </w:r>
            <w:r w:rsidR="004E1F10" w:rsidRPr="004E1F10">
              <w:t xml:space="preserve"> for the measure</w:t>
            </w:r>
            <w:r w:rsidR="004E1F10">
              <w:t>s</w:t>
            </w:r>
            <w:r w:rsidR="004E1F10" w:rsidRPr="004E1F10">
              <w:t xml:space="preserve"> PBS expenditure per person by region</w:t>
            </w:r>
            <w:r w:rsidR="004E1F10">
              <w:t xml:space="preserve"> and </w:t>
            </w:r>
            <w:r w:rsidR="004E1F10" w:rsidRPr="004E1F10">
              <w:t>proportion of PBS prescriptions filled at a concessional rate.</w:t>
            </w:r>
          </w:p>
          <w:p w:rsidR="00E8358F" w:rsidRPr="0027351B" w:rsidRDefault="00E8358F" w:rsidP="001A22F0">
            <w:pPr>
              <w:pStyle w:val="Box"/>
            </w:pPr>
            <w:r w:rsidRPr="0027351B">
              <w:t xml:space="preserve">Data quality information for this indicator </w:t>
            </w:r>
            <w:r w:rsidR="00786AB7">
              <w:t>is at www.pc.gov.au</w:t>
            </w:r>
            <w:r w:rsidR="001A22F0" w:rsidRPr="001A22F0">
              <w:t>/rogs/2015.</w:t>
            </w:r>
          </w:p>
        </w:tc>
      </w:tr>
      <w:tr w:rsidR="00E8358F" w:rsidTr="00867BB6">
        <w:trPr>
          <w:cantSplit/>
        </w:trPr>
        <w:tc>
          <w:tcPr>
            <w:tcW w:w="8771" w:type="dxa"/>
            <w:tcBorders>
              <w:top w:val="nil"/>
              <w:left w:val="nil"/>
              <w:bottom w:val="single" w:sz="6" w:space="0" w:color="78A22F"/>
              <w:right w:val="nil"/>
            </w:tcBorders>
            <w:shd w:val="clear" w:color="auto" w:fill="F2F2F2" w:themeFill="background1" w:themeFillShade="F2"/>
          </w:tcPr>
          <w:p w:rsidR="00E8358F" w:rsidRDefault="00E8358F">
            <w:pPr>
              <w:pStyle w:val="Box"/>
              <w:spacing w:before="0" w:line="120" w:lineRule="exact"/>
            </w:pPr>
          </w:p>
        </w:tc>
      </w:tr>
      <w:tr w:rsidR="00E8358F" w:rsidRPr="000863A5" w:rsidTr="00867BB6">
        <w:tc>
          <w:tcPr>
            <w:tcW w:w="8771" w:type="dxa"/>
            <w:tcBorders>
              <w:top w:val="single" w:sz="6" w:space="0" w:color="78A22F"/>
              <w:left w:val="nil"/>
              <w:bottom w:val="nil"/>
              <w:right w:val="nil"/>
            </w:tcBorders>
          </w:tcPr>
          <w:p w:rsidR="00E8358F" w:rsidRPr="00626D32" w:rsidRDefault="00E8358F" w:rsidP="00867BB6">
            <w:pPr>
              <w:pStyle w:val="BoxSpaceBelow"/>
            </w:pPr>
          </w:p>
        </w:tc>
      </w:tr>
    </w:tbl>
    <w:p w:rsidR="005A650F" w:rsidRDefault="00DF29FA" w:rsidP="005A650F">
      <w:pPr>
        <w:pStyle w:val="BodyText"/>
      </w:pPr>
      <w:r>
        <w:t>Access to PBS medicines is primarily governed by the</w:t>
      </w:r>
      <w:r w:rsidR="000202E1">
        <w:t xml:space="preserve"> distribution of pharmacies. </w:t>
      </w:r>
      <w:r w:rsidR="005A650F" w:rsidRPr="00683D74">
        <w:t xml:space="preserve">Across Australia, </w:t>
      </w:r>
      <w:r w:rsidR="005A650F">
        <w:t>the number of people per pharmacy in rural areas decreased from 4277 to 3</w:t>
      </w:r>
      <w:r w:rsidR="001C2234">
        <w:t>771</w:t>
      </w:r>
      <w:bookmarkStart w:id="14" w:name="_GoBack"/>
      <w:bookmarkEnd w:id="14"/>
      <w:r w:rsidR="005A650F">
        <w:t xml:space="preserve"> in the period 2010 to 2014, falling below the number of people per pharmacy in urban areas, which rose from 3814 to 3963 in the same period</w:t>
      </w:r>
      <w:r w:rsidR="00792345">
        <w:t xml:space="preserve"> (figure 10.5)</w:t>
      </w:r>
      <w:r w:rsidR="005A650F">
        <w:t>.</w:t>
      </w:r>
    </w:p>
    <w:p w:rsidR="000E14A5" w:rsidRDefault="002579BE" w:rsidP="004D42BF">
      <w:pPr>
        <w:pStyle w:val="BodyText"/>
      </w:pPr>
      <w:r w:rsidRPr="00201FD6">
        <w:t>M</w:t>
      </w:r>
      <w:r w:rsidR="00DF29FA" w:rsidRPr="00201FD6">
        <w:t xml:space="preserve">edical practitioners and hospitals can </w:t>
      </w:r>
      <w:r w:rsidRPr="00201FD6">
        <w:t xml:space="preserve">also </w:t>
      </w:r>
      <w:r w:rsidR="00DF29FA" w:rsidRPr="00201FD6">
        <w:t xml:space="preserve">be approved to supply PBS medicines </w:t>
      </w:r>
      <w:r w:rsidR="00DF29FA" w:rsidRPr="00575BE5">
        <w:t>to the community</w:t>
      </w:r>
      <w:r w:rsidRPr="00575BE5">
        <w:t>, improving access for people in some locations.</w:t>
      </w:r>
      <w:r w:rsidR="00DF29FA" w:rsidRPr="00575BE5">
        <w:t xml:space="preserve"> </w:t>
      </w:r>
      <w:r w:rsidRPr="00575BE5">
        <w:t>There were</w:t>
      </w:r>
      <w:r w:rsidR="000202E1" w:rsidRPr="00575BE5">
        <w:t xml:space="preserve"> </w:t>
      </w:r>
      <w:r w:rsidR="007E0FF0">
        <w:t>24</w:t>
      </w:r>
      <w:r w:rsidR="00150C47">
        <w:t> </w:t>
      </w:r>
      <w:r w:rsidR="001C15E2" w:rsidRPr="00575BE5">
        <w:t>m</w:t>
      </w:r>
      <w:r w:rsidR="000202E1" w:rsidRPr="00575BE5">
        <w:t>edical practitioners and</w:t>
      </w:r>
      <w:r w:rsidR="00CB2368">
        <w:t xml:space="preserve"> 2</w:t>
      </w:r>
      <w:r w:rsidR="007E0FF0">
        <w:t>63</w:t>
      </w:r>
      <w:r w:rsidR="000202E1" w:rsidRPr="00575BE5">
        <w:t xml:space="preserve"> hospitals — </w:t>
      </w:r>
      <w:r w:rsidR="007E0FF0">
        <w:t>104</w:t>
      </w:r>
      <w:r w:rsidR="00CB2368">
        <w:t xml:space="preserve"> </w:t>
      </w:r>
      <w:r w:rsidR="000202E1" w:rsidRPr="00575BE5">
        <w:t>private and</w:t>
      </w:r>
      <w:r w:rsidR="00CB2368">
        <w:t xml:space="preserve"> 159 </w:t>
      </w:r>
      <w:r w:rsidR="000202E1" w:rsidRPr="00575BE5">
        <w:t>public</w:t>
      </w:r>
      <w:r w:rsidR="002035E2" w:rsidRPr="00575BE5">
        <w:rPr>
          <w:rStyle w:val="FootnoteReference"/>
        </w:rPr>
        <w:footnoteReference w:id="1"/>
      </w:r>
      <w:r w:rsidR="00F26504" w:rsidRPr="00575BE5">
        <w:t xml:space="preserve"> </w:t>
      </w:r>
      <w:r w:rsidR="000202E1" w:rsidRPr="00575BE5">
        <w:t>—</w:t>
      </w:r>
      <w:r w:rsidRPr="00575BE5">
        <w:t xml:space="preserve"> </w:t>
      </w:r>
      <w:r w:rsidR="000202E1" w:rsidRPr="00575BE5">
        <w:t xml:space="preserve">approved to supply PBS medicines to the community </w:t>
      </w:r>
      <w:r w:rsidR="00150C47" w:rsidRPr="004D42BF">
        <w:t>at 30 June</w:t>
      </w:r>
      <w:r w:rsidR="00CB2368" w:rsidRPr="004D42BF">
        <w:t xml:space="preserve"> </w:t>
      </w:r>
      <w:r w:rsidR="00150C47" w:rsidRPr="004D42BF">
        <w:t>20</w:t>
      </w:r>
      <w:r w:rsidR="00CB2368" w:rsidRPr="004D42BF">
        <w:t>1</w:t>
      </w:r>
      <w:r w:rsidR="007E0FF0">
        <w:t>4</w:t>
      </w:r>
      <w:r w:rsidR="000202E1" w:rsidRPr="004D42BF">
        <w:t>.</w:t>
      </w:r>
      <w:r w:rsidR="000202E1" w:rsidRPr="00575BE5">
        <w:t xml:space="preserve"> Th</w:t>
      </w:r>
      <w:r w:rsidR="00DF29FA" w:rsidRPr="00575BE5">
        <w:t>e</w:t>
      </w:r>
      <w:r w:rsidR="000202E1" w:rsidRPr="00575BE5">
        <w:t xml:space="preserve"> </w:t>
      </w:r>
      <w:r w:rsidR="001A4563" w:rsidRPr="00575BE5">
        <w:t xml:space="preserve">approved </w:t>
      </w:r>
      <w:r w:rsidR="000202E1" w:rsidRPr="00575BE5">
        <w:t xml:space="preserve">medical practitioners </w:t>
      </w:r>
      <w:r w:rsidR="001A4563" w:rsidRPr="00575BE5">
        <w:t>and</w:t>
      </w:r>
      <w:r w:rsidR="00CB2368">
        <w:t xml:space="preserve"> 49</w:t>
      </w:r>
      <w:r w:rsidR="003915C5" w:rsidRPr="00575BE5">
        <w:t xml:space="preserve"> </w:t>
      </w:r>
      <w:r w:rsidR="00DF29FA" w:rsidRPr="00575BE5">
        <w:t xml:space="preserve">of the </w:t>
      </w:r>
      <w:r w:rsidR="001A4563" w:rsidRPr="00575BE5">
        <w:t xml:space="preserve">approved </w:t>
      </w:r>
      <w:r w:rsidR="00DF29FA" w:rsidRPr="00575BE5">
        <w:t xml:space="preserve">public </w:t>
      </w:r>
      <w:r w:rsidR="000202E1" w:rsidRPr="00575BE5">
        <w:t xml:space="preserve">hospitals </w:t>
      </w:r>
      <w:r w:rsidR="00DF29FA" w:rsidRPr="00575BE5">
        <w:t>were</w:t>
      </w:r>
      <w:r w:rsidR="000202E1" w:rsidRPr="00575BE5">
        <w:t xml:space="preserve"> located</w:t>
      </w:r>
      <w:r w:rsidR="00C4799E" w:rsidRPr="00575BE5">
        <w:t xml:space="preserve"> in rural areas (table </w:t>
      </w:r>
      <w:r w:rsidR="00C9076B">
        <w:t>10A.</w:t>
      </w:r>
      <w:r w:rsidR="00EC1149">
        <w:t>20</w:t>
      </w:r>
      <w:r w:rsidR="00EE6A13" w:rsidRPr="00575BE5">
        <w:t>).</w:t>
      </w:r>
      <w:r w:rsidR="000C658E">
        <w:t xml:space="preserve"> </w:t>
      </w:r>
    </w:p>
    <w:p w:rsidR="00A13431" w:rsidRDefault="00A13431" w:rsidP="0067713D">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13431" w:rsidTr="0067713D">
        <w:tc>
          <w:tcPr>
            <w:tcW w:w="8771" w:type="dxa"/>
            <w:tcBorders>
              <w:top w:val="single" w:sz="6" w:space="0" w:color="78A22F"/>
              <w:left w:val="nil"/>
              <w:bottom w:val="nil"/>
              <w:right w:val="nil"/>
            </w:tcBorders>
            <w:shd w:val="clear" w:color="auto" w:fill="auto"/>
          </w:tcPr>
          <w:p w:rsidR="00A13431" w:rsidRPr="00176D3F" w:rsidRDefault="00A13431" w:rsidP="001264A6">
            <w:pPr>
              <w:pStyle w:val="FigureTitle"/>
            </w:pPr>
            <w:r w:rsidRPr="00784A05">
              <w:rPr>
                <w:b w:val="0"/>
              </w:rPr>
              <w:t xml:space="preserve">Figure </w:t>
            </w:r>
            <w:r w:rsidR="00DF255F">
              <w:rPr>
                <w:b w:val="0"/>
              </w:rPr>
              <w:t>10.</w:t>
            </w:r>
            <w:r w:rsidR="0078724D">
              <w:rPr>
                <w:b w:val="0"/>
                <w:noProof/>
              </w:rPr>
              <w:t>5</w:t>
            </w:r>
            <w:r>
              <w:tab/>
            </w:r>
            <w:r w:rsidR="001264A6">
              <w:t>People per pharmacy</w:t>
            </w:r>
            <w:r w:rsidR="001264A6" w:rsidRPr="00201FD6">
              <w:rPr>
                <w:rStyle w:val="NoteLabel"/>
                <w:b/>
              </w:rPr>
              <w:t>a</w:t>
            </w:r>
            <w:r w:rsidR="001264A6">
              <w:rPr>
                <w:rStyle w:val="NoteLabel"/>
                <w:b/>
              </w:rPr>
              <w:t>, b</w:t>
            </w:r>
            <w:r w:rsidR="002F1B5B">
              <w:rPr>
                <w:rStyle w:val="NoteLabel"/>
                <w:b/>
              </w:rPr>
              <w:t>, c, d</w:t>
            </w:r>
            <w:r w:rsidR="00792345">
              <w:rPr>
                <w:rStyle w:val="NoteLabel"/>
                <w:b/>
              </w:rPr>
              <w:t>, e</w:t>
            </w:r>
          </w:p>
        </w:tc>
      </w:tr>
      <w:tr w:rsidR="00A13431" w:rsidTr="0067713D">
        <w:tc>
          <w:tcPr>
            <w:tcW w:w="8771" w:type="dxa"/>
            <w:tcBorders>
              <w:top w:val="nil"/>
              <w:left w:val="nil"/>
              <w:bottom w:val="nil"/>
              <w:right w:val="nil"/>
            </w:tcBorders>
            <w:shd w:val="clear" w:color="auto" w:fill="auto"/>
            <w:tcMar>
              <w:top w:w="28" w:type="dxa"/>
              <w:bottom w:w="28" w:type="dxa"/>
            </w:tcMar>
          </w:tcPr>
          <w:tbl>
            <w:tblPr>
              <w:tblW w:w="8625" w:type="dxa"/>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625"/>
            </w:tblGrid>
            <w:tr w:rsidR="00A13431" w:rsidTr="004F6363">
              <w:tc>
                <w:tcPr>
                  <w:tcW w:w="5000" w:type="pct"/>
                  <w:tcBorders>
                    <w:top w:val="nil"/>
                    <w:bottom w:val="nil"/>
                  </w:tcBorders>
                </w:tcPr>
                <w:p w:rsidR="00A13431" w:rsidRDefault="00583B5D" w:rsidP="0067713D">
                  <w:pPr>
                    <w:pStyle w:val="Figure"/>
                    <w:spacing w:before="60" w:after="60"/>
                  </w:pPr>
                  <w:r>
                    <w:rPr>
                      <w:noProof/>
                    </w:rPr>
                    <w:drawing>
                      <wp:inline distT="0" distB="0" distL="0" distR="0">
                        <wp:extent cx="5391150" cy="2686050"/>
                        <wp:effectExtent l="0" t="0" r="0" b="0"/>
                        <wp:docPr id="7" name="Picture 7" descr="Figure 10.5 People per pharmacy&#10;&#10;Urban areas&#10;&#10;More details can be found within the text surrounding this image.&#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391150" cy="2686050"/>
                                </a:xfrm>
                                <a:prstGeom prst="rect">
                                  <a:avLst/>
                                </a:prstGeom>
                                <a:noFill/>
                                <a:ln>
                                  <a:noFill/>
                                </a:ln>
                              </pic:spPr>
                            </pic:pic>
                          </a:graphicData>
                        </a:graphic>
                      </wp:inline>
                    </w:drawing>
                  </w:r>
                </w:p>
                <w:p w:rsidR="001264A6" w:rsidRDefault="00583B5D" w:rsidP="0067713D">
                  <w:pPr>
                    <w:pStyle w:val="Figure"/>
                    <w:spacing w:before="60" w:after="60"/>
                  </w:pPr>
                  <w:r>
                    <w:rPr>
                      <w:noProof/>
                    </w:rPr>
                    <w:drawing>
                      <wp:inline distT="0" distB="0" distL="0" distR="0">
                        <wp:extent cx="5400675" cy="2695575"/>
                        <wp:effectExtent l="0" t="0" r="9525" b="9525"/>
                        <wp:docPr id="8" name="Picture 8" descr="Figure 10.5 People per pharmacy&#10;&#10;Rural areas&#10;&#10;More details can be found within the text surrounding this image.&#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400675" cy="2695575"/>
                                </a:xfrm>
                                <a:prstGeom prst="rect">
                                  <a:avLst/>
                                </a:prstGeom>
                                <a:noFill/>
                                <a:ln>
                                  <a:noFill/>
                                </a:ln>
                              </pic:spPr>
                            </pic:pic>
                          </a:graphicData>
                        </a:graphic>
                      </wp:inline>
                    </w:drawing>
                  </w:r>
                </w:p>
              </w:tc>
            </w:tr>
          </w:tbl>
          <w:p w:rsidR="00A13431" w:rsidRDefault="00A13431" w:rsidP="0067713D">
            <w:pPr>
              <w:pStyle w:val="Figure"/>
            </w:pPr>
          </w:p>
        </w:tc>
      </w:tr>
      <w:tr w:rsidR="00A13431" w:rsidRPr="00176D3F" w:rsidTr="0067713D">
        <w:tc>
          <w:tcPr>
            <w:tcW w:w="8771" w:type="dxa"/>
            <w:tcBorders>
              <w:top w:val="nil"/>
              <w:left w:val="nil"/>
              <w:bottom w:val="nil"/>
              <w:right w:val="nil"/>
            </w:tcBorders>
            <w:shd w:val="clear" w:color="auto" w:fill="auto"/>
          </w:tcPr>
          <w:p w:rsidR="00A13431" w:rsidRPr="001264A6" w:rsidRDefault="001264A6" w:rsidP="005A76CE">
            <w:pPr>
              <w:pStyle w:val="Note"/>
              <w:rPr>
                <w:b/>
                <w:color w:val="FF0000"/>
                <w:sz w:val="24"/>
                <w:u w:val="dotted"/>
              </w:rPr>
            </w:pPr>
            <w:r>
              <w:rPr>
                <w:rStyle w:val="NoteLabel"/>
              </w:rPr>
              <w:t>a</w:t>
            </w:r>
            <w:r>
              <w:sym w:font="Symbol" w:char="F020"/>
            </w:r>
            <w:r w:rsidRPr="002035E2">
              <w:t>Geolocation based on the Pharmacy Access/Remoteness Index of Australia (</w:t>
            </w:r>
            <w:r>
              <w:t xml:space="preserve">PhARIA). </w:t>
            </w:r>
            <w:r w:rsidRPr="002035E2">
              <w:t>Urban = P</w:t>
            </w:r>
            <w:r>
              <w:t xml:space="preserve">hARIA 1. </w:t>
            </w:r>
            <w:r w:rsidRPr="0087773B">
              <w:t xml:space="preserve">Rural = PhARIA 2–6. The ACT has no rural PhARIA areas. </w:t>
            </w:r>
            <w:r w:rsidRPr="0087773B">
              <w:rPr>
                <w:rStyle w:val="NoteLabel"/>
              </w:rPr>
              <w:t>b</w:t>
            </w:r>
            <w:r w:rsidRPr="0087773B">
              <w:sym w:font="Symbol" w:char="F020"/>
            </w:r>
            <w:r w:rsidR="00792345">
              <w:t>Number of pharmacies</w:t>
            </w:r>
            <w:r w:rsidR="005A76CE">
              <w:t xml:space="preserve"> as measured at 30 June is used to derive rates</w:t>
            </w:r>
            <w:r w:rsidR="00792345">
              <w:t xml:space="preserve">. </w:t>
            </w:r>
            <w:r w:rsidR="00792345">
              <w:rPr>
                <w:rStyle w:val="NoteLabel"/>
              </w:rPr>
              <w:t>c</w:t>
            </w:r>
            <w:r w:rsidR="00792345" w:rsidRPr="0087773B">
              <w:sym w:font="Symbol" w:char="F020"/>
            </w:r>
            <w:r w:rsidRPr="0087773B">
              <w:t>Excludes RPBS and doctor’s bag.</w:t>
            </w:r>
            <w:r w:rsidR="00BF4966">
              <w:t xml:space="preserve"> </w:t>
            </w:r>
            <w:r w:rsidR="00792345">
              <w:rPr>
                <w:rStyle w:val="NoteLabel"/>
              </w:rPr>
              <w:t>d</w:t>
            </w:r>
            <w:r w:rsidR="00BF4966" w:rsidRPr="0087773B">
              <w:sym w:font="Symbol" w:char="F020"/>
            </w:r>
            <w:r w:rsidR="00BF4966">
              <w:t xml:space="preserve">The </w:t>
            </w:r>
            <w:r w:rsidR="00BF4966" w:rsidRPr="00BF4966">
              <w:t>ERP used to derive rates in the early and latter parts of this time series are based on different ABS Censuses. Rates derived using ERPs based on different Censuses are not comparable.</w:t>
            </w:r>
            <w:r>
              <w:t xml:space="preserve"> </w:t>
            </w:r>
            <w:r w:rsidR="00792345">
              <w:rPr>
                <w:rStyle w:val="NoteLabel"/>
              </w:rPr>
              <w:t>e</w:t>
            </w:r>
            <w:r w:rsidRPr="0087773B">
              <w:sym w:font="Symbol" w:char="F020"/>
            </w:r>
            <w:r w:rsidRPr="004D42BF">
              <w:t xml:space="preserve">Care should be taken in using data for the NT, as 43.9 per cent of the population live in remote and very remote areas and data exclude Aboriginal Medical Services that supply medications in these areas under s.100 of the </w:t>
            </w:r>
            <w:r w:rsidRPr="004D42BF">
              <w:rPr>
                <w:i/>
              </w:rPr>
              <w:t>National Health Act 1953</w:t>
            </w:r>
            <w:r w:rsidRPr="004D42BF">
              <w:t xml:space="preserve"> (Cwlth).</w:t>
            </w:r>
          </w:p>
        </w:tc>
      </w:tr>
      <w:tr w:rsidR="00A13431" w:rsidRPr="00176D3F" w:rsidTr="0067713D">
        <w:tc>
          <w:tcPr>
            <w:tcW w:w="8771" w:type="dxa"/>
            <w:tcBorders>
              <w:top w:val="nil"/>
              <w:left w:val="nil"/>
              <w:bottom w:val="nil"/>
              <w:right w:val="nil"/>
            </w:tcBorders>
            <w:shd w:val="clear" w:color="auto" w:fill="auto"/>
          </w:tcPr>
          <w:p w:rsidR="00A13431" w:rsidRPr="00176D3F" w:rsidRDefault="001264A6" w:rsidP="00EC1149">
            <w:pPr>
              <w:pStyle w:val="Source"/>
            </w:pPr>
            <w:r w:rsidRPr="0087773B">
              <w:rPr>
                <w:i/>
              </w:rPr>
              <w:t>Source</w:t>
            </w:r>
            <w:r w:rsidRPr="0087773B">
              <w:t xml:space="preserve">: </w:t>
            </w:r>
            <w:r>
              <w:t>Department of Health</w:t>
            </w:r>
            <w:r w:rsidRPr="0087773B">
              <w:t xml:space="preserve"> (unpublished) derived from </w:t>
            </w:r>
            <w:r>
              <w:t xml:space="preserve"> DHS </w:t>
            </w:r>
            <w:r w:rsidRPr="0087773B">
              <w:t xml:space="preserve">Medicare, </w:t>
            </w:r>
            <w:r w:rsidRPr="004D42BF">
              <w:t>ABS</w:t>
            </w:r>
            <w:r w:rsidR="00B06590">
              <w:t xml:space="preserve"> (unpublished)</w:t>
            </w:r>
            <w:r w:rsidRPr="004D42BF">
              <w:t xml:space="preserve"> </w:t>
            </w:r>
            <w:r w:rsidRPr="004D42BF">
              <w:rPr>
                <w:i/>
              </w:rPr>
              <w:t>2006/2011 Census of Population and Housing</w:t>
            </w:r>
            <w:r w:rsidRPr="004D42BF">
              <w:t xml:space="preserve"> and the University of Adelaide's Australian Population and Migration Research Centre;</w:t>
            </w:r>
            <w:r w:rsidRPr="0087773B">
              <w:t xml:space="preserve"> table </w:t>
            </w:r>
            <w:r w:rsidR="00C9076B">
              <w:t>10A.</w:t>
            </w:r>
            <w:r w:rsidR="00EC1149">
              <w:t>20</w:t>
            </w:r>
            <w:r w:rsidRPr="0087773B">
              <w:t>.</w:t>
            </w:r>
          </w:p>
        </w:tc>
      </w:tr>
      <w:tr w:rsidR="00A13431" w:rsidTr="0067713D">
        <w:tc>
          <w:tcPr>
            <w:tcW w:w="8771" w:type="dxa"/>
            <w:tcBorders>
              <w:top w:val="nil"/>
              <w:left w:val="nil"/>
              <w:bottom w:val="single" w:sz="6" w:space="0" w:color="78A22F"/>
              <w:right w:val="nil"/>
            </w:tcBorders>
            <w:shd w:val="clear" w:color="auto" w:fill="auto"/>
          </w:tcPr>
          <w:p w:rsidR="00A13431" w:rsidRDefault="00A13431" w:rsidP="0067713D">
            <w:pPr>
              <w:pStyle w:val="Figurespace"/>
            </w:pPr>
          </w:p>
        </w:tc>
      </w:tr>
      <w:tr w:rsidR="00A13431" w:rsidRPr="000863A5" w:rsidTr="0067713D">
        <w:tc>
          <w:tcPr>
            <w:tcW w:w="8771" w:type="dxa"/>
            <w:tcBorders>
              <w:top w:val="single" w:sz="6" w:space="0" w:color="78A22F"/>
              <w:left w:val="nil"/>
              <w:bottom w:val="nil"/>
              <w:right w:val="nil"/>
            </w:tcBorders>
          </w:tcPr>
          <w:p w:rsidR="00A13431" w:rsidRPr="00626D32" w:rsidRDefault="00A13431" w:rsidP="0067713D">
            <w:pPr>
              <w:pStyle w:val="BoxSpaceBelow"/>
            </w:pPr>
          </w:p>
        </w:tc>
      </w:tr>
    </w:tbl>
    <w:p w:rsidR="002035E2" w:rsidRDefault="003047F5" w:rsidP="00944E91">
      <w:pPr>
        <w:pStyle w:val="BodyText"/>
      </w:pPr>
      <w:r w:rsidRPr="0087773B">
        <w:t>Nationally</w:t>
      </w:r>
      <w:r w:rsidR="00BA791A" w:rsidRPr="0087773B">
        <w:t>, PBS expenditure</w:t>
      </w:r>
      <w:r w:rsidR="007552AD" w:rsidRPr="0087773B">
        <w:t xml:space="preserve"> per person</w:t>
      </w:r>
      <w:r w:rsidR="00BA791A" w:rsidRPr="0087773B">
        <w:t xml:space="preserve"> </w:t>
      </w:r>
      <w:r w:rsidR="00A209B4">
        <w:t>was</w:t>
      </w:r>
      <w:r w:rsidR="00840A73">
        <w:t xml:space="preserve"> around</w:t>
      </w:r>
      <w:r w:rsidR="00A209B4">
        <w:t xml:space="preserve"> </w:t>
      </w:r>
      <w:r w:rsidR="00625059" w:rsidRPr="00A209B4">
        <w:t>$</w:t>
      </w:r>
      <w:r w:rsidR="0094724E" w:rsidRPr="00A209B4">
        <w:t>3</w:t>
      </w:r>
      <w:r w:rsidR="00840A73">
        <w:t>1</w:t>
      </w:r>
      <w:r w:rsidR="00AC0665">
        <w:t>5</w:t>
      </w:r>
      <w:r w:rsidR="008836AD" w:rsidRPr="00A209B4">
        <w:t xml:space="preserve"> in </w:t>
      </w:r>
      <w:r w:rsidR="00B50447" w:rsidRPr="00A209B4">
        <w:t>20</w:t>
      </w:r>
      <w:r w:rsidR="00366211" w:rsidRPr="00A209B4">
        <w:t>1</w:t>
      </w:r>
      <w:r w:rsidR="00AC0665">
        <w:t>3</w:t>
      </w:r>
      <w:r w:rsidR="00B50447" w:rsidRPr="00A209B4">
        <w:noBreakHyphen/>
        <w:t>1</w:t>
      </w:r>
      <w:r w:rsidR="00AC0665">
        <w:t>4</w:t>
      </w:r>
      <w:r w:rsidR="00EC1D2B">
        <w:t xml:space="preserve"> </w:t>
      </w:r>
      <w:r w:rsidR="00EC1D2B" w:rsidRPr="004C46F9">
        <w:t>(</w:t>
      </w:r>
      <w:r w:rsidR="00897589">
        <w:t>figure 10.</w:t>
      </w:r>
      <w:r w:rsidR="008149C0">
        <w:t>6</w:t>
      </w:r>
      <w:r w:rsidR="00A209B4">
        <w:t>)</w:t>
      </w:r>
      <w:r w:rsidR="00EC1D2B">
        <w:t>.</w:t>
      </w:r>
      <w:r w:rsidR="0006153E">
        <w:t xml:space="preserve"> </w:t>
      </w:r>
      <w:r w:rsidR="00625059" w:rsidRPr="004C46F9">
        <w:t>PBS e</w:t>
      </w:r>
      <w:r w:rsidR="00BA791A" w:rsidRPr="004C46F9">
        <w:t>xpe</w:t>
      </w:r>
      <w:r w:rsidR="0006153E">
        <w:t>nditure per </w:t>
      </w:r>
      <w:r w:rsidR="00BA791A" w:rsidRPr="0087773B">
        <w:t xml:space="preserve">person </w:t>
      </w:r>
      <w:r w:rsidR="00625059" w:rsidRPr="0087773B">
        <w:t>was</w:t>
      </w:r>
      <w:r w:rsidR="004F2F10">
        <w:t xml:space="preserve"> highest in inner regional areas and lowest in remote/very remote areas</w:t>
      </w:r>
      <w:r w:rsidR="00332A2C">
        <w:t xml:space="preserve"> (</w:t>
      </w:r>
      <w:r w:rsidR="00897589">
        <w:t>figure 10.</w:t>
      </w:r>
      <w:r w:rsidR="00EF34EA">
        <w:t>6</w:t>
      </w:r>
      <w:r w:rsidR="00332A2C">
        <w:t>)</w:t>
      </w:r>
      <w:r w:rsidR="005610F6">
        <w:t>.</w:t>
      </w:r>
    </w:p>
    <w:p w:rsidR="001264A6" w:rsidRDefault="001264A6" w:rsidP="0067713D">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1264A6" w:rsidTr="0067713D">
        <w:tc>
          <w:tcPr>
            <w:tcW w:w="8771" w:type="dxa"/>
            <w:tcBorders>
              <w:top w:val="single" w:sz="6" w:space="0" w:color="78A22F"/>
              <w:left w:val="nil"/>
              <w:bottom w:val="nil"/>
              <w:right w:val="nil"/>
            </w:tcBorders>
            <w:shd w:val="clear" w:color="auto" w:fill="auto"/>
          </w:tcPr>
          <w:p w:rsidR="001264A6" w:rsidRPr="00176D3F" w:rsidRDefault="001264A6" w:rsidP="00E30D08">
            <w:pPr>
              <w:pStyle w:val="FigureTitle"/>
            </w:pPr>
            <w:r w:rsidRPr="00784A05">
              <w:rPr>
                <w:b w:val="0"/>
              </w:rPr>
              <w:t xml:space="preserve">Figure </w:t>
            </w:r>
            <w:r w:rsidR="00DF255F">
              <w:rPr>
                <w:b w:val="0"/>
              </w:rPr>
              <w:t>10.</w:t>
            </w:r>
            <w:r w:rsidR="0078724D">
              <w:rPr>
                <w:b w:val="0"/>
                <w:noProof/>
              </w:rPr>
              <w:t>6</w:t>
            </w:r>
            <w:r>
              <w:tab/>
            </w:r>
            <w:r w:rsidRPr="0087773B">
              <w:t>PBS expenditure per person</w:t>
            </w:r>
            <w:r w:rsidR="002A583C">
              <w:t xml:space="preserve"> (</w:t>
            </w:r>
            <w:r w:rsidR="005820B4">
              <w:t>2013</w:t>
            </w:r>
            <w:r w:rsidR="005820B4">
              <w:noBreakHyphen/>
            </w:r>
            <w:r w:rsidR="002A583C" w:rsidRPr="002A583C">
              <w:t>14 dollars)</w:t>
            </w:r>
            <w:r w:rsidRPr="0087773B">
              <w:rPr>
                <w:rStyle w:val="NoteLabel"/>
                <w:b/>
              </w:rPr>
              <w:t>a</w:t>
            </w:r>
            <w:r>
              <w:rPr>
                <w:rStyle w:val="NoteLabel"/>
                <w:b/>
              </w:rPr>
              <w:t xml:space="preserve">, b, </w:t>
            </w:r>
            <w:r w:rsidR="00364183">
              <w:rPr>
                <w:rStyle w:val="NoteLabel"/>
                <w:b/>
              </w:rPr>
              <w:t>c, d</w:t>
            </w:r>
          </w:p>
        </w:tc>
      </w:tr>
      <w:tr w:rsidR="001264A6" w:rsidTr="0067713D">
        <w:tc>
          <w:tcPr>
            <w:tcW w:w="8771" w:type="dxa"/>
            <w:tcBorders>
              <w:top w:val="nil"/>
              <w:left w:val="nil"/>
              <w:bottom w:val="nil"/>
              <w:right w:val="nil"/>
            </w:tcBorders>
            <w:shd w:val="clear" w:color="auto" w:fill="auto"/>
            <w:tcMar>
              <w:top w:w="28" w:type="dxa"/>
              <w:bottom w:w="28" w:type="dxa"/>
            </w:tcMar>
          </w:tcPr>
          <w:tbl>
            <w:tblPr>
              <w:tblW w:w="8625" w:type="dxa"/>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625"/>
            </w:tblGrid>
            <w:tr w:rsidR="001264A6" w:rsidTr="002A583C">
              <w:tc>
                <w:tcPr>
                  <w:tcW w:w="5000" w:type="pct"/>
                  <w:tcBorders>
                    <w:top w:val="nil"/>
                    <w:bottom w:val="nil"/>
                  </w:tcBorders>
                </w:tcPr>
                <w:p w:rsidR="001264A6" w:rsidRDefault="00583B5D" w:rsidP="0067713D">
                  <w:pPr>
                    <w:pStyle w:val="Figure"/>
                    <w:spacing w:before="60" w:after="60"/>
                  </w:pPr>
                  <w:r>
                    <w:rPr>
                      <w:noProof/>
                    </w:rPr>
                    <w:drawing>
                      <wp:inline distT="0" distB="0" distL="0" distR="0">
                        <wp:extent cx="5400675" cy="2886075"/>
                        <wp:effectExtent l="0" t="0" r="9525" b="9525"/>
                        <wp:docPr id="9" name="Picture 9" descr="Figure 10.6 PBS expenditure per person (2013-14 dollars)&#10;&#10;More details can be found within the text surrounding this image.&#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400675" cy="2886075"/>
                                </a:xfrm>
                                <a:prstGeom prst="rect">
                                  <a:avLst/>
                                </a:prstGeom>
                                <a:noFill/>
                                <a:ln>
                                  <a:noFill/>
                                </a:ln>
                              </pic:spPr>
                            </pic:pic>
                          </a:graphicData>
                        </a:graphic>
                      </wp:inline>
                    </w:drawing>
                  </w:r>
                </w:p>
              </w:tc>
            </w:tr>
          </w:tbl>
          <w:p w:rsidR="001264A6" w:rsidRDefault="001264A6" w:rsidP="0067713D">
            <w:pPr>
              <w:pStyle w:val="Figure"/>
            </w:pPr>
          </w:p>
        </w:tc>
      </w:tr>
      <w:tr w:rsidR="001264A6" w:rsidRPr="00176D3F" w:rsidTr="0067713D">
        <w:tc>
          <w:tcPr>
            <w:tcW w:w="8771" w:type="dxa"/>
            <w:tcBorders>
              <w:top w:val="nil"/>
              <w:left w:val="nil"/>
              <w:bottom w:val="nil"/>
              <w:right w:val="nil"/>
            </w:tcBorders>
            <w:shd w:val="clear" w:color="auto" w:fill="auto"/>
          </w:tcPr>
          <w:p w:rsidR="001264A6" w:rsidRPr="00176D3F" w:rsidRDefault="001264A6" w:rsidP="002A583C">
            <w:pPr>
              <w:pStyle w:val="Note"/>
            </w:pPr>
            <w:r w:rsidRPr="00880A6F">
              <w:rPr>
                <w:rStyle w:val="NoteLabel"/>
              </w:rPr>
              <w:t>a</w:t>
            </w:r>
            <w:r w:rsidRPr="00880A6F">
              <w:sym w:font="Symbol" w:char="F020"/>
            </w:r>
            <w:r w:rsidR="00364183" w:rsidRPr="000B595D">
              <w:t>Time series financial data are adjusted to 201</w:t>
            </w:r>
            <w:r w:rsidR="00364183">
              <w:t>3</w:t>
            </w:r>
            <w:r w:rsidR="00364183" w:rsidRPr="000B595D">
              <w:t>-1</w:t>
            </w:r>
            <w:r w:rsidR="00364183">
              <w:t>4</w:t>
            </w:r>
            <w:r w:rsidR="00364183" w:rsidRPr="000B595D">
              <w:t xml:space="preserve"> dollars using the </w:t>
            </w:r>
            <w:r w:rsidR="00364183">
              <w:t>General Government Final Consumption E</w:t>
            </w:r>
            <w:r w:rsidR="00364183" w:rsidRPr="000B595D">
              <w:t>xpenditure (GGFCE) chain price deflator (201</w:t>
            </w:r>
            <w:r w:rsidR="00364183">
              <w:t>3</w:t>
            </w:r>
            <w:r w:rsidR="00364183" w:rsidRPr="000B595D">
              <w:t>-1</w:t>
            </w:r>
            <w:r w:rsidR="00364183">
              <w:t>4</w:t>
            </w:r>
            <w:r w:rsidR="00364183" w:rsidRPr="000B595D">
              <w:t xml:space="preserve"> = 100) (table 2A.51). See Chapter 2 (section</w:t>
            </w:r>
            <w:r w:rsidR="00364183">
              <w:t>s</w:t>
            </w:r>
            <w:r w:rsidR="00364183" w:rsidRPr="000B595D">
              <w:t> 2.5</w:t>
            </w:r>
            <w:r w:rsidR="00364183">
              <w:t>-6</w:t>
            </w:r>
            <w:r w:rsidR="00364183" w:rsidRPr="000B595D">
              <w:t>) for details</w:t>
            </w:r>
            <w:r w:rsidR="00364183">
              <w:t xml:space="preserve">. </w:t>
            </w:r>
            <w:r w:rsidR="00364183">
              <w:rPr>
                <w:rStyle w:val="NoteLabel"/>
              </w:rPr>
              <w:t>b</w:t>
            </w:r>
            <w:r w:rsidR="00364183" w:rsidRPr="00880A6F">
              <w:sym w:font="Symbol" w:char="F020"/>
            </w:r>
            <w:r w:rsidRPr="006C1E01">
              <w:t>Geographical locations are based on the</w:t>
            </w:r>
            <w:r>
              <w:t xml:space="preserve"> </w:t>
            </w:r>
            <w:r w:rsidRPr="00757E81">
              <w:t xml:space="preserve">Australian Statistical Geography Standard </w:t>
            </w:r>
            <w:r w:rsidRPr="0001008A">
              <w:t xml:space="preserve">2011 (ASGS) </w:t>
            </w:r>
            <w:r w:rsidRPr="006C1E01">
              <w:t>classification</w:t>
            </w:r>
            <w:r>
              <w:t xml:space="preserve"> and are not comparable with data for previous years which were based on a different classification. </w:t>
            </w:r>
            <w:r w:rsidR="00364183">
              <w:rPr>
                <w:rStyle w:val="NoteLabel"/>
              </w:rPr>
              <w:t>c</w:t>
            </w:r>
            <w:r w:rsidRPr="00880A6F">
              <w:sym w:font="Symbol" w:char="F020"/>
            </w:r>
            <w:r>
              <w:t xml:space="preserve">Rates </w:t>
            </w:r>
            <w:r w:rsidRPr="00FD2336">
              <w:t xml:space="preserve">are derived using ABS </w:t>
            </w:r>
            <w:r w:rsidR="00F67B2F" w:rsidRPr="00FD2336">
              <w:t xml:space="preserve">2011 Census based </w:t>
            </w:r>
            <w:r w:rsidRPr="00FD2336">
              <w:t>ERP</w:t>
            </w:r>
            <w:r w:rsidR="00F67B2F" w:rsidRPr="00FD2336">
              <w:t>s</w:t>
            </w:r>
            <w:r w:rsidRPr="00FD2336">
              <w:t xml:space="preserve"> for 30 June and are not comparable with rates in </w:t>
            </w:r>
            <w:r w:rsidR="00897589" w:rsidRPr="00FD2336">
              <w:t>figure 10.</w:t>
            </w:r>
            <w:r w:rsidRPr="00FD2336">
              <w:t xml:space="preserve">1 </w:t>
            </w:r>
            <w:r w:rsidR="00F67B2F" w:rsidRPr="00FD2336">
              <w:t>which</w:t>
            </w:r>
            <w:r w:rsidRPr="00FD2336">
              <w:t xml:space="preserve"> are derived using </w:t>
            </w:r>
            <w:r w:rsidR="00F67B2F" w:rsidRPr="00FD2336">
              <w:t>31 December ERPs</w:t>
            </w:r>
            <w:r w:rsidRPr="00FD2336">
              <w:t xml:space="preserve">. </w:t>
            </w:r>
            <w:r w:rsidR="00364183" w:rsidRPr="00FD2336">
              <w:rPr>
                <w:rStyle w:val="NoteLabel"/>
              </w:rPr>
              <w:t>d</w:t>
            </w:r>
            <w:r w:rsidRPr="00FD2336">
              <w:sym w:font="Symbol" w:char="F020"/>
            </w:r>
            <w:r w:rsidRPr="00FD2336">
              <w:t>Locality level data are only available on a cash basis for general and concessional categories. Data are not</w:t>
            </w:r>
            <w:r w:rsidRPr="00880A6F">
              <w:t xml:space="preserve"> directly comparable to those published in </w:t>
            </w:r>
            <w:r>
              <w:t>the Department of Health</w:t>
            </w:r>
            <w:r w:rsidRPr="00880A6F">
              <w:t xml:space="preserve">’s annual report which are prepared on an accrual accounting basis and include other categories administered under special arrangements (such as </w:t>
            </w:r>
            <w:r w:rsidRPr="00CA1E84">
              <w:t xml:space="preserve">medications dispensed to remote and very remote areas under s.100 of the </w:t>
            </w:r>
            <w:r w:rsidRPr="00CA1E84">
              <w:rPr>
                <w:i/>
              </w:rPr>
              <w:t>National Health Act 1953</w:t>
            </w:r>
            <w:r w:rsidRPr="00CA1E84">
              <w:t xml:space="preserve"> [Cwlth</w:t>
            </w:r>
            <w:r w:rsidRPr="004D42BF">
              <w:t>] — costing $3</w:t>
            </w:r>
            <w:r w:rsidR="002A583C">
              <w:t>8</w:t>
            </w:r>
            <w:r w:rsidRPr="004D42BF">
              <w:t>.</w:t>
            </w:r>
            <w:r w:rsidR="002A583C">
              <w:t>5</w:t>
            </w:r>
            <w:r w:rsidRPr="004D42BF">
              <w:t xml:space="preserve"> million in 201</w:t>
            </w:r>
            <w:r w:rsidR="002A583C">
              <w:t>3</w:t>
            </w:r>
            <w:r w:rsidRPr="004D42BF">
              <w:t>-1</w:t>
            </w:r>
            <w:r w:rsidR="002A583C">
              <w:t>4</w:t>
            </w:r>
            <w:r w:rsidRPr="004D42BF">
              <w:t xml:space="preserve"> [table </w:t>
            </w:r>
            <w:r w:rsidR="00C9076B">
              <w:t>10A.</w:t>
            </w:r>
            <w:r w:rsidRPr="004D42BF">
              <w:t>6])</w:t>
            </w:r>
            <w:r w:rsidRPr="00880A6F">
              <w:t>.</w:t>
            </w:r>
          </w:p>
        </w:tc>
      </w:tr>
      <w:tr w:rsidR="001264A6" w:rsidRPr="00176D3F" w:rsidTr="0067713D">
        <w:tc>
          <w:tcPr>
            <w:tcW w:w="8771" w:type="dxa"/>
            <w:tcBorders>
              <w:top w:val="nil"/>
              <w:left w:val="nil"/>
              <w:bottom w:val="nil"/>
              <w:right w:val="nil"/>
            </w:tcBorders>
            <w:shd w:val="clear" w:color="auto" w:fill="auto"/>
          </w:tcPr>
          <w:p w:rsidR="001264A6" w:rsidRPr="001264A6" w:rsidRDefault="001264A6" w:rsidP="00EC1149">
            <w:pPr>
              <w:pStyle w:val="Source"/>
              <w:rPr>
                <w:shd w:val="clear" w:color="auto" w:fill="00FFFF"/>
              </w:rPr>
            </w:pPr>
            <w:r w:rsidRPr="00880A6F">
              <w:rPr>
                <w:i/>
              </w:rPr>
              <w:t>Source</w:t>
            </w:r>
            <w:r w:rsidRPr="00880A6F">
              <w:t xml:space="preserve">: </w:t>
            </w:r>
            <w:r>
              <w:t>Department of Health</w:t>
            </w:r>
            <w:r w:rsidRPr="00880A6F">
              <w:t xml:space="preserve"> (unpublished) PBS Statistics; table </w:t>
            </w:r>
            <w:r w:rsidR="00C9076B">
              <w:t>10A.</w:t>
            </w:r>
            <w:r>
              <w:t>2</w:t>
            </w:r>
            <w:r w:rsidR="00EC1149">
              <w:t>1</w:t>
            </w:r>
            <w:r w:rsidRPr="00880A6F">
              <w:t>.</w:t>
            </w:r>
          </w:p>
        </w:tc>
      </w:tr>
      <w:tr w:rsidR="001264A6" w:rsidTr="0067713D">
        <w:tc>
          <w:tcPr>
            <w:tcW w:w="8771" w:type="dxa"/>
            <w:tcBorders>
              <w:top w:val="nil"/>
              <w:left w:val="nil"/>
              <w:bottom w:val="single" w:sz="6" w:space="0" w:color="78A22F"/>
              <w:right w:val="nil"/>
            </w:tcBorders>
            <w:shd w:val="clear" w:color="auto" w:fill="auto"/>
          </w:tcPr>
          <w:p w:rsidR="001264A6" w:rsidRDefault="001264A6" w:rsidP="0067713D">
            <w:pPr>
              <w:pStyle w:val="Figurespace"/>
            </w:pPr>
          </w:p>
        </w:tc>
      </w:tr>
      <w:tr w:rsidR="001264A6" w:rsidRPr="000863A5" w:rsidTr="0067713D">
        <w:tc>
          <w:tcPr>
            <w:tcW w:w="8771" w:type="dxa"/>
            <w:tcBorders>
              <w:top w:val="single" w:sz="6" w:space="0" w:color="78A22F"/>
              <w:left w:val="nil"/>
              <w:bottom w:val="nil"/>
              <w:right w:val="nil"/>
            </w:tcBorders>
          </w:tcPr>
          <w:p w:rsidR="001264A6" w:rsidRPr="00626D32" w:rsidRDefault="001264A6" w:rsidP="0067713D">
            <w:pPr>
              <w:pStyle w:val="BoxSpaceBelow"/>
            </w:pPr>
          </w:p>
        </w:tc>
      </w:tr>
    </w:tbl>
    <w:p w:rsidR="00BA791A" w:rsidRDefault="00BA791A" w:rsidP="006A75CD">
      <w:pPr>
        <w:pStyle w:val="BodyText"/>
      </w:pPr>
      <w:r w:rsidRPr="00BA791A">
        <w:t xml:space="preserve">The proportion of PBS prescriptions filled at a concessional rate is reported by </w:t>
      </w:r>
      <w:r w:rsidR="005A7E5E">
        <w:br/>
      </w:r>
      <w:r w:rsidRPr="00BA791A">
        <w:t xml:space="preserve">State </w:t>
      </w:r>
      <w:r w:rsidRPr="00C507CD">
        <w:t>and Territory in ta</w:t>
      </w:r>
      <w:r w:rsidR="005842D6" w:rsidRPr="00C507CD">
        <w:t>ble </w:t>
      </w:r>
      <w:r w:rsidR="00C9076B">
        <w:t>10A.</w:t>
      </w:r>
      <w:r w:rsidR="002D6480">
        <w:t>1</w:t>
      </w:r>
      <w:r w:rsidR="00FF7EFE">
        <w:t>1</w:t>
      </w:r>
      <w:r w:rsidR="00E0574F" w:rsidRPr="00C507CD">
        <w:t>.</w:t>
      </w:r>
      <w:r w:rsidR="005842D6" w:rsidRPr="00C507CD">
        <w:t xml:space="preserve"> </w:t>
      </w:r>
      <w:r w:rsidR="006B1D30" w:rsidRPr="00C507CD">
        <w:t xml:space="preserve">These data are not available by regional </w:t>
      </w:r>
      <w:r w:rsidR="005A7E5E">
        <w:br/>
      </w:r>
      <w:r w:rsidR="006B1D30" w:rsidRPr="00C507CD">
        <w:t>location.</w:t>
      </w:r>
      <w:r w:rsidR="006B1D30">
        <w:t xml:space="preserve"> </w:t>
      </w:r>
      <w:r w:rsidR="00DD5291" w:rsidRPr="00C507CD">
        <w:t>Nationally</w:t>
      </w:r>
      <w:r w:rsidR="001D4F6A">
        <w:t>,</w:t>
      </w:r>
      <w:r w:rsidR="008756A4">
        <w:t xml:space="preserve"> 89</w:t>
      </w:r>
      <w:r w:rsidR="00960926">
        <w:t>.</w:t>
      </w:r>
      <w:r w:rsidR="008756A4">
        <w:t>3</w:t>
      </w:r>
      <w:r w:rsidRPr="00C507CD">
        <w:t> per cent of prescriptions subsidised under the PBS were concessional in</w:t>
      </w:r>
      <w:r w:rsidR="00960926">
        <w:t xml:space="preserve"> 201</w:t>
      </w:r>
      <w:r w:rsidR="008756A4">
        <w:t>3</w:t>
      </w:r>
      <w:r w:rsidR="00960926">
        <w:t>-1</w:t>
      </w:r>
      <w:r w:rsidR="008756A4">
        <w:t>4</w:t>
      </w:r>
      <w:r w:rsidRPr="00C507CD">
        <w:t>.</w:t>
      </w:r>
    </w:p>
    <w:p w:rsidR="00BA791A" w:rsidRPr="00E52E8A" w:rsidRDefault="00BA6FA6" w:rsidP="00E52E8A">
      <w:pPr>
        <w:pStyle w:val="Heading5"/>
        <w:rPr>
          <w:rStyle w:val="DraftingNote"/>
          <w:b w:val="0"/>
          <w:color w:val="auto"/>
          <w:sz w:val="22"/>
          <w:u w:val="none"/>
        </w:rPr>
      </w:pPr>
      <w:r>
        <w:t>Equity of access to GPs</w:t>
      </w:r>
    </w:p>
    <w:p w:rsidR="000A46E1" w:rsidRDefault="00906143" w:rsidP="007C33EB">
      <w:pPr>
        <w:pStyle w:val="BodyText"/>
      </w:pPr>
      <w:r>
        <w:t>‘</w:t>
      </w:r>
      <w:r w:rsidR="007C33EB" w:rsidRPr="007C33EB">
        <w:t>Equity of access to GPs</w:t>
      </w:r>
      <w:r w:rsidR="007C33EB">
        <w:t xml:space="preserve">’ </w:t>
      </w:r>
      <w:r>
        <w:t xml:space="preserve">is an indicator of governments’ objective to provide equitable access to primary healthcare </w:t>
      </w:r>
      <w:r w:rsidR="00FB52E6">
        <w:t xml:space="preserve">services </w:t>
      </w:r>
      <w:r>
        <w:t>(</w:t>
      </w:r>
      <w:r w:rsidR="00897589">
        <w:t>box 10.</w:t>
      </w:r>
      <w:r w:rsidR="00445562" w:rsidRPr="00046121">
        <w:t>3</w:t>
      </w:r>
      <w:r w:rsidR="007B6324" w:rsidRPr="00046121">
        <w:t>)</w:t>
      </w:r>
      <w:r w:rsidR="007B6324">
        <w:t>.</w:t>
      </w:r>
    </w:p>
    <w:p w:rsidR="00E8358F" w:rsidRDefault="00E8358F">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8358F" w:rsidTr="00867BB6">
        <w:tc>
          <w:tcPr>
            <w:tcW w:w="8771" w:type="dxa"/>
            <w:tcBorders>
              <w:top w:val="single" w:sz="6" w:space="0" w:color="78A22F"/>
              <w:left w:val="nil"/>
              <w:bottom w:val="nil"/>
              <w:right w:val="nil"/>
            </w:tcBorders>
            <w:shd w:val="clear" w:color="auto" w:fill="F2F2F2" w:themeFill="background1" w:themeFillShade="F2"/>
          </w:tcPr>
          <w:p w:rsidR="00E8358F" w:rsidRDefault="00E8358F">
            <w:pPr>
              <w:pStyle w:val="BoxTitle"/>
            </w:pPr>
            <w:r>
              <w:rPr>
                <w:b w:val="0"/>
              </w:rPr>
              <w:t>Box 10.</w:t>
            </w:r>
            <w:r w:rsidR="0078724D">
              <w:rPr>
                <w:b w:val="0"/>
                <w:noProof/>
              </w:rPr>
              <w:t>3</w:t>
            </w:r>
            <w:r>
              <w:tab/>
            </w:r>
            <w:r w:rsidRPr="007C33EB">
              <w:t>Equity of access to GPs</w:t>
            </w:r>
          </w:p>
        </w:tc>
      </w:tr>
      <w:tr w:rsidR="00E8358F" w:rsidTr="00867BB6">
        <w:trPr>
          <w:cantSplit/>
        </w:trPr>
        <w:tc>
          <w:tcPr>
            <w:tcW w:w="8771" w:type="dxa"/>
            <w:tcBorders>
              <w:top w:val="nil"/>
              <w:left w:val="nil"/>
              <w:bottom w:val="nil"/>
              <w:right w:val="nil"/>
            </w:tcBorders>
            <w:shd w:val="clear" w:color="auto" w:fill="F2F2F2" w:themeFill="background1" w:themeFillShade="F2"/>
          </w:tcPr>
          <w:p w:rsidR="00E8358F" w:rsidRPr="00FF6AE2" w:rsidRDefault="00E8358F" w:rsidP="00867BB6">
            <w:pPr>
              <w:pStyle w:val="Box"/>
            </w:pPr>
            <w:r w:rsidRPr="00FF6AE2">
              <w:t>‘Equity of access to GPs’ is defined by two measures:</w:t>
            </w:r>
          </w:p>
          <w:p w:rsidR="00E8358F" w:rsidRDefault="00E8358F" w:rsidP="00867BB6">
            <w:pPr>
              <w:pStyle w:val="BoxListBullet"/>
            </w:pPr>
            <w:r w:rsidRPr="00FF6AE2">
              <w:t>availability of GPs by region, defined as the number of FWE GPs per 100 000 people, by region</w:t>
            </w:r>
          </w:p>
          <w:p w:rsidR="00E8358F" w:rsidRPr="00FF6AE2" w:rsidRDefault="00E8358F" w:rsidP="00867BB6">
            <w:pPr>
              <w:pStyle w:val="BoxListBullet"/>
            </w:pPr>
            <w:r w:rsidRPr="00FF6AE2">
              <w:t>availability of GPs</w:t>
            </w:r>
            <w:r w:rsidR="00A62F5B">
              <w:t xml:space="preserve"> by sex</w:t>
            </w:r>
            <w:r w:rsidRPr="00FF6AE2">
              <w:t xml:space="preserve">, defined </w:t>
            </w:r>
            <w:r w:rsidR="00A62F5B">
              <w:t>as the number of FWE GPs</w:t>
            </w:r>
            <w:r w:rsidRPr="00FF6AE2">
              <w:t xml:space="preserve"> per 100 000 </w:t>
            </w:r>
            <w:r w:rsidR="00A62F5B">
              <w:t>population, by sex</w:t>
            </w:r>
            <w:r w:rsidRPr="00FF6AE2">
              <w:t>.</w:t>
            </w:r>
          </w:p>
          <w:p w:rsidR="00E8358F" w:rsidRDefault="00E8358F" w:rsidP="00867BB6">
            <w:pPr>
              <w:pStyle w:val="Box"/>
            </w:pPr>
            <w:r w:rsidRPr="007639D2">
              <w:t>High or increasing availability of GPs can indicate improved access to GP services. Low availability of GPs by region can be associated with an increase in distance travelled and waiting times to see a GP, and increased difficulty in booking long consultations. Reduced competition for patients can also reduce bulk billing rates. State and Territory governments seek to influence the availability of GPs through incentives to recruit and retain GPs in rural and remote areas.</w:t>
            </w:r>
          </w:p>
          <w:p w:rsidR="00E8358F" w:rsidRDefault="00E8358F" w:rsidP="00867BB6">
            <w:pPr>
              <w:pStyle w:val="Box"/>
            </w:pPr>
            <w:r w:rsidRPr="00FF6AE2">
              <w:t xml:space="preserve">High or increasing availability of GPs </w:t>
            </w:r>
            <w:r w:rsidR="00C07708">
              <w:t xml:space="preserve">of each sex </w:t>
            </w:r>
            <w:r w:rsidRPr="00FF6AE2">
              <w:t xml:space="preserve">means it is more likely that patients who prefer to visit GPs </w:t>
            </w:r>
            <w:r w:rsidR="00C07708">
              <w:t xml:space="preserve">of their own sex for discussion of health matters and to receive primary care </w:t>
            </w:r>
            <w:r w:rsidRPr="00FF6AE2">
              <w:t xml:space="preserve">will have their preference met. Low availability of GPs </w:t>
            </w:r>
            <w:r w:rsidR="00C07708">
              <w:t xml:space="preserve">of each sex </w:t>
            </w:r>
            <w:r w:rsidRPr="00FF6AE2">
              <w:t xml:space="preserve">can be associated with increased waiting times to see a GP, for </w:t>
            </w:r>
            <w:r w:rsidR="00C07708">
              <w:t>patients</w:t>
            </w:r>
            <w:r w:rsidRPr="00FF6AE2">
              <w:t xml:space="preserve"> who </w:t>
            </w:r>
            <w:r w:rsidR="00C07708">
              <w:t>prefer to visit GPs of their own sex</w:t>
            </w:r>
            <w:r w:rsidRPr="00FF6AE2">
              <w:t>.</w:t>
            </w:r>
          </w:p>
          <w:p w:rsidR="00E8358F" w:rsidRPr="00FF6AE2" w:rsidRDefault="00E8358F" w:rsidP="00867BB6">
            <w:pPr>
              <w:pStyle w:val="Box"/>
            </w:pPr>
            <w:r w:rsidRPr="00FF6AE2">
              <w:t>This indicator does not provide information on whether people are accessing GP services or whether the services are appropriate for the needs of the people receiving them.</w:t>
            </w:r>
          </w:p>
          <w:p w:rsidR="00E8358F" w:rsidRPr="007639D2" w:rsidRDefault="00E8358F" w:rsidP="00867BB6">
            <w:pPr>
              <w:pStyle w:val="Box"/>
            </w:pPr>
            <w:r w:rsidRPr="007639D2">
              <w:t xml:space="preserve">Data reported for this </w:t>
            </w:r>
            <w:r>
              <w:t>indicator</w:t>
            </w:r>
            <w:r w:rsidRPr="007639D2">
              <w:t xml:space="preserve"> are:</w:t>
            </w:r>
          </w:p>
          <w:p w:rsidR="00E8358F" w:rsidRDefault="00E8358F" w:rsidP="00135ACC">
            <w:pPr>
              <w:pStyle w:val="BoxListBullet"/>
            </w:pPr>
            <w:r w:rsidRPr="003B6EB0">
              <w:t xml:space="preserve">comparable (subject to caveats) across jurisdictions </w:t>
            </w:r>
            <w:r w:rsidR="00D21418">
              <w:t xml:space="preserve">and over time </w:t>
            </w:r>
            <w:r w:rsidRPr="003B6EB0">
              <w:t xml:space="preserve">but </w:t>
            </w:r>
            <w:r w:rsidR="00135ACC">
              <w:t xml:space="preserve">a break in time series </w:t>
            </w:r>
            <w:r w:rsidR="00135ACC" w:rsidRPr="00135ACC">
              <w:t xml:space="preserve">means that data from 2012-13 are not comparable to data for previous years </w:t>
            </w:r>
            <w:r>
              <w:t>for the measure availability of GPs by region</w:t>
            </w:r>
          </w:p>
          <w:p w:rsidR="00E8358F" w:rsidRDefault="00E8358F" w:rsidP="00867BB6">
            <w:pPr>
              <w:pStyle w:val="BoxListBullet"/>
            </w:pPr>
            <w:r w:rsidRPr="007639D2">
              <w:t xml:space="preserve">comparable (subject to caveats) across jurisdictions </w:t>
            </w:r>
            <w:r>
              <w:t xml:space="preserve">and over time for the measure availability of GPs </w:t>
            </w:r>
            <w:r w:rsidR="00C07708">
              <w:t>by sex</w:t>
            </w:r>
          </w:p>
          <w:p w:rsidR="00E8358F" w:rsidRPr="00FF6AE2" w:rsidRDefault="00E8358F" w:rsidP="00867BB6">
            <w:pPr>
              <w:pStyle w:val="BoxListBullet"/>
            </w:pPr>
            <w:r w:rsidRPr="00815642">
              <w:t>complete (subject to caveats) for the current reporting period. All required 201</w:t>
            </w:r>
            <w:r w:rsidR="00C07708">
              <w:t>3</w:t>
            </w:r>
            <w:r w:rsidRPr="00815642">
              <w:t>-1</w:t>
            </w:r>
            <w:r w:rsidR="00C07708">
              <w:t>4</w:t>
            </w:r>
            <w:r w:rsidRPr="00815642">
              <w:t xml:space="preserve"> data are available for all jurisdictions.</w:t>
            </w:r>
          </w:p>
          <w:p w:rsidR="00E8358F" w:rsidRPr="00233EF9" w:rsidRDefault="00E8358F" w:rsidP="00C3426D">
            <w:pPr>
              <w:pStyle w:val="Box"/>
            </w:pPr>
            <w:r w:rsidRPr="0027351B">
              <w:t xml:space="preserve">Data quality information </w:t>
            </w:r>
            <w:r>
              <w:t>for this indicator</w:t>
            </w:r>
            <w:r w:rsidRPr="007D1BDA">
              <w:t xml:space="preserve"> is at </w:t>
            </w:r>
            <w:r w:rsidR="00786AB7">
              <w:t>www.pc.gov.au</w:t>
            </w:r>
            <w:r w:rsidRPr="00FF6AE2">
              <w:t>/rogs/201</w:t>
            </w:r>
            <w:r w:rsidR="00C3426D">
              <w:t>5</w:t>
            </w:r>
            <w:r w:rsidRPr="00FF6AE2">
              <w:t>.</w:t>
            </w:r>
          </w:p>
        </w:tc>
      </w:tr>
      <w:tr w:rsidR="00E8358F" w:rsidTr="00867BB6">
        <w:trPr>
          <w:cantSplit/>
        </w:trPr>
        <w:tc>
          <w:tcPr>
            <w:tcW w:w="8771" w:type="dxa"/>
            <w:tcBorders>
              <w:top w:val="nil"/>
              <w:left w:val="nil"/>
              <w:bottom w:val="single" w:sz="6" w:space="0" w:color="78A22F"/>
              <w:right w:val="nil"/>
            </w:tcBorders>
            <w:shd w:val="clear" w:color="auto" w:fill="F2F2F2" w:themeFill="background1" w:themeFillShade="F2"/>
          </w:tcPr>
          <w:p w:rsidR="00E8358F" w:rsidRDefault="00E8358F">
            <w:pPr>
              <w:pStyle w:val="Box"/>
              <w:spacing w:before="0" w:line="120" w:lineRule="exact"/>
            </w:pPr>
          </w:p>
        </w:tc>
      </w:tr>
      <w:tr w:rsidR="00E8358F" w:rsidRPr="000863A5" w:rsidTr="00867BB6">
        <w:tc>
          <w:tcPr>
            <w:tcW w:w="8771" w:type="dxa"/>
            <w:tcBorders>
              <w:top w:val="single" w:sz="6" w:space="0" w:color="78A22F"/>
              <w:left w:val="nil"/>
              <w:bottom w:val="nil"/>
              <w:right w:val="nil"/>
            </w:tcBorders>
          </w:tcPr>
          <w:p w:rsidR="00E8358F" w:rsidRPr="00626D32" w:rsidRDefault="00E8358F" w:rsidP="00867BB6">
            <w:pPr>
              <w:pStyle w:val="BoxSpaceBelow"/>
            </w:pPr>
          </w:p>
        </w:tc>
      </w:tr>
    </w:tbl>
    <w:p w:rsidR="00866BB0" w:rsidRDefault="00A62F5B" w:rsidP="00866BB0">
      <w:pPr>
        <w:pStyle w:val="Heading5"/>
      </w:pPr>
      <w:r>
        <w:t>A</w:t>
      </w:r>
      <w:r w:rsidR="00866BB0" w:rsidRPr="00866BB0">
        <w:t>vailability of GPs by region</w:t>
      </w:r>
    </w:p>
    <w:p w:rsidR="00B464B6" w:rsidRPr="00944E91" w:rsidRDefault="00467893" w:rsidP="00944E91">
      <w:pPr>
        <w:pStyle w:val="BodyText"/>
      </w:pPr>
      <w:r w:rsidRPr="00B13F6E">
        <w:t xml:space="preserve">In terms of FWE GPs per 100 000 people, </w:t>
      </w:r>
      <w:r w:rsidR="00BA0768" w:rsidRPr="00B13F6E">
        <w:t xml:space="preserve">there </w:t>
      </w:r>
      <w:r w:rsidR="00BA0768" w:rsidRPr="00252963">
        <w:t xml:space="preserve">were more GPs available in </w:t>
      </w:r>
      <w:r w:rsidR="00252963" w:rsidRPr="00252963">
        <w:t xml:space="preserve">major cities and inner regional areas than in outer </w:t>
      </w:r>
      <w:r w:rsidR="00252963" w:rsidRPr="006E297C">
        <w:t xml:space="preserve">regional, remote and very remote areas in </w:t>
      </w:r>
      <w:r w:rsidR="001B79CE">
        <w:t>most</w:t>
      </w:r>
      <w:r w:rsidR="00252963" w:rsidRPr="006E297C">
        <w:t xml:space="preserve"> jurisdictions in 201</w:t>
      </w:r>
      <w:r w:rsidR="001B79CE">
        <w:t>3</w:t>
      </w:r>
      <w:r w:rsidR="00252963" w:rsidRPr="006E297C">
        <w:t>-1</w:t>
      </w:r>
      <w:r w:rsidR="001B79CE">
        <w:t>4</w:t>
      </w:r>
      <w:r w:rsidR="00DD585A" w:rsidRPr="006E297C">
        <w:t xml:space="preserve"> </w:t>
      </w:r>
      <w:r w:rsidRPr="006E297C">
        <w:t>(</w:t>
      </w:r>
      <w:r w:rsidR="00C133AC">
        <w:t>figure </w:t>
      </w:r>
      <w:r w:rsidR="00897589">
        <w:t>10.</w:t>
      </w:r>
      <w:r w:rsidR="008149C0">
        <w:t>7</w:t>
      </w:r>
      <w:r w:rsidRPr="006E297C">
        <w:t>). The bulk billed proportion of non</w:t>
      </w:r>
      <w:r w:rsidR="00E115F2" w:rsidRPr="006E297C">
        <w:noBreakHyphen/>
      </w:r>
      <w:r w:rsidRPr="006E297C">
        <w:t xml:space="preserve">referred attendances was </w:t>
      </w:r>
      <w:r w:rsidR="006E297C" w:rsidRPr="006E297C">
        <w:t xml:space="preserve">higher </w:t>
      </w:r>
      <w:r w:rsidR="00AF3B10" w:rsidRPr="006E297C">
        <w:t xml:space="preserve">in very remote areas than in </w:t>
      </w:r>
      <w:r w:rsidR="006E297C" w:rsidRPr="006E297C">
        <w:t xml:space="preserve">major cities, </w:t>
      </w:r>
      <w:r w:rsidR="006E297C">
        <w:t xml:space="preserve">where the proportion was in turn </w:t>
      </w:r>
      <w:r w:rsidR="006E297C" w:rsidRPr="006E297C">
        <w:t xml:space="preserve">higher than in </w:t>
      </w:r>
      <w:r w:rsidR="00AF3B10" w:rsidRPr="006E297C">
        <w:t xml:space="preserve">inner regional, </w:t>
      </w:r>
      <w:r w:rsidR="006E297C" w:rsidRPr="006E297C">
        <w:t>outer regional and remote areas</w:t>
      </w:r>
      <w:r w:rsidR="003544C1" w:rsidRPr="00467893">
        <w:t xml:space="preserve"> </w:t>
      </w:r>
      <w:r w:rsidRPr="00DC093E">
        <w:t>(table </w:t>
      </w:r>
      <w:r w:rsidR="00C9076B">
        <w:t>10A.</w:t>
      </w:r>
      <w:r w:rsidR="003D1BEB">
        <w:t>3</w:t>
      </w:r>
      <w:r w:rsidR="000D3D85">
        <w:t>4</w:t>
      </w:r>
      <w:r w:rsidRPr="00DC093E">
        <w:t>).</w:t>
      </w:r>
    </w:p>
    <w:p w:rsidR="001264A6" w:rsidRDefault="001264A6" w:rsidP="0067713D">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1264A6" w:rsidTr="0067713D">
        <w:tc>
          <w:tcPr>
            <w:tcW w:w="8771" w:type="dxa"/>
            <w:tcBorders>
              <w:top w:val="single" w:sz="6" w:space="0" w:color="78A22F"/>
              <w:left w:val="nil"/>
              <w:bottom w:val="nil"/>
              <w:right w:val="nil"/>
            </w:tcBorders>
            <w:shd w:val="clear" w:color="auto" w:fill="auto"/>
          </w:tcPr>
          <w:p w:rsidR="001264A6" w:rsidRPr="00176D3F" w:rsidRDefault="001264A6" w:rsidP="0022693A">
            <w:pPr>
              <w:pStyle w:val="FigureTitle"/>
            </w:pPr>
            <w:r w:rsidRPr="00784A05">
              <w:rPr>
                <w:b w:val="0"/>
              </w:rPr>
              <w:t xml:space="preserve">Figure </w:t>
            </w:r>
            <w:r w:rsidR="0099390B">
              <w:rPr>
                <w:b w:val="0"/>
              </w:rPr>
              <w:t>10.</w:t>
            </w:r>
            <w:r w:rsidR="0078724D">
              <w:rPr>
                <w:b w:val="0"/>
                <w:noProof/>
              </w:rPr>
              <w:t>7</w:t>
            </w:r>
            <w:r>
              <w:tab/>
            </w:r>
            <w:r w:rsidRPr="001A634F">
              <w:t xml:space="preserve">Availability of GPs (full time workload </w:t>
            </w:r>
            <w:r w:rsidRPr="009C2892">
              <w:t>equivalent),</w:t>
            </w:r>
            <w:r w:rsidR="0022693A">
              <w:br/>
            </w:r>
            <w:r>
              <w:t>201</w:t>
            </w:r>
            <w:r w:rsidR="006A2E57">
              <w:t>3</w:t>
            </w:r>
            <w:r>
              <w:t>-1</w:t>
            </w:r>
            <w:r w:rsidR="006A2E57">
              <w:t>4</w:t>
            </w:r>
            <w:r w:rsidRPr="009C2892">
              <w:rPr>
                <w:rStyle w:val="NoteLabel"/>
                <w:b/>
              </w:rPr>
              <w:t>a, b, c</w:t>
            </w:r>
          </w:p>
        </w:tc>
      </w:tr>
      <w:tr w:rsidR="001264A6" w:rsidTr="0067713D">
        <w:tc>
          <w:tcPr>
            <w:tcW w:w="8771" w:type="dxa"/>
            <w:tcBorders>
              <w:top w:val="nil"/>
              <w:left w:val="nil"/>
              <w:bottom w:val="nil"/>
              <w:right w:val="nil"/>
            </w:tcBorders>
            <w:shd w:val="clear" w:color="auto" w:fill="auto"/>
            <w:tcMar>
              <w:top w:w="28" w:type="dxa"/>
              <w:bottom w:w="28" w:type="dxa"/>
            </w:tcMar>
          </w:tcPr>
          <w:tbl>
            <w:tblPr>
              <w:tblW w:w="8625" w:type="dxa"/>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625"/>
            </w:tblGrid>
            <w:tr w:rsidR="001264A6" w:rsidTr="00D429D9">
              <w:tc>
                <w:tcPr>
                  <w:tcW w:w="5000" w:type="pct"/>
                  <w:tcBorders>
                    <w:top w:val="nil"/>
                    <w:bottom w:val="nil"/>
                  </w:tcBorders>
                </w:tcPr>
                <w:p w:rsidR="001264A6" w:rsidRDefault="00583B5D" w:rsidP="0067713D">
                  <w:pPr>
                    <w:pStyle w:val="Figure"/>
                    <w:spacing w:before="60" w:after="60"/>
                  </w:pPr>
                  <w:r>
                    <w:rPr>
                      <w:noProof/>
                    </w:rPr>
                    <w:drawing>
                      <wp:inline distT="0" distB="0" distL="0" distR="0">
                        <wp:extent cx="5391150" cy="2867025"/>
                        <wp:effectExtent l="0" t="0" r="0" b="9525"/>
                        <wp:docPr id="10" name="Picture 10" descr="Figure 10.7 Availability of GPs (full time workload equivalent),&#10;2013-14&#10;&#10;More details can be found within the text surrounding this image.&#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391150" cy="2867025"/>
                                </a:xfrm>
                                <a:prstGeom prst="rect">
                                  <a:avLst/>
                                </a:prstGeom>
                                <a:noFill/>
                                <a:ln>
                                  <a:noFill/>
                                </a:ln>
                              </pic:spPr>
                            </pic:pic>
                          </a:graphicData>
                        </a:graphic>
                      </wp:inline>
                    </w:drawing>
                  </w:r>
                </w:p>
              </w:tc>
            </w:tr>
          </w:tbl>
          <w:p w:rsidR="001264A6" w:rsidRDefault="001264A6" w:rsidP="0067713D">
            <w:pPr>
              <w:pStyle w:val="Figure"/>
            </w:pPr>
          </w:p>
        </w:tc>
      </w:tr>
      <w:tr w:rsidR="001264A6" w:rsidRPr="00176D3F" w:rsidTr="0067713D">
        <w:tc>
          <w:tcPr>
            <w:tcW w:w="8771" w:type="dxa"/>
            <w:tcBorders>
              <w:top w:val="nil"/>
              <w:left w:val="nil"/>
              <w:bottom w:val="nil"/>
              <w:right w:val="nil"/>
            </w:tcBorders>
            <w:shd w:val="clear" w:color="auto" w:fill="auto"/>
          </w:tcPr>
          <w:p w:rsidR="001264A6" w:rsidRPr="00176D3F" w:rsidRDefault="001264A6" w:rsidP="0067713D">
            <w:pPr>
              <w:pStyle w:val="Note"/>
            </w:pPr>
            <w:r>
              <w:rPr>
                <w:rStyle w:val="NoteLabel"/>
              </w:rPr>
              <w:t>a</w:t>
            </w:r>
            <w:r>
              <w:sym w:font="Symbol" w:char="F020"/>
            </w:r>
            <w:r w:rsidRPr="006C1E01">
              <w:t>Geographical locations are based on the</w:t>
            </w:r>
            <w:r>
              <w:t xml:space="preserve"> </w:t>
            </w:r>
            <w:r w:rsidRPr="00757E81">
              <w:t xml:space="preserve">Australian Statistical Geography Standard </w:t>
            </w:r>
            <w:r w:rsidRPr="0001008A">
              <w:t xml:space="preserve">2011 (ASGS) </w:t>
            </w:r>
            <w:r w:rsidRPr="006C1E01">
              <w:t>classification</w:t>
            </w:r>
            <w:r>
              <w:t xml:space="preserve"> and are not comparable with data for previous years which were based on a different classification</w:t>
            </w:r>
            <w:r w:rsidRPr="006C1E01">
              <w:t xml:space="preserve">. </w:t>
            </w:r>
            <w:r w:rsidRPr="001A634F">
              <w:rPr>
                <w:rStyle w:val="NoteLabel"/>
              </w:rPr>
              <w:t>b</w:t>
            </w:r>
            <w:r w:rsidRPr="001A634F">
              <w:t xml:space="preserve"> FWE GP numbers include vocationally </w:t>
            </w:r>
            <w:r>
              <w:t>registered</w:t>
            </w:r>
            <w:r w:rsidRPr="001A634F">
              <w:t xml:space="preserve"> GPs and OMPs</w:t>
            </w:r>
            <w:r>
              <w:t xml:space="preserve"> </w:t>
            </w:r>
            <w:r w:rsidRPr="002561B7">
              <w:t xml:space="preserve">billing </w:t>
            </w:r>
            <w:r>
              <w:t xml:space="preserve">DHS </w:t>
            </w:r>
            <w:r w:rsidRPr="002561B7">
              <w:t>Medicare</w:t>
            </w:r>
            <w:r w:rsidRPr="001A634F">
              <w:t xml:space="preserve">, who are allocated to a jurisdiction based on the </w:t>
            </w:r>
            <w:r w:rsidRPr="00A0144A">
              <w:t xml:space="preserve">postcode of their major practice. </w:t>
            </w:r>
            <w:r w:rsidRPr="00A0144A">
              <w:rPr>
                <w:rStyle w:val="NoteLabel"/>
              </w:rPr>
              <w:t>c</w:t>
            </w:r>
            <w:r w:rsidRPr="00A0144A">
              <w:t xml:space="preserve"> </w:t>
            </w:r>
            <w:r w:rsidRPr="00757E81">
              <w:t>There are no major cities in Tasmania; no outer regional or remote areas in the ACT; no major cities</w:t>
            </w:r>
            <w:r>
              <w:t xml:space="preserve"> or</w:t>
            </w:r>
            <w:r w:rsidRPr="00757E81">
              <w:t xml:space="preserve"> inner regional </w:t>
            </w:r>
            <w:r>
              <w:t>areas</w:t>
            </w:r>
            <w:r w:rsidRPr="00757E81">
              <w:t xml:space="preserve"> in the NT</w:t>
            </w:r>
            <w:r>
              <w:t xml:space="preserve">. </w:t>
            </w:r>
            <w:r>
              <w:tab/>
              <w:t>For the ACT, major cities includes inner regional areas.</w:t>
            </w:r>
          </w:p>
        </w:tc>
      </w:tr>
      <w:tr w:rsidR="001264A6" w:rsidRPr="00176D3F" w:rsidTr="0067713D">
        <w:tc>
          <w:tcPr>
            <w:tcW w:w="8771" w:type="dxa"/>
            <w:tcBorders>
              <w:top w:val="nil"/>
              <w:left w:val="nil"/>
              <w:bottom w:val="nil"/>
              <w:right w:val="nil"/>
            </w:tcBorders>
            <w:shd w:val="clear" w:color="auto" w:fill="auto"/>
          </w:tcPr>
          <w:p w:rsidR="001264A6" w:rsidRPr="00176D3F" w:rsidRDefault="001264A6" w:rsidP="00EC1149">
            <w:pPr>
              <w:pStyle w:val="Source"/>
            </w:pPr>
            <w:r w:rsidRPr="00CA4857">
              <w:rPr>
                <w:i/>
              </w:rPr>
              <w:t>Source</w:t>
            </w:r>
            <w:r w:rsidRPr="00CA4857">
              <w:t xml:space="preserve">: </w:t>
            </w:r>
            <w:r>
              <w:t>Department of Health</w:t>
            </w:r>
            <w:r w:rsidRPr="00CA4857">
              <w:t xml:space="preserve"> (unpublished) MBS Statistics; table </w:t>
            </w:r>
            <w:r w:rsidR="00C9076B">
              <w:t>10A.</w:t>
            </w:r>
            <w:r>
              <w:t>2</w:t>
            </w:r>
            <w:r w:rsidR="00EC1149">
              <w:t>3</w:t>
            </w:r>
            <w:r w:rsidRPr="00CA4857">
              <w:t>.</w:t>
            </w:r>
          </w:p>
        </w:tc>
      </w:tr>
      <w:tr w:rsidR="001264A6" w:rsidTr="0067713D">
        <w:tc>
          <w:tcPr>
            <w:tcW w:w="8771" w:type="dxa"/>
            <w:tcBorders>
              <w:top w:val="nil"/>
              <w:left w:val="nil"/>
              <w:bottom w:val="single" w:sz="6" w:space="0" w:color="78A22F"/>
              <w:right w:val="nil"/>
            </w:tcBorders>
            <w:shd w:val="clear" w:color="auto" w:fill="auto"/>
          </w:tcPr>
          <w:p w:rsidR="001264A6" w:rsidRDefault="001264A6" w:rsidP="0067713D">
            <w:pPr>
              <w:pStyle w:val="Figurespace"/>
            </w:pPr>
          </w:p>
        </w:tc>
      </w:tr>
      <w:tr w:rsidR="001264A6" w:rsidRPr="000863A5" w:rsidTr="0067713D">
        <w:tc>
          <w:tcPr>
            <w:tcW w:w="8771" w:type="dxa"/>
            <w:tcBorders>
              <w:top w:val="single" w:sz="6" w:space="0" w:color="78A22F"/>
              <w:left w:val="nil"/>
              <w:bottom w:val="nil"/>
              <w:right w:val="nil"/>
            </w:tcBorders>
          </w:tcPr>
          <w:p w:rsidR="001264A6" w:rsidRPr="00626D32" w:rsidRDefault="001264A6" w:rsidP="0067713D">
            <w:pPr>
              <w:pStyle w:val="BoxSpaceBelow"/>
            </w:pPr>
          </w:p>
        </w:tc>
      </w:tr>
    </w:tbl>
    <w:p w:rsidR="00866BB0" w:rsidRDefault="00A62F5B" w:rsidP="00866BB0">
      <w:pPr>
        <w:pStyle w:val="Heading5"/>
      </w:pPr>
      <w:r>
        <w:t>A</w:t>
      </w:r>
      <w:r w:rsidR="00866BB0">
        <w:t>vailability of GPs</w:t>
      </w:r>
      <w:r>
        <w:t xml:space="preserve"> by sex</w:t>
      </w:r>
    </w:p>
    <w:p w:rsidR="00D2340F" w:rsidRDefault="001A634F" w:rsidP="00355A09">
      <w:pPr>
        <w:pStyle w:val="BodyText"/>
      </w:pPr>
      <w:r w:rsidRPr="00266C46">
        <w:t>In</w:t>
      </w:r>
      <w:r w:rsidR="00CA4F41">
        <w:t xml:space="preserve"> 2013</w:t>
      </w:r>
      <w:r w:rsidR="006D6F16">
        <w:t>-1</w:t>
      </w:r>
      <w:r w:rsidR="00CA4F41">
        <w:t>4, 43</w:t>
      </w:r>
      <w:r w:rsidR="006D6F16">
        <w:t>.</w:t>
      </w:r>
      <w:r w:rsidR="00CA4F41">
        <w:t>2</w:t>
      </w:r>
      <w:r w:rsidRPr="00266C46">
        <w:t xml:space="preserve"> per cent of Australia’s GPs </w:t>
      </w:r>
      <w:r w:rsidR="009F46AE" w:rsidRPr="00266C46">
        <w:t>—</w:t>
      </w:r>
      <w:r w:rsidR="005857E6">
        <w:t xml:space="preserve"> 3</w:t>
      </w:r>
      <w:r w:rsidR="00CA4F41">
        <w:t>3</w:t>
      </w:r>
      <w:r w:rsidR="005857E6">
        <w:t>.5</w:t>
      </w:r>
      <w:r w:rsidR="009F46AE" w:rsidRPr="00266C46">
        <w:t xml:space="preserve"> per cent of FWE GPs — </w:t>
      </w:r>
      <w:r w:rsidRPr="00266C46">
        <w:t>were</w:t>
      </w:r>
      <w:r w:rsidRPr="00A83187">
        <w:t xml:space="preserve"> </w:t>
      </w:r>
      <w:r w:rsidRPr="00266C46">
        <w:t xml:space="preserve">female (table </w:t>
      </w:r>
      <w:r w:rsidR="00C9076B">
        <w:t>10A.</w:t>
      </w:r>
      <w:r w:rsidR="00B464B6">
        <w:t>2</w:t>
      </w:r>
      <w:r w:rsidR="00F135CE">
        <w:t>5</w:t>
      </w:r>
      <w:r w:rsidRPr="00266C46">
        <w:t xml:space="preserve">). </w:t>
      </w:r>
      <w:r w:rsidR="009F46AE" w:rsidRPr="00266C46">
        <w:t xml:space="preserve">The number of FWE </w:t>
      </w:r>
      <w:r w:rsidR="006A42B2" w:rsidRPr="00266C46">
        <w:t xml:space="preserve">female </w:t>
      </w:r>
      <w:r w:rsidR="00744A92" w:rsidRPr="00266C46">
        <w:t>GPs per 100 </w:t>
      </w:r>
      <w:r w:rsidR="009F46AE" w:rsidRPr="00266C46">
        <w:t>000</w:t>
      </w:r>
      <w:r w:rsidR="00744A92" w:rsidRPr="00266C46">
        <w:t> </w:t>
      </w:r>
      <w:r w:rsidR="009F46AE" w:rsidRPr="00266C46">
        <w:t>females increased from</w:t>
      </w:r>
      <w:r w:rsidR="005857E6">
        <w:t xml:space="preserve"> </w:t>
      </w:r>
      <w:r w:rsidR="003A34A5">
        <w:br/>
      </w:r>
      <w:r w:rsidR="005857E6">
        <w:t>5</w:t>
      </w:r>
      <w:r w:rsidR="00CA4F41">
        <w:t>3</w:t>
      </w:r>
      <w:r w:rsidR="005857E6">
        <w:t>.</w:t>
      </w:r>
      <w:r w:rsidR="00CA4F41">
        <w:t>2</w:t>
      </w:r>
      <w:r w:rsidR="005857E6">
        <w:t xml:space="preserve"> to 6</w:t>
      </w:r>
      <w:r w:rsidR="00CA4F41">
        <w:t>6</w:t>
      </w:r>
      <w:r w:rsidR="005857E6">
        <w:t>.</w:t>
      </w:r>
      <w:r w:rsidR="00CA4F41">
        <w:t>3</w:t>
      </w:r>
      <w:r w:rsidR="009F46AE" w:rsidRPr="00266C46">
        <w:t xml:space="preserve"> in the period</w:t>
      </w:r>
      <w:r w:rsidR="005857E6">
        <w:t xml:space="preserve"> 200</w:t>
      </w:r>
      <w:r w:rsidR="00CA4F41">
        <w:t>9</w:t>
      </w:r>
      <w:r w:rsidR="005857E6">
        <w:t>-</w:t>
      </w:r>
      <w:r w:rsidR="00CA4F41">
        <w:t>1</w:t>
      </w:r>
      <w:r w:rsidR="005857E6">
        <w:t>0 to 201</w:t>
      </w:r>
      <w:r w:rsidR="00CA4F41">
        <w:t>3</w:t>
      </w:r>
      <w:r w:rsidR="005857E6">
        <w:t>-1</w:t>
      </w:r>
      <w:r w:rsidR="00CA4F41">
        <w:t>4</w:t>
      </w:r>
      <w:r w:rsidR="009F46AE" w:rsidRPr="00266C46">
        <w:t xml:space="preserve"> </w:t>
      </w:r>
      <w:r w:rsidRPr="00266C46">
        <w:t>(</w:t>
      </w:r>
      <w:r w:rsidR="00897589">
        <w:t>figure 10.</w:t>
      </w:r>
      <w:r w:rsidR="008149C0">
        <w:t>8</w:t>
      </w:r>
      <w:r w:rsidR="00E20F02">
        <w:t>).</w:t>
      </w:r>
      <w:r w:rsidR="006A42B2">
        <w:t xml:space="preserve"> </w:t>
      </w:r>
      <w:r w:rsidR="00E2340F">
        <w:t>In the same period, t</w:t>
      </w:r>
      <w:r w:rsidR="006A42B2" w:rsidRPr="00266C46">
        <w:t xml:space="preserve">he number </w:t>
      </w:r>
      <w:r w:rsidR="003A34A5">
        <w:br/>
      </w:r>
      <w:r w:rsidR="006A42B2" w:rsidRPr="00266C46">
        <w:t>of FWE male GPs per 100 000 males</w:t>
      </w:r>
      <w:r w:rsidR="00E2340F" w:rsidRPr="00E2340F">
        <w:t xml:space="preserve"> </w:t>
      </w:r>
      <w:r w:rsidR="00E2340F" w:rsidRPr="00266C46">
        <w:t>increased from</w:t>
      </w:r>
      <w:r w:rsidR="00E2340F">
        <w:t xml:space="preserve"> 126.3 to 132.9</w:t>
      </w:r>
      <w:r w:rsidR="00E2340F" w:rsidRPr="00266C46">
        <w:t xml:space="preserve"> (</w:t>
      </w:r>
      <w:r w:rsidR="003A34A5" w:rsidRPr="00FF55D7">
        <w:t>figure </w:t>
      </w:r>
      <w:r w:rsidR="00E2340F" w:rsidRPr="00FF55D7">
        <w:t>10.8</w:t>
      </w:r>
      <w:r w:rsidR="00F135CE">
        <w:t>, table 10A.26</w:t>
      </w:r>
      <w:r w:rsidR="00E2340F">
        <w:t>).</w:t>
      </w:r>
      <w:r w:rsidR="00B85FE0">
        <w:t xml:space="preserve"> Data </w:t>
      </w:r>
      <w:r w:rsidR="009176F3">
        <w:t xml:space="preserve">for female GPs </w:t>
      </w:r>
      <w:r w:rsidR="00B85FE0">
        <w:t xml:space="preserve">are presented for </w:t>
      </w:r>
      <w:r w:rsidR="003A34A5">
        <w:t xml:space="preserve">a ten year time series in </w:t>
      </w:r>
      <w:r w:rsidR="00DA309A">
        <w:t>t</w:t>
      </w:r>
      <w:r w:rsidR="003A34A5">
        <w:t>able </w:t>
      </w:r>
      <w:r w:rsidR="00B85FE0">
        <w:t>10A.2</w:t>
      </w:r>
      <w:r w:rsidR="00DA309A">
        <w:t>5</w:t>
      </w:r>
      <w:r w:rsidR="00B85FE0">
        <w:t>.</w:t>
      </w:r>
    </w:p>
    <w:p w:rsidR="00D2340F" w:rsidRDefault="00D2340F" w:rsidP="00D2340F">
      <w:pPr>
        <w:pStyle w:val="BodyText"/>
      </w:pPr>
      <w:r>
        <w:br w:type="page"/>
      </w:r>
    </w:p>
    <w:p w:rsidR="001264A6" w:rsidRDefault="001264A6" w:rsidP="0067713D">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1264A6" w:rsidTr="0067713D">
        <w:tc>
          <w:tcPr>
            <w:tcW w:w="8771" w:type="dxa"/>
            <w:tcBorders>
              <w:top w:val="single" w:sz="6" w:space="0" w:color="78A22F"/>
              <w:left w:val="nil"/>
              <w:bottom w:val="nil"/>
              <w:right w:val="nil"/>
            </w:tcBorders>
            <w:shd w:val="clear" w:color="auto" w:fill="auto"/>
          </w:tcPr>
          <w:p w:rsidR="001264A6" w:rsidRPr="00176D3F" w:rsidRDefault="001264A6" w:rsidP="006A42B2">
            <w:pPr>
              <w:pStyle w:val="FigureTitle"/>
            </w:pPr>
            <w:r w:rsidRPr="00784A05">
              <w:rPr>
                <w:b w:val="0"/>
              </w:rPr>
              <w:t xml:space="preserve">Figure </w:t>
            </w:r>
            <w:r w:rsidR="00DF255F">
              <w:rPr>
                <w:b w:val="0"/>
              </w:rPr>
              <w:t>10.</w:t>
            </w:r>
            <w:r w:rsidR="0078724D">
              <w:rPr>
                <w:b w:val="0"/>
                <w:noProof/>
              </w:rPr>
              <w:t>8</w:t>
            </w:r>
            <w:r>
              <w:tab/>
            </w:r>
            <w:r w:rsidRPr="001A634F">
              <w:t xml:space="preserve">Availability of GPs </w:t>
            </w:r>
            <w:r w:rsidR="006A42B2">
              <w:t xml:space="preserve">by sex </w:t>
            </w:r>
            <w:r w:rsidRPr="001A634F">
              <w:t>(full time workload equivalent)</w:t>
            </w:r>
            <w:r w:rsidRPr="001A634F">
              <w:rPr>
                <w:rStyle w:val="NoteLabel"/>
                <w:b/>
              </w:rPr>
              <w:t>a</w:t>
            </w:r>
          </w:p>
        </w:tc>
      </w:tr>
      <w:tr w:rsidR="001264A6" w:rsidTr="0067713D">
        <w:tc>
          <w:tcPr>
            <w:tcW w:w="8771" w:type="dxa"/>
            <w:tcBorders>
              <w:top w:val="nil"/>
              <w:left w:val="nil"/>
              <w:bottom w:val="nil"/>
              <w:right w:val="nil"/>
            </w:tcBorders>
            <w:shd w:val="clear" w:color="auto" w:fill="auto"/>
            <w:tcMar>
              <w:top w:w="28" w:type="dxa"/>
              <w:bottom w:w="28" w:type="dxa"/>
            </w:tcMar>
          </w:tcPr>
          <w:p w:rsidR="00E2340F" w:rsidRDefault="00E2340F" w:rsidP="00E2340F">
            <w:pPr>
              <w:jc w:val="center"/>
            </w:pPr>
            <w:r>
              <w:rPr>
                <w:noProof/>
              </w:rPr>
              <w:drawing>
                <wp:inline distT="0" distB="0" distL="0" distR="0" wp14:anchorId="345C326F" wp14:editId="5007ADCE">
                  <wp:extent cx="5390707" cy="265814"/>
                  <wp:effectExtent l="0" t="0" r="635" b="1270"/>
                  <wp:docPr id="19" name="Picture 19" descr="Figure 10.8 Availability of GPs by sex (full time workload equivalent)&#10;&#10;Legend to Figure&#10;&#10;More details can be found within the text surrounding this image.&#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rotWithShape="1">
                          <a:blip r:embed="rId17">
                            <a:extLst>
                              <a:ext uri="{28A0092B-C50C-407E-A947-70E740481C1C}">
                                <a14:useLocalDpi xmlns:a14="http://schemas.microsoft.com/office/drawing/2010/main" val="0"/>
                              </a:ext>
                            </a:extLst>
                          </a:blip>
                          <a:srcRect b="90755"/>
                          <a:stretch/>
                        </pic:blipFill>
                        <pic:spPr bwMode="auto">
                          <a:xfrm>
                            <a:off x="0" y="0"/>
                            <a:ext cx="5395595" cy="266055"/>
                          </a:xfrm>
                          <a:prstGeom prst="rect">
                            <a:avLst/>
                          </a:prstGeom>
                          <a:noFill/>
                          <a:ln>
                            <a:noFill/>
                          </a:ln>
                          <a:extLst>
                            <a:ext uri="{53640926-AAD7-44D8-BBD7-CCE9431645EC}">
                              <a14:shadowObscured xmlns:a14="http://schemas.microsoft.com/office/drawing/2010/main"/>
                            </a:ext>
                          </a:extLst>
                        </pic:spPr>
                      </pic:pic>
                    </a:graphicData>
                  </a:graphic>
                </wp:inline>
              </w:drawing>
            </w:r>
          </w:p>
          <w:tbl>
            <w:tblPr>
              <w:tblW w:w="8625" w:type="dxa"/>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625"/>
            </w:tblGrid>
            <w:tr w:rsidR="001264A6" w:rsidTr="004411B6">
              <w:tc>
                <w:tcPr>
                  <w:tcW w:w="5000" w:type="pct"/>
                  <w:tcBorders>
                    <w:top w:val="nil"/>
                    <w:bottom w:val="nil"/>
                  </w:tcBorders>
                </w:tcPr>
                <w:p w:rsidR="004411B6" w:rsidRDefault="00583B5D" w:rsidP="0067713D">
                  <w:pPr>
                    <w:pStyle w:val="Figure"/>
                    <w:spacing w:before="60" w:after="60"/>
                  </w:pPr>
                  <w:r>
                    <w:rPr>
                      <w:noProof/>
                    </w:rPr>
                    <w:drawing>
                      <wp:inline distT="0" distB="0" distL="0" distR="0">
                        <wp:extent cx="5391150" cy="2886075"/>
                        <wp:effectExtent l="0" t="0" r="0" b="9525"/>
                        <wp:docPr id="12" name="Picture 12" descr="Figure 10.8 Availability of GPs by sex (full time workload equivalent)&#10;&#10;FWE Female GPs/100 000 females&#10;&#10;More details can be found within the text surrounding this image.&#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391150" cy="2886075"/>
                                </a:xfrm>
                                <a:prstGeom prst="rect">
                                  <a:avLst/>
                                </a:prstGeom>
                                <a:noFill/>
                                <a:ln>
                                  <a:noFill/>
                                </a:ln>
                              </pic:spPr>
                            </pic:pic>
                          </a:graphicData>
                        </a:graphic>
                      </wp:inline>
                    </w:drawing>
                  </w:r>
                </w:p>
                <w:p w:rsidR="00E2340F" w:rsidRDefault="00583B5D" w:rsidP="0067713D">
                  <w:pPr>
                    <w:pStyle w:val="Figure"/>
                    <w:spacing w:before="60" w:after="60"/>
                  </w:pPr>
                  <w:r>
                    <w:rPr>
                      <w:noProof/>
                    </w:rPr>
                    <w:drawing>
                      <wp:inline distT="0" distB="0" distL="0" distR="0">
                        <wp:extent cx="5391150" cy="2886075"/>
                        <wp:effectExtent l="0" t="0" r="0" b="9525"/>
                        <wp:docPr id="13" name="Picture 13" descr="Figure 10.8 Availability of GPs by sex (full time workload equivalent)&#10;&#10;FWE Male GPs/100 000 females&#10;&#10;More details can be found within the text surrounding this image.&#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391150" cy="2886075"/>
                                </a:xfrm>
                                <a:prstGeom prst="rect">
                                  <a:avLst/>
                                </a:prstGeom>
                                <a:noFill/>
                                <a:ln>
                                  <a:noFill/>
                                </a:ln>
                              </pic:spPr>
                            </pic:pic>
                          </a:graphicData>
                        </a:graphic>
                      </wp:inline>
                    </w:drawing>
                  </w:r>
                </w:p>
              </w:tc>
            </w:tr>
          </w:tbl>
          <w:p w:rsidR="001264A6" w:rsidRDefault="001264A6" w:rsidP="0067713D">
            <w:pPr>
              <w:pStyle w:val="Figure"/>
            </w:pPr>
          </w:p>
        </w:tc>
      </w:tr>
      <w:tr w:rsidR="001264A6" w:rsidRPr="00176D3F" w:rsidTr="0067713D">
        <w:tc>
          <w:tcPr>
            <w:tcW w:w="8771" w:type="dxa"/>
            <w:tcBorders>
              <w:top w:val="nil"/>
              <w:left w:val="nil"/>
              <w:bottom w:val="nil"/>
              <w:right w:val="nil"/>
            </w:tcBorders>
            <w:shd w:val="clear" w:color="auto" w:fill="auto"/>
          </w:tcPr>
          <w:p w:rsidR="001264A6" w:rsidRPr="00176D3F" w:rsidRDefault="001264A6" w:rsidP="0067713D">
            <w:pPr>
              <w:pStyle w:val="Note"/>
            </w:pPr>
            <w:r>
              <w:rPr>
                <w:rStyle w:val="NoteLabel"/>
              </w:rPr>
              <w:t>a</w:t>
            </w:r>
            <w:r>
              <w:sym w:font="Symbol" w:char="F020"/>
            </w:r>
            <w:r w:rsidRPr="001A634F">
              <w:t xml:space="preserve">Data relate to vocationally </w:t>
            </w:r>
            <w:r>
              <w:t>registered</w:t>
            </w:r>
            <w:r w:rsidRPr="001A634F">
              <w:t xml:space="preserve"> GPs and OMPs</w:t>
            </w:r>
            <w:r w:rsidRPr="006C090A">
              <w:t xml:space="preserve"> </w:t>
            </w:r>
            <w:r w:rsidRPr="002561B7">
              <w:t xml:space="preserve">billing </w:t>
            </w:r>
            <w:r>
              <w:t xml:space="preserve">DHS </w:t>
            </w:r>
            <w:r w:rsidRPr="002561B7">
              <w:t>Medicare</w:t>
            </w:r>
            <w:r w:rsidRPr="001A634F">
              <w:t xml:space="preserve">, who are allocated to a jurisdiction based on </w:t>
            </w:r>
            <w:r w:rsidRPr="00332D2E">
              <w:t>the postcode of their</w:t>
            </w:r>
            <w:r w:rsidRPr="001A634F">
              <w:t xml:space="preserve"> major practice.</w:t>
            </w:r>
          </w:p>
        </w:tc>
      </w:tr>
      <w:tr w:rsidR="001264A6" w:rsidRPr="00176D3F" w:rsidTr="0067713D">
        <w:tc>
          <w:tcPr>
            <w:tcW w:w="8771" w:type="dxa"/>
            <w:tcBorders>
              <w:top w:val="nil"/>
              <w:left w:val="nil"/>
              <w:bottom w:val="nil"/>
              <w:right w:val="nil"/>
            </w:tcBorders>
            <w:shd w:val="clear" w:color="auto" w:fill="auto"/>
          </w:tcPr>
          <w:p w:rsidR="001264A6" w:rsidRPr="001264A6" w:rsidRDefault="001264A6" w:rsidP="00DA309A">
            <w:pPr>
              <w:pStyle w:val="Source"/>
              <w:rPr>
                <w:shd w:val="clear" w:color="auto" w:fill="00FFFF"/>
              </w:rPr>
            </w:pPr>
            <w:r w:rsidRPr="00E20F02">
              <w:rPr>
                <w:i/>
              </w:rPr>
              <w:t>Source</w:t>
            </w:r>
            <w:r w:rsidRPr="00E20F02">
              <w:t xml:space="preserve">: </w:t>
            </w:r>
            <w:r>
              <w:t>Department of Health</w:t>
            </w:r>
            <w:r w:rsidRPr="00E20F02">
              <w:t xml:space="preserve"> (unpublished) MBS Statistics; table</w:t>
            </w:r>
            <w:r w:rsidR="00DA309A">
              <w:t>s</w:t>
            </w:r>
            <w:r w:rsidRPr="00E20F02">
              <w:t> </w:t>
            </w:r>
            <w:r w:rsidR="00C9076B">
              <w:t>10A.</w:t>
            </w:r>
            <w:r>
              <w:t>2</w:t>
            </w:r>
            <w:r w:rsidR="00DA309A">
              <w:t>5, 10A.26</w:t>
            </w:r>
            <w:r w:rsidRPr="00E20F02">
              <w:t>.</w:t>
            </w:r>
          </w:p>
        </w:tc>
      </w:tr>
      <w:tr w:rsidR="001264A6" w:rsidTr="0067713D">
        <w:tc>
          <w:tcPr>
            <w:tcW w:w="8771" w:type="dxa"/>
            <w:tcBorders>
              <w:top w:val="nil"/>
              <w:left w:val="nil"/>
              <w:bottom w:val="single" w:sz="6" w:space="0" w:color="78A22F"/>
              <w:right w:val="nil"/>
            </w:tcBorders>
            <w:shd w:val="clear" w:color="auto" w:fill="auto"/>
          </w:tcPr>
          <w:p w:rsidR="001264A6" w:rsidRDefault="001264A6" w:rsidP="0067713D">
            <w:pPr>
              <w:pStyle w:val="Figurespace"/>
            </w:pPr>
          </w:p>
        </w:tc>
      </w:tr>
      <w:tr w:rsidR="001264A6" w:rsidRPr="000863A5" w:rsidTr="0067713D">
        <w:tc>
          <w:tcPr>
            <w:tcW w:w="8771" w:type="dxa"/>
            <w:tcBorders>
              <w:top w:val="single" w:sz="6" w:space="0" w:color="78A22F"/>
              <w:left w:val="nil"/>
              <w:bottom w:val="nil"/>
              <w:right w:val="nil"/>
            </w:tcBorders>
          </w:tcPr>
          <w:p w:rsidR="001264A6" w:rsidRPr="00626D32" w:rsidRDefault="001264A6" w:rsidP="0067713D">
            <w:pPr>
              <w:pStyle w:val="BoxSpaceBelow"/>
            </w:pPr>
          </w:p>
        </w:tc>
      </w:tr>
    </w:tbl>
    <w:p w:rsidR="00351C8A" w:rsidRPr="00944E91" w:rsidRDefault="001A634F" w:rsidP="007644A0">
      <w:pPr>
        <w:pStyle w:val="Heading5"/>
      </w:pPr>
      <w:r w:rsidRPr="001A634F">
        <w:t>Availability of public dentists</w:t>
      </w:r>
    </w:p>
    <w:p w:rsidR="00A83187" w:rsidRPr="00E52E8A" w:rsidRDefault="00351C8A" w:rsidP="00E52E8A">
      <w:pPr>
        <w:pStyle w:val="BodyText"/>
        <w:rPr>
          <w:rStyle w:val="DraftingNote"/>
          <w:b w:val="0"/>
          <w:color w:val="auto"/>
          <w:u w:val="none"/>
        </w:rPr>
      </w:pPr>
      <w:r w:rsidRPr="00351C8A">
        <w:t>‘Availability of public dentists’ is an indicator of governments</w:t>
      </w:r>
      <w:r w:rsidR="00EF2D2B">
        <w:t>’</w:t>
      </w:r>
      <w:r w:rsidRPr="00351C8A">
        <w:t xml:space="preserve"> objective to provide equitable access to </w:t>
      </w:r>
      <w:r w:rsidR="00A134E7">
        <w:t>dental services</w:t>
      </w:r>
      <w:r w:rsidR="009B3893">
        <w:t xml:space="preserve"> </w:t>
      </w:r>
      <w:r w:rsidR="009B3893" w:rsidRPr="009B3893">
        <w:t>(</w:t>
      </w:r>
      <w:r w:rsidR="00897589">
        <w:t>box 10.</w:t>
      </w:r>
      <w:r w:rsidR="00865C5A">
        <w:t>4</w:t>
      </w:r>
      <w:r w:rsidR="009B3893" w:rsidRPr="009B3893">
        <w:t>).</w:t>
      </w:r>
    </w:p>
    <w:p w:rsidR="00E8358F" w:rsidRDefault="00E8358F">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8358F" w:rsidTr="00867BB6">
        <w:tc>
          <w:tcPr>
            <w:tcW w:w="8771" w:type="dxa"/>
            <w:tcBorders>
              <w:top w:val="single" w:sz="6" w:space="0" w:color="78A22F"/>
              <w:left w:val="nil"/>
              <w:bottom w:val="nil"/>
              <w:right w:val="nil"/>
            </w:tcBorders>
            <w:shd w:val="clear" w:color="auto" w:fill="F2F2F2" w:themeFill="background1" w:themeFillShade="F2"/>
          </w:tcPr>
          <w:p w:rsidR="00E8358F" w:rsidRDefault="00E8358F">
            <w:pPr>
              <w:pStyle w:val="BoxTitle"/>
            </w:pPr>
            <w:r>
              <w:rPr>
                <w:b w:val="0"/>
              </w:rPr>
              <w:t>Box 10.</w:t>
            </w:r>
            <w:r w:rsidR="0078724D">
              <w:rPr>
                <w:b w:val="0"/>
                <w:noProof/>
              </w:rPr>
              <w:t>4</w:t>
            </w:r>
            <w:r>
              <w:tab/>
            </w:r>
            <w:r w:rsidRPr="001A634F">
              <w:t>Availability of public dentists</w:t>
            </w:r>
          </w:p>
        </w:tc>
      </w:tr>
      <w:tr w:rsidR="00E8358F" w:rsidTr="00867BB6">
        <w:trPr>
          <w:cantSplit/>
        </w:trPr>
        <w:tc>
          <w:tcPr>
            <w:tcW w:w="8771" w:type="dxa"/>
            <w:tcBorders>
              <w:top w:val="nil"/>
              <w:left w:val="nil"/>
              <w:bottom w:val="nil"/>
              <w:right w:val="nil"/>
            </w:tcBorders>
            <w:shd w:val="clear" w:color="auto" w:fill="F2F2F2" w:themeFill="background1" w:themeFillShade="F2"/>
          </w:tcPr>
          <w:p w:rsidR="00E8358F" w:rsidRDefault="00E8358F" w:rsidP="00867BB6">
            <w:pPr>
              <w:pStyle w:val="Box"/>
            </w:pPr>
            <w:r>
              <w:t>‘Availability of public dentists’ is defined as the number of full time equivalent (FTE) public dentists per </w:t>
            </w:r>
            <w:r w:rsidRPr="00744A92">
              <w:t>100</w:t>
            </w:r>
            <w:r>
              <w:t> </w:t>
            </w:r>
            <w:r w:rsidRPr="00744A92">
              <w:t>000</w:t>
            </w:r>
            <w:r>
              <w:t xml:space="preserve"> people by region.</w:t>
            </w:r>
          </w:p>
          <w:p w:rsidR="00E8358F" w:rsidRDefault="00E8358F" w:rsidP="00867BB6">
            <w:pPr>
              <w:pStyle w:val="Box"/>
            </w:pPr>
            <w:r w:rsidRPr="00143B89">
              <w:t xml:space="preserve">High or increasing availability of public dentists can indicate improved access to public dental services. </w:t>
            </w:r>
            <w:r w:rsidRPr="00957177">
              <w:t>The availability of public dentists by region affects people’s access to public dental services, particularly in rural and remote areas. Low availability can result in increased travel distance to a dentist and increased waiting times to see a dentist</w:t>
            </w:r>
            <w:r>
              <w:t>.</w:t>
            </w:r>
          </w:p>
          <w:p w:rsidR="00E8358F" w:rsidRDefault="00E8358F" w:rsidP="00867BB6">
            <w:pPr>
              <w:pStyle w:val="Box"/>
            </w:pPr>
            <w:r>
              <w:t>This indicator does not provide information on whether people are accessing the service or whether the services are appropriate for the needs of the people receiving them.</w:t>
            </w:r>
          </w:p>
          <w:p w:rsidR="00E8358F" w:rsidRDefault="00E8358F" w:rsidP="00867BB6">
            <w:pPr>
              <w:pStyle w:val="Box"/>
            </w:pPr>
            <w:r>
              <w:t>Data reported for this indicator are:</w:t>
            </w:r>
          </w:p>
          <w:p w:rsidR="00E8358F" w:rsidRDefault="00E8358F" w:rsidP="00867BB6">
            <w:pPr>
              <w:pStyle w:val="BoxListBullet"/>
            </w:pPr>
            <w:r>
              <w:t>comparable (subject to caveats) across jurisdictions and over time</w:t>
            </w:r>
          </w:p>
          <w:p w:rsidR="001A3556" w:rsidRPr="00AB1691" w:rsidRDefault="00AB1691" w:rsidP="00867BB6">
            <w:pPr>
              <w:pStyle w:val="BoxListBullet"/>
              <w:rPr>
                <w:b/>
              </w:rPr>
            </w:pPr>
            <w:r>
              <w:t>not available for the current reporting period (2013).</w:t>
            </w:r>
          </w:p>
          <w:p w:rsidR="00E8358F" w:rsidRDefault="00E8358F" w:rsidP="00867BB6">
            <w:pPr>
              <w:pStyle w:val="Box"/>
            </w:pPr>
            <w:r w:rsidRPr="00852E95">
              <w:t>Data quality information for this indicator</w:t>
            </w:r>
            <w:r w:rsidR="00786AB7">
              <w:t xml:space="preserve"> is at www.pc.gov.au</w:t>
            </w:r>
            <w:r w:rsidRPr="00852E95">
              <w:t>/</w:t>
            </w:r>
            <w:r w:rsidR="0051617F">
              <w:t>rogs/2015</w:t>
            </w:r>
            <w:r w:rsidRPr="00852E95">
              <w:t>.</w:t>
            </w:r>
          </w:p>
        </w:tc>
      </w:tr>
      <w:tr w:rsidR="00E8358F" w:rsidTr="00867BB6">
        <w:trPr>
          <w:cantSplit/>
        </w:trPr>
        <w:tc>
          <w:tcPr>
            <w:tcW w:w="8771" w:type="dxa"/>
            <w:tcBorders>
              <w:top w:val="nil"/>
              <w:left w:val="nil"/>
              <w:bottom w:val="single" w:sz="6" w:space="0" w:color="78A22F"/>
              <w:right w:val="nil"/>
            </w:tcBorders>
            <w:shd w:val="clear" w:color="auto" w:fill="F2F2F2" w:themeFill="background1" w:themeFillShade="F2"/>
          </w:tcPr>
          <w:p w:rsidR="00E8358F" w:rsidRDefault="00E8358F">
            <w:pPr>
              <w:pStyle w:val="Box"/>
              <w:spacing w:before="0" w:line="120" w:lineRule="exact"/>
            </w:pPr>
          </w:p>
        </w:tc>
      </w:tr>
      <w:tr w:rsidR="00E8358F" w:rsidRPr="000863A5" w:rsidTr="00867BB6">
        <w:tc>
          <w:tcPr>
            <w:tcW w:w="8771" w:type="dxa"/>
            <w:tcBorders>
              <w:top w:val="single" w:sz="6" w:space="0" w:color="78A22F"/>
              <w:left w:val="nil"/>
              <w:bottom w:val="nil"/>
              <w:right w:val="nil"/>
            </w:tcBorders>
          </w:tcPr>
          <w:p w:rsidR="00E8358F" w:rsidRPr="00626D32" w:rsidRDefault="00E8358F" w:rsidP="00867BB6">
            <w:pPr>
              <w:pStyle w:val="BoxSpaceBelow"/>
            </w:pPr>
          </w:p>
        </w:tc>
      </w:tr>
    </w:tbl>
    <w:p w:rsidR="009F35A6" w:rsidRPr="00F9239D" w:rsidRDefault="00A83187" w:rsidP="00F9239D">
      <w:pPr>
        <w:pStyle w:val="BodyText"/>
        <w:rPr>
          <w:rStyle w:val="DraftingNote"/>
          <w:b w:val="0"/>
          <w:color w:val="auto"/>
          <w:u w:val="none"/>
        </w:rPr>
      </w:pPr>
      <w:r w:rsidRPr="00FE1983">
        <w:t xml:space="preserve">Nationally, there were </w:t>
      </w:r>
      <w:r w:rsidR="00A301D1" w:rsidRPr="00211B55">
        <w:t>7.3</w:t>
      </w:r>
      <w:r w:rsidR="0068435D" w:rsidRPr="00211B55">
        <w:t xml:space="preserve"> </w:t>
      </w:r>
      <w:r w:rsidRPr="00211B55">
        <w:t xml:space="preserve">FTE public dentists per 100 000 people in </w:t>
      </w:r>
      <w:r w:rsidR="00B92490" w:rsidRPr="00211B55">
        <w:t>major cities</w:t>
      </w:r>
      <w:r w:rsidR="00D559AB" w:rsidRPr="00211B55">
        <w:t xml:space="preserve"> </w:t>
      </w:r>
      <w:r w:rsidR="0068435D" w:rsidRPr="00211B55">
        <w:t xml:space="preserve">— more </w:t>
      </w:r>
      <w:r w:rsidR="00B92490" w:rsidRPr="00211B55">
        <w:t xml:space="preserve">than in regional and </w:t>
      </w:r>
      <w:r w:rsidR="002B6FAB" w:rsidRPr="00211B55">
        <w:t>remote</w:t>
      </w:r>
      <w:r w:rsidR="00B92490" w:rsidRPr="00211B55">
        <w:t>/very remote</w:t>
      </w:r>
      <w:r w:rsidR="002B6FAB" w:rsidRPr="00211B55">
        <w:t xml:space="preserve"> areas</w:t>
      </w:r>
      <w:r w:rsidR="00D559AB" w:rsidRPr="00211B55">
        <w:t xml:space="preserve"> — in 201</w:t>
      </w:r>
      <w:r w:rsidR="00A301D1" w:rsidRPr="00211B55">
        <w:t>3</w:t>
      </w:r>
      <w:r w:rsidR="00D559AB" w:rsidRPr="00211B55">
        <w:t xml:space="preserve"> </w:t>
      </w:r>
      <w:r w:rsidRPr="00211B55">
        <w:t>(</w:t>
      </w:r>
      <w:r w:rsidR="00897589" w:rsidRPr="00211B55">
        <w:t>figure 10.</w:t>
      </w:r>
      <w:r w:rsidR="00387E1D" w:rsidRPr="00211B55">
        <w:t>9</w:t>
      </w:r>
      <w:r w:rsidR="00182849" w:rsidRPr="00211B55">
        <w:t>, table </w:t>
      </w:r>
      <w:r w:rsidR="00C9076B" w:rsidRPr="00211B55">
        <w:t>10A.</w:t>
      </w:r>
      <w:r w:rsidR="00B464B6" w:rsidRPr="00211B55">
        <w:t>2</w:t>
      </w:r>
      <w:r w:rsidR="004401E2" w:rsidRPr="00211B55">
        <w:t>7</w:t>
      </w:r>
      <w:r w:rsidRPr="00211B55">
        <w:t xml:space="preserve">). </w:t>
      </w:r>
      <w:r w:rsidR="00B92490" w:rsidRPr="00211B55">
        <w:t>Nationally, the</w:t>
      </w:r>
      <w:r w:rsidR="0068435D" w:rsidRPr="00211B55">
        <w:t xml:space="preserve"> number of FTE public </w:t>
      </w:r>
      <w:r w:rsidR="00B92490" w:rsidRPr="00211B55">
        <w:t xml:space="preserve">dental therapists per 100 000 people </w:t>
      </w:r>
      <w:r w:rsidR="0068435D" w:rsidRPr="00211B55">
        <w:t xml:space="preserve">was highest </w:t>
      </w:r>
      <w:r w:rsidR="00B92490" w:rsidRPr="00211B55">
        <w:t xml:space="preserve">in outer regional </w:t>
      </w:r>
      <w:r w:rsidR="0068435D" w:rsidRPr="00211B55">
        <w:t>areas (5.</w:t>
      </w:r>
      <w:r w:rsidR="00A301D1" w:rsidRPr="00211B55">
        <w:t>8</w:t>
      </w:r>
      <w:r w:rsidR="0068435D" w:rsidRPr="00211B55">
        <w:t>),</w:t>
      </w:r>
      <w:r w:rsidR="00A301D1" w:rsidRPr="00211B55">
        <w:t xml:space="preserve"> followed by </w:t>
      </w:r>
      <w:r w:rsidR="0087403E" w:rsidRPr="00211B55">
        <w:t xml:space="preserve">remote/very remote (4.7) and </w:t>
      </w:r>
      <w:r w:rsidR="00A301D1" w:rsidRPr="00211B55">
        <w:t>inner regional (4.6</w:t>
      </w:r>
      <w:r w:rsidR="0068435D" w:rsidRPr="00211B55">
        <w:t xml:space="preserve">) </w:t>
      </w:r>
      <w:r w:rsidR="00C93CD4" w:rsidRPr="00211B55">
        <w:t>and lowest in major cities (</w:t>
      </w:r>
      <w:r w:rsidR="00A301D1" w:rsidRPr="00211B55">
        <w:t>3.1</w:t>
      </w:r>
      <w:r w:rsidR="0068435D" w:rsidRPr="00211B55">
        <w:t xml:space="preserve">) </w:t>
      </w:r>
      <w:r w:rsidR="00A301D1" w:rsidRPr="00211B55">
        <w:t xml:space="preserve">in 2013 </w:t>
      </w:r>
      <w:r w:rsidR="0068435D" w:rsidRPr="00211B55">
        <w:t>(</w:t>
      </w:r>
      <w:r w:rsidR="0068435D" w:rsidRPr="005A77F0">
        <w:t xml:space="preserve">table </w:t>
      </w:r>
      <w:r w:rsidR="00C9076B">
        <w:t>10A.</w:t>
      </w:r>
      <w:r w:rsidR="0068435D" w:rsidRPr="005A77F0">
        <w:t>2</w:t>
      </w:r>
      <w:r w:rsidR="004401E2">
        <w:t>8</w:t>
      </w:r>
      <w:r w:rsidR="0068435D" w:rsidRPr="005A77F0">
        <w:t xml:space="preserve">). </w:t>
      </w:r>
      <w:r w:rsidR="003A36D1" w:rsidRPr="005A77F0">
        <w:t>Data</w:t>
      </w:r>
      <w:r w:rsidR="003A36D1" w:rsidRPr="00FE1983">
        <w:t xml:space="preserve"> for </w:t>
      </w:r>
      <w:r w:rsidR="00A37F50" w:rsidRPr="00FE1983">
        <w:t xml:space="preserve">FTE </w:t>
      </w:r>
      <w:r w:rsidR="003A36D1" w:rsidRPr="00FE1983">
        <w:t xml:space="preserve">dental </w:t>
      </w:r>
      <w:r w:rsidR="00B92490">
        <w:t xml:space="preserve">hygienists and dental </w:t>
      </w:r>
      <w:r w:rsidR="003A36D1" w:rsidRPr="00FE1983">
        <w:t>th</w:t>
      </w:r>
      <w:r w:rsidR="0066080E">
        <w:t>erapists are presented in table </w:t>
      </w:r>
      <w:r w:rsidR="00C9076B">
        <w:t>10A.</w:t>
      </w:r>
      <w:r w:rsidR="00B464B6">
        <w:t>2</w:t>
      </w:r>
      <w:r w:rsidR="004401E2">
        <w:t>8</w:t>
      </w:r>
      <w:r w:rsidR="00FB448E">
        <w:t>.</w:t>
      </w:r>
    </w:p>
    <w:p w:rsidR="001264A6" w:rsidRDefault="001264A6" w:rsidP="00F07FF9">
      <w:pPr>
        <w:pStyle w:val="BoxSpaceAbove"/>
        <w:keepLines/>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1264A6" w:rsidTr="0067713D">
        <w:tc>
          <w:tcPr>
            <w:tcW w:w="8771" w:type="dxa"/>
            <w:tcBorders>
              <w:top w:val="single" w:sz="6" w:space="0" w:color="78A22F"/>
              <w:left w:val="nil"/>
              <w:bottom w:val="nil"/>
              <w:right w:val="nil"/>
            </w:tcBorders>
            <w:shd w:val="clear" w:color="auto" w:fill="auto"/>
          </w:tcPr>
          <w:p w:rsidR="001264A6" w:rsidRPr="00176D3F" w:rsidRDefault="001264A6" w:rsidP="003C375E">
            <w:pPr>
              <w:pStyle w:val="FigureTitle"/>
            </w:pPr>
            <w:r w:rsidRPr="00784A05">
              <w:rPr>
                <w:b w:val="0"/>
              </w:rPr>
              <w:t xml:space="preserve">Figure </w:t>
            </w:r>
            <w:r w:rsidR="00DF255F">
              <w:rPr>
                <w:b w:val="0"/>
              </w:rPr>
              <w:t>10.</w:t>
            </w:r>
            <w:r w:rsidR="0078724D">
              <w:rPr>
                <w:b w:val="0"/>
                <w:noProof/>
              </w:rPr>
              <w:t>9</w:t>
            </w:r>
            <w:r>
              <w:tab/>
            </w:r>
            <w:r w:rsidRPr="00195A82">
              <w:t xml:space="preserve">Availability of public dentists, </w:t>
            </w:r>
            <w:r w:rsidRPr="00211B55">
              <w:t>201</w:t>
            </w:r>
            <w:r w:rsidR="003C375E" w:rsidRPr="00211B55">
              <w:t>3</w:t>
            </w:r>
            <w:r w:rsidRPr="00211B55">
              <w:rPr>
                <w:rStyle w:val="NoteLabel"/>
                <w:b/>
              </w:rPr>
              <w:t>a</w:t>
            </w:r>
            <w:r w:rsidRPr="00403012">
              <w:rPr>
                <w:rStyle w:val="NoteLabel"/>
                <w:b/>
              </w:rPr>
              <w:t>, b,</w:t>
            </w:r>
            <w:r w:rsidRPr="003A36D1">
              <w:rPr>
                <w:rStyle w:val="NoteLabel"/>
                <w:b/>
              </w:rPr>
              <w:t xml:space="preserve"> c</w:t>
            </w:r>
            <w:r>
              <w:rPr>
                <w:rStyle w:val="NoteLabel"/>
                <w:b/>
              </w:rPr>
              <w:t>, d</w:t>
            </w:r>
          </w:p>
        </w:tc>
      </w:tr>
      <w:tr w:rsidR="001264A6" w:rsidTr="0067713D">
        <w:tc>
          <w:tcPr>
            <w:tcW w:w="8771" w:type="dxa"/>
            <w:tcBorders>
              <w:top w:val="nil"/>
              <w:left w:val="nil"/>
              <w:bottom w:val="nil"/>
              <w:right w:val="nil"/>
            </w:tcBorders>
            <w:shd w:val="clear" w:color="auto" w:fill="auto"/>
            <w:tcMar>
              <w:top w:w="28" w:type="dxa"/>
              <w:bottom w:w="28" w:type="dxa"/>
            </w:tcMar>
          </w:tcPr>
          <w:tbl>
            <w:tblPr>
              <w:tblW w:w="8625" w:type="dxa"/>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625"/>
            </w:tblGrid>
            <w:tr w:rsidR="001264A6" w:rsidTr="0001445E">
              <w:tc>
                <w:tcPr>
                  <w:tcW w:w="5000" w:type="pct"/>
                  <w:tcBorders>
                    <w:top w:val="nil"/>
                    <w:bottom w:val="nil"/>
                  </w:tcBorders>
                </w:tcPr>
                <w:p w:rsidR="001264A6" w:rsidRDefault="00583B5D" w:rsidP="00F07FF9">
                  <w:pPr>
                    <w:pStyle w:val="Figure"/>
                    <w:keepLines/>
                    <w:spacing w:before="60" w:after="60"/>
                  </w:pPr>
                  <w:r>
                    <w:rPr>
                      <w:noProof/>
                    </w:rPr>
                    <w:drawing>
                      <wp:inline distT="0" distB="0" distL="0" distR="0">
                        <wp:extent cx="5391150" cy="2695575"/>
                        <wp:effectExtent l="0" t="0" r="0" b="9525"/>
                        <wp:docPr id="14" name="Picture 14" descr="Figure 10.9 Availability of public dentists, 2013&#10;&#10;More details can be found within the text surrounding this image.&#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391150" cy="2695575"/>
                                </a:xfrm>
                                <a:prstGeom prst="rect">
                                  <a:avLst/>
                                </a:prstGeom>
                                <a:noFill/>
                                <a:ln>
                                  <a:noFill/>
                                </a:ln>
                              </pic:spPr>
                            </pic:pic>
                          </a:graphicData>
                        </a:graphic>
                      </wp:inline>
                    </w:drawing>
                  </w:r>
                </w:p>
              </w:tc>
            </w:tr>
          </w:tbl>
          <w:p w:rsidR="001264A6" w:rsidRDefault="001264A6" w:rsidP="00F07FF9">
            <w:pPr>
              <w:pStyle w:val="Figure"/>
              <w:keepLines/>
            </w:pPr>
          </w:p>
        </w:tc>
      </w:tr>
      <w:tr w:rsidR="001264A6" w:rsidRPr="00176D3F" w:rsidTr="0067713D">
        <w:tc>
          <w:tcPr>
            <w:tcW w:w="8771" w:type="dxa"/>
            <w:tcBorders>
              <w:top w:val="nil"/>
              <w:left w:val="nil"/>
              <w:bottom w:val="nil"/>
              <w:right w:val="nil"/>
            </w:tcBorders>
            <w:shd w:val="clear" w:color="auto" w:fill="auto"/>
          </w:tcPr>
          <w:p w:rsidR="001264A6" w:rsidRPr="00176D3F" w:rsidRDefault="001264A6" w:rsidP="00F9239D">
            <w:pPr>
              <w:pStyle w:val="Note"/>
              <w:keepNext/>
            </w:pPr>
            <w:r>
              <w:rPr>
                <w:rStyle w:val="NoteLabel"/>
              </w:rPr>
              <w:t>a</w:t>
            </w:r>
            <w:r>
              <w:sym w:font="Symbol" w:char="F020"/>
            </w:r>
            <w:r>
              <w:t xml:space="preserve">FTE based on 40 </w:t>
            </w:r>
            <w:r w:rsidRPr="007C4969">
              <w:t>hour</w:t>
            </w:r>
            <w:r>
              <w:t>s per</w:t>
            </w:r>
            <w:r w:rsidRPr="007C4969">
              <w:t xml:space="preserve"> week. </w:t>
            </w:r>
            <w:r w:rsidRPr="007C4969">
              <w:rPr>
                <w:rStyle w:val="NoteLabel"/>
              </w:rPr>
              <w:t>b</w:t>
            </w:r>
            <w:r w:rsidRPr="007C4969">
              <w:t xml:space="preserve"> </w:t>
            </w:r>
            <w:r>
              <w:t>Public</w:t>
            </w:r>
            <w:r w:rsidRPr="00E929C5">
              <w:t xml:space="preserve"> d</w:t>
            </w:r>
            <w:r w:rsidRPr="00964E4B">
              <w:t>entists include those working in public dental hospitals, school dental services, general dental services,</w:t>
            </w:r>
            <w:r w:rsidRPr="00E929C5">
              <w:t xml:space="preserve"> defence forces, tertiary education and 'other public' areas</w:t>
            </w:r>
            <w:r>
              <w:t xml:space="preserve">. </w:t>
            </w:r>
            <w:r w:rsidRPr="007C4969">
              <w:rPr>
                <w:rStyle w:val="NoteLabel"/>
              </w:rPr>
              <w:t>c</w:t>
            </w:r>
            <w:r w:rsidRPr="007C4969">
              <w:t xml:space="preserve"> There were no public dentists in remote </w:t>
            </w:r>
            <w:r w:rsidR="00F9239D">
              <w:t>or</w:t>
            </w:r>
            <w:r w:rsidRPr="007C4969">
              <w:t xml:space="preserve"> very remote areas </w:t>
            </w:r>
            <w:r w:rsidR="00552432">
              <w:t xml:space="preserve">in </w:t>
            </w:r>
            <w:r w:rsidRPr="007C4969">
              <w:t>Victoria or Tasmania</w:t>
            </w:r>
            <w:r w:rsidRPr="00211B55">
              <w:t>.</w:t>
            </w:r>
            <w:r w:rsidR="006176D0" w:rsidRPr="00211B55">
              <w:t xml:space="preserve"> Data for inner regional areas in the ACT </w:t>
            </w:r>
            <w:r w:rsidR="00F9239D">
              <w:t>are</w:t>
            </w:r>
            <w:r w:rsidR="006176D0" w:rsidRPr="00211B55">
              <w:t xml:space="preserve"> suppressed for confidentiality purposes.</w:t>
            </w:r>
            <w:r w:rsidRPr="00211B55">
              <w:t xml:space="preserve"> </w:t>
            </w:r>
            <w:r w:rsidRPr="00211B55">
              <w:rPr>
                <w:rStyle w:val="NoteLabel"/>
              </w:rPr>
              <w:t>d</w:t>
            </w:r>
            <w:r w:rsidRPr="00211B55">
              <w:t xml:space="preserve"> Tasman</w:t>
            </w:r>
            <w:r w:rsidRPr="007C4969">
              <w:t>ia ha</w:t>
            </w:r>
            <w:r>
              <w:t>s</w:t>
            </w:r>
            <w:r w:rsidRPr="007C4969">
              <w:t xml:space="preserve"> no major cit</w:t>
            </w:r>
            <w:r>
              <w:t xml:space="preserve">ies. The ACT has no outer regional, remote </w:t>
            </w:r>
            <w:r w:rsidR="00F9239D">
              <w:t>or</w:t>
            </w:r>
            <w:r>
              <w:t xml:space="preserve"> very remote areas. The NT has no major cities or inner regional areas.</w:t>
            </w:r>
          </w:p>
        </w:tc>
      </w:tr>
      <w:tr w:rsidR="001264A6" w:rsidRPr="00176D3F" w:rsidTr="0067713D">
        <w:tc>
          <w:tcPr>
            <w:tcW w:w="8771" w:type="dxa"/>
            <w:tcBorders>
              <w:top w:val="nil"/>
              <w:left w:val="nil"/>
              <w:bottom w:val="nil"/>
              <w:right w:val="nil"/>
            </w:tcBorders>
            <w:shd w:val="clear" w:color="auto" w:fill="auto"/>
          </w:tcPr>
          <w:p w:rsidR="001264A6" w:rsidRPr="00176D3F" w:rsidRDefault="00D01FED" w:rsidP="00F07FF9">
            <w:pPr>
              <w:pStyle w:val="Note"/>
              <w:keepNext/>
            </w:pPr>
            <w:r>
              <w:rPr>
                <w:i/>
              </w:rPr>
              <w:t>Sou</w:t>
            </w:r>
            <w:r w:rsidR="001264A6" w:rsidRPr="00DF4178">
              <w:rPr>
                <w:i/>
              </w:rPr>
              <w:t>rce</w:t>
            </w:r>
            <w:r w:rsidR="001264A6" w:rsidRPr="00DF4178">
              <w:t xml:space="preserve">: AIHW (unpublished) National Health Workforce Data Set; table </w:t>
            </w:r>
            <w:r w:rsidR="00C9076B">
              <w:t>10A.</w:t>
            </w:r>
            <w:r w:rsidR="001264A6">
              <w:t>2</w:t>
            </w:r>
            <w:r w:rsidR="004401E2">
              <w:t>7</w:t>
            </w:r>
            <w:r w:rsidR="001264A6" w:rsidRPr="00DF4178">
              <w:t>.</w:t>
            </w:r>
          </w:p>
        </w:tc>
      </w:tr>
      <w:tr w:rsidR="001264A6" w:rsidTr="0067713D">
        <w:tc>
          <w:tcPr>
            <w:tcW w:w="8771" w:type="dxa"/>
            <w:tcBorders>
              <w:top w:val="nil"/>
              <w:left w:val="nil"/>
              <w:bottom w:val="single" w:sz="6" w:space="0" w:color="78A22F"/>
              <w:right w:val="nil"/>
            </w:tcBorders>
            <w:shd w:val="clear" w:color="auto" w:fill="auto"/>
          </w:tcPr>
          <w:p w:rsidR="001264A6" w:rsidRDefault="001264A6" w:rsidP="00F07FF9">
            <w:pPr>
              <w:pStyle w:val="Figurespace"/>
              <w:keepLines/>
            </w:pPr>
          </w:p>
        </w:tc>
      </w:tr>
      <w:tr w:rsidR="001264A6" w:rsidRPr="000863A5" w:rsidTr="0067713D">
        <w:tc>
          <w:tcPr>
            <w:tcW w:w="8771" w:type="dxa"/>
            <w:tcBorders>
              <w:top w:val="single" w:sz="6" w:space="0" w:color="78A22F"/>
              <w:left w:val="nil"/>
              <w:bottom w:val="nil"/>
              <w:right w:val="nil"/>
            </w:tcBorders>
          </w:tcPr>
          <w:p w:rsidR="001264A6" w:rsidRPr="00626D32" w:rsidRDefault="001264A6" w:rsidP="00F07FF9">
            <w:pPr>
              <w:pStyle w:val="BoxSpaceBelow"/>
              <w:keepNext/>
              <w:keepLines/>
            </w:pPr>
          </w:p>
        </w:tc>
      </w:tr>
    </w:tbl>
    <w:p w:rsidR="00A26245" w:rsidRDefault="00A26245" w:rsidP="006A354D">
      <w:pPr>
        <w:pStyle w:val="Heading5"/>
      </w:pPr>
      <w:r w:rsidRPr="00A26245">
        <w:t xml:space="preserve">Early </w:t>
      </w:r>
      <w:r w:rsidRPr="006A354D">
        <w:t>detection</w:t>
      </w:r>
      <w:r w:rsidRPr="00A26245">
        <w:t xml:space="preserve"> and early treatment for </w:t>
      </w:r>
      <w:r w:rsidR="00D16EBA">
        <w:t>Aboriginal and Torres Strait Islander</w:t>
      </w:r>
      <w:r w:rsidR="006E4E2B">
        <w:t xml:space="preserve"> Australians</w:t>
      </w:r>
    </w:p>
    <w:p w:rsidR="00525B3A" w:rsidRDefault="00AA1187" w:rsidP="003F7B15">
      <w:pPr>
        <w:pStyle w:val="BodyText"/>
      </w:pPr>
      <w:r>
        <w:t xml:space="preserve">‘Early </w:t>
      </w:r>
      <w:r w:rsidRPr="006A354D">
        <w:t>detection</w:t>
      </w:r>
      <w:r>
        <w:t xml:space="preserve"> and </w:t>
      </w:r>
      <w:r w:rsidRPr="00D22060">
        <w:t xml:space="preserve">early treatment for </w:t>
      </w:r>
      <w:r w:rsidR="00D16EBA">
        <w:t>Aboriginal and Torres Strait Islander</w:t>
      </w:r>
      <w:r w:rsidR="006E4E2B">
        <w:t xml:space="preserve"> Australians</w:t>
      </w:r>
      <w:r>
        <w:t xml:space="preserve">’ is an indicator of governments’ objective to provide equitable access to primary and community healthcare services for </w:t>
      </w:r>
      <w:r w:rsidR="00D16EBA">
        <w:t>Aboriginal and Torres Strait Islander</w:t>
      </w:r>
      <w:r w:rsidR="006E4E2B">
        <w:t xml:space="preserve"> Australians</w:t>
      </w:r>
      <w:r>
        <w:t xml:space="preserve"> (</w:t>
      </w:r>
      <w:r w:rsidR="003F7B15">
        <w:t>box </w:t>
      </w:r>
      <w:r w:rsidR="00897589">
        <w:t>10.</w:t>
      </w:r>
      <w:r>
        <w:t>5</w:t>
      </w:r>
      <w:r w:rsidRPr="00636C4F">
        <w:t>).</w:t>
      </w:r>
    </w:p>
    <w:p w:rsidR="00C10C1C" w:rsidRDefault="00C10C1C">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C10C1C" w:rsidTr="002E0F2B">
        <w:tc>
          <w:tcPr>
            <w:tcW w:w="8771" w:type="dxa"/>
            <w:tcBorders>
              <w:top w:val="single" w:sz="6" w:space="0" w:color="78A22F"/>
              <w:left w:val="nil"/>
              <w:bottom w:val="nil"/>
              <w:right w:val="nil"/>
            </w:tcBorders>
            <w:shd w:val="clear" w:color="auto" w:fill="F2F2F2"/>
          </w:tcPr>
          <w:p w:rsidR="00C10C1C" w:rsidRDefault="00C10C1C">
            <w:pPr>
              <w:pStyle w:val="BoxTitle"/>
            </w:pPr>
            <w:r>
              <w:rPr>
                <w:b w:val="0"/>
              </w:rPr>
              <w:t xml:space="preserve">Box </w:t>
            </w:r>
            <w:r w:rsidRPr="00C10C1C">
              <w:rPr>
                <w:b w:val="0"/>
              </w:rPr>
              <w:t>10.5</w:t>
            </w:r>
            <w:r>
              <w:tab/>
            </w:r>
            <w:r w:rsidRPr="00A26245">
              <w:t xml:space="preserve">Early detection and early treatment for </w:t>
            </w:r>
            <w:r>
              <w:t>Aboriginal and Torres Strait Islander Australians</w:t>
            </w:r>
          </w:p>
        </w:tc>
      </w:tr>
      <w:tr w:rsidR="00C10C1C" w:rsidTr="002E0F2B">
        <w:trPr>
          <w:cantSplit/>
        </w:trPr>
        <w:tc>
          <w:tcPr>
            <w:tcW w:w="8771" w:type="dxa"/>
            <w:tcBorders>
              <w:top w:val="nil"/>
              <w:left w:val="nil"/>
              <w:bottom w:val="nil"/>
              <w:right w:val="nil"/>
            </w:tcBorders>
            <w:shd w:val="clear" w:color="auto" w:fill="F2F2F2"/>
          </w:tcPr>
          <w:p w:rsidR="00C10C1C" w:rsidRPr="00944E91" w:rsidRDefault="00C10C1C" w:rsidP="00C10C1C">
            <w:pPr>
              <w:pStyle w:val="Box"/>
            </w:pPr>
            <w:r w:rsidRPr="00A97B8B">
              <w:t xml:space="preserve">‘Early detection and early treatment for </w:t>
            </w:r>
            <w:r>
              <w:t>Aboriginal and Torres Strait Islander Australians</w:t>
            </w:r>
            <w:r w:rsidRPr="00A97B8B">
              <w:t xml:space="preserve">’ </w:t>
            </w:r>
            <w:r>
              <w:t xml:space="preserve">is </w:t>
            </w:r>
            <w:r w:rsidRPr="00CB289F">
              <w:t>defined as:</w:t>
            </w:r>
          </w:p>
          <w:p w:rsidR="00C10C1C" w:rsidRPr="00CB289F" w:rsidRDefault="00C10C1C" w:rsidP="00C10C1C">
            <w:pPr>
              <w:pStyle w:val="BoxListBullet"/>
            </w:pPr>
            <w:r w:rsidRPr="00CB289F">
              <w:t>the identification of individuals who are at high risk for, or in the early stages of, preventable and/or treatable health conditions (early detection)</w:t>
            </w:r>
          </w:p>
          <w:p w:rsidR="00C10C1C" w:rsidRDefault="00C10C1C" w:rsidP="00C10C1C">
            <w:pPr>
              <w:pStyle w:val="BoxListBullet"/>
            </w:pPr>
            <w:r>
              <w:t xml:space="preserve">the </w:t>
            </w:r>
            <w:r w:rsidRPr="00CB289F">
              <w:t>provision of appropriate</w:t>
            </w:r>
            <w:r>
              <w:t xml:space="preserve"> and timely</w:t>
            </w:r>
            <w:r w:rsidRPr="00CB289F">
              <w:t xml:space="preserve"> prevention and intervention measures </w:t>
            </w:r>
            <w:r w:rsidRPr="00AB2F4C">
              <w:t>(early treatment).</w:t>
            </w:r>
          </w:p>
          <w:p w:rsidR="00C10C1C" w:rsidRDefault="00C10C1C" w:rsidP="00C10C1C">
            <w:pPr>
              <w:pStyle w:val="Continued"/>
            </w:pPr>
            <w:r>
              <w:t>(Continued next page)</w:t>
            </w:r>
          </w:p>
        </w:tc>
      </w:tr>
      <w:tr w:rsidR="00C10C1C" w:rsidTr="002E0F2B">
        <w:trPr>
          <w:cantSplit/>
        </w:trPr>
        <w:tc>
          <w:tcPr>
            <w:tcW w:w="8771" w:type="dxa"/>
            <w:tcBorders>
              <w:top w:val="nil"/>
              <w:left w:val="nil"/>
              <w:bottom w:val="single" w:sz="6" w:space="0" w:color="78A22F"/>
              <w:right w:val="nil"/>
            </w:tcBorders>
            <w:shd w:val="clear" w:color="auto" w:fill="F2F2F2"/>
          </w:tcPr>
          <w:p w:rsidR="00C10C1C" w:rsidRDefault="00C10C1C">
            <w:pPr>
              <w:pStyle w:val="Box"/>
              <w:spacing w:before="0" w:line="120" w:lineRule="exact"/>
            </w:pPr>
          </w:p>
        </w:tc>
      </w:tr>
      <w:tr w:rsidR="00C10C1C" w:rsidRPr="000863A5" w:rsidTr="002E0F2B">
        <w:tc>
          <w:tcPr>
            <w:tcW w:w="8771" w:type="dxa"/>
            <w:tcBorders>
              <w:top w:val="single" w:sz="6" w:space="0" w:color="78A22F"/>
              <w:left w:val="nil"/>
              <w:bottom w:val="nil"/>
              <w:right w:val="nil"/>
            </w:tcBorders>
          </w:tcPr>
          <w:p w:rsidR="00C10C1C" w:rsidRPr="00626D32" w:rsidRDefault="00C10C1C" w:rsidP="002E0F2B">
            <w:pPr>
              <w:pStyle w:val="BoxSpaceBelow"/>
            </w:pPr>
          </w:p>
        </w:tc>
      </w:tr>
    </w:tbl>
    <w:p w:rsidR="00E8358F" w:rsidRDefault="00E8358F">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8358F" w:rsidTr="00867BB6">
        <w:tc>
          <w:tcPr>
            <w:tcW w:w="8771" w:type="dxa"/>
            <w:tcBorders>
              <w:top w:val="single" w:sz="6" w:space="0" w:color="78A22F"/>
              <w:left w:val="nil"/>
              <w:bottom w:val="nil"/>
              <w:right w:val="nil"/>
            </w:tcBorders>
            <w:shd w:val="clear" w:color="auto" w:fill="F2F2F2" w:themeFill="background1" w:themeFillShade="F2"/>
          </w:tcPr>
          <w:p w:rsidR="00E8358F" w:rsidRDefault="00E8358F">
            <w:pPr>
              <w:pStyle w:val="BoxTitle"/>
            </w:pPr>
            <w:r>
              <w:rPr>
                <w:b w:val="0"/>
              </w:rPr>
              <w:t xml:space="preserve">Box </w:t>
            </w:r>
            <w:bookmarkStart w:id="15" w:name="OLE_LINK1"/>
            <w:r>
              <w:rPr>
                <w:b w:val="0"/>
              </w:rPr>
              <w:t>10.</w:t>
            </w:r>
            <w:r w:rsidR="0078724D">
              <w:rPr>
                <w:b w:val="0"/>
                <w:noProof/>
              </w:rPr>
              <w:t>5</w:t>
            </w:r>
            <w:bookmarkEnd w:id="15"/>
            <w:r>
              <w:tab/>
            </w:r>
            <w:r w:rsidR="00C10C1C" w:rsidRPr="001A63CD">
              <w:rPr>
                <w:sz w:val="18"/>
                <w:szCs w:val="18"/>
              </w:rPr>
              <w:t>(Continued)</w:t>
            </w:r>
          </w:p>
        </w:tc>
      </w:tr>
      <w:tr w:rsidR="00E8358F" w:rsidTr="00867BB6">
        <w:trPr>
          <w:cantSplit/>
        </w:trPr>
        <w:tc>
          <w:tcPr>
            <w:tcW w:w="8771" w:type="dxa"/>
            <w:tcBorders>
              <w:top w:val="nil"/>
              <w:left w:val="nil"/>
              <w:bottom w:val="nil"/>
              <w:right w:val="nil"/>
            </w:tcBorders>
            <w:shd w:val="clear" w:color="auto" w:fill="F2F2F2" w:themeFill="background1" w:themeFillShade="F2"/>
          </w:tcPr>
          <w:p w:rsidR="00E8358F" w:rsidRPr="00944E91" w:rsidRDefault="00441189" w:rsidP="00867BB6">
            <w:pPr>
              <w:pStyle w:val="Box"/>
            </w:pPr>
            <w:r>
              <w:t>Three</w:t>
            </w:r>
            <w:r w:rsidR="00E8358F" w:rsidRPr="00CB289F">
              <w:t xml:space="preserve"> measures of early detection and early treatment for </w:t>
            </w:r>
            <w:r w:rsidR="00D16EBA">
              <w:t>Aboriginal and Torres Strait Islander</w:t>
            </w:r>
            <w:r w:rsidR="00E8358F">
              <w:t xml:space="preserve"> Australians</w:t>
            </w:r>
            <w:r w:rsidR="00E8358F" w:rsidRPr="00CB289F">
              <w:t xml:space="preserve"> are reported:</w:t>
            </w:r>
          </w:p>
          <w:p w:rsidR="00E8358F" w:rsidRDefault="00E8358F" w:rsidP="00867BB6">
            <w:pPr>
              <w:pStyle w:val="BoxListBullet"/>
            </w:pPr>
            <w:r>
              <w:t>the proportion of older people w</w:t>
            </w:r>
            <w:r w:rsidR="003F7B15">
              <w:t xml:space="preserve">ho received a health assessment </w:t>
            </w:r>
            <w:r w:rsidR="00692D5A">
              <w:t xml:space="preserve">under DHS Medicare </w:t>
            </w:r>
            <w:r w:rsidR="003F7B15">
              <w:t>by Indigenous status</w:t>
            </w:r>
          </w:p>
          <w:p w:rsidR="00E8358F" w:rsidRDefault="00E8358F" w:rsidP="00867BB6">
            <w:pPr>
              <w:pStyle w:val="BoxListBullet2"/>
            </w:pPr>
            <w:r>
              <w:t>o</w:t>
            </w:r>
            <w:r w:rsidRPr="002D0651">
              <w:t>lder people are defined as</w:t>
            </w:r>
            <w:r w:rsidR="003F7B15">
              <w:t xml:space="preserve"> Aboriginal and Torres Strait Islander Australians aged 55 </w:t>
            </w:r>
            <w:r w:rsidR="003F7B15" w:rsidRPr="002D0651">
              <w:t>years or over</w:t>
            </w:r>
            <w:r w:rsidR="003F7B15">
              <w:t xml:space="preserve"> and other Australians</w:t>
            </w:r>
            <w:r w:rsidRPr="002D0651">
              <w:t xml:space="preserve"> </w:t>
            </w:r>
            <w:r w:rsidR="003F7B15" w:rsidRPr="002D0651">
              <w:t>aged 75 years or ove</w:t>
            </w:r>
            <w:r w:rsidR="003F7B15">
              <w:t>r</w:t>
            </w:r>
            <w:r w:rsidRPr="002D0651">
              <w:t>, excluding hospital inpatients and people living in aged care facilities</w:t>
            </w:r>
            <w:r w:rsidRPr="00CA3416">
              <w:t xml:space="preserve">. The relatively young age at which </w:t>
            </w:r>
            <w:r w:rsidR="00D16EBA">
              <w:t>Aboriginal and Torres Strait Islander</w:t>
            </w:r>
            <w:r>
              <w:t xml:space="preserve"> Australians</w:t>
            </w:r>
            <w:r w:rsidRPr="00CA3416">
              <w:t xml:space="preserve"> become eligible for ‘older’ people’s services recognises that they typically face increased health risks at younger ages than most other groups in the population. It also broadly reflects the difference in average life expectancy between </w:t>
            </w:r>
            <w:r w:rsidR="00D16EBA">
              <w:t>Aboriginal and Torres Strait Islander</w:t>
            </w:r>
            <w:r w:rsidRPr="00CA3416">
              <w:t xml:space="preserve"> and </w:t>
            </w:r>
            <w:r w:rsidR="00BB503F">
              <w:t>other Australians</w:t>
            </w:r>
            <w:r w:rsidRPr="00CA3416">
              <w:t xml:space="preserve"> (see the Health </w:t>
            </w:r>
            <w:r>
              <w:t>sector overview)</w:t>
            </w:r>
          </w:p>
          <w:p w:rsidR="00E8358F" w:rsidRPr="00CB289F" w:rsidRDefault="00E8358F" w:rsidP="00867BB6">
            <w:pPr>
              <w:pStyle w:val="BoxListBullet2"/>
            </w:pPr>
            <w:r w:rsidRPr="00CB289F">
              <w:t xml:space="preserve">health assessments are MBS items that allow </w:t>
            </w:r>
            <w:r w:rsidRPr="009538E3">
              <w:t xml:space="preserve">comprehensive examinations of patient health, including physical, psychological and social functioning. </w:t>
            </w:r>
            <w:r w:rsidRPr="00CB289F">
              <w:t xml:space="preserve">The assessments are intended to facilitate </w:t>
            </w:r>
            <w:r w:rsidRPr="00822EBC">
              <w:t xml:space="preserve">timely prevention and intervention measures </w:t>
            </w:r>
            <w:r w:rsidRPr="00CB289F">
              <w:t xml:space="preserve">to </w:t>
            </w:r>
            <w:r>
              <w:t xml:space="preserve">improve </w:t>
            </w:r>
            <w:r w:rsidRPr="00CB289F">
              <w:t>patient health</w:t>
            </w:r>
            <w:r>
              <w:t xml:space="preserve"> and wellbeing.</w:t>
            </w:r>
          </w:p>
          <w:p w:rsidR="00E8358F" w:rsidRDefault="00E8358F" w:rsidP="00867BB6">
            <w:pPr>
              <w:pStyle w:val="BoxListBullet"/>
            </w:pPr>
            <w:r>
              <w:t xml:space="preserve">the proportion of older </w:t>
            </w:r>
            <w:r w:rsidR="00D16EBA">
              <w:t>Aboriginal and Torres Strait Islander</w:t>
            </w:r>
            <w:r>
              <w:t xml:space="preserve"> Australians who received a health assessment </w:t>
            </w:r>
            <w:r w:rsidR="00767B55">
              <w:t xml:space="preserve">under DHS Medicare </w:t>
            </w:r>
            <w:r>
              <w:t>in successive years of a five year period</w:t>
            </w:r>
          </w:p>
          <w:p w:rsidR="00E8358F" w:rsidRDefault="00E8358F" w:rsidP="00867BB6">
            <w:pPr>
              <w:pStyle w:val="BoxListBullet"/>
            </w:pPr>
            <w:r>
              <w:t xml:space="preserve">the proportion of </w:t>
            </w:r>
            <w:r w:rsidR="00D16EBA">
              <w:t>Aboriginal and Torres Strait Islander</w:t>
            </w:r>
            <w:r>
              <w:t xml:space="preserve"> Australians who received a health assessment or check </w:t>
            </w:r>
            <w:r w:rsidR="00767B55">
              <w:t xml:space="preserve">under DHS Medicare </w:t>
            </w:r>
            <w:r>
              <w:t xml:space="preserve">by age group — health assessment/checks are available for </w:t>
            </w:r>
            <w:r w:rsidR="00D16EBA">
              <w:t>Aboriginal and Torres Strait Islander</w:t>
            </w:r>
            <w:r>
              <w:t xml:space="preserve"> children (</w:t>
            </w:r>
            <w:r w:rsidRPr="00C722FC">
              <w:t>0–14 year</w:t>
            </w:r>
            <w:r>
              <w:t>s), adults (15</w:t>
            </w:r>
            <w:r w:rsidRPr="00C722FC">
              <w:t>–</w:t>
            </w:r>
            <w:r w:rsidR="003F44E6">
              <w:t>54 years) and older people (55 </w:t>
            </w:r>
            <w:r>
              <w:t>years or over).</w:t>
            </w:r>
          </w:p>
          <w:p w:rsidR="00C10C1C" w:rsidRDefault="00C10C1C" w:rsidP="00C10C1C">
            <w:pPr>
              <w:pStyle w:val="Box"/>
            </w:pPr>
            <w:r>
              <w:t xml:space="preserve">A low or decreasing gap between the proportion of </w:t>
            </w:r>
            <w:r w:rsidRPr="00DC3CAF">
              <w:t>Aboriginal and Torres Strait Islander</w:t>
            </w:r>
            <w:r>
              <w:t xml:space="preserve"> and other Australians who received a health assessment can indicate more equitable access to early detection and early treatment services for Aboriginal and Torres Strait Islander Australians. An increase over time in the proportion of older Aboriginal and Torres Strait Islander Australians who received a health assessment is desirable as it indicates improved access to these services. A low or decreasing gap between the proportion of Aboriginal and Torres Strait Islander Australians in different age groups who received a health assessment/check can indicate more equitable access to early detection and treatment services within the Aboriginal and Torres Strait Islander population.</w:t>
            </w:r>
          </w:p>
          <w:p w:rsidR="00C10C1C" w:rsidRPr="001F6AA2" w:rsidRDefault="00C10C1C" w:rsidP="00C10C1C">
            <w:pPr>
              <w:pStyle w:val="Box"/>
            </w:pPr>
            <w:r w:rsidRPr="001F6AA2">
              <w:t xml:space="preserve">This indicator provides no </w:t>
            </w:r>
            <w:r w:rsidRPr="00AA1187">
              <w:t xml:space="preserve">information about </w:t>
            </w:r>
            <w:r w:rsidRPr="00C4450C">
              <w:t xml:space="preserve">health assessments provided </w:t>
            </w:r>
            <w:r>
              <w:t xml:space="preserve">outside DHS Medicare. </w:t>
            </w:r>
            <w:r w:rsidRPr="00AA1187">
              <w:t xml:space="preserve">Such services are provided </w:t>
            </w:r>
            <w:r>
              <w:t xml:space="preserve">under service delivery models </w:t>
            </w:r>
            <w:r w:rsidRPr="00C4450C">
              <w:t xml:space="preserve">used, for example, in remote and very remote areas </w:t>
            </w:r>
            <w:r>
              <w:t xml:space="preserve">and therefore accessed </w:t>
            </w:r>
            <w:r w:rsidRPr="00C4450C">
              <w:t xml:space="preserve">predominantly by </w:t>
            </w:r>
            <w:r>
              <w:t>Aboriginal and Torres Strait Islander Australians</w:t>
            </w:r>
            <w:r w:rsidRPr="001F6AA2">
              <w:t xml:space="preserve">. Accordingly, this indicator understates the proportion of </w:t>
            </w:r>
            <w:r>
              <w:t>Aboriginal and Torres Strait Islander Australians</w:t>
            </w:r>
            <w:r w:rsidRPr="001F6AA2">
              <w:t xml:space="preserve"> who received early detection and early treatment services.</w:t>
            </w:r>
          </w:p>
          <w:p w:rsidR="00C10C1C" w:rsidRDefault="00C10C1C" w:rsidP="00C10C1C">
            <w:pPr>
              <w:pStyle w:val="Box"/>
            </w:pPr>
            <w:r>
              <w:t>Data reported for this indicator are:</w:t>
            </w:r>
          </w:p>
          <w:p w:rsidR="00C10C1C" w:rsidRDefault="00C10C1C" w:rsidP="00C10C1C">
            <w:pPr>
              <w:pStyle w:val="BoxListBullet"/>
            </w:pPr>
            <w:r>
              <w:t>comparable (subject to caveats) across jurisdictions and over time</w:t>
            </w:r>
          </w:p>
          <w:p w:rsidR="00C10C1C" w:rsidRDefault="00C10C1C" w:rsidP="00C10C1C">
            <w:pPr>
              <w:pStyle w:val="BoxListBullet"/>
            </w:pPr>
            <w:r>
              <w:t>complete (subject to caveats) for the current reporting period. All required data are available for all jurisdictions for 2013</w:t>
            </w:r>
            <w:r>
              <w:noBreakHyphen/>
              <w:t>14.</w:t>
            </w:r>
          </w:p>
          <w:p w:rsidR="00E8358F" w:rsidRDefault="00C10C1C" w:rsidP="00C10C1C">
            <w:pPr>
              <w:pStyle w:val="Box"/>
            </w:pPr>
            <w:r w:rsidRPr="00852E95">
              <w:t>Data quality information for this indicator</w:t>
            </w:r>
            <w:r>
              <w:t xml:space="preserve"> is at www.pc.gov.au</w:t>
            </w:r>
            <w:r w:rsidRPr="00852E95">
              <w:t>/</w:t>
            </w:r>
            <w:r>
              <w:t>rogs/2015</w:t>
            </w:r>
            <w:r w:rsidRPr="00852E95">
              <w:t>.</w:t>
            </w:r>
          </w:p>
        </w:tc>
      </w:tr>
      <w:tr w:rsidR="00E8358F" w:rsidTr="00867BB6">
        <w:trPr>
          <w:cantSplit/>
        </w:trPr>
        <w:tc>
          <w:tcPr>
            <w:tcW w:w="8771" w:type="dxa"/>
            <w:tcBorders>
              <w:top w:val="nil"/>
              <w:left w:val="nil"/>
              <w:bottom w:val="single" w:sz="6" w:space="0" w:color="78A22F"/>
              <w:right w:val="nil"/>
            </w:tcBorders>
            <w:shd w:val="clear" w:color="auto" w:fill="F2F2F2" w:themeFill="background1" w:themeFillShade="F2"/>
          </w:tcPr>
          <w:p w:rsidR="00E8358F" w:rsidRDefault="00E8358F">
            <w:pPr>
              <w:pStyle w:val="Box"/>
              <w:spacing w:before="0" w:line="120" w:lineRule="exact"/>
            </w:pPr>
          </w:p>
        </w:tc>
      </w:tr>
      <w:tr w:rsidR="00E8358F" w:rsidRPr="000863A5" w:rsidTr="00867BB6">
        <w:tc>
          <w:tcPr>
            <w:tcW w:w="8771" w:type="dxa"/>
            <w:tcBorders>
              <w:top w:val="single" w:sz="6" w:space="0" w:color="78A22F"/>
              <w:left w:val="nil"/>
              <w:bottom w:val="nil"/>
              <w:right w:val="nil"/>
            </w:tcBorders>
          </w:tcPr>
          <w:p w:rsidR="00E8358F" w:rsidRPr="00626D32" w:rsidRDefault="00E8358F" w:rsidP="00867BB6">
            <w:pPr>
              <w:pStyle w:val="BoxSpaceBelow"/>
            </w:pPr>
          </w:p>
        </w:tc>
      </w:tr>
    </w:tbl>
    <w:p w:rsidR="00AA1187" w:rsidRPr="00944E91" w:rsidRDefault="00AA1187" w:rsidP="00944E91">
      <w:pPr>
        <w:pStyle w:val="BodyText"/>
      </w:pPr>
      <w:r w:rsidRPr="00A97B8B">
        <w:t xml:space="preserve">The high prevalence of preventable and/or treatable health conditions in the </w:t>
      </w:r>
      <w:r w:rsidR="00D16EBA">
        <w:t>Aboriginal and Torres Strait Islander</w:t>
      </w:r>
      <w:r w:rsidRPr="00A97B8B">
        <w:t xml:space="preserve"> population is strongly associated with relatively poor health outco</w:t>
      </w:r>
      <w:r>
        <w:t xml:space="preserve">mes for </w:t>
      </w:r>
      <w:r w:rsidR="00D16EBA">
        <w:t>Aboriginal and Torres Strait Islander</w:t>
      </w:r>
      <w:r w:rsidR="006E4E2B">
        <w:t xml:space="preserve"> Australians</w:t>
      </w:r>
      <w:r>
        <w:t xml:space="preserve"> (</w:t>
      </w:r>
      <w:r w:rsidR="0088243E" w:rsidRPr="00272E7C">
        <w:t>AIHW</w:t>
      </w:r>
      <w:r w:rsidR="00B7780B">
        <w:t> </w:t>
      </w:r>
      <w:r w:rsidR="0088243E" w:rsidRPr="00272E7C">
        <w:t>2008a</w:t>
      </w:r>
      <w:r w:rsidRPr="00272E7C">
        <w:t>; SCRGSP 201</w:t>
      </w:r>
      <w:r w:rsidR="0033570A">
        <w:t>4</w:t>
      </w:r>
      <w:r w:rsidRPr="00272E7C">
        <w:t>)</w:t>
      </w:r>
      <w:r w:rsidRPr="00A97B8B">
        <w:t xml:space="preserve">. </w:t>
      </w:r>
      <w:r>
        <w:t xml:space="preserve">The </w:t>
      </w:r>
      <w:r w:rsidRPr="00A97B8B">
        <w:t xml:space="preserve">availability and uptake </w:t>
      </w:r>
      <w:r>
        <w:t>of e</w:t>
      </w:r>
      <w:r w:rsidRPr="00A97B8B">
        <w:t xml:space="preserve">arly detection and early treatment services is understood to be a significant </w:t>
      </w:r>
      <w:r w:rsidR="000A419E">
        <w:t>determinant of people’s health.</w:t>
      </w:r>
    </w:p>
    <w:p w:rsidR="00F20B65" w:rsidRDefault="005B665E" w:rsidP="00F20B65">
      <w:pPr>
        <w:pStyle w:val="BodyText"/>
      </w:pPr>
      <w:r>
        <w:t xml:space="preserve">Nationally, the proportion of older people receiving </w:t>
      </w:r>
      <w:r w:rsidR="00822DF9">
        <w:t>a health assessment</w:t>
      </w:r>
      <w:r>
        <w:t xml:space="preserve"> was </w:t>
      </w:r>
      <w:r w:rsidR="00F23751">
        <w:t>30.4 per cent</w:t>
      </w:r>
      <w:r w:rsidR="00822DF9">
        <w:t xml:space="preserve"> for Aboriginal and Torres Strait Islander people and </w:t>
      </w:r>
      <w:r w:rsidR="00822DF9" w:rsidRPr="00F23751">
        <w:t>31.1</w:t>
      </w:r>
      <w:r w:rsidR="00822DF9">
        <w:t xml:space="preserve"> per cent </w:t>
      </w:r>
      <w:r w:rsidR="00BF53FE">
        <w:t xml:space="preserve">for other Australians </w:t>
      </w:r>
      <w:r w:rsidR="00822DF9">
        <w:t>i</w:t>
      </w:r>
      <w:r w:rsidR="00822DF9" w:rsidRPr="000F232C">
        <w:t>n</w:t>
      </w:r>
      <w:r w:rsidR="00822DF9">
        <w:t xml:space="preserve"> 2013</w:t>
      </w:r>
      <w:r w:rsidR="00822DF9" w:rsidRPr="00401391">
        <w:t>-1</w:t>
      </w:r>
      <w:r w:rsidR="00822DF9">
        <w:t>4 (figure 10.10)</w:t>
      </w:r>
      <w:r w:rsidR="00BF53FE">
        <w:t xml:space="preserve">. </w:t>
      </w:r>
      <w:r w:rsidR="00822DF9">
        <w:t xml:space="preserve">There was considerable variation across </w:t>
      </w:r>
      <w:r w:rsidR="00F23751">
        <w:t xml:space="preserve">States and Territories </w:t>
      </w:r>
      <w:r w:rsidR="00822DF9">
        <w:t xml:space="preserve">in the relative proportion of older people </w:t>
      </w:r>
      <w:r w:rsidR="00856540">
        <w:t xml:space="preserve">receiving a health assessment </w:t>
      </w:r>
      <w:r w:rsidR="00C84D27">
        <w:t>for</w:t>
      </w:r>
      <w:r w:rsidR="00856540">
        <w:t xml:space="preserve"> these populations</w:t>
      </w:r>
      <w:r w:rsidR="00822DF9">
        <w:t>.</w:t>
      </w:r>
    </w:p>
    <w:p w:rsidR="001264A6" w:rsidRDefault="001264A6" w:rsidP="0067713D">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1264A6" w:rsidTr="0067713D">
        <w:tc>
          <w:tcPr>
            <w:tcW w:w="8771" w:type="dxa"/>
            <w:tcBorders>
              <w:top w:val="single" w:sz="6" w:space="0" w:color="78A22F"/>
              <w:left w:val="nil"/>
              <w:bottom w:val="nil"/>
              <w:right w:val="nil"/>
            </w:tcBorders>
            <w:shd w:val="clear" w:color="auto" w:fill="auto"/>
          </w:tcPr>
          <w:p w:rsidR="001264A6" w:rsidRPr="00176D3F" w:rsidRDefault="001264A6" w:rsidP="006809B4">
            <w:pPr>
              <w:pStyle w:val="FigureTitle"/>
            </w:pPr>
            <w:r w:rsidRPr="00784A05">
              <w:rPr>
                <w:b w:val="0"/>
              </w:rPr>
              <w:t xml:space="preserve">Figure </w:t>
            </w:r>
            <w:r w:rsidR="00DF255F">
              <w:rPr>
                <w:b w:val="0"/>
              </w:rPr>
              <w:t>10.</w:t>
            </w:r>
            <w:r w:rsidR="0078724D">
              <w:rPr>
                <w:b w:val="0"/>
                <w:noProof/>
              </w:rPr>
              <w:t>10</w:t>
            </w:r>
            <w:r>
              <w:tab/>
            </w:r>
            <w:r w:rsidRPr="002D6B26">
              <w:t xml:space="preserve">Older people who received an annual health assessment by </w:t>
            </w:r>
            <w:r w:rsidR="007E3CE2">
              <w:t>Indig</w:t>
            </w:r>
            <w:r w:rsidR="006809B4">
              <w:t>e</w:t>
            </w:r>
            <w:r w:rsidR="007E3CE2">
              <w:t>nous</w:t>
            </w:r>
            <w:r w:rsidRPr="002D6B26">
              <w:t xml:space="preserve"> status</w:t>
            </w:r>
            <w:r w:rsidRPr="00F73449">
              <w:t>,</w:t>
            </w:r>
            <w:r>
              <w:t xml:space="preserve"> 201</w:t>
            </w:r>
            <w:r w:rsidR="007E3CE2">
              <w:t>3</w:t>
            </w:r>
            <w:r>
              <w:t>-1</w:t>
            </w:r>
            <w:r w:rsidR="007E3CE2">
              <w:t>4</w:t>
            </w:r>
            <w:r w:rsidRPr="00401391">
              <w:rPr>
                <w:rStyle w:val="NoteLabel"/>
                <w:b/>
              </w:rPr>
              <w:t>a</w:t>
            </w:r>
            <w:r w:rsidRPr="00FB3120">
              <w:rPr>
                <w:rStyle w:val="NoteLabel"/>
                <w:b/>
              </w:rPr>
              <w:t>, b</w:t>
            </w:r>
            <w:r>
              <w:rPr>
                <w:rStyle w:val="NoteLabel"/>
                <w:b/>
              </w:rPr>
              <w:t>, c, d</w:t>
            </w:r>
          </w:p>
        </w:tc>
      </w:tr>
      <w:tr w:rsidR="001264A6" w:rsidTr="0067713D">
        <w:tc>
          <w:tcPr>
            <w:tcW w:w="8771" w:type="dxa"/>
            <w:tcBorders>
              <w:top w:val="nil"/>
              <w:left w:val="nil"/>
              <w:bottom w:val="nil"/>
              <w:right w:val="nil"/>
            </w:tcBorders>
            <w:shd w:val="clear" w:color="auto" w:fill="auto"/>
            <w:tcMar>
              <w:top w:w="28" w:type="dxa"/>
              <w:bottom w:w="28" w:type="dxa"/>
            </w:tcMar>
          </w:tcPr>
          <w:tbl>
            <w:tblPr>
              <w:tblW w:w="8625" w:type="dxa"/>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625"/>
            </w:tblGrid>
            <w:tr w:rsidR="001264A6" w:rsidTr="00FD0229">
              <w:tc>
                <w:tcPr>
                  <w:tcW w:w="5000" w:type="pct"/>
                  <w:tcBorders>
                    <w:top w:val="nil"/>
                    <w:bottom w:val="nil"/>
                  </w:tcBorders>
                </w:tcPr>
                <w:p w:rsidR="001264A6" w:rsidRDefault="00583B5D" w:rsidP="0067713D">
                  <w:pPr>
                    <w:pStyle w:val="Figure"/>
                    <w:spacing w:before="60" w:after="60"/>
                  </w:pPr>
                  <w:r>
                    <w:rPr>
                      <w:noProof/>
                    </w:rPr>
                    <w:drawing>
                      <wp:inline distT="0" distB="0" distL="0" distR="0">
                        <wp:extent cx="5381625" cy="2876550"/>
                        <wp:effectExtent l="0" t="0" r="9525" b="0"/>
                        <wp:docPr id="15" name="Picture 15" descr="Figure 10.10 Older people who received an annual health assessment by Indigenous status, 2013-14&#10;&#10;More details can be found within the text surrounding this image.&#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381625" cy="2876550"/>
                                </a:xfrm>
                                <a:prstGeom prst="rect">
                                  <a:avLst/>
                                </a:prstGeom>
                                <a:noFill/>
                                <a:ln>
                                  <a:noFill/>
                                </a:ln>
                              </pic:spPr>
                            </pic:pic>
                          </a:graphicData>
                        </a:graphic>
                      </wp:inline>
                    </w:drawing>
                  </w:r>
                </w:p>
              </w:tc>
            </w:tr>
          </w:tbl>
          <w:p w:rsidR="001264A6" w:rsidRDefault="001264A6" w:rsidP="0067713D">
            <w:pPr>
              <w:pStyle w:val="Figure"/>
            </w:pPr>
          </w:p>
        </w:tc>
      </w:tr>
      <w:tr w:rsidR="001264A6" w:rsidRPr="00176D3F" w:rsidTr="0067713D">
        <w:tc>
          <w:tcPr>
            <w:tcW w:w="8771" w:type="dxa"/>
            <w:tcBorders>
              <w:top w:val="nil"/>
              <w:left w:val="nil"/>
              <w:bottom w:val="nil"/>
              <w:right w:val="nil"/>
            </w:tcBorders>
            <w:shd w:val="clear" w:color="auto" w:fill="auto"/>
          </w:tcPr>
          <w:p w:rsidR="001264A6" w:rsidRPr="00176D3F" w:rsidRDefault="001264A6" w:rsidP="00121D81">
            <w:pPr>
              <w:pStyle w:val="Note"/>
            </w:pPr>
            <w:r>
              <w:rPr>
                <w:rStyle w:val="NoteLabel"/>
              </w:rPr>
              <w:t>a</w:t>
            </w:r>
            <w:r w:rsidRPr="002D6B26">
              <w:t xml:space="preserve"> Older people are defined as </w:t>
            </w:r>
            <w:r w:rsidR="00D16EBA">
              <w:t>Aboriginal and Torres Strait Islander</w:t>
            </w:r>
            <w:r>
              <w:t xml:space="preserve"> Australians</w:t>
            </w:r>
            <w:r w:rsidRPr="002D6B26">
              <w:t xml:space="preserve"> aged 55</w:t>
            </w:r>
            <w:r>
              <w:t> </w:t>
            </w:r>
            <w:r w:rsidRPr="002D6B26">
              <w:t>years</w:t>
            </w:r>
            <w:r>
              <w:t> or </w:t>
            </w:r>
            <w:r w:rsidRPr="002D6B26">
              <w:t xml:space="preserve">over and </w:t>
            </w:r>
            <w:r w:rsidR="007E3CE2">
              <w:t>other</w:t>
            </w:r>
            <w:r>
              <w:t xml:space="preserve"> Australians</w:t>
            </w:r>
            <w:r w:rsidRPr="002D6B26">
              <w:t xml:space="preserve"> aged 75</w:t>
            </w:r>
            <w:r>
              <w:t> </w:t>
            </w:r>
            <w:r w:rsidRPr="002D6B26">
              <w:t>years</w:t>
            </w:r>
            <w:r>
              <w:t> or </w:t>
            </w:r>
            <w:r w:rsidRPr="002D6B26">
              <w:t xml:space="preserve">over. </w:t>
            </w:r>
            <w:r w:rsidRPr="00965A7A">
              <w:rPr>
                <w:rStyle w:val="NoteLabel"/>
              </w:rPr>
              <w:t>b</w:t>
            </w:r>
            <w:r>
              <w:t> </w:t>
            </w:r>
            <w:r w:rsidR="00560EE3">
              <w:t xml:space="preserve">The </w:t>
            </w:r>
            <w:r w:rsidR="00560EE3" w:rsidRPr="00560EE3">
              <w:t xml:space="preserve">population of </w:t>
            </w:r>
            <w:r w:rsidR="00D16EBA" w:rsidRPr="00560EE3">
              <w:t>Aboriginal and Torres Strait Islander</w:t>
            </w:r>
            <w:r w:rsidRPr="00560EE3">
              <w:t xml:space="preserve"> </w:t>
            </w:r>
            <w:r w:rsidR="00560EE3" w:rsidRPr="00560EE3">
              <w:t>peopl</w:t>
            </w:r>
            <w:r w:rsidR="00560EE3">
              <w:t>e</w:t>
            </w:r>
            <w:r w:rsidRPr="002D6B26">
              <w:t xml:space="preserve"> is determined by self-identifica</w:t>
            </w:r>
            <w:r>
              <w:t xml:space="preserve">tion. </w:t>
            </w:r>
            <w:r w:rsidR="00D16EBA">
              <w:t>Aboriginal and Torres Strait Islander</w:t>
            </w:r>
            <w:r>
              <w:t xml:space="preserve"> Australians aged 75 </w:t>
            </w:r>
            <w:r w:rsidRPr="002D6B26">
              <w:t>years</w:t>
            </w:r>
            <w:r>
              <w:t> </w:t>
            </w:r>
            <w:r w:rsidRPr="002D6B26">
              <w:t>or</w:t>
            </w:r>
            <w:r>
              <w:t> </w:t>
            </w:r>
            <w:r w:rsidRPr="002D6B26">
              <w:t xml:space="preserve">over may </w:t>
            </w:r>
            <w:r>
              <w:t xml:space="preserve">receive </w:t>
            </w:r>
            <w:r w:rsidRPr="002D6B26">
              <w:t>the</w:t>
            </w:r>
            <w:r>
              <w:t xml:space="preserve"> mainstream MBS Health Assessment for people aged 75 years or over</w:t>
            </w:r>
            <w:r w:rsidRPr="002D6B26">
              <w:t xml:space="preserve">. This is unlikely to affect overall proportions significantly, due to the relatively low average life expectancy of </w:t>
            </w:r>
            <w:r w:rsidR="00D16EBA">
              <w:t>Aboriginal and Torres Strait Islander</w:t>
            </w:r>
            <w:r>
              <w:t xml:space="preserve"> Australians</w:t>
            </w:r>
            <w:r w:rsidRPr="004D42BF">
              <w:t xml:space="preserve">. </w:t>
            </w:r>
            <w:r w:rsidRPr="004D42BF">
              <w:rPr>
                <w:rStyle w:val="NoteLabel"/>
              </w:rPr>
              <w:t xml:space="preserve">c </w:t>
            </w:r>
            <w:r w:rsidRPr="004D42BF">
              <w:t xml:space="preserve">Data exclude health assessments provided outside DHS Medicare under service models used to increase access for people in remote areas and for </w:t>
            </w:r>
            <w:r w:rsidR="00D16EBA">
              <w:t>Aboriginal and Torres Strait Islander</w:t>
            </w:r>
            <w:r w:rsidRPr="004D42BF">
              <w:t xml:space="preserve"> Australians. Data for </w:t>
            </w:r>
            <w:r w:rsidR="00D16EBA">
              <w:t>Aboriginal and Torres Strait Islander</w:t>
            </w:r>
            <w:r w:rsidRPr="004D42BF">
              <w:t xml:space="preserve"> Australians are therefore likely to understate the proportion who access health assessments.</w:t>
            </w:r>
            <w:r>
              <w:t xml:space="preserve"> </w:t>
            </w:r>
            <w:r>
              <w:rPr>
                <w:rStyle w:val="NoteLabel"/>
              </w:rPr>
              <w:t>d</w:t>
            </w:r>
            <w:r>
              <w:t> </w:t>
            </w:r>
            <w:r w:rsidR="00585874" w:rsidRPr="00585874">
              <w:t xml:space="preserve">Rates are </w:t>
            </w:r>
            <w:r w:rsidR="00585874">
              <w:t xml:space="preserve">derived using </w:t>
            </w:r>
            <w:r w:rsidR="00585874" w:rsidRPr="00585874">
              <w:t>the ABS’ final 2011 Census rebased estimates and projections. See chapter 2 (tables 2A.</w:t>
            </w:r>
            <w:r w:rsidR="00121D81">
              <w:t>2 and 2A.13</w:t>
            </w:r>
            <w:r w:rsidR="00585874" w:rsidRPr="00585874">
              <w:t>-1</w:t>
            </w:r>
            <w:r w:rsidR="00121D81">
              <w:t>4</w:t>
            </w:r>
            <w:r w:rsidR="00585874" w:rsidRPr="00585874">
              <w:t>) for details</w:t>
            </w:r>
            <w:r w:rsidR="00585874">
              <w:t>.</w:t>
            </w:r>
          </w:p>
        </w:tc>
      </w:tr>
      <w:tr w:rsidR="001264A6" w:rsidRPr="00176D3F" w:rsidTr="0067713D">
        <w:tc>
          <w:tcPr>
            <w:tcW w:w="8771" w:type="dxa"/>
            <w:tcBorders>
              <w:top w:val="nil"/>
              <w:left w:val="nil"/>
              <w:bottom w:val="nil"/>
              <w:right w:val="nil"/>
            </w:tcBorders>
            <w:shd w:val="clear" w:color="auto" w:fill="auto"/>
          </w:tcPr>
          <w:p w:rsidR="001264A6" w:rsidRPr="00176D3F" w:rsidRDefault="001264A6" w:rsidP="00B06590">
            <w:pPr>
              <w:pStyle w:val="Source"/>
            </w:pPr>
            <w:r w:rsidRPr="001A57A2">
              <w:rPr>
                <w:i/>
              </w:rPr>
              <w:t>Source</w:t>
            </w:r>
            <w:r w:rsidRPr="001A57A2">
              <w:t xml:space="preserve">: Derived from </w:t>
            </w:r>
            <w:r>
              <w:t>Department of Health</w:t>
            </w:r>
            <w:r w:rsidRPr="001A57A2">
              <w:t xml:space="preserve"> (unpub</w:t>
            </w:r>
            <w:r w:rsidR="00FD0229">
              <w:t>lished) MBS Statistics, ABS (2014</w:t>
            </w:r>
            <w:r w:rsidRPr="001A57A2">
              <w:t xml:space="preserve">) </w:t>
            </w:r>
            <w:r w:rsidR="00FD0229" w:rsidRPr="00FD0229">
              <w:rPr>
                <w:i/>
              </w:rPr>
              <w:t>Experimental estimates and projections, Aboriginal and Torres Strait Islander Australians 2001 to 2026</w:t>
            </w:r>
            <w:r w:rsidR="00FD0229" w:rsidRPr="00FD0229">
              <w:t>, Cat. no. 3238.0</w:t>
            </w:r>
            <w:r w:rsidRPr="001A57A2">
              <w:t>; ABS </w:t>
            </w:r>
            <w:r w:rsidR="00B06590">
              <w:t>(</w:t>
            </w:r>
            <w:r w:rsidR="00B06590" w:rsidRPr="00B06590">
              <w:t>various years</w:t>
            </w:r>
            <w:r w:rsidR="00B06590">
              <w:t>)</w:t>
            </w:r>
            <w:r w:rsidR="00B06590" w:rsidRPr="001A57A2">
              <w:rPr>
                <w:i/>
              </w:rPr>
              <w:t xml:space="preserve"> </w:t>
            </w:r>
            <w:r w:rsidRPr="001A57A2">
              <w:rPr>
                <w:i/>
              </w:rPr>
              <w:t>Australian demographic statistics</w:t>
            </w:r>
            <w:r w:rsidR="00C801C5">
              <w:t>,</w:t>
            </w:r>
            <w:r w:rsidRPr="001A57A2">
              <w:rPr>
                <w:i/>
              </w:rPr>
              <w:t xml:space="preserve"> </w:t>
            </w:r>
            <w:r w:rsidRPr="001A57A2">
              <w:t>Cat. no. 3101.0; table </w:t>
            </w:r>
            <w:r w:rsidR="00C9076B">
              <w:t>10A.</w:t>
            </w:r>
            <w:r w:rsidR="00AC1A74">
              <w:t>30</w:t>
            </w:r>
            <w:r w:rsidRPr="001A57A2">
              <w:t>.</w:t>
            </w:r>
          </w:p>
        </w:tc>
      </w:tr>
      <w:tr w:rsidR="001264A6" w:rsidTr="0067713D">
        <w:tc>
          <w:tcPr>
            <w:tcW w:w="8771" w:type="dxa"/>
            <w:tcBorders>
              <w:top w:val="nil"/>
              <w:left w:val="nil"/>
              <w:bottom w:val="single" w:sz="6" w:space="0" w:color="78A22F"/>
              <w:right w:val="nil"/>
            </w:tcBorders>
            <w:shd w:val="clear" w:color="auto" w:fill="auto"/>
          </w:tcPr>
          <w:p w:rsidR="001264A6" w:rsidRDefault="001264A6" w:rsidP="0067713D">
            <w:pPr>
              <w:pStyle w:val="Figurespace"/>
            </w:pPr>
          </w:p>
        </w:tc>
      </w:tr>
      <w:tr w:rsidR="001264A6" w:rsidRPr="000863A5" w:rsidTr="0067713D">
        <w:tc>
          <w:tcPr>
            <w:tcW w:w="8771" w:type="dxa"/>
            <w:tcBorders>
              <w:top w:val="single" w:sz="6" w:space="0" w:color="78A22F"/>
              <w:left w:val="nil"/>
              <w:bottom w:val="nil"/>
              <w:right w:val="nil"/>
            </w:tcBorders>
          </w:tcPr>
          <w:p w:rsidR="001264A6" w:rsidRPr="00626D32" w:rsidRDefault="001264A6" w:rsidP="0067713D">
            <w:pPr>
              <w:pStyle w:val="BoxSpaceBelow"/>
            </w:pPr>
          </w:p>
        </w:tc>
      </w:tr>
    </w:tbl>
    <w:p w:rsidR="00DF106F" w:rsidRPr="00903CF0" w:rsidRDefault="000C03BA" w:rsidP="00903CF0">
      <w:pPr>
        <w:pStyle w:val="BodyText"/>
        <w:rPr>
          <w:rStyle w:val="DraftingNote"/>
          <w:b w:val="0"/>
          <w:color w:val="auto"/>
          <w:sz w:val="26"/>
          <w:u w:val="none"/>
        </w:rPr>
      </w:pPr>
      <w:r w:rsidRPr="004F092B">
        <w:t>T</w:t>
      </w:r>
      <w:r w:rsidR="00DF106F" w:rsidRPr="004F092B">
        <w:t xml:space="preserve">he proportion of older </w:t>
      </w:r>
      <w:r w:rsidR="00D16EBA">
        <w:t>Aboriginal and Torres Strait Islander</w:t>
      </w:r>
      <w:r w:rsidR="006E4E2B">
        <w:t xml:space="preserve"> Australians</w:t>
      </w:r>
      <w:r w:rsidR="00DF106F" w:rsidRPr="004F092B">
        <w:t xml:space="preserve"> who received an annual health assessment </w:t>
      </w:r>
      <w:r w:rsidR="00DF106F" w:rsidRPr="00404E68">
        <w:t>increased</w:t>
      </w:r>
      <w:r w:rsidR="00DF106F" w:rsidRPr="004F092B">
        <w:t xml:space="preserve"> in </w:t>
      </w:r>
      <w:r w:rsidR="004F092B" w:rsidRPr="004F092B">
        <w:t>all</w:t>
      </w:r>
      <w:r w:rsidR="00DF106F" w:rsidRPr="004F092B">
        <w:t xml:space="preserve"> jurisdictions between</w:t>
      </w:r>
      <w:r w:rsidR="00404E68">
        <w:t xml:space="preserve"> 200</w:t>
      </w:r>
      <w:r w:rsidR="00C0698B">
        <w:t>9</w:t>
      </w:r>
      <w:r w:rsidR="00404E68">
        <w:t>-</w:t>
      </w:r>
      <w:r w:rsidR="00C0698B">
        <w:t>10</w:t>
      </w:r>
      <w:r w:rsidR="00404E68">
        <w:t xml:space="preserve"> and 201</w:t>
      </w:r>
      <w:r w:rsidR="00C0698B">
        <w:t>3</w:t>
      </w:r>
      <w:r w:rsidR="00404E68">
        <w:t>-1</w:t>
      </w:r>
      <w:r w:rsidR="00C0698B">
        <w:t>4</w:t>
      </w:r>
      <w:r w:rsidR="00DF106F" w:rsidRPr="004F092B">
        <w:t xml:space="preserve"> </w:t>
      </w:r>
      <w:r w:rsidRPr="0063556F">
        <w:t>(</w:t>
      </w:r>
      <w:r w:rsidR="00897589">
        <w:t>figure 10.</w:t>
      </w:r>
      <w:r w:rsidR="005101BC">
        <w:t>1</w:t>
      </w:r>
      <w:r w:rsidR="00387E1D">
        <w:t>1</w:t>
      </w:r>
      <w:r w:rsidRPr="0063556F">
        <w:t>)</w:t>
      </w:r>
      <w:r w:rsidR="001D4F6A">
        <w:t>.</w:t>
      </w:r>
    </w:p>
    <w:p w:rsidR="001264A6" w:rsidRDefault="001264A6" w:rsidP="0067713D">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1264A6" w:rsidTr="0067713D">
        <w:tc>
          <w:tcPr>
            <w:tcW w:w="8771" w:type="dxa"/>
            <w:tcBorders>
              <w:top w:val="single" w:sz="6" w:space="0" w:color="78A22F"/>
              <w:left w:val="nil"/>
              <w:bottom w:val="nil"/>
              <w:right w:val="nil"/>
            </w:tcBorders>
            <w:shd w:val="clear" w:color="auto" w:fill="auto"/>
          </w:tcPr>
          <w:p w:rsidR="001264A6" w:rsidRPr="00176D3F" w:rsidRDefault="001264A6" w:rsidP="001264A6">
            <w:pPr>
              <w:pStyle w:val="FigureTitle"/>
            </w:pPr>
            <w:r w:rsidRPr="00784A05">
              <w:rPr>
                <w:b w:val="0"/>
              </w:rPr>
              <w:t xml:space="preserve">Figure </w:t>
            </w:r>
            <w:r w:rsidR="00DF255F">
              <w:rPr>
                <w:b w:val="0"/>
              </w:rPr>
              <w:t>10.</w:t>
            </w:r>
            <w:r w:rsidR="0078724D">
              <w:rPr>
                <w:b w:val="0"/>
                <w:noProof/>
              </w:rPr>
              <w:t>11</w:t>
            </w:r>
            <w:r>
              <w:tab/>
            </w:r>
            <w:r w:rsidRPr="00965A7A">
              <w:t xml:space="preserve">Older </w:t>
            </w:r>
            <w:r w:rsidR="00D16EBA">
              <w:t>Aboriginal and Torres Strait Islander</w:t>
            </w:r>
            <w:r>
              <w:t xml:space="preserve"> Australians</w:t>
            </w:r>
            <w:r w:rsidRPr="00965A7A">
              <w:t xml:space="preserve"> who received an annual health assessment</w:t>
            </w:r>
            <w:r w:rsidRPr="00965A7A">
              <w:rPr>
                <w:rStyle w:val="NoteLabel"/>
                <w:b/>
              </w:rPr>
              <w:t>a</w:t>
            </w:r>
            <w:r>
              <w:rPr>
                <w:rStyle w:val="NoteLabel"/>
                <w:b/>
              </w:rPr>
              <w:t>, b</w:t>
            </w:r>
            <w:r w:rsidR="003C01E7">
              <w:rPr>
                <w:rStyle w:val="NoteLabel"/>
                <w:b/>
              </w:rPr>
              <w:t>, c</w:t>
            </w:r>
          </w:p>
        </w:tc>
      </w:tr>
      <w:tr w:rsidR="001264A6" w:rsidTr="0067713D">
        <w:tc>
          <w:tcPr>
            <w:tcW w:w="8771" w:type="dxa"/>
            <w:tcBorders>
              <w:top w:val="nil"/>
              <w:left w:val="nil"/>
              <w:bottom w:val="nil"/>
              <w:right w:val="nil"/>
            </w:tcBorders>
            <w:shd w:val="clear" w:color="auto" w:fill="auto"/>
            <w:tcMar>
              <w:top w:w="28" w:type="dxa"/>
              <w:bottom w:w="28" w:type="dxa"/>
            </w:tcMar>
          </w:tcPr>
          <w:tbl>
            <w:tblPr>
              <w:tblW w:w="8625" w:type="dxa"/>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625"/>
            </w:tblGrid>
            <w:tr w:rsidR="001264A6" w:rsidTr="00C0698B">
              <w:tc>
                <w:tcPr>
                  <w:tcW w:w="5000" w:type="pct"/>
                  <w:tcBorders>
                    <w:top w:val="nil"/>
                    <w:bottom w:val="nil"/>
                  </w:tcBorders>
                </w:tcPr>
                <w:p w:rsidR="001264A6" w:rsidRDefault="00583B5D" w:rsidP="0067713D">
                  <w:pPr>
                    <w:pStyle w:val="Figure"/>
                    <w:spacing w:before="60" w:after="60"/>
                  </w:pPr>
                  <w:r>
                    <w:rPr>
                      <w:noProof/>
                    </w:rPr>
                    <w:drawing>
                      <wp:inline distT="0" distB="0" distL="0" distR="0">
                        <wp:extent cx="5391150" cy="2886075"/>
                        <wp:effectExtent l="0" t="0" r="0" b="9525"/>
                        <wp:docPr id="16" name="Picture 16" descr="Figure 10.11 Older Aboriginal and Torres Strait Islander Australians who received an annual health assessment&#10;&#10;More details can be found within the text surrounding this image.&#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391150" cy="2886075"/>
                                </a:xfrm>
                                <a:prstGeom prst="rect">
                                  <a:avLst/>
                                </a:prstGeom>
                                <a:noFill/>
                                <a:ln>
                                  <a:noFill/>
                                </a:ln>
                              </pic:spPr>
                            </pic:pic>
                          </a:graphicData>
                        </a:graphic>
                      </wp:inline>
                    </w:drawing>
                  </w:r>
                </w:p>
              </w:tc>
            </w:tr>
          </w:tbl>
          <w:p w:rsidR="001264A6" w:rsidRDefault="001264A6" w:rsidP="0067713D">
            <w:pPr>
              <w:pStyle w:val="Figure"/>
            </w:pPr>
          </w:p>
        </w:tc>
      </w:tr>
      <w:tr w:rsidR="001264A6" w:rsidRPr="00176D3F" w:rsidTr="0067713D">
        <w:tc>
          <w:tcPr>
            <w:tcW w:w="8771" w:type="dxa"/>
            <w:tcBorders>
              <w:top w:val="nil"/>
              <w:left w:val="nil"/>
              <w:bottom w:val="nil"/>
              <w:right w:val="nil"/>
            </w:tcBorders>
            <w:shd w:val="clear" w:color="auto" w:fill="auto"/>
          </w:tcPr>
          <w:p w:rsidR="001264A6" w:rsidRPr="00176D3F" w:rsidRDefault="001264A6" w:rsidP="0024569E">
            <w:pPr>
              <w:pStyle w:val="Note"/>
            </w:pPr>
            <w:r>
              <w:rPr>
                <w:rStyle w:val="NoteLabel"/>
              </w:rPr>
              <w:t>a</w:t>
            </w:r>
            <w:r>
              <w:sym w:font="Symbol" w:char="F020"/>
            </w:r>
            <w:r w:rsidR="00FD34DD">
              <w:t xml:space="preserve">For Aboriginal and Torres Strait Islander </w:t>
            </w:r>
            <w:r w:rsidRPr="002D6B26">
              <w:t>people</w:t>
            </w:r>
            <w:r w:rsidR="00FD34DD">
              <w:t>, older is</w:t>
            </w:r>
            <w:r w:rsidRPr="002D6B26">
              <w:t xml:space="preserve"> defined as </w:t>
            </w:r>
            <w:r w:rsidR="00FD34DD">
              <w:t xml:space="preserve">aged 55 years or over. </w:t>
            </w:r>
            <w:r w:rsidR="00560EE3">
              <w:t xml:space="preserve">The </w:t>
            </w:r>
            <w:r w:rsidR="00560EE3" w:rsidRPr="00560EE3">
              <w:t>population of Aboriginal and Torres Strait Islander peopl</w:t>
            </w:r>
            <w:r w:rsidR="00560EE3">
              <w:t>e</w:t>
            </w:r>
            <w:r w:rsidR="00560EE3" w:rsidRPr="002D6B26">
              <w:t xml:space="preserve"> is determined by self-identifica</w:t>
            </w:r>
            <w:r w:rsidR="00560EE3">
              <w:t xml:space="preserve">tion. </w:t>
            </w:r>
            <w:r w:rsidR="00D16EBA">
              <w:t>Aboriginal and Torres Strait Islander</w:t>
            </w:r>
            <w:r>
              <w:t xml:space="preserve"> Australians aged 75 </w:t>
            </w:r>
            <w:r w:rsidRPr="002D6B26">
              <w:t>years</w:t>
            </w:r>
            <w:r>
              <w:t> </w:t>
            </w:r>
            <w:r w:rsidRPr="002D6B26">
              <w:t>or</w:t>
            </w:r>
            <w:r>
              <w:t> </w:t>
            </w:r>
            <w:r w:rsidRPr="002D6B26">
              <w:t xml:space="preserve">over may </w:t>
            </w:r>
            <w:r>
              <w:t xml:space="preserve">receive </w:t>
            </w:r>
            <w:r w:rsidRPr="002D6B26">
              <w:t>the</w:t>
            </w:r>
            <w:r>
              <w:t xml:space="preserve"> mainstream MBS Health Assessment for people aged 75 years or over</w:t>
            </w:r>
            <w:r w:rsidRPr="002D6B26">
              <w:t>.</w:t>
            </w:r>
            <w:r>
              <w:t xml:space="preserve"> T</w:t>
            </w:r>
            <w:r w:rsidRPr="00965A7A">
              <w:t>his is considered unlikely to significantly affect overall proportions due to the relatively low average life e</w:t>
            </w:r>
            <w:r>
              <w:t xml:space="preserve">xpectancy of </w:t>
            </w:r>
            <w:r w:rsidR="00D16EBA">
              <w:t>Aboriginal and Torres Strait Islander</w:t>
            </w:r>
            <w:r>
              <w:t xml:space="preserve"> Australians.</w:t>
            </w:r>
            <w:r w:rsidRPr="006C7B73">
              <w:rPr>
                <w:rStyle w:val="NoteLabel"/>
              </w:rPr>
              <w:t xml:space="preserve"> </w:t>
            </w:r>
            <w:r w:rsidRPr="004D42BF">
              <w:rPr>
                <w:rStyle w:val="NoteLabel"/>
              </w:rPr>
              <w:t xml:space="preserve">b </w:t>
            </w:r>
            <w:r w:rsidRPr="004D42BF">
              <w:t xml:space="preserve">Data exclude health assessments provided outside DHS Medicare under service models used to increase access for people in remote areas and for </w:t>
            </w:r>
            <w:r w:rsidR="00D16EBA">
              <w:t>Aboriginal and Torres Strait Islander</w:t>
            </w:r>
            <w:r w:rsidRPr="004D42BF">
              <w:t xml:space="preserve"> </w:t>
            </w:r>
            <w:r w:rsidR="00C801C5">
              <w:t>people</w:t>
            </w:r>
            <w:r w:rsidRPr="004D42BF">
              <w:t>. Data are therefore likely to understate the proportion who access health assessments.</w:t>
            </w:r>
            <w:r w:rsidR="003C01E7">
              <w:t xml:space="preserve"> </w:t>
            </w:r>
            <w:r w:rsidR="003C01E7" w:rsidRPr="003C01E7">
              <w:rPr>
                <w:rStyle w:val="NoteLabel"/>
              </w:rPr>
              <w:t>c</w:t>
            </w:r>
            <w:r w:rsidR="003C01E7">
              <w:t xml:space="preserve"> Rates are revised </w:t>
            </w:r>
            <w:r w:rsidR="003C01E7" w:rsidRPr="003C01E7">
              <w:t>to the ABS’ final 2011 Census r</w:t>
            </w:r>
            <w:r w:rsidR="003C01E7">
              <w:t>ebased estimates and projections and may differ from previous reports</w:t>
            </w:r>
            <w:r w:rsidR="0024569E">
              <w:t>. See chapter 2 (tables 2A.13</w:t>
            </w:r>
            <w:r w:rsidR="003C01E7" w:rsidRPr="003C01E7">
              <w:t>-1</w:t>
            </w:r>
            <w:r w:rsidR="0024569E">
              <w:t>4</w:t>
            </w:r>
            <w:r w:rsidR="003C01E7" w:rsidRPr="003C01E7">
              <w:t>) for details</w:t>
            </w:r>
            <w:r w:rsidR="003C01E7">
              <w:t>.</w:t>
            </w:r>
          </w:p>
        </w:tc>
      </w:tr>
      <w:tr w:rsidR="001264A6" w:rsidRPr="00176D3F" w:rsidTr="0067713D">
        <w:tc>
          <w:tcPr>
            <w:tcW w:w="8771" w:type="dxa"/>
            <w:tcBorders>
              <w:top w:val="nil"/>
              <w:left w:val="nil"/>
              <w:bottom w:val="nil"/>
              <w:right w:val="nil"/>
            </w:tcBorders>
            <w:shd w:val="clear" w:color="auto" w:fill="auto"/>
          </w:tcPr>
          <w:p w:rsidR="001264A6" w:rsidRPr="001264A6" w:rsidRDefault="001264A6" w:rsidP="00AC1A74">
            <w:pPr>
              <w:pStyle w:val="Source"/>
              <w:rPr>
                <w:shd w:val="clear" w:color="auto" w:fill="00FFFF"/>
              </w:rPr>
            </w:pPr>
            <w:r>
              <w:rPr>
                <w:i/>
              </w:rPr>
              <w:t>Source</w:t>
            </w:r>
            <w:r w:rsidRPr="00965A7A">
              <w:t>:</w:t>
            </w:r>
            <w:r>
              <w:t xml:space="preserve"> Derived from Department of Health</w:t>
            </w:r>
            <w:r w:rsidRPr="00E144F9">
              <w:t xml:space="preserve"> (unpublished)</w:t>
            </w:r>
            <w:r w:rsidRPr="00427A51">
              <w:t xml:space="preserve"> </w:t>
            </w:r>
            <w:r>
              <w:t>MBS data collection and</w:t>
            </w:r>
            <w:r w:rsidRPr="00E144F9">
              <w:t xml:space="preserve"> </w:t>
            </w:r>
            <w:r w:rsidR="008A27D0">
              <w:t>ABS (2014</w:t>
            </w:r>
            <w:r w:rsidR="008A27D0" w:rsidRPr="001A57A2">
              <w:t xml:space="preserve">) </w:t>
            </w:r>
            <w:r w:rsidR="008A27D0" w:rsidRPr="00FD0229">
              <w:rPr>
                <w:i/>
              </w:rPr>
              <w:t>Experimental estimates and projections, Aboriginal and Torres Strait Islander Australians 2001 to 2026</w:t>
            </w:r>
            <w:r w:rsidR="008A27D0" w:rsidRPr="00FD0229">
              <w:t>, Cat. no. 3238.0</w:t>
            </w:r>
            <w:r w:rsidRPr="00AB074E">
              <w:t>; table </w:t>
            </w:r>
            <w:r w:rsidR="00C9076B">
              <w:t>10A.</w:t>
            </w:r>
            <w:r w:rsidR="004401E2">
              <w:t>3</w:t>
            </w:r>
            <w:r w:rsidR="00AC1A74">
              <w:t>1</w:t>
            </w:r>
            <w:r w:rsidRPr="00AB074E">
              <w:t>.</w:t>
            </w:r>
          </w:p>
        </w:tc>
      </w:tr>
      <w:tr w:rsidR="001264A6" w:rsidTr="0067713D">
        <w:tc>
          <w:tcPr>
            <w:tcW w:w="8771" w:type="dxa"/>
            <w:tcBorders>
              <w:top w:val="nil"/>
              <w:left w:val="nil"/>
              <w:bottom w:val="single" w:sz="6" w:space="0" w:color="78A22F"/>
              <w:right w:val="nil"/>
            </w:tcBorders>
            <w:shd w:val="clear" w:color="auto" w:fill="auto"/>
          </w:tcPr>
          <w:p w:rsidR="001264A6" w:rsidRDefault="001264A6" w:rsidP="0067713D">
            <w:pPr>
              <w:pStyle w:val="Figurespace"/>
            </w:pPr>
          </w:p>
        </w:tc>
      </w:tr>
      <w:tr w:rsidR="001264A6" w:rsidRPr="000863A5" w:rsidTr="0067713D">
        <w:tc>
          <w:tcPr>
            <w:tcW w:w="8771" w:type="dxa"/>
            <w:tcBorders>
              <w:top w:val="single" w:sz="6" w:space="0" w:color="78A22F"/>
              <w:left w:val="nil"/>
              <w:bottom w:val="nil"/>
              <w:right w:val="nil"/>
            </w:tcBorders>
          </w:tcPr>
          <w:p w:rsidR="001264A6" w:rsidRPr="00626D32" w:rsidRDefault="001264A6" w:rsidP="0067713D">
            <w:pPr>
              <w:pStyle w:val="BoxSpaceBelow"/>
            </w:pPr>
          </w:p>
        </w:tc>
      </w:tr>
    </w:tbl>
    <w:p w:rsidR="0041093D" w:rsidRDefault="00965A7A" w:rsidP="00284302">
      <w:pPr>
        <w:pStyle w:val="BodyText"/>
      </w:pPr>
      <w:r>
        <w:t xml:space="preserve">Health check MBS items were introduced for </w:t>
      </w:r>
      <w:r w:rsidR="00D16EBA">
        <w:t>Aboriginal and Torres Strait Islander</w:t>
      </w:r>
      <w:r w:rsidR="006E4E2B">
        <w:t xml:space="preserve"> </w:t>
      </w:r>
      <w:r w:rsidR="00FD34DD">
        <w:t>people</w:t>
      </w:r>
      <w:r>
        <w:t xml:space="preserve"> aged 15–54 years in May 2004</w:t>
      </w:r>
      <w:r w:rsidR="0041093D">
        <w:t xml:space="preserve">. </w:t>
      </w:r>
      <w:r w:rsidR="00702F0E">
        <w:t>I</w:t>
      </w:r>
      <w:r w:rsidR="0041093D">
        <w:t xml:space="preserve">nitially available biennially, </w:t>
      </w:r>
      <w:r w:rsidR="00F463DA">
        <w:t>since</w:t>
      </w:r>
      <w:r w:rsidR="0041093D" w:rsidRPr="00844950">
        <w:t xml:space="preserve"> </w:t>
      </w:r>
      <w:r w:rsidR="00FD6BAF" w:rsidRPr="00844950">
        <w:t>1 May</w:t>
      </w:r>
      <w:r w:rsidR="0041093D" w:rsidRPr="00844950">
        <w:t xml:space="preserve"> 2010 </w:t>
      </w:r>
      <w:r w:rsidR="00702F0E" w:rsidRPr="00844950">
        <w:t xml:space="preserve">they </w:t>
      </w:r>
      <w:r w:rsidR="00F463DA">
        <w:t>have been</w:t>
      </w:r>
      <w:r w:rsidR="00702F0E" w:rsidRPr="00844950">
        <w:t xml:space="preserve"> available annually. Also available annually are health checks</w:t>
      </w:r>
      <w:r w:rsidR="0041093D" w:rsidRPr="00844950">
        <w:t xml:space="preserve"> </w:t>
      </w:r>
      <w:r w:rsidR="002E25C3" w:rsidRPr="00844950">
        <w:t>for</w:t>
      </w:r>
      <w:r w:rsidRPr="00844950">
        <w:t xml:space="preserve"> </w:t>
      </w:r>
      <w:r w:rsidR="00D16EBA">
        <w:t>Aboriginal and Torres Strait Islander</w:t>
      </w:r>
      <w:r>
        <w:t xml:space="preserve"> children aged 0–14 years</w:t>
      </w:r>
      <w:r w:rsidR="00702F0E">
        <w:t>, introduced in May 2006.</w:t>
      </w:r>
    </w:p>
    <w:p w:rsidR="0091386E" w:rsidRDefault="009775B9" w:rsidP="00E24680">
      <w:pPr>
        <w:pStyle w:val="BodyText"/>
      </w:pPr>
      <w:r w:rsidRPr="00AB074E">
        <w:t>T</w:t>
      </w:r>
      <w:r w:rsidR="00965A7A" w:rsidRPr="00AB074E">
        <w:t xml:space="preserve">he proportion of the eligible </w:t>
      </w:r>
      <w:r w:rsidR="00D16EBA">
        <w:t>Aboriginal and Torres Strait Islander</w:t>
      </w:r>
      <w:r w:rsidR="00965A7A" w:rsidRPr="00AB074E">
        <w:t xml:space="preserve"> population </w:t>
      </w:r>
      <w:r w:rsidR="00CA59A8" w:rsidRPr="00AB074E">
        <w:t>who</w:t>
      </w:r>
      <w:r w:rsidR="00965A7A" w:rsidRPr="00AB074E">
        <w:t xml:space="preserve"> received a health assessment or check was highest for older people and lowest</w:t>
      </w:r>
      <w:r w:rsidR="00EC6282" w:rsidRPr="00AB074E">
        <w:t xml:space="preserve"> for children aged</w:t>
      </w:r>
      <w:r w:rsidR="00867BB6">
        <w:t xml:space="preserve"> </w:t>
      </w:r>
      <w:r w:rsidR="00965A7A" w:rsidRPr="00AB074E">
        <w:t>0–14 years in most jurisdictions</w:t>
      </w:r>
      <w:r w:rsidRPr="00AB074E">
        <w:t xml:space="preserve"> (</w:t>
      </w:r>
      <w:r w:rsidR="00897589">
        <w:t>figure 10.</w:t>
      </w:r>
      <w:r w:rsidRPr="00AB074E">
        <w:t>1</w:t>
      </w:r>
      <w:r w:rsidR="00387E1D">
        <w:t>2</w:t>
      </w:r>
      <w:r w:rsidRPr="00AB074E">
        <w:t>)</w:t>
      </w:r>
      <w:r w:rsidR="00965A7A" w:rsidRPr="00AB074E">
        <w:t xml:space="preserve">. </w:t>
      </w:r>
      <w:r w:rsidR="00965A7A" w:rsidRPr="00854085">
        <w:t xml:space="preserve">This </w:t>
      </w:r>
      <w:r w:rsidRPr="00854085">
        <w:t>can,</w:t>
      </w:r>
      <w:r w:rsidR="00965A7A" w:rsidRPr="00854085">
        <w:t xml:space="preserve"> in part</w:t>
      </w:r>
      <w:r w:rsidRPr="00854085">
        <w:t>,</w:t>
      </w:r>
      <w:r w:rsidR="00965A7A" w:rsidRPr="00854085">
        <w:t xml:space="preserve"> reflect differences in how long the items have been available, as factors such as awareness and administrative requirements affect the uptake of new MBS items (AIHW 20</w:t>
      </w:r>
      <w:r w:rsidR="009F1275" w:rsidRPr="00854085">
        <w:t>08a</w:t>
      </w:r>
      <w:r w:rsidR="00D601CF" w:rsidRPr="00854085">
        <w:t>)</w:t>
      </w:r>
      <w:r w:rsidR="00965A7A" w:rsidRPr="00854085">
        <w:t>.</w:t>
      </w:r>
    </w:p>
    <w:p w:rsidR="007132CE" w:rsidRDefault="007132CE" w:rsidP="00E24680">
      <w:pPr>
        <w:pStyle w:val="BodyText"/>
      </w:pPr>
      <w:r>
        <w:t>The proportion of Aboriginal and Torres Strait Islander primary healthcare services that provided selected early detection services, sourced from OSR data, was included in previous reports as a supplementary measure for this indicator. However, the data are no longer available due to changes in the OSR data collection instrument, and the measure is not included in the 2015 Report.</w:t>
      </w:r>
    </w:p>
    <w:p w:rsidR="001264A6" w:rsidRDefault="001264A6" w:rsidP="0067713D">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1264A6" w:rsidTr="0067713D">
        <w:tc>
          <w:tcPr>
            <w:tcW w:w="8771" w:type="dxa"/>
            <w:tcBorders>
              <w:top w:val="single" w:sz="6" w:space="0" w:color="78A22F"/>
              <w:left w:val="nil"/>
              <w:bottom w:val="nil"/>
              <w:right w:val="nil"/>
            </w:tcBorders>
            <w:shd w:val="clear" w:color="auto" w:fill="auto"/>
          </w:tcPr>
          <w:p w:rsidR="001264A6" w:rsidRPr="00176D3F" w:rsidRDefault="001264A6" w:rsidP="00585874">
            <w:pPr>
              <w:pStyle w:val="FigureTitle"/>
            </w:pPr>
            <w:r w:rsidRPr="00784A05">
              <w:rPr>
                <w:b w:val="0"/>
              </w:rPr>
              <w:t xml:space="preserve">Figure </w:t>
            </w:r>
            <w:r w:rsidR="00DF255F">
              <w:rPr>
                <w:b w:val="0"/>
              </w:rPr>
              <w:t>10.</w:t>
            </w:r>
            <w:r w:rsidR="0078724D">
              <w:rPr>
                <w:b w:val="0"/>
                <w:noProof/>
              </w:rPr>
              <w:t>12</w:t>
            </w:r>
            <w:r>
              <w:tab/>
            </w:r>
            <w:r w:rsidR="00D16EBA">
              <w:t>Aboriginal and Torres Strait Islander</w:t>
            </w:r>
            <w:r>
              <w:t xml:space="preserve"> Australians</w:t>
            </w:r>
            <w:r w:rsidRPr="00965A7A">
              <w:t xml:space="preserve"> who received a health assessment </w:t>
            </w:r>
            <w:r w:rsidRPr="00755C7E">
              <w:t>by age,</w:t>
            </w:r>
            <w:r>
              <w:t xml:space="preserve"> 201</w:t>
            </w:r>
            <w:r w:rsidR="00585874">
              <w:t>3</w:t>
            </w:r>
            <w:r>
              <w:t>-1</w:t>
            </w:r>
            <w:r w:rsidR="00585874">
              <w:t>4</w:t>
            </w:r>
            <w:r w:rsidRPr="001C7B3B">
              <w:rPr>
                <w:rStyle w:val="NoteLabel"/>
                <w:b/>
              </w:rPr>
              <w:t>a</w:t>
            </w:r>
            <w:r>
              <w:rPr>
                <w:rStyle w:val="NoteLabel"/>
                <w:b/>
              </w:rPr>
              <w:t>, b</w:t>
            </w:r>
            <w:r w:rsidR="008038DD">
              <w:rPr>
                <w:rStyle w:val="NoteLabel"/>
                <w:b/>
              </w:rPr>
              <w:t>, c</w:t>
            </w:r>
          </w:p>
        </w:tc>
      </w:tr>
      <w:tr w:rsidR="001264A6" w:rsidTr="0067713D">
        <w:tc>
          <w:tcPr>
            <w:tcW w:w="8771" w:type="dxa"/>
            <w:tcBorders>
              <w:top w:val="nil"/>
              <w:left w:val="nil"/>
              <w:bottom w:val="nil"/>
              <w:right w:val="nil"/>
            </w:tcBorders>
            <w:shd w:val="clear" w:color="auto" w:fill="auto"/>
            <w:tcMar>
              <w:top w:w="28" w:type="dxa"/>
              <w:bottom w:w="28" w:type="dxa"/>
            </w:tcMar>
          </w:tcPr>
          <w:tbl>
            <w:tblPr>
              <w:tblW w:w="8625" w:type="dxa"/>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625"/>
            </w:tblGrid>
            <w:tr w:rsidR="001264A6" w:rsidTr="00027CF4">
              <w:tc>
                <w:tcPr>
                  <w:tcW w:w="5000" w:type="pct"/>
                  <w:tcBorders>
                    <w:top w:val="nil"/>
                    <w:bottom w:val="nil"/>
                  </w:tcBorders>
                </w:tcPr>
                <w:p w:rsidR="001264A6" w:rsidRDefault="00583B5D" w:rsidP="0067713D">
                  <w:pPr>
                    <w:pStyle w:val="Figure"/>
                    <w:spacing w:before="60" w:after="60"/>
                  </w:pPr>
                  <w:r>
                    <w:rPr>
                      <w:noProof/>
                    </w:rPr>
                    <w:drawing>
                      <wp:inline distT="0" distB="0" distL="0" distR="0">
                        <wp:extent cx="5400675" cy="2886075"/>
                        <wp:effectExtent l="0" t="0" r="9525" b="9525"/>
                        <wp:docPr id="20" name="Picture 20" descr="Figure 10.12 Aboriginal and Torres Strait Islander Australians who received a health assessment by age, 2013-14&#10;&#10;More details can be found within the text surrounding this image.&#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400675" cy="2886075"/>
                                </a:xfrm>
                                <a:prstGeom prst="rect">
                                  <a:avLst/>
                                </a:prstGeom>
                                <a:noFill/>
                                <a:ln>
                                  <a:noFill/>
                                </a:ln>
                              </pic:spPr>
                            </pic:pic>
                          </a:graphicData>
                        </a:graphic>
                      </wp:inline>
                    </w:drawing>
                  </w:r>
                </w:p>
              </w:tc>
            </w:tr>
          </w:tbl>
          <w:p w:rsidR="001264A6" w:rsidRDefault="001264A6" w:rsidP="0067713D">
            <w:pPr>
              <w:pStyle w:val="Figure"/>
            </w:pPr>
          </w:p>
        </w:tc>
      </w:tr>
      <w:tr w:rsidR="001264A6" w:rsidRPr="00176D3F" w:rsidTr="0067713D">
        <w:tc>
          <w:tcPr>
            <w:tcW w:w="8771" w:type="dxa"/>
            <w:tcBorders>
              <w:top w:val="nil"/>
              <w:left w:val="nil"/>
              <w:bottom w:val="nil"/>
              <w:right w:val="nil"/>
            </w:tcBorders>
            <w:shd w:val="clear" w:color="auto" w:fill="auto"/>
          </w:tcPr>
          <w:p w:rsidR="001264A6" w:rsidRPr="00176D3F" w:rsidRDefault="001264A6" w:rsidP="0003246A">
            <w:pPr>
              <w:pStyle w:val="Note"/>
            </w:pPr>
            <w:r>
              <w:rPr>
                <w:rStyle w:val="NoteLabel"/>
              </w:rPr>
              <w:t>a</w:t>
            </w:r>
            <w:r>
              <w:sym w:font="Symbol" w:char="F020"/>
            </w:r>
            <w:r w:rsidR="00560EE3">
              <w:t xml:space="preserve">The </w:t>
            </w:r>
            <w:r w:rsidR="00560EE3" w:rsidRPr="00560EE3">
              <w:t>population of Aboriginal and Torres Strait Islander peopl</w:t>
            </w:r>
            <w:r w:rsidR="00560EE3">
              <w:t>e</w:t>
            </w:r>
            <w:r w:rsidR="00560EE3" w:rsidRPr="002D6B26">
              <w:t xml:space="preserve"> is determined by self-identifica</w:t>
            </w:r>
            <w:r w:rsidR="00560EE3">
              <w:t>tion.</w:t>
            </w:r>
            <w:r>
              <w:t xml:space="preserve"> </w:t>
            </w:r>
            <w:r w:rsidR="00D16EBA">
              <w:t>Aboriginal and Torres Strait Islander</w:t>
            </w:r>
            <w:r>
              <w:t xml:space="preserve"> Australians aged 75 </w:t>
            </w:r>
            <w:r w:rsidRPr="002D6B26">
              <w:t>years</w:t>
            </w:r>
            <w:r>
              <w:t> </w:t>
            </w:r>
            <w:r w:rsidRPr="002D6B26">
              <w:t>or</w:t>
            </w:r>
            <w:r>
              <w:t> </w:t>
            </w:r>
            <w:r w:rsidRPr="002D6B26">
              <w:t xml:space="preserve">over my </w:t>
            </w:r>
            <w:r>
              <w:t xml:space="preserve">receive </w:t>
            </w:r>
            <w:r w:rsidRPr="002D6B26">
              <w:t>the</w:t>
            </w:r>
            <w:r>
              <w:t xml:space="preserve"> mainstream MBS Health Assessment for people aged 75 years or over</w:t>
            </w:r>
            <w:r w:rsidRPr="002D6B26">
              <w:t xml:space="preserve">. </w:t>
            </w:r>
            <w:r>
              <w:t>T</w:t>
            </w:r>
            <w:r w:rsidRPr="00965A7A">
              <w:t xml:space="preserve">his is considered unlikely to significantly affect overall proportions due to the relatively low average life expectancy of </w:t>
            </w:r>
            <w:r w:rsidR="00D16EBA">
              <w:t>Aboriginal and Torres Strait Islander</w:t>
            </w:r>
            <w:r>
              <w:t xml:space="preserve"> Australians</w:t>
            </w:r>
            <w:r w:rsidRPr="004D42BF">
              <w:t xml:space="preserve">. </w:t>
            </w:r>
            <w:r w:rsidRPr="004D42BF">
              <w:rPr>
                <w:rStyle w:val="NoteLabel"/>
              </w:rPr>
              <w:t xml:space="preserve">b </w:t>
            </w:r>
            <w:r w:rsidRPr="004D42BF">
              <w:t xml:space="preserve">Data exclude health assessments provided outside DHS Medicare under service models used to increase access for people in remote areas and for </w:t>
            </w:r>
            <w:r w:rsidR="00D16EBA">
              <w:t>Aboriginal and Torres Strait Islander</w:t>
            </w:r>
            <w:r w:rsidRPr="004D42BF">
              <w:t xml:space="preserve"> Australians. Data are therefore likely to understate the proportion who access health assessments</w:t>
            </w:r>
            <w:r>
              <w:t>.</w:t>
            </w:r>
            <w:r w:rsidR="00A81B1B">
              <w:t xml:space="preserve"> </w:t>
            </w:r>
            <w:r w:rsidR="00A81B1B">
              <w:rPr>
                <w:rStyle w:val="NoteLabel"/>
              </w:rPr>
              <w:t>c </w:t>
            </w:r>
            <w:r w:rsidR="00585874" w:rsidRPr="00585874">
              <w:t xml:space="preserve">Rates are </w:t>
            </w:r>
            <w:r w:rsidR="00585874">
              <w:t xml:space="preserve">derived using </w:t>
            </w:r>
            <w:r w:rsidR="00585874" w:rsidRPr="00585874">
              <w:t xml:space="preserve">the ABS’ final 2011 Census rebased estimates and projections. See chapter 2 (tables </w:t>
            </w:r>
            <w:r w:rsidR="0003246A">
              <w:t>2A.13</w:t>
            </w:r>
            <w:r w:rsidR="00585874" w:rsidRPr="00585874">
              <w:t>-1</w:t>
            </w:r>
            <w:r w:rsidR="0003246A">
              <w:t>4</w:t>
            </w:r>
            <w:r w:rsidR="00585874" w:rsidRPr="00585874">
              <w:t>) for details</w:t>
            </w:r>
            <w:r w:rsidR="00A81B1B">
              <w:t>.</w:t>
            </w:r>
          </w:p>
        </w:tc>
      </w:tr>
      <w:tr w:rsidR="001264A6" w:rsidRPr="00176D3F" w:rsidTr="0067713D">
        <w:tc>
          <w:tcPr>
            <w:tcW w:w="8771" w:type="dxa"/>
            <w:tcBorders>
              <w:top w:val="nil"/>
              <w:left w:val="nil"/>
              <w:bottom w:val="nil"/>
              <w:right w:val="nil"/>
            </w:tcBorders>
            <w:shd w:val="clear" w:color="auto" w:fill="auto"/>
          </w:tcPr>
          <w:p w:rsidR="001264A6" w:rsidRPr="00176D3F" w:rsidRDefault="001264A6" w:rsidP="00AC1A74">
            <w:pPr>
              <w:pStyle w:val="Source"/>
            </w:pPr>
            <w:r>
              <w:rPr>
                <w:i/>
              </w:rPr>
              <w:t>Source</w:t>
            </w:r>
            <w:r w:rsidRPr="00965A7A">
              <w:t>:</w:t>
            </w:r>
            <w:r>
              <w:t xml:space="preserve"> Derived from Department of Health</w:t>
            </w:r>
            <w:r w:rsidRPr="00E144F9">
              <w:t xml:space="preserve"> (unpublished)</w:t>
            </w:r>
            <w:r w:rsidRPr="00427A51">
              <w:t xml:space="preserve"> </w:t>
            </w:r>
            <w:r>
              <w:t>MBS Statistics and</w:t>
            </w:r>
            <w:r w:rsidRPr="00E144F9">
              <w:t xml:space="preserve"> </w:t>
            </w:r>
            <w:r w:rsidRPr="002D0D72">
              <w:t xml:space="preserve">ABS </w:t>
            </w:r>
            <w:r>
              <w:t>(</w:t>
            </w:r>
            <w:r w:rsidRPr="002D0D72">
              <w:t>20</w:t>
            </w:r>
            <w:r w:rsidR="00407DD6">
              <w:t>14</w:t>
            </w:r>
            <w:r>
              <w:t xml:space="preserve">) </w:t>
            </w:r>
            <w:r w:rsidRPr="00E965EC">
              <w:rPr>
                <w:i/>
              </w:rPr>
              <w:t xml:space="preserve">Experimental estimates and </w:t>
            </w:r>
            <w:r w:rsidRPr="00C63CC4">
              <w:rPr>
                <w:i/>
              </w:rPr>
              <w:t>projections, Aboriginal and Torre</w:t>
            </w:r>
            <w:r w:rsidR="00407DD6">
              <w:rPr>
                <w:i/>
              </w:rPr>
              <w:t>s Strait Islander Australians 200</w:t>
            </w:r>
            <w:r w:rsidRPr="00C63CC4">
              <w:rPr>
                <w:i/>
              </w:rPr>
              <w:t>1 to 202</w:t>
            </w:r>
            <w:r w:rsidR="00407DD6">
              <w:rPr>
                <w:i/>
              </w:rPr>
              <w:t>6</w:t>
            </w:r>
            <w:r w:rsidRPr="00C63CC4">
              <w:t>, Cat. no. 3238.0; table </w:t>
            </w:r>
            <w:r w:rsidR="00C9076B">
              <w:t>10A.</w:t>
            </w:r>
            <w:r w:rsidR="004401E2">
              <w:t>3</w:t>
            </w:r>
            <w:r w:rsidR="00AC1A74">
              <w:t>2</w:t>
            </w:r>
            <w:r w:rsidRPr="00C63CC4">
              <w:t>.</w:t>
            </w:r>
          </w:p>
        </w:tc>
      </w:tr>
      <w:tr w:rsidR="001264A6" w:rsidTr="0067713D">
        <w:tc>
          <w:tcPr>
            <w:tcW w:w="8771" w:type="dxa"/>
            <w:tcBorders>
              <w:top w:val="nil"/>
              <w:left w:val="nil"/>
              <w:bottom w:val="single" w:sz="6" w:space="0" w:color="78A22F"/>
              <w:right w:val="nil"/>
            </w:tcBorders>
            <w:shd w:val="clear" w:color="auto" w:fill="auto"/>
          </w:tcPr>
          <w:p w:rsidR="001264A6" w:rsidRDefault="001264A6" w:rsidP="0067713D">
            <w:pPr>
              <w:pStyle w:val="Figurespace"/>
            </w:pPr>
          </w:p>
        </w:tc>
      </w:tr>
      <w:tr w:rsidR="001264A6" w:rsidRPr="000863A5" w:rsidTr="0067713D">
        <w:tc>
          <w:tcPr>
            <w:tcW w:w="8771" w:type="dxa"/>
            <w:tcBorders>
              <w:top w:val="single" w:sz="6" w:space="0" w:color="78A22F"/>
              <w:left w:val="nil"/>
              <w:bottom w:val="nil"/>
              <w:right w:val="nil"/>
            </w:tcBorders>
          </w:tcPr>
          <w:p w:rsidR="001264A6" w:rsidRPr="00626D32" w:rsidRDefault="001264A6" w:rsidP="0067713D">
            <w:pPr>
              <w:pStyle w:val="BoxSpaceBelow"/>
            </w:pPr>
          </w:p>
        </w:tc>
      </w:tr>
    </w:tbl>
    <w:p w:rsidR="00CD7789" w:rsidRDefault="00CC5101" w:rsidP="00561B83">
      <w:pPr>
        <w:pStyle w:val="Heading5"/>
      </w:pPr>
      <w:r>
        <w:t>D</w:t>
      </w:r>
      <w:r w:rsidR="00CD7789" w:rsidRPr="00561B83">
        <w:t>evelopmental</w:t>
      </w:r>
      <w:r>
        <w:t xml:space="preserve"> health checks</w:t>
      </w:r>
    </w:p>
    <w:p w:rsidR="00BF1008" w:rsidRDefault="00CD7789" w:rsidP="0021526C">
      <w:pPr>
        <w:pStyle w:val="BodyText"/>
      </w:pPr>
      <w:r w:rsidRPr="006709FA">
        <w:t>‘</w:t>
      </w:r>
      <w:r w:rsidR="00CC5101">
        <w:t>D</w:t>
      </w:r>
      <w:r w:rsidRPr="006709FA">
        <w:t>evelopmental health check</w:t>
      </w:r>
      <w:r w:rsidR="00CC5101">
        <w:t>s</w:t>
      </w:r>
      <w:r w:rsidRPr="006709FA">
        <w:t>’ is an</w:t>
      </w:r>
      <w:r>
        <w:t xml:space="preserve"> </w:t>
      </w:r>
      <w:r w:rsidRPr="006709FA">
        <w:t xml:space="preserve">indicator of governments’ objective to provide </w:t>
      </w:r>
      <w:r w:rsidR="00BD2A3E">
        <w:t>equitable</w:t>
      </w:r>
      <w:r w:rsidRPr="006709FA">
        <w:t xml:space="preserve"> access to early detection and </w:t>
      </w:r>
      <w:r w:rsidR="00884427" w:rsidRPr="006709FA">
        <w:t>intervention</w:t>
      </w:r>
      <w:r w:rsidRPr="006709FA">
        <w:t xml:space="preserve"> services for children (</w:t>
      </w:r>
      <w:r w:rsidR="00897589">
        <w:t>box 10.</w:t>
      </w:r>
      <w:r w:rsidR="0078709A">
        <w:t>6</w:t>
      </w:r>
      <w:r w:rsidR="00F02E3C" w:rsidRPr="006709FA">
        <w:t>).</w:t>
      </w:r>
    </w:p>
    <w:p w:rsidR="00EF45AC" w:rsidRDefault="00EF45AC">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F45AC" w:rsidTr="00867BB6">
        <w:tc>
          <w:tcPr>
            <w:tcW w:w="8771" w:type="dxa"/>
            <w:tcBorders>
              <w:top w:val="single" w:sz="6" w:space="0" w:color="78A22F"/>
              <w:left w:val="nil"/>
              <w:bottom w:val="nil"/>
              <w:right w:val="nil"/>
            </w:tcBorders>
            <w:shd w:val="clear" w:color="auto" w:fill="F2F2F2" w:themeFill="background1" w:themeFillShade="F2"/>
          </w:tcPr>
          <w:p w:rsidR="00EF45AC" w:rsidRDefault="00EF45AC">
            <w:pPr>
              <w:pStyle w:val="BoxTitle"/>
            </w:pPr>
            <w:r>
              <w:rPr>
                <w:b w:val="0"/>
              </w:rPr>
              <w:t>Box 10.</w:t>
            </w:r>
            <w:r w:rsidR="0078724D">
              <w:rPr>
                <w:b w:val="0"/>
                <w:noProof/>
              </w:rPr>
              <w:t>6</w:t>
            </w:r>
            <w:r>
              <w:tab/>
            </w:r>
            <w:r w:rsidRPr="00CC5101">
              <w:t>Developmental health checks</w:t>
            </w:r>
          </w:p>
        </w:tc>
      </w:tr>
      <w:tr w:rsidR="00EF45AC" w:rsidTr="00867BB6">
        <w:trPr>
          <w:cantSplit/>
        </w:trPr>
        <w:tc>
          <w:tcPr>
            <w:tcW w:w="8771" w:type="dxa"/>
            <w:tcBorders>
              <w:top w:val="nil"/>
              <w:left w:val="nil"/>
              <w:bottom w:val="nil"/>
              <w:right w:val="nil"/>
            </w:tcBorders>
            <w:shd w:val="clear" w:color="auto" w:fill="F2F2F2" w:themeFill="background1" w:themeFillShade="F2"/>
          </w:tcPr>
          <w:p w:rsidR="00EF45AC" w:rsidRPr="00E24680" w:rsidRDefault="00EF45AC" w:rsidP="00867BB6">
            <w:pPr>
              <w:pStyle w:val="Box"/>
              <w:rPr>
                <w:rStyle w:val="DraftingNote"/>
                <w:b w:val="0"/>
                <w:color w:val="auto"/>
                <w:sz w:val="22"/>
                <w:u w:val="none"/>
              </w:rPr>
            </w:pPr>
            <w:r w:rsidRPr="00A97B8B">
              <w:t>‘</w:t>
            </w:r>
            <w:r w:rsidRPr="00CC5101">
              <w:t>Developmental health checks</w:t>
            </w:r>
            <w:r w:rsidRPr="00A97B8B">
              <w:t xml:space="preserve">’ </w:t>
            </w:r>
            <w:r>
              <w:t>is defined as the proportion</w:t>
            </w:r>
            <w:r w:rsidRPr="00DF475C">
              <w:t xml:space="preserve"> of children who received a</w:t>
            </w:r>
            <w:r>
              <w:t xml:space="preserve"> fourth year developmental health assessment under DHS Medicare, by health assessment type. The ‘Healthy Kids Check’ MBS health assessment item is available to children aged </w:t>
            </w:r>
            <w:r w:rsidRPr="00DF475C">
              <w:t>3</w:t>
            </w:r>
            <w:r>
              <w:t xml:space="preserve"> or 4 </w:t>
            </w:r>
            <w:r w:rsidRPr="00DF475C">
              <w:t>y</w:t>
            </w:r>
            <w:r>
              <w:t>ea</w:t>
            </w:r>
            <w:r w:rsidRPr="00DF475C">
              <w:t>rs</w:t>
            </w:r>
            <w:r>
              <w:t>, while the ‘</w:t>
            </w:r>
            <w:r w:rsidRPr="000627B0">
              <w:t>Aboriginal and Torres Strait Islander</w:t>
            </w:r>
            <w:r>
              <w:t xml:space="preserve"> Peoples Health Assessment’ item is available to </w:t>
            </w:r>
            <w:r w:rsidR="00D16EBA">
              <w:t>Aboriginal and Torres Strait Islander</w:t>
            </w:r>
            <w:r>
              <w:t xml:space="preserve"> </w:t>
            </w:r>
            <w:r w:rsidR="000627B0">
              <w:t>people of all ages</w:t>
            </w:r>
            <w:r>
              <w:t>.</w:t>
            </w:r>
          </w:p>
          <w:p w:rsidR="00EF45AC" w:rsidRPr="00944E91" w:rsidRDefault="00EF45AC" w:rsidP="00867BB6">
            <w:pPr>
              <w:pStyle w:val="Box"/>
            </w:pPr>
            <w:r>
              <w:t xml:space="preserve">A high or increasing proportion of children receiving a fourth year </w:t>
            </w:r>
            <w:r w:rsidRPr="00DF475C">
              <w:t>development</w:t>
            </w:r>
            <w:r>
              <w:t>al</w:t>
            </w:r>
            <w:r w:rsidRPr="00DF475C">
              <w:t xml:space="preserve"> health </w:t>
            </w:r>
            <w:r>
              <w:t>assessment is desirable as it suggests improved access to these services.</w:t>
            </w:r>
          </w:p>
          <w:p w:rsidR="00EF45AC" w:rsidRDefault="00EF45AC" w:rsidP="00867BB6">
            <w:pPr>
              <w:pStyle w:val="Box"/>
            </w:pPr>
            <w:r w:rsidRPr="007C02C1">
              <w:t xml:space="preserve">The proportion of </w:t>
            </w:r>
            <w:r w:rsidR="00D16EBA">
              <w:t>Aboriginal and Torres Strait Islander</w:t>
            </w:r>
            <w:r>
              <w:t xml:space="preserve"> </w:t>
            </w:r>
            <w:r w:rsidRPr="007C02C1">
              <w:t xml:space="preserve">children </w:t>
            </w:r>
            <w:r>
              <w:t xml:space="preserve">aged 3 to 5 years who received the </w:t>
            </w:r>
            <w:r w:rsidR="000627B0" w:rsidRPr="000627B0">
              <w:t>Aboriginal and Torres Strait Islander</w:t>
            </w:r>
            <w:r w:rsidR="000627B0">
              <w:t xml:space="preserve"> Peoples </w:t>
            </w:r>
            <w:r>
              <w:t>Health Assessment</w:t>
            </w:r>
            <w:r w:rsidRPr="007C02C1">
              <w:t xml:space="preserve"> is </w:t>
            </w:r>
            <w:r>
              <w:t>reported</w:t>
            </w:r>
            <w:r w:rsidRPr="007C02C1">
              <w:t xml:space="preserve"> as a proxy for the proportion of </w:t>
            </w:r>
            <w:r w:rsidR="00D16EBA">
              <w:t>Aboriginal and Torres Strait Islander</w:t>
            </w:r>
            <w:r w:rsidRPr="007C02C1">
              <w:t xml:space="preserve"> children who receive</w:t>
            </w:r>
            <w:r>
              <w:t xml:space="preserve">d a fourth year developmental health assessment. </w:t>
            </w:r>
            <w:r w:rsidRPr="003D1863">
              <w:t>The proportion of</w:t>
            </w:r>
            <w:r w:rsidR="000627B0">
              <w:t xml:space="preserve"> other </w:t>
            </w:r>
            <w:r w:rsidRPr="003D1863">
              <w:t xml:space="preserve">children </w:t>
            </w:r>
            <w:r>
              <w:t xml:space="preserve">who received </w:t>
            </w:r>
            <w:r w:rsidR="000627B0">
              <w:t xml:space="preserve">either </w:t>
            </w:r>
            <w:r>
              <w:t xml:space="preserve">a Healthy Kids Check </w:t>
            </w:r>
            <w:r w:rsidR="000627B0">
              <w:t xml:space="preserve">(at the age of </w:t>
            </w:r>
            <w:r w:rsidR="000627B0" w:rsidRPr="00DF475C">
              <w:t>3</w:t>
            </w:r>
            <w:r w:rsidR="000627B0">
              <w:t xml:space="preserve"> or 4 </w:t>
            </w:r>
            <w:r w:rsidR="000627B0" w:rsidRPr="00DF475C">
              <w:t>y</w:t>
            </w:r>
            <w:r w:rsidR="000627B0">
              <w:t>ea</w:t>
            </w:r>
            <w:r w:rsidR="000627B0" w:rsidRPr="00DF475C">
              <w:t>rs</w:t>
            </w:r>
            <w:r w:rsidR="000627B0">
              <w:t xml:space="preserve">), </w:t>
            </w:r>
            <w:r>
              <w:t xml:space="preserve">or a Health assessment at the age of 5 years, is reported as a proxy for the </w:t>
            </w:r>
            <w:r w:rsidRPr="003D1863">
              <w:t>proportion of</w:t>
            </w:r>
            <w:r>
              <w:t xml:space="preserve"> </w:t>
            </w:r>
            <w:r w:rsidR="000627B0">
              <w:t xml:space="preserve">other </w:t>
            </w:r>
            <w:r w:rsidR="000627B0" w:rsidRPr="003D1863">
              <w:t xml:space="preserve">children </w:t>
            </w:r>
            <w:r w:rsidRPr="007C02C1">
              <w:t>who receive</w:t>
            </w:r>
            <w:r>
              <w:t>d a fourth year developmental health assessment.</w:t>
            </w:r>
          </w:p>
          <w:p w:rsidR="00EF45AC" w:rsidRDefault="00EF45AC" w:rsidP="00867BB6">
            <w:pPr>
              <w:pStyle w:val="Box"/>
            </w:pPr>
            <w:r>
              <w:t>Fourth year developmental health assessment</w:t>
            </w:r>
            <w:r w:rsidR="00465DAA">
              <w:t>s</w:t>
            </w:r>
            <w:r>
              <w:t xml:space="preserve"> are intended to assess children’s </w:t>
            </w:r>
            <w:r w:rsidRPr="00EE0237">
              <w:t>physical health, general wellbeing and development</w:t>
            </w:r>
            <w:r>
              <w:t xml:space="preserve">. They enable identification of children who are </w:t>
            </w:r>
            <w:r w:rsidRPr="00A97B8B">
              <w:t>at high risk fo</w:t>
            </w:r>
            <w:r>
              <w:t>r</w:t>
            </w:r>
            <w:r w:rsidR="00465DAA">
              <w:t>,</w:t>
            </w:r>
            <w:r w:rsidRPr="00A97B8B">
              <w:t xml:space="preserve"> </w:t>
            </w:r>
            <w:r w:rsidR="00465DAA">
              <w:t>or</w:t>
            </w:r>
            <w:r>
              <w:t xml:space="preserve"> have early signs of, delayed development and/or illness.</w:t>
            </w:r>
            <w:r w:rsidRPr="00A97B8B">
              <w:t xml:space="preserve"> </w:t>
            </w:r>
            <w:r>
              <w:t xml:space="preserve">Early identification provides the opportunity for </w:t>
            </w:r>
            <w:r w:rsidRPr="00A97B8B">
              <w:t>timely prevention and intervention measures</w:t>
            </w:r>
            <w:r>
              <w:t xml:space="preserve"> that can ensure that children are healthy, fit and ready to learn when they start schooling.</w:t>
            </w:r>
          </w:p>
          <w:p w:rsidR="00EF45AC" w:rsidRDefault="00EF45AC" w:rsidP="00867BB6">
            <w:pPr>
              <w:pStyle w:val="Box"/>
            </w:pPr>
            <w:r>
              <w:t xml:space="preserve">This indicator provides no information about </w:t>
            </w:r>
            <w:r w:rsidRPr="00DF475C">
              <w:t>development</w:t>
            </w:r>
            <w:r>
              <w:t>al</w:t>
            </w:r>
            <w:r w:rsidRPr="00DF475C">
              <w:t xml:space="preserve"> </w:t>
            </w:r>
            <w:r>
              <w:t xml:space="preserve">health checks for children that are provided outside DHS Medicare, as comparable data for such services are not available for all jurisdictions. These checks are provided in the community, for example, </w:t>
            </w:r>
            <w:r w:rsidR="00F128C0">
              <w:t xml:space="preserve">in </w:t>
            </w:r>
            <w:r>
              <w:t xml:space="preserve">maternal and child health services, community health centres, early childhood settings and the school education sector. Accordingly, this indicator understates the proportion of children who receive </w:t>
            </w:r>
            <w:r w:rsidRPr="00DF475C">
              <w:t xml:space="preserve">a </w:t>
            </w:r>
            <w:r>
              <w:t>fourth</w:t>
            </w:r>
            <w:r w:rsidRPr="00DF475C">
              <w:t xml:space="preserve"> year development</w:t>
            </w:r>
            <w:r>
              <w:t>al</w:t>
            </w:r>
            <w:r w:rsidRPr="00DF475C">
              <w:t xml:space="preserve"> health check</w:t>
            </w:r>
            <w:r>
              <w:t>.</w:t>
            </w:r>
          </w:p>
          <w:p w:rsidR="00EF45AC" w:rsidRDefault="00EF45AC" w:rsidP="00867BB6">
            <w:pPr>
              <w:pStyle w:val="Box"/>
            </w:pPr>
            <w:r w:rsidRPr="00A856F6">
              <w:t>Data reported for this indicator are:</w:t>
            </w:r>
          </w:p>
          <w:p w:rsidR="00EF45AC" w:rsidRDefault="00EF45AC" w:rsidP="00867BB6">
            <w:pPr>
              <w:pStyle w:val="BoxListBullet"/>
            </w:pPr>
            <w:r w:rsidRPr="002A6F67">
              <w:t xml:space="preserve">comparable (subject to caveats) across jurisdictions but a break in series means that data </w:t>
            </w:r>
            <w:r w:rsidR="00F128C0">
              <w:t>from</w:t>
            </w:r>
            <w:r w:rsidRPr="002A6F67">
              <w:t xml:space="preserve"> </w:t>
            </w:r>
            <w:r>
              <w:t>2012-13</w:t>
            </w:r>
            <w:r w:rsidRPr="002A6F67">
              <w:t xml:space="preserve"> are not comparable to</w:t>
            </w:r>
            <w:r w:rsidR="0072094C">
              <w:t xml:space="preserve"> data for previous years</w:t>
            </w:r>
            <w:r>
              <w:t xml:space="preserve"> </w:t>
            </w:r>
          </w:p>
          <w:p w:rsidR="00EF45AC" w:rsidRDefault="00EF45AC" w:rsidP="00867BB6">
            <w:pPr>
              <w:pStyle w:val="BoxListBullet"/>
            </w:pPr>
            <w:r w:rsidRPr="002A6F67">
              <w:t xml:space="preserve">complete (subject to caveats) for the current reporting period. All required </w:t>
            </w:r>
            <w:r w:rsidR="00F128C0">
              <w:t>2013</w:t>
            </w:r>
            <w:r>
              <w:noBreakHyphen/>
              <w:t>1</w:t>
            </w:r>
            <w:r w:rsidR="00F128C0">
              <w:t>4</w:t>
            </w:r>
            <w:r w:rsidRPr="002A6F67">
              <w:t xml:space="preserve"> data are available for all jurisdictions</w:t>
            </w:r>
            <w:r>
              <w:t>.</w:t>
            </w:r>
          </w:p>
          <w:p w:rsidR="00EF45AC" w:rsidRPr="0054483E" w:rsidRDefault="00EF45AC" w:rsidP="00F128C0">
            <w:pPr>
              <w:pStyle w:val="Box"/>
            </w:pPr>
            <w:r w:rsidRPr="0027351B">
              <w:t xml:space="preserve">Data quality information </w:t>
            </w:r>
            <w:r>
              <w:t>for this indicator</w:t>
            </w:r>
            <w:r w:rsidRPr="00B86109">
              <w:t xml:space="preserve"> is at </w:t>
            </w:r>
            <w:r>
              <w:t>www.pc.</w:t>
            </w:r>
            <w:r w:rsidR="00786AB7">
              <w:t>gov.au</w:t>
            </w:r>
            <w:r w:rsidRPr="003A18E4">
              <w:t>/</w:t>
            </w:r>
            <w:r>
              <w:t>rogs/201</w:t>
            </w:r>
            <w:r w:rsidR="00F128C0">
              <w:t>5</w:t>
            </w:r>
            <w:r w:rsidRPr="003A18E4">
              <w:t>.</w:t>
            </w:r>
          </w:p>
        </w:tc>
      </w:tr>
      <w:tr w:rsidR="00EF45AC" w:rsidTr="00867BB6">
        <w:trPr>
          <w:cantSplit/>
        </w:trPr>
        <w:tc>
          <w:tcPr>
            <w:tcW w:w="8771" w:type="dxa"/>
            <w:tcBorders>
              <w:top w:val="nil"/>
              <w:left w:val="nil"/>
              <w:bottom w:val="single" w:sz="6" w:space="0" w:color="78A22F"/>
              <w:right w:val="nil"/>
            </w:tcBorders>
            <w:shd w:val="clear" w:color="auto" w:fill="F2F2F2" w:themeFill="background1" w:themeFillShade="F2"/>
          </w:tcPr>
          <w:p w:rsidR="00EF45AC" w:rsidRDefault="00EF45AC">
            <w:pPr>
              <w:pStyle w:val="Box"/>
              <w:spacing w:before="0" w:line="120" w:lineRule="exact"/>
            </w:pPr>
          </w:p>
        </w:tc>
      </w:tr>
      <w:tr w:rsidR="00EF45AC" w:rsidRPr="000863A5" w:rsidTr="00867BB6">
        <w:tc>
          <w:tcPr>
            <w:tcW w:w="8771" w:type="dxa"/>
            <w:tcBorders>
              <w:top w:val="single" w:sz="6" w:space="0" w:color="78A22F"/>
              <w:left w:val="nil"/>
              <w:bottom w:val="nil"/>
              <w:right w:val="nil"/>
            </w:tcBorders>
          </w:tcPr>
          <w:p w:rsidR="00EF45AC" w:rsidRPr="00626D32" w:rsidRDefault="00EF45AC" w:rsidP="00867BB6">
            <w:pPr>
              <w:pStyle w:val="BoxSpaceBelow"/>
            </w:pPr>
          </w:p>
        </w:tc>
      </w:tr>
    </w:tbl>
    <w:p w:rsidR="00714F8F" w:rsidRPr="00506E2E" w:rsidRDefault="00714F8F" w:rsidP="00062970">
      <w:pPr>
        <w:pStyle w:val="BodyText"/>
        <w:rPr>
          <w:rStyle w:val="DraftingNote"/>
        </w:rPr>
      </w:pPr>
      <w:r w:rsidRPr="00CC4FB1">
        <w:t xml:space="preserve">Nationally, the proportion of children who received a fourth year developmental health check under DHS Medicare was </w:t>
      </w:r>
      <w:r w:rsidRPr="00062970">
        <w:t>5</w:t>
      </w:r>
      <w:r w:rsidR="00AE0049" w:rsidRPr="00062970">
        <w:t>5</w:t>
      </w:r>
      <w:r w:rsidRPr="00062970">
        <w:t>.6 p</w:t>
      </w:r>
      <w:r w:rsidR="000D3D85" w:rsidRPr="00062970">
        <w:t>er cent</w:t>
      </w:r>
      <w:r w:rsidR="000D3D85">
        <w:t xml:space="preserve"> in 2013-14 (table 10A.33</w:t>
      </w:r>
      <w:r w:rsidRPr="00CC4FB1">
        <w:t>). The proportion was higher for Aboriginal and Torres Strait Islander children than for other children in 2013-14, although there was considerable variation across jurisdictions (figure 10.13).</w:t>
      </w:r>
    </w:p>
    <w:p w:rsidR="001264A6" w:rsidRDefault="001264A6" w:rsidP="0067713D">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1264A6" w:rsidTr="00182AD2">
        <w:tc>
          <w:tcPr>
            <w:tcW w:w="8771" w:type="dxa"/>
            <w:tcBorders>
              <w:top w:val="single" w:sz="6" w:space="0" w:color="78A22F"/>
              <w:left w:val="nil"/>
              <w:bottom w:val="nil"/>
              <w:right w:val="nil"/>
            </w:tcBorders>
            <w:shd w:val="clear" w:color="auto" w:fill="auto"/>
          </w:tcPr>
          <w:p w:rsidR="001264A6" w:rsidRPr="00176D3F" w:rsidRDefault="001264A6" w:rsidP="00182AD2">
            <w:pPr>
              <w:pStyle w:val="FigureTitle"/>
            </w:pPr>
            <w:r w:rsidRPr="00784A05">
              <w:rPr>
                <w:b w:val="0"/>
              </w:rPr>
              <w:t xml:space="preserve">Figure </w:t>
            </w:r>
            <w:r w:rsidR="00DF255F">
              <w:rPr>
                <w:b w:val="0"/>
              </w:rPr>
              <w:t>10.</w:t>
            </w:r>
            <w:r w:rsidR="0078724D">
              <w:rPr>
                <w:b w:val="0"/>
                <w:noProof/>
              </w:rPr>
              <w:t>13</w:t>
            </w:r>
            <w:r>
              <w:tab/>
              <w:t xml:space="preserve">Children who received a fourth year developmental health </w:t>
            </w:r>
            <w:r w:rsidRPr="005E24A3">
              <w:t xml:space="preserve">check, by health check type, </w:t>
            </w:r>
            <w:r w:rsidRPr="001F2F67">
              <w:t>201</w:t>
            </w:r>
            <w:r w:rsidR="00182AD2">
              <w:t>3</w:t>
            </w:r>
            <w:r w:rsidRPr="001F2F67">
              <w:t>-1</w:t>
            </w:r>
            <w:r w:rsidR="00182AD2">
              <w:t>4</w:t>
            </w:r>
            <w:r w:rsidRPr="001F2F67">
              <w:rPr>
                <w:rStyle w:val="NoteLabel"/>
                <w:b/>
              </w:rPr>
              <w:t>a</w:t>
            </w:r>
            <w:r w:rsidRPr="005E24A3">
              <w:rPr>
                <w:rStyle w:val="NoteLabel"/>
                <w:b/>
              </w:rPr>
              <w:t>, b, c, d, e</w:t>
            </w:r>
            <w:r>
              <w:rPr>
                <w:rStyle w:val="NoteLabel"/>
                <w:b/>
              </w:rPr>
              <w:t>, f</w:t>
            </w:r>
            <w:r w:rsidR="00D55EF4">
              <w:rPr>
                <w:rStyle w:val="NoteLabel"/>
                <w:b/>
              </w:rPr>
              <w:t>, g</w:t>
            </w:r>
          </w:p>
        </w:tc>
      </w:tr>
      <w:tr w:rsidR="001264A6" w:rsidTr="00CC4FB1">
        <w:tc>
          <w:tcPr>
            <w:tcW w:w="8771" w:type="dxa"/>
            <w:tcBorders>
              <w:top w:val="nil"/>
              <w:left w:val="nil"/>
              <w:bottom w:val="nil"/>
              <w:right w:val="nil"/>
            </w:tcBorders>
            <w:shd w:val="clear" w:color="auto" w:fill="auto"/>
            <w:tcMar>
              <w:top w:w="28" w:type="dxa"/>
              <w:bottom w:w="28" w:type="dxa"/>
            </w:tcMar>
          </w:tcPr>
          <w:tbl>
            <w:tblPr>
              <w:tblW w:w="8625" w:type="dxa"/>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625"/>
            </w:tblGrid>
            <w:tr w:rsidR="001264A6" w:rsidTr="0010225F">
              <w:tc>
                <w:tcPr>
                  <w:tcW w:w="5000" w:type="pct"/>
                  <w:tcBorders>
                    <w:top w:val="nil"/>
                    <w:bottom w:val="nil"/>
                  </w:tcBorders>
                </w:tcPr>
                <w:p w:rsidR="001264A6" w:rsidRDefault="00583B5D" w:rsidP="0067713D">
                  <w:pPr>
                    <w:pStyle w:val="Figure"/>
                    <w:spacing w:before="60" w:after="60"/>
                  </w:pPr>
                  <w:r>
                    <w:rPr>
                      <w:noProof/>
                    </w:rPr>
                    <w:drawing>
                      <wp:inline distT="0" distB="0" distL="0" distR="0">
                        <wp:extent cx="5391150" cy="2695575"/>
                        <wp:effectExtent l="0" t="0" r="0" b="9525"/>
                        <wp:docPr id="21" name="Picture 21" descr="Figure 10.13 Children who received a fourth year developmental health check, by health check type, 2013-14&#10;&#10;More details can be found within the text surrounding this image.&#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391150" cy="2695575"/>
                                </a:xfrm>
                                <a:prstGeom prst="rect">
                                  <a:avLst/>
                                </a:prstGeom>
                                <a:noFill/>
                                <a:ln>
                                  <a:noFill/>
                                </a:ln>
                              </pic:spPr>
                            </pic:pic>
                          </a:graphicData>
                        </a:graphic>
                      </wp:inline>
                    </w:drawing>
                  </w:r>
                </w:p>
              </w:tc>
            </w:tr>
          </w:tbl>
          <w:p w:rsidR="001264A6" w:rsidRDefault="001264A6" w:rsidP="0067713D">
            <w:pPr>
              <w:pStyle w:val="Figure"/>
            </w:pPr>
          </w:p>
        </w:tc>
      </w:tr>
      <w:tr w:rsidR="001264A6" w:rsidRPr="00176D3F" w:rsidTr="00CC4FB1">
        <w:tc>
          <w:tcPr>
            <w:tcW w:w="8771" w:type="dxa"/>
            <w:tcBorders>
              <w:top w:val="nil"/>
              <w:left w:val="nil"/>
              <w:bottom w:val="nil"/>
              <w:right w:val="nil"/>
            </w:tcBorders>
            <w:shd w:val="clear" w:color="auto" w:fill="auto"/>
          </w:tcPr>
          <w:p w:rsidR="001264A6" w:rsidRPr="00D55EF4" w:rsidRDefault="001264A6" w:rsidP="00B95BF4">
            <w:pPr>
              <w:pStyle w:val="Note"/>
              <w:rPr>
                <w:shd w:val="clear" w:color="auto" w:fill="CBE3A1" w:themeFill="accent1" w:themeFillTint="66"/>
              </w:rPr>
            </w:pPr>
            <w:r w:rsidRPr="00EF5318">
              <w:rPr>
                <w:rStyle w:val="NoteLabel"/>
              </w:rPr>
              <w:t>a</w:t>
            </w:r>
            <w:r w:rsidRPr="00EF5318">
              <w:sym w:font="Symbol" w:char="F020"/>
            </w:r>
            <w:r w:rsidRPr="00EF5318">
              <w:t xml:space="preserve">Limited to health checks available under </w:t>
            </w:r>
            <w:r w:rsidRPr="002D7882">
              <w:t>DHS Medicare</w:t>
            </w:r>
            <w:r w:rsidRPr="00EF5318">
              <w:t xml:space="preserve">. </w:t>
            </w:r>
            <w:r w:rsidRPr="00EF5318">
              <w:rPr>
                <w:rStyle w:val="NoteLabel"/>
              </w:rPr>
              <w:t>b</w:t>
            </w:r>
            <w:r w:rsidRPr="00EC0748">
              <w:t xml:space="preserve"> </w:t>
            </w:r>
            <w:r w:rsidR="001065EC">
              <w:t xml:space="preserve">Aboriginal and Torres Strait </w:t>
            </w:r>
            <w:r w:rsidRPr="00B57790">
              <w:t>Islander People</w:t>
            </w:r>
            <w:r>
              <w:t>s</w:t>
            </w:r>
            <w:r w:rsidRPr="00B57790">
              <w:t xml:space="preserve"> Health Assessment</w:t>
            </w:r>
            <w:r>
              <w:t xml:space="preserve"> data include claims for MBS </w:t>
            </w:r>
            <w:r w:rsidRPr="00B57790">
              <w:t>Item 715</w:t>
            </w:r>
            <w:r w:rsidRPr="009007E3">
              <w:t xml:space="preserve"> </w:t>
            </w:r>
            <w:r w:rsidRPr="00EF5318">
              <w:t xml:space="preserve">for children aged </w:t>
            </w:r>
            <w:r>
              <w:t>3–5</w:t>
            </w:r>
            <w:r w:rsidRPr="00EF5318">
              <w:t xml:space="preserve"> years.</w:t>
            </w:r>
            <w:r w:rsidRPr="00B57790">
              <w:t xml:space="preserve"> </w:t>
            </w:r>
            <w:r w:rsidRPr="00EF5318">
              <w:rPr>
                <w:rStyle w:val="NoteLabel"/>
              </w:rPr>
              <w:t>c</w:t>
            </w:r>
            <w:r>
              <w:t> </w:t>
            </w:r>
            <w:r w:rsidRPr="006149C3">
              <w:t>Healthy Kids Check</w:t>
            </w:r>
            <w:r>
              <w:t xml:space="preserve"> data i</w:t>
            </w:r>
            <w:r w:rsidRPr="00EF5318">
              <w:t xml:space="preserve">nclude claims for MBS </w:t>
            </w:r>
            <w:r w:rsidRPr="006149C3">
              <w:t>Items 701, 703, 705, 707</w:t>
            </w:r>
            <w:r>
              <w:t xml:space="preserve"> </w:t>
            </w:r>
            <w:r w:rsidRPr="006149C3">
              <w:t>and 10</w:t>
            </w:r>
            <w:r>
              <w:t> </w:t>
            </w:r>
            <w:r w:rsidRPr="006149C3">
              <w:t xml:space="preserve">986 </w:t>
            </w:r>
            <w:r w:rsidRPr="00EF5318">
              <w:t xml:space="preserve">for children aged </w:t>
            </w:r>
            <w:r>
              <w:t>3–5</w:t>
            </w:r>
            <w:r w:rsidRPr="00EF5318">
              <w:t xml:space="preserve"> years.</w:t>
            </w:r>
            <w:r>
              <w:t xml:space="preserve"> </w:t>
            </w:r>
            <w:r w:rsidR="001065EC">
              <w:rPr>
                <w:rStyle w:val="NoteLabel"/>
              </w:rPr>
              <w:t>d </w:t>
            </w:r>
            <w:r>
              <w:t>Children are counted</w:t>
            </w:r>
            <w:r w:rsidR="00EB1D95">
              <w:t xml:space="preserve"> once only. </w:t>
            </w:r>
            <w:r w:rsidR="00EB1D95" w:rsidRPr="00CC4FB1">
              <w:t xml:space="preserve">A child is counted </w:t>
            </w:r>
            <w:r w:rsidR="00B95BF4" w:rsidRPr="00CC4FB1">
              <w:t xml:space="preserve">only </w:t>
            </w:r>
            <w:r w:rsidR="00EB1D95" w:rsidRPr="00CC4FB1">
              <w:t>if</w:t>
            </w:r>
            <w:r w:rsidR="00B95BF4" w:rsidRPr="00CC4FB1">
              <w:t xml:space="preserve"> not</w:t>
            </w:r>
            <w:r w:rsidR="00EB1D95" w:rsidRPr="00CC4FB1">
              <w:t xml:space="preserve"> counted </w:t>
            </w:r>
            <w:r w:rsidR="00B95BF4" w:rsidRPr="00CC4FB1">
              <w:t>for</w:t>
            </w:r>
            <w:r w:rsidR="00EB1D95" w:rsidRPr="00CC4FB1">
              <w:t xml:space="preserve"> a previous year. W</w:t>
            </w:r>
            <w:r w:rsidRPr="00CC4FB1">
              <w:t xml:space="preserve">here a child received both types of health check they are counted against the </w:t>
            </w:r>
            <w:r w:rsidR="001065EC" w:rsidRPr="00CC4FB1">
              <w:t xml:space="preserve">Aboriginal and Torres Strait </w:t>
            </w:r>
            <w:r w:rsidRPr="00CC4FB1">
              <w:t xml:space="preserve">Islander Peoples Health assessment. </w:t>
            </w:r>
            <w:r w:rsidRPr="00CC4FB1">
              <w:rPr>
                <w:rStyle w:val="NoteLabel"/>
              </w:rPr>
              <w:t>e</w:t>
            </w:r>
            <w:r w:rsidR="001065EC" w:rsidRPr="00CC4FB1">
              <w:rPr>
                <w:rStyle w:val="NoteLabel"/>
              </w:rPr>
              <w:t> </w:t>
            </w:r>
            <w:r w:rsidRPr="00CC4FB1">
              <w:t xml:space="preserve">Healthy Kids Check data include </w:t>
            </w:r>
            <w:r w:rsidR="00D16EBA" w:rsidRPr="00CC4FB1">
              <w:t>Aboriginal and Torres Strait Islander</w:t>
            </w:r>
            <w:r w:rsidRPr="00CC4FB1">
              <w:t xml:space="preserve"> children who received a Healthy Kids Check </w:t>
            </w:r>
            <w:r w:rsidR="00D55EF4" w:rsidRPr="00CC4FB1">
              <w:t xml:space="preserve">and do </w:t>
            </w:r>
            <w:r w:rsidRPr="00CC4FB1">
              <w:t xml:space="preserve">not </w:t>
            </w:r>
            <w:r w:rsidR="00D55EF4" w:rsidRPr="00CC4FB1">
              <w:t xml:space="preserve">receive </w:t>
            </w:r>
            <w:r w:rsidRPr="00CC4FB1">
              <w:t xml:space="preserve">a </w:t>
            </w:r>
            <w:r w:rsidR="001065EC" w:rsidRPr="00CC4FB1">
              <w:t xml:space="preserve">Aboriginal and Torres Strait </w:t>
            </w:r>
            <w:r w:rsidRPr="00CC4FB1">
              <w:t xml:space="preserve">Islander Peoples Health Assessment. </w:t>
            </w:r>
            <w:r w:rsidRPr="00CC4FB1">
              <w:rPr>
                <w:rStyle w:val="NoteLabel"/>
              </w:rPr>
              <w:t>f</w:t>
            </w:r>
            <w:r w:rsidRPr="0052582D">
              <w:t xml:space="preserve"> </w:t>
            </w:r>
            <w:r w:rsidR="00D55EF4" w:rsidRPr="00CC4FB1">
              <w:t>The denominator is the population of 4 year olds and is not directly comparable to the numerator, which is the sum of children who, for the first time</w:t>
            </w:r>
            <w:r w:rsidR="0012096E" w:rsidRPr="00CC4FB1">
              <w:t xml:space="preserve"> at the age of 3, 4 or 5 years</w:t>
            </w:r>
            <w:r w:rsidR="00D55EF4" w:rsidRPr="00CC4FB1">
              <w:t>, receive</w:t>
            </w:r>
            <w:r w:rsidR="0012096E" w:rsidRPr="00CC4FB1">
              <w:t>d</w:t>
            </w:r>
            <w:r w:rsidR="00D55EF4" w:rsidRPr="00CC4FB1">
              <w:t xml:space="preserve"> a health assessment under the MBS. Using this methodology, the estimated proportion of Aboriginal and Torres Strait Islander children in the NT who received a health check exceeds 100 per cent. </w:t>
            </w:r>
            <w:r w:rsidR="00D55EF4" w:rsidRPr="00CC4FB1">
              <w:rPr>
                <w:rStyle w:val="NoteLabel"/>
              </w:rPr>
              <w:t xml:space="preserve">g </w:t>
            </w:r>
            <w:r w:rsidR="00D55EF4" w:rsidRPr="00CC4FB1">
              <w:t xml:space="preserve">Rates </w:t>
            </w:r>
            <w:r w:rsidR="00585874" w:rsidRPr="00CC4FB1">
              <w:t>are derived using the ABS’ final 2011 Census rebased estimates and projections. See chapter 2 (tables 2A.</w:t>
            </w:r>
            <w:r w:rsidR="00B95BF4" w:rsidRPr="00CC4FB1">
              <w:t>2</w:t>
            </w:r>
            <w:r w:rsidR="0010225F" w:rsidRPr="00CC4FB1">
              <w:t xml:space="preserve"> and 2A.</w:t>
            </w:r>
            <w:r w:rsidR="00585874" w:rsidRPr="00CC4FB1">
              <w:t>1</w:t>
            </w:r>
            <w:r w:rsidR="00B95BF4" w:rsidRPr="00CC4FB1">
              <w:t>4</w:t>
            </w:r>
            <w:r w:rsidR="00585874" w:rsidRPr="00585874">
              <w:t>) for details.</w:t>
            </w:r>
          </w:p>
        </w:tc>
      </w:tr>
      <w:tr w:rsidR="001264A6" w:rsidRPr="00176D3F" w:rsidTr="00182AD2">
        <w:tc>
          <w:tcPr>
            <w:tcW w:w="8771" w:type="dxa"/>
            <w:tcBorders>
              <w:top w:val="nil"/>
              <w:left w:val="nil"/>
              <w:bottom w:val="nil"/>
              <w:right w:val="nil"/>
            </w:tcBorders>
            <w:shd w:val="clear" w:color="auto" w:fill="auto"/>
          </w:tcPr>
          <w:p w:rsidR="001264A6" w:rsidRPr="00176D3F" w:rsidRDefault="001264A6" w:rsidP="000D3D85">
            <w:pPr>
              <w:pStyle w:val="Note"/>
            </w:pPr>
            <w:r w:rsidRPr="00E55D02">
              <w:rPr>
                <w:i/>
              </w:rPr>
              <w:t>Source</w:t>
            </w:r>
            <w:r w:rsidRPr="00EF5318">
              <w:t xml:space="preserve">: </w:t>
            </w:r>
            <w:r>
              <w:t>Department of Health</w:t>
            </w:r>
            <w:r w:rsidRPr="00EF5318">
              <w:t xml:space="preserve"> (unpublished) </w:t>
            </w:r>
            <w:r>
              <w:t>MBS Statistics;</w:t>
            </w:r>
            <w:r w:rsidRPr="00EF5318">
              <w:t xml:space="preserve"> ABS (20</w:t>
            </w:r>
            <w:r w:rsidR="0010225F">
              <w:t>14</w:t>
            </w:r>
            <w:r w:rsidRPr="00EF5318">
              <w:t xml:space="preserve">) </w:t>
            </w:r>
            <w:r w:rsidRPr="00A76208">
              <w:rPr>
                <w:i/>
              </w:rPr>
              <w:t>Experimental estimates and projections, Aboriginal and Torr</w:t>
            </w:r>
            <w:r w:rsidR="0010225F">
              <w:rPr>
                <w:i/>
              </w:rPr>
              <w:t>es Strait Islander Australians 200</w:t>
            </w:r>
            <w:r w:rsidRPr="00A76208">
              <w:rPr>
                <w:i/>
              </w:rPr>
              <w:t>1 to 202</w:t>
            </w:r>
            <w:r w:rsidR="0010225F">
              <w:rPr>
                <w:i/>
              </w:rPr>
              <w:t>6</w:t>
            </w:r>
            <w:r w:rsidRPr="00EF5318">
              <w:t>, Cat. no. 3238.0</w:t>
            </w:r>
            <w:r>
              <w:t>;</w:t>
            </w:r>
            <w:r w:rsidRPr="00EF5318">
              <w:t xml:space="preserve"> ABS</w:t>
            </w:r>
            <w:r>
              <w:t xml:space="preserve"> (unpublished) </w:t>
            </w:r>
            <w:r w:rsidRPr="008F622B">
              <w:rPr>
                <w:i/>
              </w:rPr>
              <w:t xml:space="preserve">Australian </w:t>
            </w:r>
            <w:r w:rsidRPr="005E24A3">
              <w:rPr>
                <w:i/>
              </w:rPr>
              <w:t>demographic statistics</w:t>
            </w:r>
            <w:r w:rsidRPr="005E24A3">
              <w:t>, Cat. no. 3101.0; table </w:t>
            </w:r>
            <w:r w:rsidR="00C9076B">
              <w:t>10A.</w:t>
            </w:r>
            <w:r w:rsidR="00215CF6">
              <w:t>3</w:t>
            </w:r>
            <w:r w:rsidR="000D3D85">
              <w:t>3</w:t>
            </w:r>
            <w:r w:rsidRPr="005E24A3">
              <w:t>.</w:t>
            </w:r>
          </w:p>
        </w:tc>
      </w:tr>
      <w:tr w:rsidR="001264A6" w:rsidTr="0067713D">
        <w:tc>
          <w:tcPr>
            <w:tcW w:w="8771" w:type="dxa"/>
            <w:tcBorders>
              <w:top w:val="nil"/>
              <w:left w:val="nil"/>
              <w:bottom w:val="single" w:sz="6" w:space="0" w:color="78A22F"/>
              <w:right w:val="nil"/>
            </w:tcBorders>
            <w:shd w:val="clear" w:color="auto" w:fill="auto"/>
          </w:tcPr>
          <w:p w:rsidR="001264A6" w:rsidRDefault="001264A6" w:rsidP="0067713D">
            <w:pPr>
              <w:pStyle w:val="Figurespace"/>
            </w:pPr>
          </w:p>
        </w:tc>
      </w:tr>
      <w:tr w:rsidR="001264A6" w:rsidRPr="000863A5" w:rsidTr="0067713D">
        <w:tc>
          <w:tcPr>
            <w:tcW w:w="8771" w:type="dxa"/>
            <w:tcBorders>
              <w:top w:val="single" w:sz="6" w:space="0" w:color="78A22F"/>
              <w:left w:val="nil"/>
              <w:bottom w:val="nil"/>
              <w:right w:val="nil"/>
            </w:tcBorders>
          </w:tcPr>
          <w:p w:rsidR="001264A6" w:rsidRPr="00626D32" w:rsidRDefault="001264A6" w:rsidP="0067713D">
            <w:pPr>
              <w:pStyle w:val="BoxSpaceBelow"/>
            </w:pPr>
          </w:p>
        </w:tc>
      </w:tr>
    </w:tbl>
    <w:p w:rsidR="00AE7160" w:rsidRDefault="00AE7160" w:rsidP="00EB32FF">
      <w:pPr>
        <w:pStyle w:val="Heading3"/>
      </w:pPr>
      <w:r>
        <w:t>Effectiveness</w:t>
      </w:r>
    </w:p>
    <w:p w:rsidR="00AE7160" w:rsidRDefault="00AE7160" w:rsidP="00AE7160">
      <w:pPr>
        <w:pStyle w:val="Heading4"/>
      </w:pPr>
      <w:r>
        <w:t>Access</w:t>
      </w:r>
    </w:p>
    <w:p w:rsidR="00176FEB" w:rsidRDefault="00176FEB" w:rsidP="00AE7160">
      <w:pPr>
        <w:pStyle w:val="Heading5"/>
      </w:pPr>
      <w:r>
        <w:t>Effectiveness of access to GPs</w:t>
      </w:r>
    </w:p>
    <w:p w:rsidR="007E3A16" w:rsidRDefault="00176FEB" w:rsidP="00944E91">
      <w:pPr>
        <w:pStyle w:val="BodyText"/>
      </w:pPr>
      <w:r>
        <w:t>‘</w:t>
      </w:r>
      <w:r w:rsidRPr="00176FEB">
        <w:t>Effectiveness of access to GPs</w:t>
      </w:r>
      <w:r>
        <w:t xml:space="preserve">’ is an indicator of governments’ objective to provide </w:t>
      </w:r>
      <w:r w:rsidR="002B3840">
        <w:t>effective</w:t>
      </w:r>
      <w:r w:rsidRPr="00351BBC">
        <w:t xml:space="preserve"> access to</w:t>
      </w:r>
      <w:r w:rsidR="00351BBC" w:rsidRPr="00351BBC">
        <w:t xml:space="preserve"> primary healthcare services</w:t>
      </w:r>
      <w:r w:rsidR="0078709A">
        <w:t xml:space="preserve"> (</w:t>
      </w:r>
      <w:r w:rsidR="00897589">
        <w:t>box 10.</w:t>
      </w:r>
      <w:r w:rsidR="0078709A">
        <w:t>7)</w:t>
      </w:r>
      <w:r w:rsidR="00351BBC" w:rsidRPr="00351BBC">
        <w:t>.</w:t>
      </w:r>
      <w:r w:rsidR="002B3840">
        <w:t xml:space="preserve"> </w:t>
      </w:r>
      <w:r w:rsidR="00CE16B6">
        <w:t>The effectiveness of services can vary according to the affordability and timeliness of services that people can access.</w:t>
      </w:r>
    </w:p>
    <w:p w:rsidR="00EF45AC" w:rsidRDefault="00EF45AC">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F45AC" w:rsidTr="00867BB6">
        <w:tc>
          <w:tcPr>
            <w:tcW w:w="8771" w:type="dxa"/>
            <w:tcBorders>
              <w:top w:val="single" w:sz="6" w:space="0" w:color="78A22F"/>
              <w:left w:val="nil"/>
              <w:bottom w:val="nil"/>
              <w:right w:val="nil"/>
            </w:tcBorders>
            <w:shd w:val="clear" w:color="auto" w:fill="F2F2F2" w:themeFill="background1" w:themeFillShade="F2"/>
          </w:tcPr>
          <w:p w:rsidR="00EF45AC" w:rsidRDefault="00EF45AC">
            <w:pPr>
              <w:pStyle w:val="BoxTitle"/>
            </w:pPr>
            <w:r>
              <w:rPr>
                <w:b w:val="0"/>
              </w:rPr>
              <w:t xml:space="preserve">Box </w:t>
            </w:r>
            <w:bookmarkStart w:id="16" w:name="OLE_LINK2"/>
            <w:r>
              <w:rPr>
                <w:b w:val="0"/>
              </w:rPr>
              <w:t>10.</w:t>
            </w:r>
            <w:r w:rsidR="0078724D">
              <w:rPr>
                <w:b w:val="0"/>
                <w:noProof/>
              </w:rPr>
              <w:t>7</w:t>
            </w:r>
            <w:bookmarkEnd w:id="16"/>
            <w:r>
              <w:tab/>
            </w:r>
            <w:r w:rsidRPr="007E3A16">
              <w:t>Effectiveness of access to GPs</w:t>
            </w:r>
          </w:p>
        </w:tc>
      </w:tr>
      <w:tr w:rsidR="00EF45AC" w:rsidTr="00867BB6">
        <w:trPr>
          <w:cantSplit/>
        </w:trPr>
        <w:tc>
          <w:tcPr>
            <w:tcW w:w="8771" w:type="dxa"/>
            <w:tcBorders>
              <w:top w:val="nil"/>
              <w:left w:val="nil"/>
              <w:bottom w:val="nil"/>
              <w:right w:val="nil"/>
            </w:tcBorders>
            <w:shd w:val="clear" w:color="auto" w:fill="F2F2F2" w:themeFill="background1" w:themeFillShade="F2"/>
          </w:tcPr>
          <w:p w:rsidR="00EF45AC" w:rsidRPr="004C1535" w:rsidRDefault="00EF45AC" w:rsidP="00867BB6">
            <w:pPr>
              <w:pStyle w:val="Box"/>
            </w:pPr>
            <w:r w:rsidRPr="004C1535">
              <w:t>‘Effectiveness of access to GPs’ is defined by four measures:</w:t>
            </w:r>
          </w:p>
          <w:p w:rsidR="00EF45AC" w:rsidRPr="004C1535" w:rsidRDefault="00EF45AC" w:rsidP="00867BB6">
            <w:pPr>
              <w:pStyle w:val="BoxListBullet"/>
            </w:pPr>
            <w:r w:rsidRPr="004C1535">
              <w:t>bulk billing rates, defined as the number of GP visits that were bulk billed as a proportion of all GP visits</w:t>
            </w:r>
          </w:p>
          <w:p w:rsidR="00EF45AC" w:rsidRPr="004C1535" w:rsidRDefault="00EF45AC" w:rsidP="00867BB6">
            <w:pPr>
              <w:pStyle w:val="BoxListBullet"/>
            </w:pPr>
            <w:r w:rsidRPr="004C1535">
              <w:t>people deferring visits to GPs due to financial barriers, defined as the proportion of people who delayed seeing or did not see a GP due to cost</w:t>
            </w:r>
          </w:p>
          <w:p w:rsidR="00EF45AC" w:rsidRPr="004C1535" w:rsidRDefault="00EF45AC" w:rsidP="00867BB6">
            <w:pPr>
              <w:pStyle w:val="BoxListBullet"/>
            </w:pPr>
            <w:r w:rsidRPr="004C1535">
              <w:t>GP waiting times, defined as the number of people who saw a GP for urgent medical care within specified waiting time categories in the previous 12 months, divided by the number of people who saw a GP for urgent medical care in the previous 12 months. Specified waiting time categories are:</w:t>
            </w:r>
          </w:p>
          <w:p w:rsidR="00EF45AC" w:rsidRPr="004C1535" w:rsidRDefault="00EF45AC" w:rsidP="00867BB6">
            <w:pPr>
              <w:pStyle w:val="BoxListBullet2"/>
            </w:pPr>
            <w:r w:rsidRPr="004C1535">
              <w:t>less than 4 hours</w:t>
            </w:r>
          </w:p>
          <w:p w:rsidR="00EF45AC" w:rsidRPr="004C1535" w:rsidRDefault="00EF45AC" w:rsidP="00867BB6">
            <w:pPr>
              <w:pStyle w:val="BoxListBullet2"/>
            </w:pPr>
            <w:r w:rsidRPr="004C1535">
              <w:t xml:space="preserve">4 to </w:t>
            </w:r>
            <w:r>
              <w:t xml:space="preserve">less than </w:t>
            </w:r>
            <w:r w:rsidRPr="004C1535">
              <w:t>24 hours</w:t>
            </w:r>
          </w:p>
          <w:p w:rsidR="00EF45AC" w:rsidRPr="004C1535" w:rsidRDefault="00EF45AC" w:rsidP="00867BB6">
            <w:pPr>
              <w:pStyle w:val="BoxListBullet2"/>
            </w:pPr>
            <w:r w:rsidRPr="004C1535">
              <w:t>24 hours</w:t>
            </w:r>
            <w:r>
              <w:t xml:space="preserve"> or</w:t>
            </w:r>
            <w:r w:rsidRPr="004C1535">
              <w:t xml:space="preserve"> more</w:t>
            </w:r>
          </w:p>
          <w:p w:rsidR="00EF45AC" w:rsidRDefault="00EF45AC" w:rsidP="00CC4FB1">
            <w:pPr>
              <w:pStyle w:val="BoxListBullet"/>
            </w:pPr>
            <w:r w:rsidRPr="004C1535">
              <w:t>potentially avoidable present</w:t>
            </w:r>
            <w:r>
              <w:t>ations to emergency departments</w:t>
            </w:r>
            <w:r w:rsidR="001E6FF9">
              <w:t xml:space="preserve"> </w:t>
            </w:r>
            <w:r w:rsidR="001E6FF9" w:rsidRPr="00CC4FB1">
              <w:t>(interim measure)</w:t>
            </w:r>
            <w:r w:rsidR="00481E33">
              <w:t>,</w:t>
            </w:r>
            <w:r w:rsidRPr="004C1535">
              <w:t xml:space="preserve"> defined as</w:t>
            </w:r>
            <w:r>
              <w:t>:</w:t>
            </w:r>
          </w:p>
          <w:p w:rsidR="00EF45AC" w:rsidRPr="004C1535" w:rsidRDefault="00EF45AC" w:rsidP="00867BB6">
            <w:pPr>
              <w:pStyle w:val="BoxListBullet2"/>
            </w:pPr>
            <w:r w:rsidRPr="004C1535">
              <w:t>the number of selected ‘GP-type presentations’ to emergency departments, where selected GP-type presentations are those:</w:t>
            </w:r>
          </w:p>
          <w:p w:rsidR="00EF45AC" w:rsidRPr="004C1535" w:rsidRDefault="00EF45AC" w:rsidP="00867BB6">
            <w:pPr>
              <w:pStyle w:val="BoxListBullet3"/>
            </w:pPr>
            <w:r w:rsidRPr="004C1535">
              <w:t>allocated to triage category 4 or 5</w:t>
            </w:r>
          </w:p>
          <w:p w:rsidR="00EF45AC" w:rsidRPr="004C1535" w:rsidRDefault="00EF45AC" w:rsidP="00867BB6">
            <w:pPr>
              <w:pStyle w:val="BoxListBullet3"/>
            </w:pPr>
            <w:r w:rsidRPr="004C1535">
              <w:t>not arriving by ambulance, with police or corrections</w:t>
            </w:r>
          </w:p>
          <w:p w:rsidR="00EF45AC" w:rsidRPr="004C1535" w:rsidRDefault="00EF45AC" w:rsidP="00867BB6">
            <w:pPr>
              <w:pStyle w:val="BoxListBullet3"/>
            </w:pPr>
            <w:r w:rsidRPr="004C1535">
              <w:t>not admitted or referred to another hospital</w:t>
            </w:r>
          </w:p>
          <w:p w:rsidR="00EF45AC" w:rsidRDefault="00EF45AC" w:rsidP="00867BB6">
            <w:pPr>
              <w:pStyle w:val="BoxListBullet3"/>
            </w:pPr>
            <w:r>
              <w:t>who did not die.</w:t>
            </w:r>
          </w:p>
          <w:p w:rsidR="00EF45AC" w:rsidRDefault="00EF45AC" w:rsidP="00867BB6">
            <w:pPr>
              <w:pStyle w:val="Box"/>
            </w:pPr>
            <w:r w:rsidRPr="004C1535">
              <w:t>A high or increasing proportion of bulk billed attendances can indicate more affordable access to GP services. GP visits that are bulk billed do not require patients to pay part of the cost of the visit, while GP visits that are not bulk billed do. This measure does not provide information on whether the services are appropriate for the needs of the people receiving them.</w:t>
            </w:r>
          </w:p>
          <w:p w:rsidR="00EF45AC" w:rsidRDefault="00EF45AC" w:rsidP="00867BB6">
            <w:pPr>
              <w:pStyle w:val="Box"/>
            </w:pPr>
            <w:r>
              <w:t>Data reported for this measure are:</w:t>
            </w:r>
          </w:p>
          <w:p w:rsidR="00EF45AC" w:rsidRDefault="00EF45AC" w:rsidP="00867BB6">
            <w:pPr>
              <w:pStyle w:val="BoxListBullet"/>
            </w:pPr>
            <w:r>
              <w:t xml:space="preserve">comparable (subject to caveats) across jurisdictions </w:t>
            </w:r>
            <w:r w:rsidRPr="0001501E">
              <w:t>and over time</w:t>
            </w:r>
          </w:p>
          <w:p w:rsidR="00EF45AC" w:rsidRDefault="00EF45AC" w:rsidP="00867BB6">
            <w:pPr>
              <w:pStyle w:val="BoxListBullet"/>
            </w:pPr>
            <w:r>
              <w:t>complete (subject to caveats) for the current reporting period. All required 201</w:t>
            </w:r>
            <w:r w:rsidR="003811DF">
              <w:t>3</w:t>
            </w:r>
            <w:r>
              <w:noBreakHyphen/>
              <w:t>1</w:t>
            </w:r>
            <w:r w:rsidR="003811DF">
              <w:t>4</w:t>
            </w:r>
            <w:r>
              <w:t xml:space="preserve"> data are available for all jurisdictions.</w:t>
            </w:r>
          </w:p>
          <w:p w:rsidR="00EF45AC" w:rsidRDefault="00EF45AC" w:rsidP="00867BB6">
            <w:pPr>
              <w:pStyle w:val="Box"/>
            </w:pPr>
            <w:r w:rsidRPr="004C1535">
              <w:t xml:space="preserve">A low or decreasing proportion of people deferring visits to GPs due to financial barriers indicates more widely affordable access to GPs. </w:t>
            </w:r>
          </w:p>
          <w:p w:rsidR="00EF45AC" w:rsidRPr="00D02090" w:rsidRDefault="00EF45AC" w:rsidP="00867BB6">
            <w:pPr>
              <w:pStyle w:val="Box"/>
              <w:rPr>
                <w:rStyle w:val="DraftingNote"/>
              </w:rPr>
            </w:pPr>
            <w:r>
              <w:t>Data reported for this measure are:</w:t>
            </w:r>
          </w:p>
          <w:p w:rsidR="00EF45AC" w:rsidRDefault="00EF45AC" w:rsidP="00D02090">
            <w:pPr>
              <w:pStyle w:val="BoxListBullet"/>
            </w:pPr>
            <w:r>
              <w:t xml:space="preserve">comparable (subject to caveats) across </w:t>
            </w:r>
            <w:r w:rsidRPr="009254B9">
              <w:t>jurisdictions</w:t>
            </w:r>
            <w:r w:rsidR="00A85129">
              <w:t xml:space="preserve"> and </w:t>
            </w:r>
            <w:r w:rsidR="00015CAF" w:rsidRPr="00062970">
              <w:t>comparable over time</w:t>
            </w:r>
          </w:p>
          <w:p w:rsidR="00EF45AC" w:rsidRDefault="00EF45AC" w:rsidP="00D02090">
            <w:pPr>
              <w:pStyle w:val="BoxListBullet"/>
            </w:pPr>
            <w:r w:rsidRPr="00D02090">
              <w:t>complete (subject to caveats) for the current rep</w:t>
            </w:r>
            <w:r w:rsidR="00A85129">
              <w:t xml:space="preserve">orting period. All required </w:t>
            </w:r>
            <w:r w:rsidR="00A85129" w:rsidRPr="00062970">
              <w:t>2013</w:t>
            </w:r>
            <w:r w:rsidRPr="00062970">
              <w:noBreakHyphen/>
              <w:t>1</w:t>
            </w:r>
            <w:r w:rsidR="00A85129" w:rsidRPr="00062970">
              <w:t>4</w:t>
            </w:r>
            <w:r w:rsidRPr="00D02090">
              <w:t xml:space="preserve"> data are available for all jurisdictions</w:t>
            </w:r>
            <w:r>
              <w:t>.</w:t>
            </w:r>
          </w:p>
          <w:p w:rsidR="00EF45AC" w:rsidRDefault="00EF45AC" w:rsidP="00867BB6">
            <w:pPr>
              <w:pStyle w:val="Continued"/>
            </w:pPr>
            <w:r>
              <w:t>(Continued next pa</w:t>
            </w:r>
            <w:r w:rsidRPr="00C95ADC">
              <w:t>ge)</w:t>
            </w:r>
          </w:p>
        </w:tc>
      </w:tr>
      <w:tr w:rsidR="00EF45AC" w:rsidTr="00867BB6">
        <w:trPr>
          <w:cantSplit/>
        </w:trPr>
        <w:tc>
          <w:tcPr>
            <w:tcW w:w="8771" w:type="dxa"/>
            <w:tcBorders>
              <w:top w:val="nil"/>
              <w:left w:val="nil"/>
              <w:bottom w:val="single" w:sz="6" w:space="0" w:color="78A22F"/>
              <w:right w:val="nil"/>
            </w:tcBorders>
            <w:shd w:val="clear" w:color="auto" w:fill="F2F2F2" w:themeFill="background1" w:themeFillShade="F2"/>
          </w:tcPr>
          <w:p w:rsidR="00EF45AC" w:rsidRDefault="00EF45AC">
            <w:pPr>
              <w:pStyle w:val="Box"/>
              <w:spacing w:before="0" w:line="120" w:lineRule="exact"/>
            </w:pPr>
          </w:p>
        </w:tc>
      </w:tr>
      <w:tr w:rsidR="00EF45AC" w:rsidRPr="000863A5" w:rsidTr="00867BB6">
        <w:tc>
          <w:tcPr>
            <w:tcW w:w="8771" w:type="dxa"/>
            <w:tcBorders>
              <w:top w:val="single" w:sz="6" w:space="0" w:color="78A22F"/>
              <w:left w:val="nil"/>
              <w:bottom w:val="nil"/>
              <w:right w:val="nil"/>
            </w:tcBorders>
          </w:tcPr>
          <w:p w:rsidR="00EF45AC" w:rsidRPr="00626D32" w:rsidRDefault="00EF45AC" w:rsidP="00867BB6">
            <w:pPr>
              <w:pStyle w:val="BoxSpaceBelow"/>
            </w:pPr>
          </w:p>
        </w:tc>
      </w:tr>
    </w:tbl>
    <w:p w:rsidR="00EF45AC" w:rsidRDefault="00EF45AC">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F45AC" w:rsidTr="003A32D2">
        <w:tc>
          <w:tcPr>
            <w:tcW w:w="8771" w:type="dxa"/>
            <w:tcBorders>
              <w:top w:val="single" w:sz="6" w:space="0" w:color="78A22F"/>
              <w:left w:val="nil"/>
              <w:bottom w:val="nil"/>
              <w:right w:val="nil"/>
            </w:tcBorders>
            <w:shd w:val="clear" w:color="auto" w:fill="F2F2F2" w:themeFill="background1" w:themeFillShade="F2"/>
          </w:tcPr>
          <w:p w:rsidR="00EF45AC" w:rsidRDefault="00EF45AC" w:rsidP="003F7095">
            <w:pPr>
              <w:pStyle w:val="BoxTitle"/>
            </w:pPr>
            <w:r>
              <w:rPr>
                <w:b w:val="0"/>
              </w:rPr>
              <w:t xml:space="preserve">Box </w:t>
            </w:r>
            <w:r w:rsidR="003F7095" w:rsidRPr="003F7095">
              <w:rPr>
                <w:b w:val="0"/>
              </w:rPr>
              <w:t>10.7</w:t>
            </w:r>
            <w:r>
              <w:tab/>
            </w:r>
            <w:r w:rsidRPr="001A63CD">
              <w:rPr>
                <w:sz w:val="18"/>
                <w:szCs w:val="18"/>
              </w:rPr>
              <w:t>(Continued)</w:t>
            </w:r>
          </w:p>
        </w:tc>
      </w:tr>
      <w:tr w:rsidR="00EF45AC" w:rsidTr="003A32D2">
        <w:trPr>
          <w:cantSplit/>
        </w:trPr>
        <w:tc>
          <w:tcPr>
            <w:tcW w:w="8771" w:type="dxa"/>
            <w:tcBorders>
              <w:top w:val="nil"/>
              <w:left w:val="nil"/>
              <w:bottom w:val="nil"/>
              <w:right w:val="nil"/>
            </w:tcBorders>
            <w:shd w:val="clear" w:color="auto" w:fill="F2F2F2" w:themeFill="background1" w:themeFillShade="F2"/>
          </w:tcPr>
          <w:p w:rsidR="00EF45AC" w:rsidRDefault="00EF45AC" w:rsidP="00867BB6">
            <w:pPr>
              <w:pStyle w:val="Box"/>
            </w:pPr>
            <w:r w:rsidRPr="004C1535">
              <w:t xml:space="preserve">A high or increasing proportion of people who saw a GP within 4 hours for urgent medical care indicates more timely access to GPs. </w:t>
            </w:r>
          </w:p>
          <w:p w:rsidR="00EF45AC" w:rsidRDefault="00EF45AC" w:rsidP="00867BB6">
            <w:pPr>
              <w:pStyle w:val="Box"/>
            </w:pPr>
            <w:r>
              <w:t>Data reported for this measure are:</w:t>
            </w:r>
          </w:p>
          <w:p w:rsidR="00EF45AC" w:rsidRDefault="00EF45AC" w:rsidP="00D02090">
            <w:pPr>
              <w:pStyle w:val="BoxListBullet"/>
            </w:pPr>
            <w:r>
              <w:t xml:space="preserve">comparable (subject to caveats) across jurisdictions and </w:t>
            </w:r>
            <w:r w:rsidRPr="009254B9">
              <w:t xml:space="preserve">comparable </w:t>
            </w:r>
            <w:r w:rsidR="00271796" w:rsidRPr="00062970">
              <w:t>over time</w:t>
            </w:r>
          </w:p>
          <w:p w:rsidR="00EF45AC" w:rsidRDefault="00EF45AC" w:rsidP="00D02090">
            <w:pPr>
              <w:pStyle w:val="BoxListBullet"/>
            </w:pPr>
            <w:r>
              <w:t>complete (subject to caveats) for the current reporti</w:t>
            </w:r>
            <w:r w:rsidR="00860536">
              <w:t xml:space="preserve">ng period. All required </w:t>
            </w:r>
            <w:r w:rsidR="00860536" w:rsidRPr="00062970">
              <w:t>2013</w:t>
            </w:r>
            <w:r w:rsidRPr="00062970">
              <w:noBreakHyphen/>
              <w:t>1</w:t>
            </w:r>
            <w:r w:rsidR="00860536" w:rsidRPr="00062970">
              <w:t>4</w:t>
            </w:r>
            <w:r>
              <w:t xml:space="preserve"> data are available for all jurisdictions.</w:t>
            </w:r>
          </w:p>
          <w:p w:rsidR="00EF45AC" w:rsidRDefault="001E6FF9" w:rsidP="00CC4FB1">
            <w:pPr>
              <w:pStyle w:val="Box"/>
            </w:pPr>
            <w:r w:rsidRPr="00CC4FB1">
              <w:t xml:space="preserve">Potentially avoidable presentations to emergency departments </w:t>
            </w:r>
            <w:r w:rsidR="003A32D2" w:rsidRPr="00CC4FB1">
              <w:t xml:space="preserve">— </w:t>
            </w:r>
            <w:r w:rsidRPr="00CC4FB1">
              <w:t>an interim measure</w:t>
            </w:r>
            <w:r w:rsidR="003A32D2" w:rsidRPr="00CC4FB1">
              <w:t xml:space="preserve"> for this indcator — are</w:t>
            </w:r>
            <w:r w:rsidR="00426A60" w:rsidRPr="00CC4FB1">
              <w:t xml:space="preserve"> presentations for conditions that could be appropriately managed in the primary and community health sector. </w:t>
            </w:r>
            <w:r w:rsidR="003A32D2" w:rsidRPr="00CC4FB1">
              <w:t>In</w:t>
            </w:r>
            <w:r w:rsidR="00426A60" w:rsidRPr="00CC4FB1">
              <w:t xml:space="preserve"> some </w:t>
            </w:r>
            <w:r w:rsidR="003A32D2" w:rsidRPr="00CC4FB1">
              <w:t>cases</w:t>
            </w:r>
            <w:r w:rsidR="00426A60" w:rsidRPr="00CC4FB1">
              <w:t xml:space="preserve">, this can be determined </w:t>
            </w:r>
            <w:r w:rsidR="003A32D2" w:rsidRPr="00CC4FB1">
              <w:t>only retrospectively and presentation to an emergency department is appropriate.</w:t>
            </w:r>
            <w:r w:rsidR="003A32D2" w:rsidRPr="00211B55">
              <w:t xml:space="preserve"> </w:t>
            </w:r>
            <w:r w:rsidR="00EF45AC" w:rsidRPr="004C1535">
              <w:t>A low or decreasing proportion of potentially avoidable presentations to emergency departments can indicate better access to primary and community health care.</w:t>
            </w:r>
          </w:p>
          <w:p w:rsidR="00EF45AC" w:rsidRDefault="00EF45AC" w:rsidP="00867BB6">
            <w:pPr>
              <w:pStyle w:val="Box"/>
            </w:pPr>
            <w:r>
              <w:t>Data reported for this measure are:</w:t>
            </w:r>
          </w:p>
          <w:p w:rsidR="00EF45AC" w:rsidRDefault="00EF45AC" w:rsidP="00867BB6">
            <w:pPr>
              <w:pStyle w:val="BoxListBullet"/>
            </w:pPr>
            <w:r w:rsidRPr="00226A5B">
              <w:t xml:space="preserve">comparable (subject to caveats) within some jurisdictions over time but not comparable within other jurisdictions </w:t>
            </w:r>
            <w:r>
              <w:t xml:space="preserve">over time or </w:t>
            </w:r>
            <w:r w:rsidRPr="00226A5B">
              <w:t>across jurisdictions (see caveats in attachment tab</w:t>
            </w:r>
            <w:r>
              <w:t>les for specific jurisdictions)</w:t>
            </w:r>
          </w:p>
          <w:p w:rsidR="00EF45AC" w:rsidRPr="004C1535" w:rsidRDefault="00EF45AC" w:rsidP="00867BB6">
            <w:pPr>
              <w:pStyle w:val="BoxListBullet"/>
            </w:pPr>
            <w:r w:rsidRPr="00D02090">
              <w:t>complete (subject to caveats) for the current reporting period. All required 201</w:t>
            </w:r>
            <w:r w:rsidR="00D02090">
              <w:t>3</w:t>
            </w:r>
            <w:r w:rsidR="00D02090">
              <w:noBreakHyphen/>
              <w:t>14</w:t>
            </w:r>
            <w:r w:rsidRPr="00D02090">
              <w:t xml:space="preserve"> data are available for all jurisdictions</w:t>
            </w:r>
            <w:r>
              <w:t>.</w:t>
            </w:r>
          </w:p>
          <w:p w:rsidR="00EF45AC" w:rsidRPr="0001501E" w:rsidRDefault="00EF45AC" w:rsidP="00867BB6">
            <w:pPr>
              <w:pStyle w:val="Box"/>
            </w:pPr>
            <w:r w:rsidRPr="0027351B">
              <w:t xml:space="preserve">Data quality information </w:t>
            </w:r>
            <w:r w:rsidRPr="00B86109">
              <w:t xml:space="preserve">for this </w:t>
            </w:r>
            <w:r>
              <w:t>indicator</w:t>
            </w:r>
            <w:r w:rsidRPr="00B86109">
              <w:t xml:space="preserve"> is at </w:t>
            </w:r>
            <w:r w:rsidR="00786AB7">
              <w:t>www.pc.gov.au</w:t>
            </w:r>
            <w:r w:rsidRPr="004C1535">
              <w:t>/</w:t>
            </w:r>
            <w:r w:rsidR="00AA5503">
              <w:t>rogs/2015</w:t>
            </w:r>
            <w:r w:rsidRPr="004C1535">
              <w:t>.</w:t>
            </w:r>
          </w:p>
        </w:tc>
      </w:tr>
      <w:tr w:rsidR="00EF45AC" w:rsidTr="00867BB6">
        <w:trPr>
          <w:cantSplit/>
        </w:trPr>
        <w:tc>
          <w:tcPr>
            <w:tcW w:w="8771" w:type="dxa"/>
            <w:tcBorders>
              <w:top w:val="nil"/>
              <w:left w:val="nil"/>
              <w:bottom w:val="single" w:sz="6" w:space="0" w:color="78A22F"/>
              <w:right w:val="nil"/>
            </w:tcBorders>
            <w:shd w:val="clear" w:color="auto" w:fill="F2F2F2" w:themeFill="background1" w:themeFillShade="F2"/>
          </w:tcPr>
          <w:p w:rsidR="00EF45AC" w:rsidRDefault="00EF45AC">
            <w:pPr>
              <w:pStyle w:val="Box"/>
              <w:spacing w:before="0" w:line="120" w:lineRule="exact"/>
            </w:pPr>
          </w:p>
        </w:tc>
      </w:tr>
      <w:tr w:rsidR="00EF45AC" w:rsidRPr="000863A5" w:rsidTr="00867BB6">
        <w:tc>
          <w:tcPr>
            <w:tcW w:w="8771" w:type="dxa"/>
            <w:tcBorders>
              <w:top w:val="single" w:sz="6" w:space="0" w:color="78A22F"/>
              <w:left w:val="nil"/>
              <w:bottom w:val="nil"/>
              <w:right w:val="nil"/>
            </w:tcBorders>
          </w:tcPr>
          <w:p w:rsidR="00EF45AC" w:rsidRPr="00626D32" w:rsidRDefault="00EF45AC" w:rsidP="00867BB6">
            <w:pPr>
              <w:pStyle w:val="BoxSpaceBelow"/>
            </w:pPr>
          </w:p>
        </w:tc>
      </w:tr>
    </w:tbl>
    <w:p w:rsidR="00D60E9F" w:rsidRPr="00D77D61" w:rsidRDefault="00D60E9F" w:rsidP="00D60E9F">
      <w:pPr>
        <w:pStyle w:val="Heading5"/>
      </w:pPr>
      <w:r w:rsidRPr="00D77D61">
        <w:t>Effectiveness of access to GPs</w:t>
      </w:r>
      <w:r>
        <w:t xml:space="preserve"> — bulk billing rates</w:t>
      </w:r>
    </w:p>
    <w:p w:rsidR="00D60E9F" w:rsidRPr="00234A99" w:rsidRDefault="00D60E9F" w:rsidP="00D60E9F">
      <w:pPr>
        <w:pStyle w:val="BodyText"/>
      </w:pPr>
      <w:r w:rsidRPr="00234A99">
        <w:t>Patient visits to GPs are either bulk billed, or the patient is required to pay part of the cost of the visit. GP visits are classed as non</w:t>
      </w:r>
      <w:r>
        <w:noBreakHyphen/>
      </w:r>
      <w:r w:rsidRPr="00234A99">
        <w:t xml:space="preserve">referred attendances under </w:t>
      </w:r>
      <w:r>
        <w:t>DHS</w:t>
      </w:r>
      <w:r w:rsidRPr="002D7882">
        <w:t xml:space="preserve"> Medicare</w:t>
      </w:r>
      <w:r w:rsidRPr="00234A99">
        <w:t xml:space="preserve">. Where a patient is bulk billed they make no out-of-pocket contribution; the GP bills </w:t>
      </w:r>
      <w:r w:rsidRPr="002D7882">
        <w:t xml:space="preserve">DHS Medicare </w:t>
      </w:r>
      <w:r w:rsidRPr="00234A99">
        <w:t>directly and, since 1 January 2005, receives 100</w:t>
      </w:r>
      <w:r>
        <w:t> </w:t>
      </w:r>
      <w:r w:rsidRPr="00234A99">
        <w:t>per</w:t>
      </w:r>
      <w:r>
        <w:t> </w:t>
      </w:r>
      <w:r w:rsidRPr="00234A99">
        <w:t xml:space="preserve">cent of the Schedule fee (the patient rebate) as full payment for the service. The 100 per cent </w:t>
      </w:r>
      <w:r w:rsidRPr="002D7882">
        <w:t xml:space="preserve">DHS Medicare </w:t>
      </w:r>
      <w:r w:rsidRPr="00234A99">
        <w:t>rebate applies to most GP services.</w:t>
      </w:r>
    </w:p>
    <w:p w:rsidR="00D60E9F" w:rsidRDefault="00D60E9F" w:rsidP="00D60E9F">
      <w:pPr>
        <w:pStyle w:val="BodyText"/>
      </w:pPr>
      <w:r>
        <w:t>Nationally, the bulk </w:t>
      </w:r>
      <w:r w:rsidRPr="0042128A">
        <w:t xml:space="preserve">billed </w:t>
      </w:r>
      <w:r w:rsidRPr="000A78DF">
        <w:t>proportion of non</w:t>
      </w:r>
      <w:r w:rsidRPr="000A78DF">
        <w:noBreakHyphen/>
        <w:t xml:space="preserve">referred attendances, including those </w:t>
      </w:r>
      <w:r w:rsidRPr="007C5C32">
        <w:t>by practice nurses, was</w:t>
      </w:r>
      <w:r>
        <w:t xml:space="preserve"> </w:t>
      </w:r>
      <w:r w:rsidR="009B31AC">
        <w:t>83.6</w:t>
      </w:r>
      <w:r w:rsidRPr="002F2F5F">
        <w:t xml:space="preserve"> per cent in 201</w:t>
      </w:r>
      <w:r w:rsidR="009B31AC">
        <w:t>3</w:t>
      </w:r>
      <w:r w:rsidRPr="002F2F5F">
        <w:noBreakHyphen/>
        <w:t>1</w:t>
      </w:r>
      <w:r w:rsidR="009B31AC">
        <w:t>4</w:t>
      </w:r>
      <w:r w:rsidRPr="002F2F5F">
        <w:t>. For most jurisdictions, this proportion increased in the period 200</w:t>
      </w:r>
      <w:r w:rsidR="009B31AC">
        <w:t>9</w:t>
      </w:r>
      <w:r w:rsidRPr="002F2F5F">
        <w:t>-</w:t>
      </w:r>
      <w:r w:rsidR="009B31AC">
        <w:t>1</w:t>
      </w:r>
      <w:r w:rsidRPr="002F2F5F">
        <w:t>0 to 201</w:t>
      </w:r>
      <w:r w:rsidR="009B31AC">
        <w:t>3</w:t>
      </w:r>
      <w:r w:rsidRPr="002F2F5F">
        <w:noBreakHyphen/>
        <w:t>1</w:t>
      </w:r>
      <w:r w:rsidR="009B31AC">
        <w:t>4</w:t>
      </w:r>
      <w:r w:rsidRPr="007C5C32">
        <w:t xml:space="preserve"> (</w:t>
      </w:r>
      <w:r w:rsidR="00897589">
        <w:t>figure 10.</w:t>
      </w:r>
      <w:r w:rsidRPr="007C5C32">
        <w:t>1</w:t>
      </w:r>
      <w:r w:rsidR="00CF51C0">
        <w:t>4</w:t>
      </w:r>
      <w:r>
        <w:t>)</w:t>
      </w:r>
      <w:r w:rsidRPr="007C5C32">
        <w:t xml:space="preserve">. </w:t>
      </w:r>
      <w:r w:rsidRPr="002F2F5F">
        <w:t>Th</w:t>
      </w:r>
      <w:r>
        <w:t>e bulk billed proportion of non</w:t>
      </w:r>
      <w:r>
        <w:noBreakHyphen/>
      </w:r>
      <w:r w:rsidRPr="002F2F5F">
        <w:t>referred attendances was highe</w:t>
      </w:r>
      <w:r w:rsidR="00F53AD8">
        <w:t>st</w:t>
      </w:r>
      <w:r w:rsidRPr="002F2F5F">
        <w:t xml:space="preserve"> in very remote areas </w:t>
      </w:r>
      <w:r w:rsidR="00F53AD8">
        <w:t xml:space="preserve">and lowest in inner regional, </w:t>
      </w:r>
      <w:r w:rsidR="00F53AD8" w:rsidRPr="002F2F5F">
        <w:t>outer region</w:t>
      </w:r>
      <w:r w:rsidR="00F53AD8">
        <w:t xml:space="preserve">al and remote areas </w:t>
      </w:r>
      <w:r>
        <w:t xml:space="preserve">(table </w:t>
      </w:r>
      <w:r w:rsidR="00C9076B">
        <w:t>10A.</w:t>
      </w:r>
      <w:r>
        <w:t>3</w:t>
      </w:r>
      <w:r w:rsidR="000D3D85">
        <w:t>4</w:t>
      </w:r>
      <w:r w:rsidRPr="007C5C32">
        <w:t>).</w:t>
      </w:r>
      <w:r>
        <w:t xml:space="preserve"> The bulk </w:t>
      </w:r>
      <w:r w:rsidRPr="0042128A">
        <w:t xml:space="preserve">billed </w:t>
      </w:r>
      <w:r w:rsidRPr="000A78DF">
        <w:t>proportion of non</w:t>
      </w:r>
      <w:r w:rsidRPr="000A78DF">
        <w:noBreakHyphen/>
        <w:t>referred attendances</w:t>
      </w:r>
      <w:r>
        <w:t xml:space="preserve"> </w:t>
      </w:r>
      <w:r w:rsidRPr="007C5C32">
        <w:t xml:space="preserve">was </w:t>
      </w:r>
      <w:r w:rsidRPr="002F2F5F">
        <w:t>higher</w:t>
      </w:r>
      <w:r w:rsidRPr="007C5C32">
        <w:t xml:space="preserve"> for children</w:t>
      </w:r>
      <w:r>
        <w:t xml:space="preserve"> under 16 years and older people than for people </w:t>
      </w:r>
      <w:r w:rsidRPr="007C5C32">
        <w:t xml:space="preserve">aged 16 to 64 years (table </w:t>
      </w:r>
      <w:r w:rsidR="00C9076B">
        <w:t>10A.</w:t>
      </w:r>
      <w:r>
        <w:t>3</w:t>
      </w:r>
      <w:r w:rsidR="000D3D85">
        <w:t>6</w:t>
      </w:r>
      <w:r w:rsidRPr="007C5C32">
        <w:t>).</w:t>
      </w:r>
    </w:p>
    <w:p w:rsidR="00984D4A" w:rsidRDefault="00984D4A" w:rsidP="0067713D">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84D4A" w:rsidTr="0067713D">
        <w:tc>
          <w:tcPr>
            <w:tcW w:w="8771" w:type="dxa"/>
            <w:tcBorders>
              <w:top w:val="single" w:sz="6" w:space="0" w:color="78A22F"/>
              <w:left w:val="nil"/>
              <w:bottom w:val="nil"/>
              <w:right w:val="nil"/>
            </w:tcBorders>
            <w:shd w:val="clear" w:color="auto" w:fill="auto"/>
          </w:tcPr>
          <w:p w:rsidR="00984D4A" w:rsidRPr="00176D3F" w:rsidRDefault="00984D4A" w:rsidP="00984D4A">
            <w:pPr>
              <w:pStyle w:val="FigureTitle"/>
            </w:pPr>
            <w:r w:rsidRPr="00784A05">
              <w:rPr>
                <w:b w:val="0"/>
              </w:rPr>
              <w:t xml:space="preserve">Figure </w:t>
            </w:r>
            <w:r w:rsidR="00DF255F">
              <w:rPr>
                <w:b w:val="0"/>
              </w:rPr>
              <w:t>10.</w:t>
            </w:r>
            <w:r w:rsidR="0078724D">
              <w:rPr>
                <w:b w:val="0"/>
                <w:noProof/>
              </w:rPr>
              <w:t>14</w:t>
            </w:r>
            <w:r>
              <w:tab/>
              <w:t>GP visits</w:t>
            </w:r>
            <w:r w:rsidRPr="0042128A">
              <w:t xml:space="preserve"> that were bulk billed</w:t>
            </w:r>
            <w:r w:rsidRPr="0042128A">
              <w:rPr>
                <w:rStyle w:val="NoteLabel"/>
                <w:b/>
              </w:rPr>
              <w:t>a</w:t>
            </w:r>
            <w:r>
              <w:rPr>
                <w:rStyle w:val="NoteLabel"/>
                <w:b/>
              </w:rPr>
              <w:t>, b</w:t>
            </w:r>
          </w:p>
        </w:tc>
      </w:tr>
      <w:tr w:rsidR="00984D4A" w:rsidTr="0067713D">
        <w:tc>
          <w:tcPr>
            <w:tcW w:w="8771" w:type="dxa"/>
            <w:tcBorders>
              <w:top w:val="nil"/>
              <w:left w:val="nil"/>
              <w:bottom w:val="nil"/>
              <w:right w:val="nil"/>
            </w:tcBorders>
            <w:shd w:val="clear" w:color="auto" w:fill="auto"/>
            <w:tcMar>
              <w:top w:w="28" w:type="dxa"/>
              <w:bottom w:w="28" w:type="dxa"/>
            </w:tcMar>
          </w:tcPr>
          <w:tbl>
            <w:tblPr>
              <w:tblW w:w="8625" w:type="dxa"/>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625"/>
            </w:tblGrid>
            <w:tr w:rsidR="00984D4A" w:rsidTr="003811DF">
              <w:tc>
                <w:tcPr>
                  <w:tcW w:w="5000" w:type="pct"/>
                  <w:tcBorders>
                    <w:top w:val="nil"/>
                    <w:bottom w:val="nil"/>
                  </w:tcBorders>
                </w:tcPr>
                <w:p w:rsidR="00984D4A" w:rsidRDefault="00583B5D" w:rsidP="0067713D">
                  <w:pPr>
                    <w:pStyle w:val="Figure"/>
                    <w:spacing w:before="60" w:after="60"/>
                  </w:pPr>
                  <w:r>
                    <w:rPr>
                      <w:noProof/>
                    </w:rPr>
                    <w:drawing>
                      <wp:inline distT="0" distB="0" distL="0" distR="0">
                        <wp:extent cx="5400675" cy="2695575"/>
                        <wp:effectExtent l="0" t="0" r="9525" b="9525"/>
                        <wp:docPr id="22" name="Picture 22" descr="Figure 10.14 GP visits that were bulk billed&#10;&#10;More details can be found within the text surrounding this image.&#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400675" cy="2695575"/>
                                </a:xfrm>
                                <a:prstGeom prst="rect">
                                  <a:avLst/>
                                </a:prstGeom>
                                <a:noFill/>
                                <a:ln>
                                  <a:noFill/>
                                </a:ln>
                              </pic:spPr>
                            </pic:pic>
                          </a:graphicData>
                        </a:graphic>
                      </wp:inline>
                    </w:drawing>
                  </w:r>
                </w:p>
              </w:tc>
            </w:tr>
          </w:tbl>
          <w:p w:rsidR="00984D4A" w:rsidRDefault="00984D4A" w:rsidP="0067713D">
            <w:pPr>
              <w:pStyle w:val="Figure"/>
            </w:pPr>
          </w:p>
        </w:tc>
      </w:tr>
      <w:tr w:rsidR="00984D4A" w:rsidRPr="00176D3F" w:rsidTr="0067713D">
        <w:tc>
          <w:tcPr>
            <w:tcW w:w="8771" w:type="dxa"/>
            <w:tcBorders>
              <w:top w:val="nil"/>
              <w:left w:val="nil"/>
              <w:bottom w:val="nil"/>
              <w:right w:val="nil"/>
            </w:tcBorders>
            <w:shd w:val="clear" w:color="auto" w:fill="auto"/>
          </w:tcPr>
          <w:p w:rsidR="00984D4A" w:rsidRPr="00176D3F" w:rsidRDefault="00984D4A" w:rsidP="00984D4A">
            <w:pPr>
              <w:pStyle w:val="Note"/>
              <w:keepNext/>
            </w:pPr>
            <w:r>
              <w:rPr>
                <w:rStyle w:val="NoteLabel"/>
              </w:rPr>
              <w:t>a</w:t>
            </w:r>
            <w:r w:rsidRPr="005425AC">
              <w:t xml:space="preserve"> Includes attendances by practice nurses.</w:t>
            </w:r>
            <w:r w:rsidRPr="00D74945">
              <w:rPr>
                <w:rStyle w:val="NoteLabel"/>
              </w:rPr>
              <w:t xml:space="preserve"> </w:t>
            </w:r>
            <w:r>
              <w:rPr>
                <w:rStyle w:val="NoteLabel"/>
              </w:rPr>
              <w:t>b</w:t>
            </w:r>
            <w:r w:rsidRPr="005425AC">
              <w:t xml:space="preserve"> </w:t>
            </w:r>
            <w:r>
              <w:t>A</w:t>
            </w:r>
            <w:r w:rsidRPr="00D74945">
              <w:t xml:space="preserve">llocation to </w:t>
            </w:r>
            <w:r>
              <w:t xml:space="preserve">State/Territory based on patients’ </w:t>
            </w:r>
            <w:r w:rsidRPr="002D7882">
              <w:t xml:space="preserve">DHS Medicare </w:t>
            </w:r>
            <w:r>
              <w:t>e</w:t>
            </w:r>
            <w:r w:rsidRPr="00D74945">
              <w:t xml:space="preserve">nrolment </w:t>
            </w:r>
            <w:r>
              <w:t>p</w:t>
            </w:r>
            <w:r w:rsidRPr="00D74945">
              <w:t>ostcode.</w:t>
            </w:r>
          </w:p>
        </w:tc>
      </w:tr>
      <w:tr w:rsidR="00984D4A" w:rsidRPr="00176D3F" w:rsidTr="0067713D">
        <w:tc>
          <w:tcPr>
            <w:tcW w:w="8771" w:type="dxa"/>
            <w:tcBorders>
              <w:top w:val="nil"/>
              <w:left w:val="nil"/>
              <w:bottom w:val="nil"/>
              <w:right w:val="nil"/>
            </w:tcBorders>
            <w:shd w:val="clear" w:color="auto" w:fill="auto"/>
          </w:tcPr>
          <w:p w:rsidR="00984D4A" w:rsidRPr="00176D3F" w:rsidRDefault="00984D4A" w:rsidP="000D3D85">
            <w:pPr>
              <w:pStyle w:val="Source"/>
            </w:pPr>
            <w:r w:rsidRPr="00F3427A">
              <w:rPr>
                <w:i/>
              </w:rPr>
              <w:t>Source</w:t>
            </w:r>
            <w:r w:rsidRPr="00F3427A">
              <w:t xml:space="preserve">: </w:t>
            </w:r>
            <w:r>
              <w:t>Department of Health</w:t>
            </w:r>
            <w:r w:rsidRPr="00F3427A">
              <w:t xml:space="preserve"> (unpublished) MBS Statistics; table </w:t>
            </w:r>
            <w:r w:rsidR="00C9076B">
              <w:t>10A.</w:t>
            </w:r>
            <w:r>
              <w:t>3</w:t>
            </w:r>
            <w:r w:rsidR="000D3D85">
              <w:t>6</w:t>
            </w:r>
            <w:r w:rsidRPr="00F3427A">
              <w:t>.</w:t>
            </w:r>
          </w:p>
        </w:tc>
      </w:tr>
      <w:tr w:rsidR="00984D4A" w:rsidTr="0067713D">
        <w:tc>
          <w:tcPr>
            <w:tcW w:w="8771" w:type="dxa"/>
            <w:tcBorders>
              <w:top w:val="nil"/>
              <w:left w:val="nil"/>
              <w:bottom w:val="single" w:sz="6" w:space="0" w:color="78A22F"/>
              <w:right w:val="nil"/>
            </w:tcBorders>
            <w:shd w:val="clear" w:color="auto" w:fill="auto"/>
          </w:tcPr>
          <w:p w:rsidR="00984D4A" w:rsidRDefault="00984D4A" w:rsidP="0067713D">
            <w:pPr>
              <w:pStyle w:val="Figurespace"/>
            </w:pPr>
          </w:p>
        </w:tc>
      </w:tr>
      <w:tr w:rsidR="00984D4A" w:rsidRPr="000863A5" w:rsidTr="0067713D">
        <w:tc>
          <w:tcPr>
            <w:tcW w:w="8771" w:type="dxa"/>
            <w:tcBorders>
              <w:top w:val="single" w:sz="6" w:space="0" w:color="78A22F"/>
              <w:left w:val="nil"/>
              <w:bottom w:val="nil"/>
              <w:right w:val="nil"/>
            </w:tcBorders>
          </w:tcPr>
          <w:p w:rsidR="00984D4A" w:rsidRPr="00626D32" w:rsidRDefault="00984D4A" w:rsidP="0067713D">
            <w:pPr>
              <w:pStyle w:val="BoxSpaceBelow"/>
            </w:pPr>
          </w:p>
        </w:tc>
      </w:tr>
    </w:tbl>
    <w:p w:rsidR="00D77D61" w:rsidRPr="00944E91" w:rsidRDefault="00D77D61" w:rsidP="00944E91">
      <w:pPr>
        <w:pStyle w:val="Heading5"/>
      </w:pPr>
      <w:r w:rsidRPr="00944E91">
        <w:t>Effectiveness of access to GPs — people deferring visits to GPs due to financial barriers</w:t>
      </w:r>
    </w:p>
    <w:p w:rsidR="00AC4DD5" w:rsidRDefault="000656F5" w:rsidP="00211B55">
      <w:pPr>
        <w:pStyle w:val="BodyText"/>
      </w:pPr>
      <w:r w:rsidRPr="00F3427A">
        <w:t xml:space="preserve">Timely access to healthcare services is important to people’s health and wellbeing. Deferring or not visiting a GP can result in poorer health. </w:t>
      </w:r>
      <w:r w:rsidRPr="00B037F7">
        <w:t>Nationally,</w:t>
      </w:r>
      <w:r w:rsidR="00C947F2" w:rsidRPr="00B037F7">
        <w:t xml:space="preserve"> </w:t>
      </w:r>
      <w:r w:rsidR="00C947F2" w:rsidRPr="00211B55">
        <w:t>in 201</w:t>
      </w:r>
      <w:r w:rsidR="0085571E" w:rsidRPr="00211B55">
        <w:t>3</w:t>
      </w:r>
      <w:r w:rsidR="003F42CD" w:rsidRPr="00211B55">
        <w:t>-1</w:t>
      </w:r>
      <w:r w:rsidR="0085571E" w:rsidRPr="00211B55">
        <w:t>4</w:t>
      </w:r>
      <w:r w:rsidR="00C947F2" w:rsidRPr="00211B55">
        <w:t xml:space="preserve">, </w:t>
      </w:r>
      <w:r w:rsidR="0085571E" w:rsidRPr="00211B55">
        <w:t>4.9 </w:t>
      </w:r>
      <w:r w:rsidRPr="00211B55">
        <w:t xml:space="preserve">per cent of </w:t>
      </w:r>
      <w:r w:rsidR="00645EC0" w:rsidRPr="00211B55">
        <w:t>ABS Patient experie</w:t>
      </w:r>
      <w:r w:rsidR="00645EC0">
        <w:t xml:space="preserve">nce </w:t>
      </w:r>
      <w:r w:rsidR="0083370D">
        <w:t xml:space="preserve">survey </w:t>
      </w:r>
      <w:r w:rsidRPr="00B037F7">
        <w:t>respondents reported that they delayed</w:t>
      </w:r>
      <w:r w:rsidRPr="00211276">
        <w:t xml:space="preserve"> or did no</w:t>
      </w:r>
      <w:r w:rsidR="00234A99" w:rsidRPr="00211276">
        <w:t>t visit a GP in the previous 12 </w:t>
      </w:r>
      <w:r w:rsidRPr="00211276">
        <w:t>months</w:t>
      </w:r>
      <w:r w:rsidR="005F13D0" w:rsidRPr="00211276">
        <w:t xml:space="preserve"> because of cost</w:t>
      </w:r>
      <w:r w:rsidR="002E1F48">
        <w:t xml:space="preserve"> (</w:t>
      </w:r>
      <w:r w:rsidR="00897589">
        <w:t>figure 10.</w:t>
      </w:r>
      <w:r w:rsidR="002E1F48">
        <w:t>1</w:t>
      </w:r>
      <w:r w:rsidR="00CF51C0">
        <w:t>5</w:t>
      </w:r>
      <w:r w:rsidR="00211276">
        <w:t>).</w:t>
      </w:r>
      <w:r w:rsidR="0083370D">
        <w:t xml:space="preserve"> </w:t>
      </w:r>
    </w:p>
    <w:p w:rsidR="0026730D" w:rsidRPr="00D60E9F" w:rsidRDefault="0083370D" w:rsidP="00D60E9F">
      <w:pPr>
        <w:pStyle w:val="BodyText"/>
      </w:pPr>
      <w:r w:rsidRPr="007305C4">
        <w:t xml:space="preserve">Data for </w:t>
      </w:r>
      <w:r w:rsidR="00D16EBA">
        <w:t>Aboriginal and Torres Strait Islander</w:t>
      </w:r>
      <w:r w:rsidRPr="007305C4">
        <w:t xml:space="preserve"> Australians</w:t>
      </w:r>
      <w:r w:rsidR="00645EC0" w:rsidRPr="007305C4">
        <w:t xml:space="preserve"> deferring access to GPs due to cost</w:t>
      </w:r>
      <w:r w:rsidRPr="00211B55">
        <w:t xml:space="preserve">, </w:t>
      </w:r>
      <w:r w:rsidR="00032C04" w:rsidRPr="00211B55">
        <w:t>collected for</w:t>
      </w:r>
      <w:r w:rsidRPr="007305C4">
        <w:t xml:space="preserve"> the first time from the </w:t>
      </w:r>
      <w:r w:rsidR="00645EC0" w:rsidRPr="007305C4">
        <w:t xml:space="preserve">ABS </w:t>
      </w:r>
      <w:r w:rsidRPr="007305C4">
        <w:t xml:space="preserve">2011-12 </w:t>
      </w:r>
      <w:r w:rsidR="001F4FA8" w:rsidRPr="007305C4">
        <w:t xml:space="preserve">AATSIHS </w:t>
      </w:r>
      <w:r w:rsidR="00D73682" w:rsidRPr="007305C4">
        <w:t>(</w:t>
      </w:r>
      <w:r w:rsidR="001F4FA8" w:rsidRPr="007305C4">
        <w:t>Australian Aboriginal and Torres Strait Islander Health Survey</w:t>
      </w:r>
      <w:r w:rsidR="00D73682" w:rsidRPr="007305C4">
        <w:t>)</w:t>
      </w:r>
      <w:r w:rsidRPr="007305C4">
        <w:t>, are presented in tabl</w:t>
      </w:r>
      <w:r w:rsidR="00645EC0" w:rsidRPr="007305C4">
        <w:t>e </w:t>
      </w:r>
      <w:r w:rsidR="00C9076B">
        <w:t>10A.</w:t>
      </w:r>
      <w:r w:rsidR="009366D3" w:rsidRPr="007305C4">
        <w:t>3</w:t>
      </w:r>
      <w:r w:rsidR="000D3D85">
        <w:t>8</w:t>
      </w:r>
      <w:r w:rsidRPr="007305C4">
        <w:t xml:space="preserve">. However, </w:t>
      </w:r>
      <w:r w:rsidR="00645EC0" w:rsidRPr="007305C4">
        <w:t xml:space="preserve">differences in survey design and methodology mean </w:t>
      </w:r>
      <w:r w:rsidRPr="007305C4">
        <w:t xml:space="preserve">data </w:t>
      </w:r>
      <w:r w:rsidR="00645EC0" w:rsidRPr="007305C4">
        <w:t xml:space="preserve">from the Patient experience </w:t>
      </w:r>
      <w:r w:rsidR="00AC4DD5" w:rsidRPr="007305C4">
        <w:t xml:space="preserve">survey </w:t>
      </w:r>
      <w:r w:rsidR="00D73682" w:rsidRPr="007305C4">
        <w:t>and the A</w:t>
      </w:r>
      <w:r w:rsidR="00645EC0" w:rsidRPr="007305C4">
        <w:t>ATSIHS are not comparable</w:t>
      </w:r>
      <w:r w:rsidR="00645EC0">
        <w:t>.</w:t>
      </w:r>
      <w:r w:rsidR="0026730D" w:rsidRPr="007C2D4F">
        <w:rPr>
          <w:sz w:val="20"/>
        </w:rPr>
        <w:t> </w:t>
      </w:r>
    </w:p>
    <w:p w:rsidR="00984D4A" w:rsidRDefault="00984D4A" w:rsidP="0067713D">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84D4A" w:rsidTr="0067713D">
        <w:tc>
          <w:tcPr>
            <w:tcW w:w="8771" w:type="dxa"/>
            <w:tcBorders>
              <w:top w:val="single" w:sz="6" w:space="0" w:color="78A22F"/>
              <w:left w:val="nil"/>
              <w:bottom w:val="nil"/>
              <w:right w:val="nil"/>
            </w:tcBorders>
            <w:shd w:val="clear" w:color="auto" w:fill="auto"/>
          </w:tcPr>
          <w:p w:rsidR="00984D4A" w:rsidRPr="00176D3F" w:rsidRDefault="00984D4A" w:rsidP="00B00445">
            <w:pPr>
              <w:pStyle w:val="FigureTitle"/>
            </w:pPr>
            <w:r w:rsidRPr="00784A05">
              <w:rPr>
                <w:b w:val="0"/>
              </w:rPr>
              <w:t xml:space="preserve">Figure </w:t>
            </w:r>
            <w:r w:rsidR="00DF255F">
              <w:rPr>
                <w:b w:val="0"/>
              </w:rPr>
              <w:t>10.</w:t>
            </w:r>
            <w:r w:rsidR="0078724D">
              <w:rPr>
                <w:b w:val="0"/>
                <w:noProof/>
              </w:rPr>
              <w:t>15</w:t>
            </w:r>
            <w:r>
              <w:tab/>
            </w:r>
            <w:r w:rsidRPr="00DC2389">
              <w:t xml:space="preserve">People deferring </w:t>
            </w:r>
            <w:r>
              <w:t>visits to GPs due to cost</w:t>
            </w:r>
            <w:r w:rsidRPr="00B037F7">
              <w:rPr>
                <w:rStyle w:val="NoteLabel"/>
                <w:b/>
              </w:rPr>
              <w:t>a, b</w:t>
            </w:r>
            <w:r>
              <w:rPr>
                <w:rStyle w:val="NoteLabel"/>
                <w:b/>
              </w:rPr>
              <w:t>, c, d, e, f</w:t>
            </w:r>
          </w:p>
        </w:tc>
      </w:tr>
      <w:tr w:rsidR="00984D4A" w:rsidTr="0067713D">
        <w:tc>
          <w:tcPr>
            <w:tcW w:w="8771" w:type="dxa"/>
            <w:tcBorders>
              <w:top w:val="nil"/>
              <w:left w:val="nil"/>
              <w:bottom w:val="nil"/>
              <w:right w:val="nil"/>
            </w:tcBorders>
            <w:shd w:val="clear" w:color="auto" w:fill="auto"/>
            <w:tcMar>
              <w:top w:w="28" w:type="dxa"/>
              <w:bottom w:w="28" w:type="dxa"/>
            </w:tcMar>
          </w:tcPr>
          <w:tbl>
            <w:tblPr>
              <w:tblW w:w="8625" w:type="dxa"/>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625"/>
            </w:tblGrid>
            <w:tr w:rsidR="00984D4A" w:rsidTr="006C2B15">
              <w:tc>
                <w:tcPr>
                  <w:tcW w:w="5000" w:type="pct"/>
                  <w:tcBorders>
                    <w:top w:val="nil"/>
                    <w:bottom w:val="nil"/>
                  </w:tcBorders>
                </w:tcPr>
                <w:p w:rsidR="00984D4A" w:rsidRDefault="00583B5D" w:rsidP="0067713D">
                  <w:pPr>
                    <w:pStyle w:val="Figure"/>
                    <w:spacing w:before="60" w:after="60"/>
                  </w:pPr>
                  <w:r>
                    <w:rPr>
                      <w:noProof/>
                    </w:rPr>
                    <w:drawing>
                      <wp:inline distT="0" distB="0" distL="0" distR="0">
                        <wp:extent cx="5391150" cy="2876550"/>
                        <wp:effectExtent l="0" t="0" r="0" b="0"/>
                        <wp:docPr id="23" name="Picture 23" descr="Figure 10.15 People deferring visits to GPs due to cost&#10;&#10;More details can be found within the text surrounding this image.&#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391150" cy="2876550"/>
                                </a:xfrm>
                                <a:prstGeom prst="rect">
                                  <a:avLst/>
                                </a:prstGeom>
                                <a:noFill/>
                                <a:ln>
                                  <a:noFill/>
                                </a:ln>
                              </pic:spPr>
                            </pic:pic>
                          </a:graphicData>
                        </a:graphic>
                      </wp:inline>
                    </w:drawing>
                  </w:r>
                </w:p>
              </w:tc>
            </w:tr>
          </w:tbl>
          <w:p w:rsidR="00984D4A" w:rsidRDefault="00984D4A" w:rsidP="0067713D">
            <w:pPr>
              <w:pStyle w:val="Figure"/>
            </w:pPr>
          </w:p>
        </w:tc>
      </w:tr>
      <w:tr w:rsidR="00984D4A" w:rsidRPr="00176D3F" w:rsidTr="0067713D">
        <w:tc>
          <w:tcPr>
            <w:tcW w:w="8771" w:type="dxa"/>
            <w:tcBorders>
              <w:top w:val="nil"/>
              <w:left w:val="nil"/>
              <w:bottom w:val="nil"/>
              <w:right w:val="nil"/>
            </w:tcBorders>
            <w:shd w:val="clear" w:color="auto" w:fill="auto"/>
          </w:tcPr>
          <w:p w:rsidR="00984D4A" w:rsidRPr="00176D3F" w:rsidRDefault="00984D4A" w:rsidP="003E60CB">
            <w:pPr>
              <w:pStyle w:val="Note"/>
            </w:pPr>
            <w:r>
              <w:rPr>
                <w:rStyle w:val="NoteLabel"/>
              </w:rPr>
              <w:t>a</w:t>
            </w:r>
            <w:r>
              <w:t xml:space="preserve"> </w:t>
            </w:r>
            <w:r w:rsidRPr="00D22563">
              <w:t>Pe</w:t>
            </w:r>
            <w:r>
              <w:t>ople</w:t>
            </w:r>
            <w:r w:rsidRPr="00D22563">
              <w:t xml:space="preserve"> aged 15 years </w:t>
            </w:r>
            <w:r>
              <w:t>or</w:t>
            </w:r>
            <w:r w:rsidRPr="00D22563">
              <w:t xml:space="preserve"> over</w:t>
            </w:r>
            <w:r>
              <w:t>.</w:t>
            </w:r>
            <w:r w:rsidRPr="00D22563">
              <w:t xml:space="preserve"> </w:t>
            </w:r>
            <w:r>
              <w:rPr>
                <w:rStyle w:val="NoteLabel"/>
              </w:rPr>
              <w:t>b</w:t>
            </w:r>
            <w:r>
              <w:t xml:space="preserve"> </w:t>
            </w:r>
            <w:r w:rsidRPr="00F9597A">
              <w:t xml:space="preserve">Delayed </w:t>
            </w:r>
            <w:r>
              <w:t>visiting</w:t>
            </w:r>
            <w:r w:rsidRPr="00F9597A">
              <w:t xml:space="preserve"> or did not </w:t>
            </w:r>
            <w:r>
              <w:t>visit a GP</w:t>
            </w:r>
            <w:r w:rsidRPr="00F9597A">
              <w:t xml:space="preserve"> </w:t>
            </w:r>
            <w:r>
              <w:t>at any time in the previous 12 </w:t>
            </w:r>
            <w:r w:rsidRPr="00F9597A">
              <w:t>months</w:t>
            </w:r>
            <w:r>
              <w:t xml:space="preserve"> due to cost.</w:t>
            </w:r>
            <w:r w:rsidRPr="00192148">
              <w:rPr>
                <w:rStyle w:val="NoteLabel"/>
              </w:rPr>
              <w:t xml:space="preserve"> </w:t>
            </w:r>
            <w:r>
              <w:rPr>
                <w:rStyle w:val="NoteLabel"/>
              </w:rPr>
              <w:t>c</w:t>
            </w:r>
            <w:r>
              <w:t> </w:t>
            </w:r>
            <w:r w:rsidR="00A4709B" w:rsidRPr="00A4709B">
              <w:t>Data are crude rates and may differ from data in previous reports in which rates were age­standardised.</w:t>
            </w:r>
            <w:r w:rsidRPr="00F9597A">
              <w:rPr>
                <w:rStyle w:val="NoteLabel"/>
              </w:rPr>
              <w:t xml:space="preserve"> </w:t>
            </w:r>
            <w:r w:rsidRPr="00B037F7">
              <w:rPr>
                <w:rStyle w:val="NoteLabel"/>
              </w:rPr>
              <w:t>d</w:t>
            </w:r>
            <w:r w:rsidRPr="00B037F7">
              <w:t xml:space="preserve"> </w:t>
            </w:r>
            <w:r w:rsidRPr="007305C4">
              <w:t xml:space="preserve">Data </w:t>
            </w:r>
            <w:r w:rsidR="00A126F7" w:rsidRPr="007305C4">
              <w:t xml:space="preserve">for </w:t>
            </w:r>
            <w:r w:rsidR="00A126F7">
              <w:t xml:space="preserve">2012-13  and 2013-14 </w:t>
            </w:r>
            <w:r w:rsidRPr="007305C4">
              <w:t>are comparable</w:t>
            </w:r>
            <w:r w:rsidR="00A126F7">
              <w:t>. Data are not comparable</w:t>
            </w:r>
            <w:r w:rsidR="00A126F7" w:rsidRPr="007305C4">
              <w:t xml:space="preserve"> </w:t>
            </w:r>
            <w:r w:rsidR="00A126F7">
              <w:t xml:space="preserve">with </w:t>
            </w:r>
            <w:r w:rsidRPr="007305C4">
              <w:t xml:space="preserve">previous years due to a change in survey question wording and sequencing. </w:t>
            </w:r>
            <w:r w:rsidRPr="007305C4">
              <w:rPr>
                <w:rStyle w:val="NoteLabel"/>
              </w:rPr>
              <w:t>e</w:t>
            </w:r>
            <w:r w:rsidRPr="007305C4">
              <w:t xml:space="preserve"> </w:t>
            </w:r>
            <w:r w:rsidR="00E623D7" w:rsidRPr="007305C4">
              <w:t xml:space="preserve">Data </w:t>
            </w:r>
            <w:r w:rsidR="00E623D7" w:rsidRPr="00665607">
              <w:t>exclude discrete Aboriginal and Torres Strait Islander communities, which</w:t>
            </w:r>
            <w:r w:rsidR="00E623D7" w:rsidRPr="007305C4">
              <w:t xml:space="preserve"> will affect the NT more than other jurisdictions</w:t>
            </w:r>
            <w:r w:rsidR="00E623D7">
              <w:t>.</w:t>
            </w:r>
            <w:r>
              <w:t xml:space="preserve"> </w:t>
            </w:r>
            <w:r>
              <w:rPr>
                <w:rStyle w:val="NoteLabel"/>
              </w:rPr>
              <w:t>f</w:t>
            </w:r>
            <w:r w:rsidR="003E60CB">
              <w:t> </w:t>
            </w:r>
            <w:r w:rsidRPr="00B037F7">
              <w:t>Error bar</w:t>
            </w:r>
            <w:r>
              <w:t>s represent the 95 per </w:t>
            </w:r>
            <w:r w:rsidRPr="00192148">
              <w:t>cent confidence interval associated with each p</w:t>
            </w:r>
            <w:r>
              <w:t>oint estimate.</w:t>
            </w:r>
          </w:p>
        </w:tc>
      </w:tr>
      <w:tr w:rsidR="00984D4A" w:rsidRPr="00176D3F" w:rsidTr="0067713D">
        <w:tc>
          <w:tcPr>
            <w:tcW w:w="8771" w:type="dxa"/>
            <w:tcBorders>
              <w:top w:val="nil"/>
              <w:left w:val="nil"/>
              <w:bottom w:val="nil"/>
              <w:right w:val="nil"/>
            </w:tcBorders>
            <w:shd w:val="clear" w:color="auto" w:fill="auto"/>
          </w:tcPr>
          <w:p w:rsidR="00984D4A" w:rsidRPr="00176D3F" w:rsidRDefault="00984D4A" w:rsidP="000D3D85">
            <w:pPr>
              <w:pStyle w:val="Source"/>
              <w:spacing w:before="60"/>
            </w:pPr>
            <w:r w:rsidRPr="00C60B1C">
              <w:rPr>
                <w:i/>
              </w:rPr>
              <w:t>Source</w:t>
            </w:r>
            <w:r w:rsidRPr="00C60B1C">
              <w:t xml:space="preserve">: ABS (unpublished) </w:t>
            </w:r>
            <w:r w:rsidRPr="00C60B1C">
              <w:rPr>
                <w:i/>
              </w:rPr>
              <w:t>Patient Experience Survey</w:t>
            </w:r>
            <w:r w:rsidRPr="00C60B1C">
              <w:t xml:space="preserve"> </w:t>
            </w:r>
            <w:r w:rsidRPr="00C60B1C">
              <w:rPr>
                <w:i/>
              </w:rPr>
              <w:t>201</w:t>
            </w:r>
            <w:r>
              <w:rPr>
                <w:i/>
              </w:rPr>
              <w:t>2</w:t>
            </w:r>
            <w:r w:rsidRPr="00C60B1C">
              <w:rPr>
                <w:i/>
              </w:rPr>
              <w:t>-1</w:t>
            </w:r>
            <w:r>
              <w:rPr>
                <w:i/>
              </w:rPr>
              <w:t>3</w:t>
            </w:r>
            <w:r w:rsidR="00387357">
              <w:rPr>
                <w:i/>
              </w:rPr>
              <w:t xml:space="preserve">, </w:t>
            </w:r>
            <w:r w:rsidR="00387357" w:rsidRPr="00211B55">
              <w:rPr>
                <w:i/>
              </w:rPr>
              <w:t>2013-14</w:t>
            </w:r>
            <w:r w:rsidRPr="00211B55">
              <w:t>, Cat</w:t>
            </w:r>
            <w:r w:rsidRPr="00C60B1C">
              <w:t>. no. 4839.0;</w:t>
            </w:r>
            <w:r w:rsidRPr="00F3427A">
              <w:t xml:space="preserve"> </w:t>
            </w:r>
            <w:r>
              <w:t>table </w:t>
            </w:r>
            <w:r w:rsidR="00C9076B">
              <w:t>10A.</w:t>
            </w:r>
            <w:r>
              <w:t>3</w:t>
            </w:r>
            <w:r w:rsidR="000D3D85">
              <w:t>7</w:t>
            </w:r>
            <w:r w:rsidRPr="00F3427A">
              <w:t>.</w:t>
            </w:r>
          </w:p>
        </w:tc>
      </w:tr>
      <w:tr w:rsidR="00984D4A" w:rsidTr="0067713D">
        <w:tc>
          <w:tcPr>
            <w:tcW w:w="8771" w:type="dxa"/>
            <w:tcBorders>
              <w:top w:val="nil"/>
              <w:left w:val="nil"/>
              <w:bottom w:val="single" w:sz="6" w:space="0" w:color="78A22F"/>
              <w:right w:val="nil"/>
            </w:tcBorders>
            <w:shd w:val="clear" w:color="auto" w:fill="auto"/>
          </w:tcPr>
          <w:p w:rsidR="00984D4A" w:rsidRDefault="00984D4A" w:rsidP="0067713D">
            <w:pPr>
              <w:pStyle w:val="Figurespace"/>
            </w:pPr>
          </w:p>
        </w:tc>
      </w:tr>
      <w:tr w:rsidR="00984D4A" w:rsidRPr="000863A5" w:rsidTr="0067713D">
        <w:tc>
          <w:tcPr>
            <w:tcW w:w="8771" w:type="dxa"/>
            <w:tcBorders>
              <w:top w:val="single" w:sz="6" w:space="0" w:color="78A22F"/>
              <w:left w:val="nil"/>
              <w:bottom w:val="nil"/>
              <w:right w:val="nil"/>
            </w:tcBorders>
          </w:tcPr>
          <w:p w:rsidR="00984D4A" w:rsidRPr="00626D32" w:rsidRDefault="00984D4A" w:rsidP="0067713D">
            <w:pPr>
              <w:pStyle w:val="BoxSpaceBelow"/>
            </w:pPr>
          </w:p>
        </w:tc>
      </w:tr>
    </w:tbl>
    <w:p w:rsidR="00D77D61" w:rsidRPr="00944E91" w:rsidRDefault="00D77D61" w:rsidP="00944E91">
      <w:pPr>
        <w:pStyle w:val="Heading5"/>
      </w:pPr>
      <w:r w:rsidRPr="00944E91">
        <w:t>Effectiveness of access to GPs — GP waiting times</w:t>
      </w:r>
    </w:p>
    <w:p w:rsidR="0026730D" w:rsidRPr="002C2C36" w:rsidRDefault="00DC7AEC" w:rsidP="00211B55">
      <w:pPr>
        <w:pStyle w:val="BodyText"/>
      </w:pPr>
      <w:r w:rsidRPr="00F3427A">
        <w:t xml:space="preserve">Nationally, </w:t>
      </w:r>
      <w:r w:rsidR="005852B7" w:rsidRPr="00211B55">
        <w:t>6</w:t>
      </w:r>
      <w:r w:rsidR="00E34933" w:rsidRPr="00211B55">
        <w:t>4</w:t>
      </w:r>
      <w:r w:rsidR="005852B7" w:rsidRPr="00211B55">
        <w:t>.</w:t>
      </w:r>
      <w:r w:rsidR="0085571E" w:rsidRPr="00211B55">
        <w:t>2</w:t>
      </w:r>
      <w:r w:rsidRPr="00211B55">
        <w:t xml:space="preserve"> per cent of people </w:t>
      </w:r>
      <w:r w:rsidR="00B60B67" w:rsidRPr="00211B55">
        <w:t xml:space="preserve">who saw a GP for urgent care </w:t>
      </w:r>
      <w:r w:rsidRPr="00211B55">
        <w:t xml:space="preserve">waited less than </w:t>
      </w:r>
      <w:r w:rsidR="00732525" w:rsidRPr="00211B55">
        <w:t>4 </w:t>
      </w:r>
      <w:r w:rsidRPr="00211B55">
        <w:t>hours</w:t>
      </w:r>
      <w:r w:rsidR="004D0BB6" w:rsidRPr="00211B55">
        <w:t xml:space="preserve"> in 20</w:t>
      </w:r>
      <w:r w:rsidR="00E34933" w:rsidRPr="00211B55">
        <w:t>1</w:t>
      </w:r>
      <w:r w:rsidR="0085571E" w:rsidRPr="00211B55">
        <w:t>3</w:t>
      </w:r>
      <w:r w:rsidR="005852B7" w:rsidRPr="00211B55">
        <w:t>-1</w:t>
      </w:r>
      <w:r w:rsidR="0085571E" w:rsidRPr="00211B55">
        <w:t>4</w:t>
      </w:r>
      <w:r w:rsidR="005852B7" w:rsidRPr="00211B55">
        <w:t xml:space="preserve"> </w:t>
      </w:r>
      <w:r w:rsidRPr="00211B55">
        <w:t>(</w:t>
      </w:r>
      <w:r w:rsidR="00897589" w:rsidRPr="00211B55">
        <w:t>figure 10.</w:t>
      </w:r>
      <w:r w:rsidRPr="00211B55">
        <w:t>1</w:t>
      </w:r>
      <w:r w:rsidR="00CF51C0" w:rsidRPr="00211B55">
        <w:t>6</w:t>
      </w:r>
      <w:r w:rsidRPr="00211B55">
        <w:t>).</w:t>
      </w:r>
      <w:r w:rsidR="00730165" w:rsidRPr="00211B55">
        <w:t xml:space="preserve"> Around</w:t>
      </w:r>
      <w:r w:rsidR="00C9076B" w:rsidRPr="00211B55">
        <w:t xml:space="preserve"> 10.</w:t>
      </w:r>
      <w:r w:rsidR="0085571E" w:rsidRPr="00211B55">
        <w:t>0</w:t>
      </w:r>
      <w:r w:rsidR="00730165" w:rsidRPr="00211B55">
        <w:t xml:space="preserve"> per cent waited from </w:t>
      </w:r>
      <w:r w:rsidR="00732525" w:rsidRPr="00211B55">
        <w:t>4</w:t>
      </w:r>
      <w:r w:rsidR="00730165" w:rsidRPr="00211B55">
        <w:t xml:space="preserve"> to less than 24 hours, and </w:t>
      </w:r>
      <w:r w:rsidR="005852B7" w:rsidRPr="00211B55">
        <w:t>2</w:t>
      </w:r>
      <w:r w:rsidR="0085571E" w:rsidRPr="00211B55">
        <w:t>5</w:t>
      </w:r>
      <w:r w:rsidR="005852B7" w:rsidRPr="00211B55">
        <w:t>.</w:t>
      </w:r>
      <w:r w:rsidR="0085571E" w:rsidRPr="00211B55">
        <w:t>8</w:t>
      </w:r>
      <w:r w:rsidR="00730165" w:rsidRPr="00211B55">
        <w:t xml:space="preserve"> per cent </w:t>
      </w:r>
      <w:r w:rsidR="00B30974" w:rsidRPr="00211B55">
        <w:t xml:space="preserve">waited for </w:t>
      </w:r>
      <w:r w:rsidR="00730165" w:rsidRPr="00211B55">
        <w:t>24 hours</w:t>
      </w:r>
      <w:r w:rsidR="003053B9" w:rsidRPr="00211B55">
        <w:t xml:space="preserve"> or more</w:t>
      </w:r>
      <w:r w:rsidR="00730165" w:rsidRPr="00211B55">
        <w:t>.</w:t>
      </w:r>
      <w:r w:rsidR="00D02E54" w:rsidRPr="00211B55">
        <w:t xml:space="preserve"> </w:t>
      </w:r>
      <w:r w:rsidR="0085571E" w:rsidRPr="00211B55">
        <w:t>Overall, 22.6</w:t>
      </w:r>
      <w:r w:rsidR="00840EAD" w:rsidRPr="00211B55">
        <w:t xml:space="preserve"> per</w:t>
      </w:r>
      <w:r w:rsidR="00840EAD" w:rsidRPr="007305C4">
        <w:t xml:space="preserve"> cent of people who saw a GP for any reason</w:t>
      </w:r>
      <w:r w:rsidR="00164524" w:rsidRPr="00F3427A">
        <w:t xml:space="preserve"> waited longer than they felt was acceptable to get an appointment </w:t>
      </w:r>
      <w:r w:rsidR="0009280D" w:rsidRPr="00F3427A">
        <w:t>(</w:t>
      </w:r>
      <w:r w:rsidR="006C2B15">
        <w:t>table </w:t>
      </w:r>
      <w:r w:rsidR="00C9076B">
        <w:t>10A.</w:t>
      </w:r>
      <w:r w:rsidR="000D3D85">
        <w:t>40</w:t>
      </w:r>
      <w:r w:rsidR="0009280D" w:rsidRPr="00F3427A">
        <w:t>)</w:t>
      </w:r>
      <w:r w:rsidR="00E34933">
        <w:t>.</w:t>
      </w:r>
    </w:p>
    <w:p w:rsidR="00284E6F" w:rsidRDefault="00284E6F" w:rsidP="0067713D">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284E6F" w:rsidTr="0067713D">
        <w:tc>
          <w:tcPr>
            <w:tcW w:w="8771" w:type="dxa"/>
            <w:tcBorders>
              <w:top w:val="single" w:sz="6" w:space="0" w:color="78A22F"/>
              <w:left w:val="nil"/>
              <w:bottom w:val="nil"/>
              <w:right w:val="nil"/>
            </w:tcBorders>
            <w:shd w:val="clear" w:color="auto" w:fill="auto"/>
          </w:tcPr>
          <w:p w:rsidR="00284E6F" w:rsidRPr="00176D3F" w:rsidRDefault="00284E6F" w:rsidP="001B2D60">
            <w:pPr>
              <w:pStyle w:val="FigureTitle"/>
            </w:pPr>
            <w:r w:rsidRPr="00784A05">
              <w:rPr>
                <w:b w:val="0"/>
              </w:rPr>
              <w:t xml:space="preserve">Figure </w:t>
            </w:r>
            <w:r w:rsidR="00DF255F">
              <w:rPr>
                <w:b w:val="0"/>
              </w:rPr>
              <w:t>10.</w:t>
            </w:r>
            <w:r w:rsidR="0078724D">
              <w:rPr>
                <w:b w:val="0"/>
                <w:noProof/>
              </w:rPr>
              <w:t>16</w:t>
            </w:r>
            <w:r>
              <w:tab/>
            </w:r>
            <w:r w:rsidRPr="00F3427A">
              <w:t xml:space="preserve">Hours waited for urgent treatment by </w:t>
            </w:r>
            <w:r>
              <w:t xml:space="preserve">a </w:t>
            </w:r>
            <w:r w:rsidRPr="00F3427A">
              <w:t xml:space="preserve">GP, </w:t>
            </w:r>
            <w:r w:rsidRPr="00211B55">
              <w:t>201</w:t>
            </w:r>
            <w:r w:rsidR="001B2D60" w:rsidRPr="00211B55">
              <w:t>3</w:t>
            </w:r>
            <w:r w:rsidRPr="00211B55">
              <w:t>-1</w:t>
            </w:r>
            <w:r w:rsidR="001B2D60" w:rsidRPr="00211B55">
              <w:t>4</w:t>
            </w:r>
            <w:r w:rsidRPr="00211B55">
              <w:rPr>
                <w:rStyle w:val="NoteLabel"/>
                <w:b/>
              </w:rPr>
              <w:t>a</w:t>
            </w:r>
            <w:r w:rsidRPr="00B037F7">
              <w:rPr>
                <w:rStyle w:val="NoteLabel"/>
                <w:b/>
              </w:rPr>
              <w:t xml:space="preserve">, b, </w:t>
            </w:r>
            <w:r w:rsidRPr="00F3427A">
              <w:rPr>
                <w:rStyle w:val="NoteLabel"/>
                <w:b/>
              </w:rPr>
              <w:t>c, d</w:t>
            </w:r>
            <w:r>
              <w:rPr>
                <w:rStyle w:val="NoteLabel"/>
                <w:b/>
              </w:rPr>
              <w:t>, e, f</w:t>
            </w:r>
          </w:p>
        </w:tc>
      </w:tr>
      <w:tr w:rsidR="00284E6F" w:rsidTr="0067713D">
        <w:tc>
          <w:tcPr>
            <w:tcW w:w="8771" w:type="dxa"/>
            <w:tcBorders>
              <w:top w:val="nil"/>
              <w:left w:val="nil"/>
              <w:bottom w:val="nil"/>
              <w:right w:val="nil"/>
            </w:tcBorders>
            <w:shd w:val="clear" w:color="auto" w:fill="auto"/>
            <w:tcMar>
              <w:top w:w="28" w:type="dxa"/>
              <w:bottom w:w="28" w:type="dxa"/>
            </w:tcMar>
          </w:tcPr>
          <w:tbl>
            <w:tblPr>
              <w:tblW w:w="8625" w:type="dxa"/>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625"/>
            </w:tblGrid>
            <w:tr w:rsidR="00284E6F" w:rsidTr="006C2B15">
              <w:tc>
                <w:tcPr>
                  <w:tcW w:w="5000" w:type="pct"/>
                  <w:tcBorders>
                    <w:top w:val="nil"/>
                    <w:bottom w:val="nil"/>
                  </w:tcBorders>
                </w:tcPr>
                <w:p w:rsidR="00284E6F" w:rsidRDefault="00583B5D" w:rsidP="0067713D">
                  <w:pPr>
                    <w:pStyle w:val="Figure"/>
                    <w:spacing w:before="60" w:after="60"/>
                  </w:pPr>
                  <w:r>
                    <w:rPr>
                      <w:noProof/>
                    </w:rPr>
                    <w:drawing>
                      <wp:inline distT="0" distB="0" distL="0" distR="0">
                        <wp:extent cx="5391150" cy="2695575"/>
                        <wp:effectExtent l="0" t="0" r="0" b="9525"/>
                        <wp:docPr id="24" name="Picture 24" descr="Figure 10.16 Hours waited for urgent treatment by a GP, 2013-14&#10;&#10;More details can be found within the text surrounding this image.&#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391150" cy="2695575"/>
                                </a:xfrm>
                                <a:prstGeom prst="rect">
                                  <a:avLst/>
                                </a:prstGeom>
                                <a:noFill/>
                                <a:ln>
                                  <a:noFill/>
                                </a:ln>
                              </pic:spPr>
                            </pic:pic>
                          </a:graphicData>
                        </a:graphic>
                      </wp:inline>
                    </w:drawing>
                  </w:r>
                </w:p>
              </w:tc>
            </w:tr>
          </w:tbl>
          <w:p w:rsidR="00284E6F" w:rsidRDefault="00284E6F" w:rsidP="0067713D">
            <w:pPr>
              <w:pStyle w:val="Figure"/>
            </w:pPr>
          </w:p>
        </w:tc>
      </w:tr>
      <w:tr w:rsidR="00284E6F" w:rsidRPr="00176D3F" w:rsidTr="0067713D">
        <w:tc>
          <w:tcPr>
            <w:tcW w:w="8771" w:type="dxa"/>
            <w:tcBorders>
              <w:top w:val="nil"/>
              <w:left w:val="nil"/>
              <w:bottom w:val="nil"/>
              <w:right w:val="nil"/>
            </w:tcBorders>
            <w:shd w:val="clear" w:color="auto" w:fill="auto"/>
          </w:tcPr>
          <w:p w:rsidR="00284E6F" w:rsidRPr="00176D3F" w:rsidRDefault="00284E6F" w:rsidP="00976B10">
            <w:pPr>
              <w:pStyle w:val="Note"/>
            </w:pPr>
            <w:r>
              <w:rPr>
                <w:rStyle w:val="NoteLabel"/>
              </w:rPr>
              <w:t>a</w:t>
            </w:r>
            <w:r>
              <w:sym w:font="Symbol" w:char="F020"/>
            </w:r>
            <w:r w:rsidRPr="00175C7B">
              <w:t>Pe</w:t>
            </w:r>
            <w:r>
              <w:t>ople</w:t>
            </w:r>
            <w:r w:rsidRPr="00175C7B">
              <w:t xml:space="preserve"> aged 15 years </w:t>
            </w:r>
            <w:r>
              <w:t>or</w:t>
            </w:r>
            <w:r w:rsidRPr="00175C7B">
              <w:t xml:space="preserve"> over who saw a GP for urgent medical care for </w:t>
            </w:r>
            <w:r>
              <w:t>their own health in the previous 12 </w:t>
            </w:r>
            <w:r w:rsidRPr="00175C7B">
              <w:t>months</w:t>
            </w:r>
            <w:r>
              <w:t>.</w:t>
            </w:r>
            <w:r w:rsidRPr="00175C7B">
              <w:rPr>
                <w:rStyle w:val="NoteLabel"/>
              </w:rPr>
              <w:t xml:space="preserve"> </w:t>
            </w:r>
            <w:r>
              <w:rPr>
                <w:rStyle w:val="NoteLabel"/>
              </w:rPr>
              <w:t>b</w:t>
            </w:r>
            <w:r>
              <w:sym w:font="Symbol" w:char="F020"/>
            </w:r>
            <w:r w:rsidRPr="00175C7B">
              <w:t>Time waited between making an appointment and seeing the GP for urgent medical care.</w:t>
            </w:r>
            <w:r>
              <w:t xml:space="preserve"> </w:t>
            </w:r>
            <w:r>
              <w:rPr>
                <w:rStyle w:val="NoteLabel"/>
              </w:rPr>
              <w:t>c </w:t>
            </w:r>
            <w:r w:rsidRPr="00B037F7">
              <w:t xml:space="preserve">Data </w:t>
            </w:r>
            <w:r w:rsidRPr="002C2C36">
              <w:t xml:space="preserve">are comparable with data </w:t>
            </w:r>
            <w:r w:rsidR="001B2D60">
              <w:t>from</w:t>
            </w:r>
            <w:r w:rsidRPr="002C2C36">
              <w:t xml:space="preserve"> 2011-12 but not with data for previous years</w:t>
            </w:r>
            <w:r w:rsidRPr="00B037F7">
              <w:t xml:space="preserve"> due to a changed survey question. </w:t>
            </w:r>
            <w:r>
              <w:rPr>
                <w:rStyle w:val="NoteLabel"/>
              </w:rPr>
              <w:t>d</w:t>
            </w:r>
            <w:r>
              <w:t> </w:t>
            </w:r>
            <w:r w:rsidR="00A4709B" w:rsidRPr="00A4709B">
              <w:t>Data are crude rates.</w:t>
            </w:r>
            <w:r w:rsidRPr="00A8140B">
              <w:rPr>
                <w:rStyle w:val="NoteLabel"/>
              </w:rPr>
              <w:t xml:space="preserve"> </w:t>
            </w:r>
            <w:r>
              <w:rPr>
                <w:rStyle w:val="NoteLabel"/>
              </w:rPr>
              <w:t>e</w:t>
            </w:r>
            <w:r>
              <w:t> </w:t>
            </w:r>
            <w:r w:rsidRPr="007305C4">
              <w:t xml:space="preserve">Data </w:t>
            </w:r>
            <w:r w:rsidRPr="008D7BF0">
              <w:t xml:space="preserve">exclude discrete </w:t>
            </w:r>
            <w:r w:rsidR="00D16EBA" w:rsidRPr="008D7BF0">
              <w:t>Aboriginal and Torres Strait Islander</w:t>
            </w:r>
            <w:r w:rsidRPr="008D7BF0">
              <w:t xml:space="preserve"> communities</w:t>
            </w:r>
            <w:r w:rsidRPr="007305C4">
              <w:t>, which will affect the NT more than other jurisdictions.</w:t>
            </w:r>
            <w:r>
              <w:t xml:space="preserve"> </w:t>
            </w:r>
            <w:r>
              <w:rPr>
                <w:rStyle w:val="NoteLabel"/>
              </w:rPr>
              <w:t>f</w:t>
            </w:r>
            <w:r>
              <w:t xml:space="preserve"> Error bars represent the 95 per </w:t>
            </w:r>
            <w:r w:rsidRPr="00192148">
              <w:t>cent confidence interval associated with each point estimate</w:t>
            </w:r>
            <w:r>
              <w:t>.</w:t>
            </w:r>
          </w:p>
        </w:tc>
      </w:tr>
      <w:tr w:rsidR="00284E6F" w:rsidRPr="00176D3F" w:rsidTr="0067713D">
        <w:tc>
          <w:tcPr>
            <w:tcW w:w="8771" w:type="dxa"/>
            <w:tcBorders>
              <w:top w:val="nil"/>
              <w:left w:val="nil"/>
              <w:bottom w:val="nil"/>
              <w:right w:val="nil"/>
            </w:tcBorders>
            <w:shd w:val="clear" w:color="auto" w:fill="auto"/>
          </w:tcPr>
          <w:p w:rsidR="00284E6F" w:rsidRPr="00176D3F" w:rsidRDefault="00284E6F" w:rsidP="000D3D85">
            <w:pPr>
              <w:pStyle w:val="Source"/>
            </w:pPr>
            <w:r w:rsidRPr="00F3427A">
              <w:rPr>
                <w:i/>
              </w:rPr>
              <w:t>Source</w:t>
            </w:r>
            <w:r w:rsidRPr="00F3427A">
              <w:t xml:space="preserve">: </w:t>
            </w:r>
            <w:r w:rsidRPr="00A97F84">
              <w:t xml:space="preserve">ABS (unpublished) </w:t>
            </w:r>
            <w:r w:rsidRPr="00A97F84">
              <w:rPr>
                <w:i/>
              </w:rPr>
              <w:t xml:space="preserve">Patient Experience </w:t>
            </w:r>
            <w:r w:rsidRPr="00B037F7">
              <w:rPr>
                <w:i/>
              </w:rPr>
              <w:t>Survey</w:t>
            </w:r>
            <w:r w:rsidRPr="00B037F7">
              <w:t xml:space="preserve"> </w:t>
            </w:r>
            <w:r w:rsidR="00BA15AE" w:rsidRPr="00211B55">
              <w:rPr>
                <w:i/>
              </w:rPr>
              <w:t>2013</w:t>
            </w:r>
            <w:r w:rsidRPr="00211B55">
              <w:rPr>
                <w:i/>
              </w:rPr>
              <w:t>-1</w:t>
            </w:r>
            <w:r w:rsidR="00BA15AE" w:rsidRPr="00211B55">
              <w:rPr>
                <w:i/>
              </w:rPr>
              <w:t>4</w:t>
            </w:r>
            <w:r w:rsidRPr="00211B55">
              <w:t>, Cat</w:t>
            </w:r>
            <w:r w:rsidRPr="00B037F7">
              <w:t>. no</w:t>
            </w:r>
            <w:r>
              <w:t>. 4839.0</w:t>
            </w:r>
            <w:r w:rsidRPr="00F3427A">
              <w:t xml:space="preserve">; table </w:t>
            </w:r>
            <w:r w:rsidR="00C9076B">
              <w:t>10A.</w:t>
            </w:r>
            <w:r>
              <w:t>3</w:t>
            </w:r>
            <w:r w:rsidR="000D3D85">
              <w:t>9</w:t>
            </w:r>
            <w:r>
              <w:t>.</w:t>
            </w:r>
          </w:p>
        </w:tc>
      </w:tr>
      <w:tr w:rsidR="00284E6F" w:rsidTr="0067713D">
        <w:tc>
          <w:tcPr>
            <w:tcW w:w="8771" w:type="dxa"/>
            <w:tcBorders>
              <w:top w:val="nil"/>
              <w:left w:val="nil"/>
              <w:bottom w:val="single" w:sz="6" w:space="0" w:color="78A22F"/>
              <w:right w:val="nil"/>
            </w:tcBorders>
            <w:shd w:val="clear" w:color="auto" w:fill="auto"/>
          </w:tcPr>
          <w:p w:rsidR="00284E6F" w:rsidRDefault="00284E6F" w:rsidP="0067713D">
            <w:pPr>
              <w:pStyle w:val="Figurespace"/>
            </w:pPr>
          </w:p>
        </w:tc>
      </w:tr>
      <w:tr w:rsidR="00284E6F" w:rsidRPr="000863A5" w:rsidTr="0067713D">
        <w:tc>
          <w:tcPr>
            <w:tcW w:w="8771" w:type="dxa"/>
            <w:tcBorders>
              <w:top w:val="single" w:sz="6" w:space="0" w:color="78A22F"/>
              <w:left w:val="nil"/>
              <w:bottom w:val="nil"/>
              <w:right w:val="nil"/>
            </w:tcBorders>
          </w:tcPr>
          <w:p w:rsidR="00284E6F" w:rsidRPr="00626D32" w:rsidRDefault="00284E6F" w:rsidP="0067713D">
            <w:pPr>
              <w:pStyle w:val="BoxSpaceBelow"/>
            </w:pPr>
          </w:p>
        </w:tc>
      </w:tr>
    </w:tbl>
    <w:p w:rsidR="00D77D61" w:rsidRPr="00D77D61" w:rsidRDefault="00D77D61" w:rsidP="00D77D61">
      <w:pPr>
        <w:pStyle w:val="Heading5"/>
      </w:pPr>
      <w:r w:rsidRPr="00D77D61">
        <w:t>Effectiveness of access to GPs — GP-type presentations to emergency departments</w:t>
      </w:r>
    </w:p>
    <w:p w:rsidR="000656F5" w:rsidRPr="00243B90" w:rsidRDefault="000656F5" w:rsidP="00243B90">
      <w:pPr>
        <w:pStyle w:val="BodyText"/>
        <w:rPr>
          <w:rStyle w:val="DraftingNote"/>
          <w:b w:val="0"/>
          <w:color w:val="auto"/>
          <w:u w:val="none"/>
        </w:rPr>
      </w:pPr>
      <w:r>
        <w:t xml:space="preserve">GP-type presentations </w:t>
      </w:r>
      <w:r w:rsidR="005919AC">
        <w:t>to</w:t>
      </w:r>
      <w:r w:rsidR="005919AC" w:rsidRPr="005919AC">
        <w:t xml:space="preserve"> </w:t>
      </w:r>
      <w:r w:rsidR="005919AC">
        <w:t xml:space="preserve">emergency departments </w:t>
      </w:r>
      <w:r w:rsidR="001D02F2">
        <w:t xml:space="preserve">are </w:t>
      </w:r>
      <w:r>
        <w:t>presentations for conditions that could be appropriately managed in the prima</w:t>
      </w:r>
      <w:r w:rsidR="001D02F2">
        <w:t>ry and community health sector (</w:t>
      </w:r>
      <w:r w:rsidR="00123ABD">
        <w:t>Van </w:t>
      </w:r>
      <w:r>
        <w:t xml:space="preserve">Konkelenberg, Esterman and Van Konkelenberg </w:t>
      </w:r>
      <w:r w:rsidRPr="00C20806">
        <w:t>2003</w:t>
      </w:r>
      <w:r>
        <w:t xml:space="preserve">). </w:t>
      </w:r>
      <w:r w:rsidR="00596BCC" w:rsidRPr="00CC4FB1">
        <w:t>It is important to note that these include appropriate presentations to emergency departments that can only</w:t>
      </w:r>
      <w:r w:rsidR="00921B82" w:rsidRPr="00CC4FB1">
        <w:t xml:space="preserve"> be</w:t>
      </w:r>
      <w:r w:rsidR="00596BCC" w:rsidRPr="00CC4FB1">
        <w:t xml:space="preserve"> retrospectively categorised as ‘GP-type’. </w:t>
      </w:r>
      <w:r w:rsidR="00144C52" w:rsidRPr="00CC4FB1">
        <w:t>Factors contributing to GP</w:t>
      </w:r>
      <w:r w:rsidR="00144C52" w:rsidRPr="00CC4FB1">
        <w:noBreakHyphen/>
        <w:t xml:space="preserve">type presentations at emergency departments where this is not the case </w:t>
      </w:r>
      <w:r w:rsidR="00144C52">
        <w:t>include perceived or actual lack of access to GP services,</w:t>
      </w:r>
      <w:r>
        <w:t xml:space="preserve"> </w:t>
      </w:r>
      <w:r w:rsidR="00144C52">
        <w:t xml:space="preserve">the </w:t>
      </w:r>
      <w:r>
        <w:t>proximity of emergency departments and trust</w:t>
      </w:r>
      <w:r w:rsidR="00C20806">
        <w:t xml:space="preserve"> </w:t>
      </w:r>
      <w:r w:rsidR="0069495B">
        <w:t>in</w:t>
      </w:r>
      <w:r w:rsidR="00C20806">
        <w:t xml:space="preserve"> emergency department staff.</w:t>
      </w:r>
    </w:p>
    <w:p w:rsidR="00CA3F7F" w:rsidRDefault="000656F5" w:rsidP="00944E91">
      <w:pPr>
        <w:pStyle w:val="BodyText"/>
      </w:pPr>
      <w:r w:rsidRPr="006762B5">
        <w:t xml:space="preserve">Nationally, there were </w:t>
      </w:r>
      <w:r w:rsidRPr="00C60B1C">
        <w:t xml:space="preserve">around </w:t>
      </w:r>
      <w:r w:rsidR="004743C2" w:rsidRPr="00B037F7">
        <w:t>2.</w:t>
      </w:r>
      <w:r w:rsidR="008C219C" w:rsidRPr="00B037F7">
        <w:t>2</w:t>
      </w:r>
      <w:r w:rsidRPr="00B037F7">
        <w:t xml:space="preserve"> million GP-type presentations to public hospital emergency departments in</w:t>
      </w:r>
      <w:r w:rsidR="008C219C" w:rsidRPr="00B037F7">
        <w:t xml:space="preserve"> </w:t>
      </w:r>
      <w:r w:rsidR="008C219C" w:rsidRPr="00CC4FB1">
        <w:t>201</w:t>
      </w:r>
      <w:r w:rsidR="008C5B30" w:rsidRPr="00CC4FB1">
        <w:t>3</w:t>
      </w:r>
      <w:r w:rsidR="008C219C" w:rsidRPr="00CC4FB1">
        <w:t>-1</w:t>
      </w:r>
      <w:r w:rsidR="008C5B30" w:rsidRPr="00CC4FB1">
        <w:t>4</w:t>
      </w:r>
      <w:r w:rsidRPr="00EF4734">
        <w:t xml:space="preserve"> </w:t>
      </w:r>
      <w:r w:rsidR="00781EAD">
        <w:t>(</w:t>
      </w:r>
      <w:r w:rsidR="00897589">
        <w:t>table 10.</w:t>
      </w:r>
      <w:r w:rsidR="009821C3">
        <w:t>6</w:t>
      </w:r>
      <w:r w:rsidR="00781EAD">
        <w:t>).</w:t>
      </w:r>
    </w:p>
    <w:p w:rsidR="003019F8" w:rsidRDefault="003019F8" w:rsidP="003019F8">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3019F8" w:rsidTr="003019F8">
        <w:tc>
          <w:tcPr>
            <w:tcW w:w="8771" w:type="dxa"/>
            <w:tcBorders>
              <w:top w:val="single" w:sz="6" w:space="0" w:color="78A22F" w:themeColor="accent1"/>
              <w:left w:val="nil"/>
              <w:bottom w:val="nil"/>
              <w:right w:val="nil"/>
            </w:tcBorders>
            <w:shd w:val="clear" w:color="auto" w:fill="auto"/>
          </w:tcPr>
          <w:p w:rsidR="003019F8" w:rsidRPr="00784A05" w:rsidRDefault="003019F8" w:rsidP="003019F8">
            <w:pPr>
              <w:pStyle w:val="TableTitle"/>
            </w:pPr>
            <w:r>
              <w:rPr>
                <w:b w:val="0"/>
              </w:rPr>
              <w:t>Table 10.</w:t>
            </w:r>
            <w:r w:rsidR="0078724D">
              <w:rPr>
                <w:b w:val="0"/>
                <w:noProof/>
              </w:rPr>
              <w:t>6</w:t>
            </w:r>
            <w:r>
              <w:tab/>
            </w:r>
            <w:r w:rsidRPr="00126714">
              <w:t>GP-type presentations to emergency departments</w:t>
            </w:r>
            <w:r>
              <w:t xml:space="preserve">, </w:t>
            </w:r>
            <w:r w:rsidR="00596BCC">
              <w:br/>
            </w:r>
            <w:r>
              <w:t>(‘000)</w:t>
            </w:r>
            <w:r w:rsidRPr="00363D6D">
              <w:rPr>
                <w:rStyle w:val="NoteLabel"/>
                <w:b/>
              </w:rPr>
              <w:t>a, b, c</w:t>
            </w:r>
            <w:r w:rsidR="00596BCC">
              <w:rPr>
                <w:rStyle w:val="NoteLabel"/>
                <w:b/>
              </w:rPr>
              <w:t>, d</w:t>
            </w:r>
          </w:p>
        </w:tc>
      </w:tr>
      <w:tr w:rsidR="003019F8" w:rsidTr="002533FC">
        <w:trPr>
          <w:cantSplit/>
        </w:trPr>
        <w:tc>
          <w:tcPr>
            <w:tcW w:w="8771" w:type="dxa"/>
            <w:tcBorders>
              <w:top w:val="nil"/>
              <w:left w:val="nil"/>
              <w:bottom w:val="nil"/>
              <w:right w:val="nil"/>
            </w:tcBorders>
            <w:shd w:val="clear" w:color="auto" w:fill="auto"/>
          </w:tcPr>
          <w:tbl>
            <w:tblPr>
              <w:tblW w:w="5000" w:type="pct"/>
              <w:tblBorders>
                <w:top w:val="single" w:sz="6" w:space="0" w:color="BFBFBF"/>
                <w:bottom w:val="single" w:sz="6" w:space="0" w:color="BFBFBF"/>
                <w:insideH w:val="single" w:sz="6" w:space="0" w:color="BFBFBF"/>
              </w:tblBorders>
              <w:tblCellMar>
                <w:left w:w="0" w:type="dxa"/>
                <w:right w:w="0" w:type="dxa"/>
              </w:tblCellMar>
              <w:tblLook w:val="0000" w:firstRow="0" w:lastRow="0" w:firstColumn="0" w:lastColumn="0" w:noHBand="0" w:noVBand="0"/>
            </w:tblPr>
            <w:tblGrid>
              <w:gridCol w:w="851"/>
              <w:gridCol w:w="850"/>
              <w:gridCol w:w="850"/>
              <w:gridCol w:w="850"/>
              <w:gridCol w:w="849"/>
              <w:gridCol w:w="849"/>
              <w:gridCol w:w="849"/>
              <w:gridCol w:w="759"/>
              <w:gridCol w:w="823"/>
              <w:gridCol w:w="957"/>
            </w:tblGrid>
            <w:tr w:rsidR="003019F8" w:rsidRPr="00B65FFF" w:rsidTr="00CC4FB1">
              <w:trPr>
                <w:trHeight w:val="303"/>
              </w:trPr>
              <w:tc>
                <w:tcPr>
                  <w:tcW w:w="501" w:type="pct"/>
                  <w:shd w:val="clear" w:color="auto" w:fill="auto"/>
                  <w:vAlign w:val="center"/>
                </w:tcPr>
                <w:p w:rsidR="003019F8" w:rsidRPr="00B65FFF" w:rsidRDefault="003019F8" w:rsidP="003019F8">
                  <w:pPr>
                    <w:pStyle w:val="TableColumnHeading"/>
                    <w:ind w:right="57"/>
                  </w:pPr>
                </w:p>
              </w:tc>
              <w:tc>
                <w:tcPr>
                  <w:tcW w:w="501" w:type="pct"/>
                  <w:shd w:val="clear" w:color="auto" w:fill="auto"/>
                  <w:vAlign w:val="center"/>
                </w:tcPr>
                <w:p w:rsidR="003019F8" w:rsidRPr="00B65FFF" w:rsidRDefault="003019F8" w:rsidP="003019F8">
                  <w:pPr>
                    <w:pStyle w:val="TableColumnHeading"/>
                    <w:spacing w:before="0" w:afterLines="40" w:after="96"/>
                  </w:pPr>
                  <w:r w:rsidRPr="00B65FFF">
                    <w:t>NSW</w:t>
                  </w:r>
                </w:p>
              </w:tc>
              <w:tc>
                <w:tcPr>
                  <w:tcW w:w="501" w:type="pct"/>
                </w:tcPr>
                <w:p w:rsidR="003019F8" w:rsidRPr="00B65FFF" w:rsidRDefault="003019F8" w:rsidP="003019F8">
                  <w:pPr>
                    <w:pStyle w:val="TableColumnHeading"/>
                    <w:spacing w:before="0" w:afterLines="40" w:after="96"/>
                  </w:pPr>
                  <w:r w:rsidRPr="00B65FFF">
                    <w:t>Vic</w:t>
                  </w:r>
                </w:p>
              </w:tc>
              <w:tc>
                <w:tcPr>
                  <w:tcW w:w="501" w:type="pct"/>
                  <w:shd w:val="clear" w:color="auto" w:fill="auto"/>
                  <w:vAlign w:val="center"/>
                </w:tcPr>
                <w:p w:rsidR="003019F8" w:rsidRPr="00B65FFF" w:rsidRDefault="003019F8" w:rsidP="003019F8">
                  <w:pPr>
                    <w:pStyle w:val="TableColumnHeading"/>
                    <w:spacing w:before="0" w:afterLines="40" w:after="96"/>
                  </w:pPr>
                  <w:r w:rsidRPr="00B65FFF">
                    <w:t>Qld</w:t>
                  </w:r>
                </w:p>
              </w:tc>
              <w:tc>
                <w:tcPr>
                  <w:tcW w:w="500" w:type="pct"/>
                  <w:shd w:val="clear" w:color="auto" w:fill="auto"/>
                  <w:vAlign w:val="center"/>
                </w:tcPr>
                <w:p w:rsidR="003019F8" w:rsidRPr="00B65FFF" w:rsidRDefault="003019F8" w:rsidP="003019F8">
                  <w:pPr>
                    <w:pStyle w:val="TableColumnHeading"/>
                    <w:spacing w:before="0" w:afterLines="40" w:after="96"/>
                  </w:pPr>
                  <w:r w:rsidRPr="00B65FFF">
                    <w:t>WA</w:t>
                  </w:r>
                </w:p>
              </w:tc>
              <w:tc>
                <w:tcPr>
                  <w:tcW w:w="500" w:type="pct"/>
                  <w:shd w:val="clear" w:color="auto" w:fill="auto"/>
                  <w:vAlign w:val="center"/>
                </w:tcPr>
                <w:p w:rsidR="003019F8" w:rsidRPr="00B65FFF" w:rsidRDefault="003019F8" w:rsidP="003019F8">
                  <w:pPr>
                    <w:pStyle w:val="TableColumnHeading"/>
                    <w:spacing w:before="0" w:afterLines="40" w:after="96"/>
                  </w:pPr>
                  <w:r w:rsidRPr="00B65FFF">
                    <w:t>SA</w:t>
                  </w:r>
                </w:p>
              </w:tc>
              <w:tc>
                <w:tcPr>
                  <w:tcW w:w="500" w:type="pct"/>
                  <w:shd w:val="clear" w:color="auto" w:fill="auto"/>
                  <w:vAlign w:val="center"/>
                </w:tcPr>
                <w:p w:rsidR="003019F8" w:rsidRPr="00B65FFF" w:rsidRDefault="003019F8" w:rsidP="003019F8">
                  <w:pPr>
                    <w:pStyle w:val="TableColumnHeading"/>
                    <w:spacing w:before="0" w:afterLines="40" w:after="96"/>
                  </w:pPr>
                  <w:r w:rsidRPr="00B65FFF">
                    <w:t>Tas</w:t>
                  </w:r>
                </w:p>
              </w:tc>
              <w:tc>
                <w:tcPr>
                  <w:tcW w:w="447" w:type="pct"/>
                  <w:shd w:val="clear" w:color="auto" w:fill="auto"/>
                  <w:vAlign w:val="center"/>
                </w:tcPr>
                <w:p w:rsidR="003019F8" w:rsidRPr="00B65FFF" w:rsidRDefault="003019F8" w:rsidP="003019F8">
                  <w:pPr>
                    <w:pStyle w:val="TableColumnHeading"/>
                    <w:spacing w:before="0" w:afterLines="40" w:after="96"/>
                  </w:pPr>
                  <w:r w:rsidRPr="00B65FFF">
                    <w:t>ACT</w:t>
                  </w:r>
                </w:p>
              </w:tc>
              <w:tc>
                <w:tcPr>
                  <w:tcW w:w="485" w:type="pct"/>
                  <w:shd w:val="clear" w:color="auto" w:fill="auto"/>
                  <w:vAlign w:val="center"/>
                </w:tcPr>
                <w:p w:rsidR="003019F8" w:rsidRPr="00B65FFF" w:rsidRDefault="003019F8" w:rsidP="003019F8">
                  <w:pPr>
                    <w:pStyle w:val="TableColumnHeading"/>
                    <w:spacing w:before="0" w:afterLines="40" w:after="96"/>
                  </w:pPr>
                  <w:r w:rsidRPr="00B65FFF">
                    <w:t>NT</w:t>
                  </w:r>
                </w:p>
              </w:tc>
              <w:tc>
                <w:tcPr>
                  <w:tcW w:w="564" w:type="pct"/>
                  <w:tcBorders>
                    <w:bottom w:val="single" w:sz="6" w:space="0" w:color="BFBFBF"/>
                  </w:tcBorders>
                  <w:shd w:val="clear" w:color="auto" w:fill="auto"/>
                  <w:vAlign w:val="center"/>
                </w:tcPr>
                <w:p w:rsidR="003019F8" w:rsidRPr="00B65FFF" w:rsidRDefault="003019F8" w:rsidP="003019F8">
                  <w:pPr>
                    <w:pStyle w:val="TableColumnHeading"/>
                    <w:spacing w:before="0" w:afterLines="40" w:after="96"/>
                  </w:pPr>
                  <w:r w:rsidRPr="00B65FFF">
                    <w:t>Aust</w:t>
                  </w:r>
                </w:p>
              </w:tc>
            </w:tr>
            <w:tr w:rsidR="000876B0" w:rsidRPr="002F3F2E" w:rsidTr="00680958">
              <w:trPr>
                <w:trHeight w:val="324"/>
              </w:trPr>
              <w:tc>
                <w:tcPr>
                  <w:tcW w:w="501" w:type="pct"/>
                  <w:shd w:val="clear" w:color="auto" w:fill="auto"/>
                  <w:vAlign w:val="bottom"/>
                </w:tcPr>
                <w:p w:rsidR="000876B0" w:rsidRPr="00680958" w:rsidRDefault="000876B0" w:rsidP="00680958">
                  <w:pPr>
                    <w:spacing w:afterLines="40" w:after="96" w:line="200" w:lineRule="exact"/>
                    <w:rPr>
                      <w:rFonts w:ascii="Arial" w:hAnsi="Arial"/>
                      <w:sz w:val="18"/>
                      <w:szCs w:val="20"/>
                    </w:rPr>
                  </w:pPr>
                  <w:r w:rsidRPr="00680958">
                    <w:rPr>
                      <w:rFonts w:ascii="Arial" w:hAnsi="Arial"/>
                      <w:sz w:val="18"/>
                      <w:szCs w:val="20"/>
                    </w:rPr>
                    <w:t>2013-14</w:t>
                  </w:r>
                </w:p>
              </w:tc>
              <w:tc>
                <w:tcPr>
                  <w:tcW w:w="501" w:type="pct"/>
                  <w:shd w:val="clear" w:color="auto" w:fill="auto"/>
                  <w:tcMar>
                    <w:left w:w="108" w:type="dxa"/>
                    <w:right w:w="108" w:type="dxa"/>
                  </w:tcMar>
                </w:tcPr>
                <w:p w:rsidR="000876B0" w:rsidRPr="00680958" w:rsidRDefault="000876B0" w:rsidP="00680958">
                  <w:pPr>
                    <w:spacing w:afterLines="40" w:after="96" w:line="200" w:lineRule="exact"/>
                    <w:jc w:val="right"/>
                    <w:rPr>
                      <w:rFonts w:ascii="Arial" w:hAnsi="Arial"/>
                      <w:sz w:val="18"/>
                      <w:szCs w:val="20"/>
                    </w:rPr>
                  </w:pPr>
                  <w:r w:rsidRPr="00680958">
                    <w:rPr>
                      <w:rFonts w:ascii="Arial" w:hAnsi="Arial"/>
                      <w:sz w:val="18"/>
                      <w:szCs w:val="20"/>
                    </w:rPr>
                    <w:t xml:space="preserve"> 709.3</w:t>
                  </w:r>
                </w:p>
              </w:tc>
              <w:tc>
                <w:tcPr>
                  <w:tcW w:w="501" w:type="pct"/>
                  <w:shd w:val="clear" w:color="auto" w:fill="auto"/>
                  <w:tcMar>
                    <w:left w:w="108" w:type="dxa"/>
                    <w:right w:w="108" w:type="dxa"/>
                  </w:tcMar>
                </w:tcPr>
                <w:p w:rsidR="000876B0" w:rsidRPr="00680958" w:rsidRDefault="000876B0" w:rsidP="00680958">
                  <w:pPr>
                    <w:spacing w:afterLines="40" w:after="96"/>
                    <w:jc w:val="right"/>
                    <w:rPr>
                      <w:rFonts w:ascii="Arial" w:hAnsi="Arial"/>
                      <w:sz w:val="18"/>
                      <w:szCs w:val="20"/>
                    </w:rPr>
                  </w:pPr>
                  <w:r w:rsidRPr="00680958">
                    <w:rPr>
                      <w:rFonts w:ascii="Arial" w:hAnsi="Arial"/>
                      <w:sz w:val="18"/>
                      <w:szCs w:val="20"/>
                    </w:rPr>
                    <w:t xml:space="preserve"> 572.4</w:t>
                  </w:r>
                </w:p>
              </w:tc>
              <w:tc>
                <w:tcPr>
                  <w:tcW w:w="501" w:type="pct"/>
                  <w:shd w:val="clear" w:color="auto" w:fill="auto"/>
                  <w:tcMar>
                    <w:left w:w="108" w:type="dxa"/>
                    <w:right w:w="108" w:type="dxa"/>
                  </w:tcMar>
                </w:tcPr>
                <w:p w:rsidR="000876B0" w:rsidRPr="00680958" w:rsidRDefault="000876B0" w:rsidP="00680958">
                  <w:pPr>
                    <w:spacing w:afterLines="40" w:after="96"/>
                    <w:jc w:val="right"/>
                    <w:rPr>
                      <w:rFonts w:ascii="Arial" w:hAnsi="Arial"/>
                      <w:sz w:val="18"/>
                      <w:szCs w:val="20"/>
                    </w:rPr>
                  </w:pPr>
                  <w:r w:rsidRPr="00680958">
                    <w:rPr>
                      <w:rFonts w:ascii="Arial" w:hAnsi="Arial"/>
                      <w:sz w:val="18"/>
                      <w:szCs w:val="20"/>
                    </w:rPr>
                    <w:t xml:space="preserve"> 381.4</w:t>
                  </w:r>
                </w:p>
              </w:tc>
              <w:tc>
                <w:tcPr>
                  <w:tcW w:w="500" w:type="pct"/>
                  <w:shd w:val="clear" w:color="auto" w:fill="auto"/>
                  <w:tcMar>
                    <w:left w:w="108" w:type="dxa"/>
                    <w:right w:w="108" w:type="dxa"/>
                  </w:tcMar>
                </w:tcPr>
                <w:p w:rsidR="000876B0" w:rsidRPr="00680958" w:rsidRDefault="000876B0" w:rsidP="00680958">
                  <w:pPr>
                    <w:spacing w:afterLines="40" w:after="96"/>
                    <w:jc w:val="right"/>
                    <w:rPr>
                      <w:rFonts w:ascii="Arial" w:hAnsi="Arial"/>
                      <w:sz w:val="18"/>
                      <w:szCs w:val="20"/>
                    </w:rPr>
                  </w:pPr>
                  <w:r w:rsidRPr="00680958">
                    <w:rPr>
                      <w:rFonts w:ascii="Arial" w:hAnsi="Arial"/>
                      <w:sz w:val="18"/>
                      <w:szCs w:val="20"/>
                    </w:rPr>
                    <w:t xml:space="preserve">  272.9</w:t>
                  </w:r>
                </w:p>
              </w:tc>
              <w:tc>
                <w:tcPr>
                  <w:tcW w:w="500" w:type="pct"/>
                  <w:shd w:val="clear" w:color="auto" w:fill="auto"/>
                  <w:tcMar>
                    <w:left w:w="108" w:type="dxa"/>
                    <w:right w:w="108" w:type="dxa"/>
                  </w:tcMar>
                </w:tcPr>
                <w:p w:rsidR="000876B0" w:rsidRPr="00680958" w:rsidRDefault="000876B0" w:rsidP="00680958">
                  <w:pPr>
                    <w:spacing w:afterLines="40" w:after="96"/>
                    <w:jc w:val="right"/>
                    <w:rPr>
                      <w:rFonts w:ascii="Arial" w:hAnsi="Arial"/>
                      <w:sz w:val="18"/>
                      <w:szCs w:val="20"/>
                    </w:rPr>
                  </w:pPr>
                  <w:r w:rsidRPr="00680958">
                    <w:rPr>
                      <w:rFonts w:ascii="Arial" w:hAnsi="Arial"/>
                      <w:sz w:val="18"/>
                      <w:szCs w:val="20"/>
                    </w:rPr>
                    <w:t xml:space="preserve">  113.4</w:t>
                  </w:r>
                </w:p>
              </w:tc>
              <w:tc>
                <w:tcPr>
                  <w:tcW w:w="500" w:type="pct"/>
                  <w:shd w:val="clear" w:color="auto" w:fill="auto"/>
                  <w:tcMar>
                    <w:left w:w="108" w:type="dxa"/>
                    <w:right w:w="108" w:type="dxa"/>
                  </w:tcMar>
                </w:tcPr>
                <w:p w:rsidR="000876B0" w:rsidRPr="00680958" w:rsidRDefault="000876B0" w:rsidP="00680958">
                  <w:pPr>
                    <w:spacing w:afterLines="40" w:after="96"/>
                    <w:jc w:val="right"/>
                    <w:rPr>
                      <w:rFonts w:ascii="Arial" w:hAnsi="Arial"/>
                      <w:sz w:val="18"/>
                      <w:szCs w:val="20"/>
                    </w:rPr>
                  </w:pPr>
                  <w:r w:rsidRPr="00680958">
                    <w:rPr>
                      <w:rFonts w:ascii="Arial" w:hAnsi="Arial"/>
                      <w:sz w:val="18"/>
                      <w:szCs w:val="20"/>
                    </w:rPr>
                    <w:t xml:space="preserve">  61.2</w:t>
                  </w:r>
                </w:p>
              </w:tc>
              <w:tc>
                <w:tcPr>
                  <w:tcW w:w="447" w:type="pct"/>
                  <w:shd w:val="clear" w:color="auto" w:fill="auto"/>
                  <w:tcMar>
                    <w:left w:w="108" w:type="dxa"/>
                    <w:right w:w="108" w:type="dxa"/>
                  </w:tcMar>
                </w:tcPr>
                <w:p w:rsidR="000876B0" w:rsidRPr="00680958" w:rsidRDefault="000876B0" w:rsidP="00680958">
                  <w:pPr>
                    <w:spacing w:afterLines="40" w:after="96"/>
                    <w:jc w:val="right"/>
                    <w:rPr>
                      <w:rFonts w:ascii="Arial" w:hAnsi="Arial"/>
                      <w:sz w:val="18"/>
                      <w:szCs w:val="20"/>
                    </w:rPr>
                  </w:pPr>
                  <w:r w:rsidRPr="00680958">
                    <w:rPr>
                      <w:rFonts w:ascii="Arial" w:hAnsi="Arial"/>
                      <w:sz w:val="18"/>
                      <w:szCs w:val="20"/>
                    </w:rPr>
                    <w:t xml:space="preserve">  50.5</w:t>
                  </w:r>
                </w:p>
              </w:tc>
              <w:tc>
                <w:tcPr>
                  <w:tcW w:w="485" w:type="pct"/>
                  <w:shd w:val="clear" w:color="auto" w:fill="auto"/>
                  <w:tcMar>
                    <w:left w:w="108" w:type="dxa"/>
                    <w:right w:w="108" w:type="dxa"/>
                  </w:tcMar>
                </w:tcPr>
                <w:p w:rsidR="000876B0" w:rsidRPr="00680958" w:rsidRDefault="000876B0" w:rsidP="00680958">
                  <w:pPr>
                    <w:spacing w:afterLines="40" w:after="96"/>
                    <w:jc w:val="right"/>
                    <w:rPr>
                      <w:rFonts w:ascii="Arial" w:hAnsi="Arial"/>
                      <w:sz w:val="18"/>
                      <w:szCs w:val="20"/>
                    </w:rPr>
                  </w:pPr>
                  <w:r w:rsidRPr="00680958">
                    <w:rPr>
                      <w:rFonts w:ascii="Arial" w:hAnsi="Arial"/>
                      <w:sz w:val="18"/>
                      <w:szCs w:val="20"/>
                    </w:rPr>
                    <w:t xml:space="preserve">  39.3</w:t>
                  </w:r>
                </w:p>
              </w:tc>
              <w:tc>
                <w:tcPr>
                  <w:tcW w:w="564" w:type="pct"/>
                  <w:tcBorders>
                    <w:right w:val="nil"/>
                  </w:tcBorders>
                  <w:shd w:val="clear" w:color="auto" w:fill="auto"/>
                  <w:tcMar>
                    <w:left w:w="108" w:type="dxa"/>
                    <w:right w:w="108" w:type="dxa"/>
                  </w:tcMar>
                </w:tcPr>
                <w:p w:rsidR="000876B0" w:rsidRPr="00680958" w:rsidRDefault="000876B0" w:rsidP="00680958">
                  <w:pPr>
                    <w:spacing w:afterLines="40" w:after="96"/>
                    <w:jc w:val="right"/>
                    <w:rPr>
                      <w:rFonts w:ascii="Arial" w:hAnsi="Arial"/>
                      <w:sz w:val="18"/>
                      <w:szCs w:val="20"/>
                    </w:rPr>
                  </w:pPr>
                  <w:r w:rsidRPr="00680958">
                    <w:rPr>
                      <w:rFonts w:ascii="Arial" w:hAnsi="Arial"/>
                      <w:sz w:val="18"/>
                      <w:szCs w:val="20"/>
                    </w:rPr>
                    <w:t xml:space="preserve"> 2 200.4</w:t>
                  </w:r>
                </w:p>
              </w:tc>
            </w:tr>
          </w:tbl>
          <w:p w:rsidR="003019F8" w:rsidRDefault="003019F8" w:rsidP="003019F8">
            <w:pPr>
              <w:pStyle w:val="Box"/>
            </w:pPr>
          </w:p>
        </w:tc>
      </w:tr>
      <w:tr w:rsidR="003019F8" w:rsidTr="00211B55">
        <w:trPr>
          <w:cantSplit/>
        </w:trPr>
        <w:tc>
          <w:tcPr>
            <w:tcW w:w="8771" w:type="dxa"/>
            <w:tcBorders>
              <w:top w:val="nil"/>
              <w:left w:val="nil"/>
              <w:bottom w:val="nil"/>
              <w:right w:val="nil"/>
            </w:tcBorders>
            <w:shd w:val="clear" w:color="auto" w:fill="auto"/>
          </w:tcPr>
          <w:p w:rsidR="003019F8" w:rsidRPr="003019F8" w:rsidRDefault="003019F8" w:rsidP="002533FC">
            <w:pPr>
              <w:pStyle w:val="Note"/>
              <w:keepNext/>
            </w:pPr>
            <w:r w:rsidRPr="00126714">
              <w:rPr>
                <w:rStyle w:val="NoteLabel"/>
              </w:rPr>
              <w:t>a</w:t>
            </w:r>
            <w:r>
              <w:rPr>
                <w:rFonts w:cs="Arial"/>
              </w:rPr>
              <w:t xml:space="preserve"> </w:t>
            </w:r>
            <w:r w:rsidRPr="00126714">
              <w:t xml:space="preserve">GP-type emergency department presentations </w:t>
            </w:r>
            <w:r>
              <w:t>a</w:t>
            </w:r>
            <w:r w:rsidR="001E6FF9">
              <w:t xml:space="preserve">re </w:t>
            </w:r>
            <w:r w:rsidRPr="00126714">
              <w:t xml:space="preserve">defined </w:t>
            </w:r>
            <w:r>
              <w:t>as presentations for which the type of visit was reported as e</w:t>
            </w:r>
            <w:r w:rsidRPr="00126714">
              <w:t xml:space="preserve">mergency presentation, which did not arrive by </w:t>
            </w:r>
            <w:r>
              <w:t>a</w:t>
            </w:r>
            <w:r w:rsidRPr="00126714">
              <w:t xml:space="preserve">mbulance or by </w:t>
            </w:r>
            <w:r>
              <w:t>p</w:t>
            </w:r>
            <w:r w:rsidRPr="00126714">
              <w:t>olice or othe</w:t>
            </w:r>
            <w:r>
              <w:t>r correctional vehicle, with a triage category of semi-urgent or n</w:t>
            </w:r>
            <w:r w:rsidRPr="00126714">
              <w:t>on-urgent, and where the episode end status was not</w:t>
            </w:r>
            <w:r>
              <w:t xml:space="preserve"> admitted to the hospital, or r</w:t>
            </w:r>
            <w:r w:rsidRPr="00126714">
              <w:t>e</w:t>
            </w:r>
            <w:r>
              <w:t>ferred to another hospital, or d</w:t>
            </w:r>
            <w:r w:rsidRPr="00126714">
              <w:t>ied.</w:t>
            </w:r>
            <w:r>
              <w:t xml:space="preserve"> </w:t>
            </w:r>
            <w:r w:rsidR="00596BCC">
              <w:rPr>
                <w:rStyle w:val="NoteLabel"/>
              </w:rPr>
              <w:t>b</w:t>
            </w:r>
            <w:r w:rsidR="00596BCC">
              <w:rPr>
                <w:rFonts w:cs="Arial"/>
              </w:rPr>
              <w:t xml:space="preserve"> </w:t>
            </w:r>
            <w:r w:rsidR="006D596E" w:rsidRPr="00CC4FB1">
              <w:rPr>
                <w:rFonts w:cs="Arial"/>
              </w:rPr>
              <w:t xml:space="preserve">This is an interim measure, </w:t>
            </w:r>
            <w:r w:rsidRPr="00CC4FB1">
              <w:t>pending development of new methodology to more closely approximate the population that could receive services in the primary care sector.</w:t>
            </w:r>
            <w:r w:rsidR="00151F7D" w:rsidRPr="00CC4FB1">
              <w:t xml:space="preserve"> Data include appropriate presentations to emergency departments, where </w:t>
            </w:r>
            <w:r w:rsidR="006D596E" w:rsidRPr="00CC4FB1">
              <w:t xml:space="preserve">the </w:t>
            </w:r>
            <w:r w:rsidR="00151F7D" w:rsidRPr="00CC4FB1">
              <w:t xml:space="preserve">categorisation ‘GP-type’ can only be applied retrospectively. </w:t>
            </w:r>
            <w:r w:rsidR="002533FC">
              <w:rPr>
                <w:rStyle w:val="NoteLabel"/>
              </w:rPr>
              <w:t>c</w:t>
            </w:r>
            <w:r w:rsidR="006D596E" w:rsidRPr="00CC4FB1">
              <w:rPr>
                <w:rFonts w:cs="Arial"/>
              </w:rPr>
              <w:t xml:space="preserve"> </w:t>
            </w:r>
            <w:r w:rsidRPr="00CC4FB1">
              <w:t xml:space="preserve">Data are presented by State/Territory of usual residence of the patient. </w:t>
            </w:r>
            <w:r w:rsidR="002533FC">
              <w:rPr>
                <w:rStyle w:val="NoteLabel"/>
              </w:rPr>
              <w:t>d</w:t>
            </w:r>
            <w:r w:rsidRPr="00CC4FB1">
              <w:rPr>
                <w:rFonts w:cs="Arial"/>
              </w:rPr>
              <w:t xml:space="preserve"> Data are for </w:t>
            </w:r>
            <w:r w:rsidRPr="00CC4FB1">
              <w:t>peer group A and B public hospitals only</w:t>
            </w:r>
            <w:r w:rsidR="000876B0" w:rsidRPr="00CC4FB1">
              <w:t>, based on 2012-13 peer groups</w:t>
            </w:r>
            <w:r>
              <w:t>.</w:t>
            </w:r>
            <w:r w:rsidR="00794223">
              <w:t xml:space="preserve"> </w:t>
            </w:r>
          </w:p>
        </w:tc>
      </w:tr>
      <w:tr w:rsidR="003019F8" w:rsidTr="003019F8">
        <w:trPr>
          <w:cantSplit/>
        </w:trPr>
        <w:tc>
          <w:tcPr>
            <w:tcW w:w="8771" w:type="dxa"/>
            <w:tcBorders>
              <w:top w:val="nil"/>
              <w:left w:val="nil"/>
              <w:bottom w:val="nil"/>
              <w:right w:val="nil"/>
            </w:tcBorders>
            <w:shd w:val="clear" w:color="auto" w:fill="auto"/>
          </w:tcPr>
          <w:p w:rsidR="003019F8" w:rsidRDefault="003019F8" w:rsidP="000D3D85">
            <w:pPr>
              <w:pStyle w:val="Source"/>
            </w:pPr>
            <w:r w:rsidRPr="00D66DA2">
              <w:rPr>
                <w:i/>
              </w:rPr>
              <w:t>Source</w:t>
            </w:r>
            <w:r w:rsidRPr="00D66DA2">
              <w:t xml:space="preserve">: AIHW (unpublished) National non-admitted emergency patient database; table </w:t>
            </w:r>
            <w:r w:rsidR="00C9076B">
              <w:t>10A.</w:t>
            </w:r>
            <w:r w:rsidR="00215CF6">
              <w:t>4</w:t>
            </w:r>
            <w:r w:rsidR="000D3D85">
              <w:t>1</w:t>
            </w:r>
            <w:r w:rsidRPr="00D66DA2">
              <w:t>.</w:t>
            </w:r>
          </w:p>
        </w:tc>
      </w:tr>
      <w:tr w:rsidR="003019F8" w:rsidTr="003019F8">
        <w:trPr>
          <w:cantSplit/>
        </w:trPr>
        <w:tc>
          <w:tcPr>
            <w:tcW w:w="8771" w:type="dxa"/>
            <w:tcBorders>
              <w:top w:val="nil"/>
              <w:left w:val="nil"/>
              <w:bottom w:val="single" w:sz="6" w:space="0" w:color="78A22F" w:themeColor="accent1"/>
              <w:right w:val="nil"/>
            </w:tcBorders>
            <w:shd w:val="clear" w:color="auto" w:fill="auto"/>
          </w:tcPr>
          <w:p w:rsidR="003019F8" w:rsidRDefault="003019F8" w:rsidP="003019F8">
            <w:pPr>
              <w:pStyle w:val="Box"/>
              <w:spacing w:before="0" w:line="120" w:lineRule="exact"/>
            </w:pPr>
          </w:p>
        </w:tc>
      </w:tr>
      <w:tr w:rsidR="003019F8" w:rsidRPr="000863A5" w:rsidTr="003019F8">
        <w:tc>
          <w:tcPr>
            <w:tcW w:w="8771" w:type="dxa"/>
            <w:tcBorders>
              <w:top w:val="single" w:sz="6" w:space="0" w:color="78A22F" w:themeColor="accent1"/>
              <w:left w:val="nil"/>
              <w:bottom w:val="nil"/>
              <w:right w:val="nil"/>
            </w:tcBorders>
          </w:tcPr>
          <w:p w:rsidR="003019F8" w:rsidRPr="00626D32" w:rsidRDefault="003019F8" w:rsidP="003019F8">
            <w:pPr>
              <w:pStyle w:val="BoxSpaceBelow"/>
            </w:pPr>
          </w:p>
        </w:tc>
      </w:tr>
    </w:tbl>
    <w:p w:rsidR="00AB2EE7" w:rsidRPr="00243B90" w:rsidRDefault="00AB2EE7" w:rsidP="00243B90">
      <w:pPr>
        <w:pStyle w:val="BodyText"/>
        <w:rPr>
          <w:rStyle w:val="DraftingNote"/>
          <w:b w:val="0"/>
          <w:color w:val="auto"/>
          <w:u w:val="none"/>
        </w:rPr>
      </w:pPr>
      <w:r w:rsidRPr="003C74DA">
        <w:t xml:space="preserve">Nationally, 23.6 per cent of people who went to a hospital emergency department for their own health </w:t>
      </w:r>
      <w:r w:rsidR="00976B10">
        <w:t xml:space="preserve">in 2012-13 </w:t>
      </w:r>
      <w:r w:rsidRPr="003C74DA">
        <w:t>thought at the time that care could have been provided at a general practice (figure 10.1</w:t>
      </w:r>
      <w:r w:rsidR="00CF51C0">
        <w:t>7</w:t>
      </w:r>
      <w:r w:rsidRPr="003C74DA">
        <w:t>).</w:t>
      </w:r>
    </w:p>
    <w:p w:rsidR="00AB2EE7" w:rsidRDefault="00AB2EE7" w:rsidP="000F67C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B2EE7" w:rsidRPr="00DB54DC" w:rsidTr="008A7F29">
        <w:tc>
          <w:tcPr>
            <w:tcW w:w="8771" w:type="dxa"/>
            <w:tcBorders>
              <w:top w:val="single" w:sz="6" w:space="0" w:color="78A22F"/>
              <w:left w:val="nil"/>
              <w:bottom w:val="nil"/>
              <w:right w:val="nil"/>
            </w:tcBorders>
            <w:shd w:val="clear" w:color="auto" w:fill="auto"/>
          </w:tcPr>
          <w:p w:rsidR="00AB2EE7" w:rsidRPr="00DB54DC" w:rsidRDefault="00AB2EE7" w:rsidP="00243B90">
            <w:pPr>
              <w:pStyle w:val="FigureTitle"/>
            </w:pPr>
            <w:r w:rsidRPr="00DB54DC">
              <w:rPr>
                <w:b w:val="0"/>
              </w:rPr>
              <w:t>Figure 10.</w:t>
            </w:r>
            <w:r w:rsidR="0078724D">
              <w:rPr>
                <w:b w:val="0"/>
                <w:noProof/>
              </w:rPr>
              <w:t>17</w:t>
            </w:r>
            <w:r w:rsidRPr="00DB54DC">
              <w:tab/>
              <w:t xml:space="preserve">People visiting a hospital emergency department for </w:t>
            </w:r>
            <w:r w:rsidR="00C2522D">
              <w:br/>
            </w:r>
            <w:r w:rsidRPr="00DB54DC">
              <w:t xml:space="preserve">care they thought could have been provided at a </w:t>
            </w:r>
            <w:r w:rsidR="00C2522D">
              <w:br/>
            </w:r>
            <w:r w:rsidRPr="00DB54DC">
              <w:t xml:space="preserve">general </w:t>
            </w:r>
            <w:r w:rsidR="00C2522D">
              <w:t>p</w:t>
            </w:r>
            <w:r w:rsidRPr="00DB54DC">
              <w:t>ractice</w:t>
            </w:r>
            <w:r w:rsidRPr="00DB54DC">
              <w:rPr>
                <w:vertAlign w:val="superscript"/>
              </w:rPr>
              <w:t>a, b, c, d</w:t>
            </w:r>
          </w:p>
        </w:tc>
      </w:tr>
      <w:tr w:rsidR="00AB2EE7" w:rsidRPr="00DB54DC" w:rsidTr="008A7F29">
        <w:tc>
          <w:tcPr>
            <w:tcW w:w="8771" w:type="dxa"/>
            <w:tcBorders>
              <w:top w:val="nil"/>
              <w:left w:val="nil"/>
              <w:bottom w:val="nil"/>
              <w:right w:val="nil"/>
            </w:tcBorders>
            <w:shd w:val="clear" w:color="auto" w:fill="auto"/>
            <w:tcMar>
              <w:top w:w="28" w:type="dxa"/>
              <w:bottom w:w="28" w:type="dxa"/>
            </w:tcMar>
          </w:tcPr>
          <w:tbl>
            <w:tblPr>
              <w:tblW w:w="8625" w:type="dxa"/>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625"/>
            </w:tblGrid>
            <w:tr w:rsidR="00AB2EE7" w:rsidRPr="00DB54DC" w:rsidTr="00621F40">
              <w:tc>
                <w:tcPr>
                  <w:tcW w:w="5000" w:type="pct"/>
                  <w:tcBorders>
                    <w:top w:val="nil"/>
                    <w:bottom w:val="nil"/>
                  </w:tcBorders>
                </w:tcPr>
                <w:p w:rsidR="00AB2EE7" w:rsidRPr="00DB54DC" w:rsidRDefault="00583B5D" w:rsidP="00243B90">
                  <w:pPr>
                    <w:pStyle w:val="Figure"/>
                    <w:keepLines/>
                    <w:spacing w:before="60" w:after="60"/>
                  </w:pPr>
                  <w:r>
                    <w:rPr>
                      <w:noProof/>
                    </w:rPr>
                    <w:drawing>
                      <wp:inline distT="0" distB="0" distL="0" distR="0" wp14:anchorId="5B9FCE55" wp14:editId="1CBB6B39">
                        <wp:extent cx="5391150" cy="2867025"/>
                        <wp:effectExtent l="0" t="0" r="0" b="9525"/>
                        <wp:docPr id="25" name="Picture 25" descr="Figure 10.17 People visiting a hospital emergency department for &#10;care they thought could have been provided at a general practice&#10;&#10;More details can be found within the text surrounding this image.&#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391150" cy="2867025"/>
                                </a:xfrm>
                                <a:prstGeom prst="rect">
                                  <a:avLst/>
                                </a:prstGeom>
                                <a:noFill/>
                                <a:ln>
                                  <a:noFill/>
                                </a:ln>
                              </pic:spPr>
                            </pic:pic>
                          </a:graphicData>
                        </a:graphic>
                      </wp:inline>
                    </w:drawing>
                  </w:r>
                </w:p>
              </w:tc>
            </w:tr>
          </w:tbl>
          <w:p w:rsidR="00AB2EE7" w:rsidRPr="00DB54DC" w:rsidRDefault="00AB2EE7" w:rsidP="00243B90">
            <w:pPr>
              <w:pStyle w:val="Figure"/>
              <w:keepLines/>
            </w:pPr>
          </w:p>
        </w:tc>
      </w:tr>
      <w:tr w:rsidR="00AB2EE7" w:rsidRPr="00DB54DC" w:rsidTr="008A7F29">
        <w:tc>
          <w:tcPr>
            <w:tcW w:w="8771" w:type="dxa"/>
            <w:tcBorders>
              <w:top w:val="nil"/>
              <w:left w:val="nil"/>
              <w:bottom w:val="nil"/>
              <w:right w:val="nil"/>
            </w:tcBorders>
            <w:shd w:val="clear" w:color="auto" w:fill="auto"/>
          </w:tcPr>
          <w:p w:rsidR="00AB2EE7" w:rsidRPr="000F67C9" w:rsidRDefault="00AB2EE7" w:rsidP="00243B90">
            <w:pPr>
              <w:pStyle w:val="Note"/>
              <w:keepNext/>
            </w:pPr>
            <w:r w:rsidRPr="000F67C9">
              <w:rPr>
                <w:rStyle w:val="NoteLabel"/>
              </w:rPr>
              <w:t>a</w:t>
            </w:r>
            <w:r w:rsidRPr="000F67C9">
              <w:t xml:space="preserve"> Proportion of people aged 15 years or over who went to a hospital emergency department for their own health and at the time, thought the care could have been provided at a general practice. </w:t>
            </w:r>
            <w:r w:rsidRPr="000F67C9">
              <w:rPr>
                <w:rStyle w:val="NoteLabel"/>
              </w:rPr>
              <w:t>b</w:t>
            </w:r>
            <w:r w:rsidRPr="000F67C9">
              <w:t xml:space="preserve"> Rates are age</w:t>
            </w:r>
            <w:r w:rsidRPr="000F67C9">
              <w:noBreakHyphen/>
              <w:t xml:space="preserve">standardised to the 2001 </w:t>
            </w:r>
            <w:r w:rsidR="00243B90">
              <w:t>ERP</w:t>
            </w:r>
            <w:r w:rsidRPr="000F67C9">
              <w:t xml:space="preserve">. </w:t>
            </w:r>
            <w:r w:rsidRPr="000F67C9">
              <w:rPr>
                <w:rStyle w:val="NoteLabel"/>
              </w:rPr>
              <w:t>c</w:t>
            </w:r>
            <w:r w:rsidRPr="000F67C9">
              <w:t xml:space="preserve"> Data for 2010-11 for the NT should be used with care as the survey excluded very remote areas where around 23 per cent of the NT population usually reside. </w:t>
            </w:r>
            <w:r w:rsidRPr="000F67C9">
              <w:rPr>
                <w:rStyle w:val="NoteLabel"/>
              </w:rPr>
              <w:t>d</w:t>
            </w:r>
            <w:r w:rsidRPr="000F67C9">
              <w:t xml:space="preserve"> Data </w:t>
            </w:r>
            <w:r w:rsidR="003E60CB">
              <w:t>exclude</w:t>
            </w:r>
            <w:r w:rsidRPr="000F67C9">
              <w:t xml:space="preserve"> discrete Aboriginal and Torres Strait Islander communities, which will affect the NT more than other jurisdictions.</w:t>
            </w:r>
          </w:p>
        </w:tc>
      </w:tr>
      <w:tr w:rsidR="00AB2EE7" w:rsidRPr="00176D3F" w:rsidTr="008A7F29">
        <w:tc>
          <w:tcPr>
            <w:tcW w:w="8771" w:type="dxa"/>
            <w:tcBorders>
              <w:top w:val="nil"/>
              <w:left w:val="nil"/>
              <w:bottom w:val="nil"/>
              <w:right w:val="nil"/>
            </w:tcBorders>
            <w:shd w:val="clear" w:color="auto" w:fill="auto"/>
          </w:tcPr>
          <w:p w:rsidR="00AB2EE7" w:rsidRPr="000F67C9" w:rsidRDefault="00AB2EE7" w:rsidP="00243B90">
            <w:pPr>
              <w:pStyle w:val="Source"/>
              <w:keepNext/>
            </w:pPr>
            <w:r w:rsidRPr="000F67C9">
              <w:rPr>
                <w:i/>
              </w:rPr>
              <w:t>Source</w:t>
            </w:r>
            <w:r w:rsidRPr="000F67C9">
              <w:t xml:space="preserve">: ABS unpublished, </w:t>
            </w:r>
            <w:r w:rsidRPr="000F67C9">
              <w:rPr>
                <w:i/>
              </w:rPr>
              <w:t>Patient Experience Survey 2010-11, 2011-12, 2012-13</w:t>
            </w:r>
            <w:r w:rsidRPr="000F67C9">
              <w:t>, Cat. no. 4839.0; table 10A.4</w:t>
            </w:r>
            <w:r w:rsidR="000D3D85">
              <w:t>2</w:t>
            </w:r>
            <w:r w:rsidRPr="000F67C9">
              <w:t>.</w:t>
            </w:r>
          </w:p>
        </w:tc>
      </w:tr>
      <w:tr w:rsidR="00AB2EE7" w:rsidTr="008A7F29">
        <w:tc>
          <w:tcPr>
            <w:tcW w:w="8771" w:type="dxa"/>
            <w:tcBorders>
              <w:top w:val="nil"/>
              <w:left w:val="nil"/>
              <w:bottom w:val="single" w:sz="6" w:space="0" w:color="78A22F"/>
              <w:right w:val="nil"/>
            </w:tcBorders>
            <w:shd w:val="clear" w:color="auto" w:fill="auto"/>
          </w:tcPr>
          <w:p w:rsidR="00AB2EE7" w:rsidRDefault="00AB2EE7" w:rsidP="00243B90">
            <w:pPr>
              <w:pStyle w:val="Figurespace"/>
              <w:keepLines/>
            </w:pPr>
          </w:p>
        </w:tc>
      </w:tr>
      <w:tr w:rsidR="00AB2EE7" w:rsidRPr="000863A5" w:rsidTr="008A7F29">
        <w:tc>
          <w:tcPr>
            <w:tcW w:w="8771" w:type="dxa"/>
            <w:tcBorders>
              <w:top w:val="single" w:sz="6" w:space="0" w:color="78A22F"/>
              <w:left w:val="nil"/>
              <w:bottom w:val="nil"/>
              <w:right w:val="nil"/>
            </w:tcBorders>
          </w:tcPr>
          <w:p w:rsidR="00AB2EE7" w:rsidRPr="00626D32" w:rsidRDefault="00AB2EE7" w:rsidP="00243B90">
            <w:pPr>
              <w:pStyle w:val="BoxSpaceBelow"/>
              <w:keepNext/>
              <w:keepLines/>
            </w:pPr>
          </w:p>
        </w:tc>
      </w:tr>
    </w:tbl>
    <w:p w:rsidR="00927DD2" w:rsidRPr="00927DD2" w:rsidRDefault="001D3BA4" w:rsidP="00927DD2">
      <w:pPr>
        <w:pStyle w:val="Heading5"/>
      </w:pPr>
      <w:r w:rsidRPr="001D3BA4">
        <w:t xml:space="preserve">Financial barriers to </w:t>
      </w:r>
      <w:r>
        <w:t>PBS</w:t>
      </w:r>
      <w:r w:rsidRPr="001D3BA4">
        <w:t xml:space="preserve"> medicines</w:t>
      </w:r>
    </w:p>
    <w:p w:rsidR="004743C2" w:rsidRDefault="00FD0402" w:rsidP="00944E91">
      <w:pPr>
        <w:pStyle w:val="BodyText"/>
      </w:pPr>
      <w:r>
        <w:t>‘</w:t>
      </w:r>
      <w:r w:rsidR="001D3BA4" w:rsidRPr="001D3BA4">
        <w:t xml:space="preserve">Financial barriers to PBS </w:t>
      </w:r>
      <w:r w:rsidR="00AB1CDB">
        <w:t>medicines</w:t>
      </w:r>
      <w:r>
        <w:t xml:space="preserve">’ is an indicator of governments’ objective to ensure </w:t>
      </w:r>
      <w:r w:rsidR="00F27E16">
        <w:t>effective</w:t>
      </w:r>
      <w:r>
        <w:t xml:space="preserve"> access to </w:t>
      </w:r>
      <w:r w:rsidR="00472FD3">
        <w:t>prescribed medicines</w:t>
      </w:r>
      <w:r w:rsidR="00ED562D">
        <w:t xml:space="preserve"> (</w:t>
      </w:r>
      <w:r w:rsidR="00897589">
        <w:t>box 10.</w:t>
      </w:r>
      <w:r w:rsidR="00CD5CD3" w:rsidRPr="00CD5CD3">
        <w:t>8</w:t>
      </w:r>
      <w:r w:rsidR="00ED562D" w:rsidRPr="00CD5CD3">
        <w:t>)</w:t>
      </w:r>
      <w:r w:rsidRPr="00CD5CD3">
        <w:t>.</w:t>
      </w:r>
    </w:p>
    <w:p w:rsidR="00F61658" w:rsidRPr="00944E91" w:rsidRDefault="00F61658" w:rsidP="00944E91">
      <w:pPr>
        <w:pStyle w:val="BodyText"/>
      </w:pPr>
    </w:p>
    <w:p w:rsidR="003F7095" w:rsidRDefault="003F7095">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F7095" w:rsidTr="00867BB6">
        <w:tc>
          <w:tcPr>
            <w:tcW w:w="8771" w:type="dxa"/>
            <w:tcBorders>
              <w:top w:val="single" w:sz="6" w:space="0" w:color="78A22F"/>
              <w:left w:val="nil"/>
              <w:bottom w:val="nil"/>
              <w:right w:val="nil"/>
            </w:tcBorders>
            <w:shd w:val="clear" w:color="auto" w:fill="F2F2F2" w:themeFill="background1" w:themeFillShade="F2"/>
          </w:tcPr>
          <w:p w:rsidR="003F7095" w:rsidRDefault="003F7095">
            <w:pPr>
              <w:pStyle w:val="BoxTitle"/>
            </w:pPr>
            <w:r>
              <w:rPr>
                <w:b w:val="0"/>
              </w:rPr>
              <w:t>Box 10.</w:t>
            </w:r>
            <w:r w:rsidR="0078724D">
              <w:rPr>
                <w:b w:val="0"/>
                <w:noProof/>
              </w:rPr>
              <w:t>8</w:t>
            </w:r>
            <w:r>
              <w:tab/>
            </w:r>
            <w:r w:rsidRPr="001D3BA4">
              <w:t xml:space="preserve">Financial barriers to </w:t>
            </w:r>
            <w:r>
              <w:t>PBS</w:t>
            </w:r>
            <w:r w:rsidRPr="00AB1CDB">
              <w:t xml:space="preserve"> medicines</w:t>
            </w:r>
          </w:p>
        </w:tc>
      </w:tr>
      <w:tr w:rsidR="003F7095" w:rsidTr="00867BB6">
        <w:trPr>
          <w:cantSplit/>
        </w:trPr>
        <w:tc>
          <w:tcPr>
            <w:tcW w:w="8771" w:type="dxa"/>
            <w:tcBorders>
              <w:top w:val="nil"/>
              <w:left w:val="nil"/>
              <w:bottom w:val="nil"/>
              <w:right w:val="nil"/>
            </w:tcBorders>
            <w:shd w:val="clear" w:color="auto" w:fill="F2F2F2" w:themeFill="background1" w:themeFillShade="F2"/>
          </w:tcPr>
          <w:p w:rsidR="003F7095" w:rsidRPr="00A97F84" w:rsidRDefault="003F7095" w:rsidP="00867BB6">
            <w:pPr>
              <w:pStyle w:val="Box"/>
            </w:pPr>
            <w:r w:rsidRPr="00A97F84">
              <w:t>‘Financial barriers to PBS medicines’ is defined as the proportion of people who delayed getting or did not get a prescription filled due to cost.</w:t>
            </w:r>
          </w:p>
          <w:p w:rsidR="003F7095" w:rsidRPr="00A97F84" w:rsidRDefault="003F7095" w:rsidP="00867BB6">
            <w:pPr>
              <w:pStyle w:val="Box"/>
            </w:pPr>
            <w:r w:rsidRPr="00A97F84">
              <w:t>A low or decreasing proportion of people deferring treatment due to financial barriers indicates more widely affordable access to medications.</w:t>
            </w:r>
          </w:p>
          <w:p w:rsidR="003F7095" w:rsidRDefault="003F7095" w:rsidP="00867BB6">
            <w:pPr>
              <w:pStyle w:val="Box"/>
            </w:pPr>
            <w:r w:rsidRPr="00A97F84">
              <w:t xml:space="preserve">Data </w:t>
            </w:r>
            <w:r>
              <w:t xml:space="preserve">reported </w:t>
            </w:r>
            <w:r w:rsidRPr="00A97F84">
              <w:t>for this indicator are</w:t>
            </w:r>
            <w:r>
              <w:t>:</w:t>
            </w:r>
          </w:p>
          <w:p w:rsidR="003F7095" w:rsidRDefault="003F7095" w:rsidP="00867BB6">
            <w:pPr>
              <w:pStyle w:val="BoxListBullet"/>
            </w:pPr>
            <w:r w:rsidRPr="00065D58">
              <w:t>comparable (subject to caveats) across jurisdictions and over time</w:t>
            </w:r>
          </w:p>
          <w:p w:rsidR="003F7095" w:rsidRDefault="003F7095" w:rsidP="00867BB6">
            <w:pPr>
              <w:pStyle w:val="BoxListBullet"/>
            </w:pPr>
            <w:r w:rsidRPr="00065D58">
              <w:t xml:space="preserve">complete (subject to caveats) for the current reporting period. All required </w:t>
            </w:r>
            <w:r>
              <w:t>201</w:t>
            </w:r>
            <w:r w:rsidR="00BE0C3F">
              <w:t>3</w:t>
            </w:r>
            <w:r>
              <w:noBreakHyphen/>
              <w:t>1</w:t>
            </w:r>
            <w:r w:rsidR="00BE0C3F">
              <w:t>4</w:t>
            </w:r>
            <w:r w:rsidRPr="00065D58">
              <w:t xml:space="preserve"> data are available for all jurisdictions</w:t>
            </w:r>
            <w:r>
              <w:t>.</w:t>
            </w:r>
          </w:p>
          <w:p w:rsidR="003F7095" w:rsidRPr="002706CE" w:rsidRDefault="003F7095" w:rsidP="00211B55">
            <w:pPr>
              <w:pStyle w:val="Box"/>
              <w:rPr>
                <w:rStyle w:val="DraftingNote"/>
                <w:b w:val="0"/>
                <w:color w:val="auto"/>
                <w:sz w:val="22"/>
                <w:u w:val="none"/>
              </w:rPr>
            </w:pPr>
            <w:r w:rsidRPr="0027351B">
              <w:t xml:space="preserve">Data quality information </w:t>
            </w:r>
            <w:r w:rsidRPr="001D3C59">
              <w:t xml:space="preserve">for this indicator is at </w:t>
            </w:r>
            <w:r w:rsidR="00786AB7">
              <w:t>www.pc.gov.au</w:t>
            </w:r>
            <w:r w:rsidRPr="00A97F84">
              <w:t>/</w:t>
            </w:r>
            <w:r>
              <w:t>rogs/201</w:t>
            </w:r>
            <w:r w:rsidR="00211B55">
              <w:t>5</w:t>
            </w:r>
            <w:r w:rsidRPr="00944E91">
              <w:t>.</w:t>
            </w:r>
          </w:p>
        </w:tc>
      </w:tr>
      <w:tr w:rsidR="003F7095" w:rsidTr="00867BB6">
        <w:trPr>
          <w:cantSplit/>
        </w:trPr>
        <w:tc>
          <w:tcPr>
            <w:tcW w:w="8771" w:type="dxa"/>
            <w:tcBorders>
              <w:top w:val="nil"/>
              <w:left w:val="nil"/>
              <w:bottom w:val="single" w:sz="6" w:space="0" w:color="78A22F"/>
              <w:right w:val="nil"/>
            </w:tcBorders>
            <w:shd w:val="clear" w:color="auto" w:fill="F2F2F2" w:themeFill="background1" w:themeFillShade="F2"/>
          </w:tcPr>
          <w:p w:rsidR="003F7095" w:rsidRDefault="003F7095">
            <w:pPr>
              <w:pStyle w:val="Box"/>
              <w:spacing w:before="0" w:line="120" w:lineRule="exact"/>
            </w:pPr>
          </w:p>
        </w:tc>
      </w:tr>
      <w:tr w:rsidR="003F7095" w:rsidRPr="000863A5" w:rsidTr="00867BB6">
        <w:tc>
          <w:tcPr>
            <w:tcW w:w="8771" w:type="dxa"/>
            <w:tcBorders>
              <w:top w:val="single" w:sz="6" w:space="0" w:color="78A22F"/>
              <w:left w:val="nil"/>
              <w:bottom w:val="nil"/>
              <w:right w:val="nil"/>
            </w:tcBorders>
          </w:tcPr>
          <w:p w:rsidR="003F7095" w:rsidRPr="00626D32" w:rsidRDefault="003F7095" w:rsidP="0052582D">
            <w:pPr>
              <w:pStyle w:val="BoxSpaceBelow"/>
              <w:spacing w:after="0"/>
            </w:pPr>
          </w:p>
        </w:tc>
      </w:tr>
    </w:tbl>
    <w:p w:rsidR="00284E6F" w:rsidRPr="00284E6F" w:rsidRDefault="003930F9" w:rsidP="00284E6F">
      <w:pPr>
        <w:pStyle w:val="BodyText"/>
      </w:pPr>
      <w:r w:rsidRPr="00A97F84">
        <w:t>Nationally</w:t>
      </w:r>
      <w:r w:rsidR="00C77D26" w:rsidRPr="00A97F84">
        <w:t>,</w:t>
      </w:r>
      <w:r w:rsidR="00040398" w:rsidRPr="00A97F84">
        <w:t xml:space="preserve"> </w:t>
      </w:r>
      <w:r w:rsidR="00040398" w:rsidRPr="00211B55">
        <w:t>in 201</w:t>
      </w:r>
      <w:r w:rsidR="00032C04" w:rsidRPr="00211B55">
        <w:t>3</w:t>
      </w:r>
      <w:r w:rsidR="005852B7" w:rsidRPr="00211B55">
        <w:t>-1</w:t>
      </w:r>
      <w:r w:rsidR="00032C04" w:rsidRPr="00211B55">
        <w:t>4</w:t>
      </w:r>
      <w:r w:rsidR="00040398" w:rsidRPr="00211B55">
        <w:t>,</w:t>
      </w:r>
      <w:r w:rsidR="00C77D26" w:rsidRPr="00211B55">
        <w:t xml:space="preserve"> </w:t>
      </w:r>
      <w:r w:rsidR="00032C04" w:rsidRPr="00211B55">
        <w:t>7.6</w:t>
      </w:r>
      <w:r w:rsidR="00C77D26" w:rsidRPr="00211B55">
        <w:t xml:space="preserve"> per cent of respondents delay</w:t>
      </w:r>
      <w:r w:rsidR="00184473" w:rsidRPr="00211B55">
        <w:t>ed</w:t>
      </w:r>
      <w:r w:rsidR="00C77D26" w:rsidRPr="00211B55">
        <w:t xml:space="preserve"> or </w:t>
      </w:r>
      <w:r w:rsidR="00184473" w:rsidRPr="00211B55">
        <w:t xml:space="preserve">did </w:t>
      </w:r>
      <w:r w:rsidR="00C77D26" w:rsidRPr="00211B55">
        <w:t>not purchas</w:t>
      </w:r>
      <w:r w:rsidR="00184473" w:rsidRPr="00211B55">
        <w:t>e</w:t>
      </w:r>
      <w:r w:rsidR="00991698" w:rsidRPr="00211B55">
        <w:t xml:space="preserve"> prescribed</w:t>
      </w:r>
      <w:r w:rsidR="00C77D26" w:rsidRPr="00211B55">
        <w:t xml:space="preserve"> medicines due to cost </w:t>
      </w:r>
      <w:r w:rsidR="00D0561C" w:rsidRPr="00211B55">
        <w:t>in the previous</w:t>
      </w:r>
      <w:r w:rsidR="00C77D26" w:rsidRPr="00211B55">
        <w:t xml:space="preserve"> </w:t>
      </w:r>
      <w:r w:rsidR="00184473" w:rsidRPr="00211B55">
        <w:t>12 month period</w:t>
      </w:r>
      <w:r w:rsidR="003C4080" w:rsidRPr="00211B55">
        <w:t xml:space="preserve"> (</w:t>
      </w:r>
      <w:r w:rsidR="00186D80" w:rsidRPr="00211B55">
        <w:t>figure </w:t>
      </w:r>
      <w:r w:rsidR="00897589" w:rsidRPr="00211B55">
        <w:t>10.</w:t>
      </w:r>
      <w:r w:rsidR="003C4080" w:rsidRPr="00211B55">
        <w:t>1</w:t>
      </w:r>
      <w:r w:rsidR="00186D80" w:rsidRPr="00211B55">
        <w:t>8</w:t>
      </w:r>
      <w:r w:rsidR="00A04C16" w:rsidRPr="00211B55">
        <w:t>).</w:t>
      </w:r>
      <w:r w:rsidR="00744C67" w:rsidRPr="00211B55">
        <w:t xml:space="preserve"> Data for Aboriginal and Torres Strait Islander Australians </w:t>
      </w:r>
      <w:r w:rsidR="00032C04" w:rsidRPr="00211B55">
        <w:t>were collected</w:t>
      </w:r>
      <w:r w:rsidR="00744C67">
        <w:t xml:space="preserve"> for the first time</w:t>
      </w:r>
      <w:r w:rsidR="00744C67" w:rsidRPr="007305C4">
        <w:t xml:space="preserve"> from the ABS 2011</w:t>
      </w:r>
      <w:r w:rsidR="00801E98">
        <w:noBreakHyphen/>
      </w:r>
      <w:r w:rsidR="00744C67" w:rsidRPr="007305C4">
        <w:t xml:space="preserve">12 AATSIHS </w:t>
      </w:r>
      <w:r w:rsidR="00744C67">
        <w:t xml:space="preserve">and are presented </w:t>
      </w:r>
      <w:r w:rsidR="00744C67" w:rsidRPr="007305C4">
        <w:t>in table </w:t>
      </w:r>
      <w:r w:rsidR="00744C67">
        <w:t>10A.</w:t>
      </w:r>
      <w:r w:rsidR="00744C67" w:rsidRPr="007305C4">
        <w:t>4</w:t>
      </w:r>
      <w:r w:rsidR="00C87556">
        <w:t>5</w:t>
      </w:r>
      <w:r w:rsidR="00744C67">
        <w:t>.</w:t>
      </w:r>
      <w:r w:rsidR="00744C67" w:rsidRPr="007305C4">
        <w:t xml:space="preserve"> However, differences in survey design and methodology mean data from the Patient experience survey and the AATSIHS are not comparable</w:t>
      </w:r>
      <w:r w:rsidR="00744C67">
        <w:t>.</w:t>
      </w:r>
    </w:p>
    <w:p w:rsidR="00284E6F" w:rsidRDefault="00284E6F" w:rsidP="0067713D">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284E6F" w:rsidTr="0067713D">
        <w:tc>
          <w:tcPr>
            <w:tcW w:w="8771" w:type="dxa"/>
            <w:tcBorders>
              <w:top w:val="single" w:sz="6" w:space="0" w:color="78A22F"/>
              <w:left w:val="nil"/>
              <w:bottom w:val="nil"/>
              <w:right w:val="nil"/>
            </w:tcBorders>
            <w:shd w:val="clear" w:color="auto" w:fill="auto"/>
          </w:tcPr>
          <w:p w:rsidR="00284E6F" w:rsidRPr="00176D3F" w:rsidRDefault="00284E6F" w:rsidP="00744C67">
            <w:pPr>
              <w:pStyle w:val="FigureTitle"/>
            </w:pPr>
            <w:r w:rsidRPr="00784A05">
              <w:rPr>
                <w:b w:val="0"/>
              </w:rPr>
              <w:t xml:space="preserve">Figure </w:t>
            </w:r>
            <w:r w:rsidR="00DF255F">
              <w:rPr>
                <w:b w:val="0"/>
              </w:rPr>
              <w:t>10.</w:t>
            </w:r>
            <w:r w:rsidR="0078724D">
              <w:rPr>
                <w:b w:val="0"/>
                <w:noProof/>
              </w:rPr>
              <w:t>18</w:t>
            </w:r>
            <w:r>
              <w:tab/>
            </w:r>
            <w:r w:rsidRPr="00DC2389">
              <w:t xml:space="preserve">People deferring </w:t>
            </w:r>
            <w:r>
              <w:t>purchase of prescribed medicines due to cost</w:t>
            </w:r>
            <w:r w:rsidRPr="00CD5CD3">
              <w:rPr>
                <w:rStyle w:val="NoteLabel"/>
                <w:b/>
              </w:rPr>
              <w:t>a</w:t>
            </w:r>
            <w:r>
              <w:rPr>
                <w:rStyle w:val="NoteLabel"/>
                <w:b/>
              </w:rPr>
              <w:t>, </w:t>
            </w:r>
            <w:r w:rsidRPr="00D22563">
              <w:rPr>
                <w:rStyle w:val="NoteLabel"/>
                <w:b/>
              </w:rPr>
              <w:t>b</w:t>
            </w:r>
            <w:r w:rsidR="00470699">
              <w:rPr>
                <w:rStyle w:val="NoteLabel"/>
                <w:b/>
              </w:rPr>
              <w:t>, c, d</w:t>
            </w:r>
          </w:p>
        </w:tc>
      </w:tr>
      <w:tr w:rsidR="00284E6F" w:rsidTr="0067713D">
        <w:tc>
          <w:tcPr>
            <w:tcW w:w="8771" w:type="dxa"/>
            <w:tcBorders>
              <w:top w:val="nil"/>
              <w:left w:val="nil"/>
              <w:bottom w:val="nil"/>
              <w:right w:val="nil"/>
            </w:tcBorders>
            <w:shd w:val="clear" w:color="auto" w:fill="auto"/>
            <w:tcMar>
              <w:top w:w="28" w:type="dxa"/>
              <w:bottom w:w="28" w:type="dxa"/>
            </w:tcMar>
          </w:tcPr>
          <w:tbl>
            <w:tblPr>
              <w:tblW w:w="8625" w:type="dxa"/>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625"/>
            </w:tblGrid>
            <w:tr w:rsidR="00284E6F" w:rsidTr="00744C67">
              <w:tc>
                <w:tcPr>
                  <w:tcW w:w="5000" w:type="pct"/>
                  <w:tcBorders>
                    <w:top w:val="nil"/>
                    <w:bottom w:val="nil"/>
                  </w:tcBorders>
                </w:tcPr>
                <w:p w:rsidR="00284E6F" w:rsidRDefault="00583B5D" w:rsidP="00744C67">
                  <w:pPr>
                    <w:pStyle w:val="Figure"/>
                    <w:keepLines/>
                    <w:spacing w:before="60" w:after="60"/>
                  </w:pPr>
                  <w:r>
                    <w:rPr>
                      <w:noProof/>
                    </w:rPr>
                    <w:drawing>
                      <wp:inline distT="0" distB="0" distL="0" distR="0" wp14:anchorId="3FF4C719" wp14:editId="2C86EF76">
                        <wp:extent cx="5391150" cy="2571750"/>
                        <wp:effectExtent l="0" t="0" r="0" b="0"/>
                        <wp:docPr id="26" name="Picture 26" descr="Figure 10.18 People deferring purchase of prescribed medicines due to cost&#10;&#10;More details can be found within the text surrounding this image.&#1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pic:cNvPicPr>
                                  <a:picLocks noChangeAspect="1" noChangeArrowheads="1"/>
                                </pic:cNvPicPr>
                              </pic:nvPicPr>
                              <pic:blipFill rotWithShape="1">
                                <a:blip r:embed="rId29">
                                  <a:extLst>
                                    <a:ext uri="{28A0092B-C50C-407E-A947-70E740481C1C}">
                                      <a14:useLocalDpi xmlns:a14="http://schemas.microsoft.com/office/drawing/2010/main" val="0"/>
                                    </a:ext>
                                  </a:extLst>
                                </a:blip>
                                <a:srcRect t="2422" b="4152"/>
                                <a:stretch/>
                              </pic:blipFill>
                              <pic:spPr bwMode="auto">
                                <a:xfrm>
                                  <a:off x="0" y="0"/>
                                  <a:ext cx="5391150" cy="2571750"/>
                                </a:xfrm>
                                <a:prstGeom prst="rect">
                                  <a:avLst/>
                                </a:prstGeom>
                                <a:noFill/>
                                <a:ln>
                                  <a:noFill/>
                                </a:ln>
                                <a:extLst>
                                  <a:ext uri="{53640926-AAD7-44D8-BBD7-CCE9431645EC}">
                                    <a14:shadowObscured xmlns:a14="http://schemas.microsoft.com/office/drawing/2010/main"/>
                                  </a:ext>
                                </a:extLst>
                              </pic:spPr>
                            </pic:pic>
                          </a:graphicData>
                        </a:graphic>
                      </wp:inline>
                    </w:drawing>
                  </w:r>
                </w:p>
              </w:tc>
            </w:tr>
          </w:tbl>
          <w:p w:rsidR="00284E6F" w:rsidRDefault="00284E6F" w:rsidP="00744C67">
            <w:pPr>
              <w:pStyle w:val="Figure"/>
              <w:keepLines/>
            </w:pPr>
          </w:p>
        </w:tc>
      </w:tr>
      <w:tr w:rsidR="00284E6F" w:rsidRPr="00176D3F" w:rsidTr="0067713D">
        <w:tc>
          <w:tcPr>
            <w:tcW w:w="8771" w:type="dxa"/>
            <w:tcBorders>
              <w:top w:val="nil"/>
              <w:left w:val="nil"/>
              <w:bottom w:val="nil"/>
              <w:right w:val="nil"/>
            </w:tcBorders>
            <w:shd w:val="clear" w:color="auto" w:fill="auto"/>
          </w:tcPr>
          <w:p w:rsidR="00284E6F" w:rsidRPr="00176D3F" w:rsidRDefault="00284E6F" w:rsidP="002F07B0">
            <w:pPr>
              <w:pStyle w:val="Note"/>
              <w:keepNext/>
            </w:pPr>
            <w:r>
              <w:rPr>
                <w:rStyle w:val="NoteLabel"/>
              </w:rPr>
              <w:t>a</w:t>
            </w:r>
            <w:r>
              <w:t> </w:t>
            </w:r>
            <w:r w:rsidRPr="00A04C16">
              <w:t>People 15 years or over who</w:t>
            </w:r>
            <w:r>
              <w:t>,</w:t>
            </w:r>
            <w:r w:rsidRPr="00A04C16">
              <w:t xml:space="preserve"> in the last 12 months</w:t>
            </w:r>
            <w:r>
              <w:t>,</w:t>
            </w:r>
            <w:r w:rsidRPr="00A04C16">
              <w:t xml:space="preserve"> were prescribed medication and delayed getting or did not get the medication due to cost.</w:t>
            </w:r>
            <w:r w:rsidRPr="00F9597A">
              <w:rPr>
                <w:rStyle w:val="NoteLabel"/>
              </w:rPr>
              <w:t xml:space="preserve"> </w:t>
            </w:r>
            <w:r>
              <w:rPr>
                <w:rStyle w:val="NoteLabel"/>
              </w:rPr>
              <w:t>b</w:t>
            </w:r>
            <w:r w:rsidR="00782691">
              <w:rPr>
                <w:rStyle w:val="NoteLabel"/>
              </w:rPr>
              <w:t xml:space="preserve"> </w:t>
            </w:r>
            <w:r w:rsidR="00782691">
              <w:t xml:space="preserve">Data are comparable over time from the 2010-11 reference year. </w:t>
            </w:r>
            <w:r w:rsidR="00782691" w:rsidRPr="00A4709B">
              <w:t>Data are crude rates and may differ from data in previous reports which were age­standardised</w:t>
            </w:r>
            <w:r>
              <w:t>.</w:t>
            </w:r>
            <w:r w:rsidRPr="00D22563">
              <w:rPr>
                <w:rStyle w:val="NoteLabel"/>
              </w:rPr>
              <w:t xml:space="preserve"> </w:t>
            </w:r>
            <w:r>
              <w:rPr>
                <w:rStyle w:val="NoteLabel"/>
              </w:rPr>
              <w:t>c</w:t>
            </w:r>
            <w:r w:rsidR="00782691">
              <w:t> </w:t>
            </w:r>
            <w:r w:rsidRPr="007305C4">
              <w:t xml:space="preserve">Data </w:t>
            </w:r>
            <w:r w:rsidR="0073181B" w:rsidRPr="00A64597">
              <w:t>ex</w:t>
            </w:r>
            <w:r w:rsidRPr="00A64597">
              <w:t xml:space="preserve">clude discrete </w:t>
            </w:r>
            <w:r w:rsidR="00D16EBA" w:rsidRPr="00A64597">
              <w:t>Aboriginal and Torres Strait Islander</w:t>
            </w:r>
            <w:r w:rsidRPr="00A64597">
              <w:t xml:space="preserve"> communities,</w:t>
            </w:r>
            <w:r w:rsidRPr="007305C4">
              <w:t xml:space="preserve"> which will affect the NT more than other jurisdictions</w:t>
            </w:r>
            <w:r>
              <w:t>.</w:t>
            </w:r>
            <w:r w:rsidRPr="00D43F13">
              <w:rPr>
                <w:rStyle w:val="NoteLabel"/>
              </w:rPr>
              <w:t xml:space="preserve"> </w:t>
            </w:r>
            <w:r w:rsidR="00470699">
              <w:rPr>
                <w:rStyle w:val="NoteLabel"/>
              </w:rPr>
              <w:t>d</w:t>
            </w:r>
            <w:r>
              <w:t> Error bars represent the 95 per </w:t>
            </w:r>
            <w:r w:rsidRPr="00192148">
              <w:t>cent confidence interval associated with each p</w:t>
            </w:r>
            <w:r>
              <w:t>oint estimate.</w:t>
            </w:r>
          </w:p>
        </w:tc>
      </w:tr>
      <w:tr w:rsidR="00284E6F" w:rsidRPr="00176D3F" w:rsidTr="0067713D">
        <w:tc>
          <w:tcPr>
            <w:tcW w:w="8771" w:type="dxa"/>
            <w:tcBorders>
              <w:top w:val="nil"/>
              <w:left w:val="nil"/>
              <w:bottom w:val="nil"/>
              <w:right w:val="nil"/>
            </w:tcBorders>
            <w:shd w:val="clear" w:color="auto" w:fill="auto"/>
          </w:tcPr>
          <w:p w:rsidR="00284E6F" w:rsidRPr="00176D3F" w:rsidRDefault="00284E6F" w:rsidP="000D3D85">
            <w:pPr>
              <w:pStyle w:val="Source"/>
              <w:keepNext/>
            </w:pPr>
            <w:r w:rsidRPr="00A97F84">
              <w:rPr>
                <w:i/>
              </w:rPr>
              <w:t>Source</w:t>
            </w:r>
            <w:r w:rsidRPr="00A97F84">
              <w:t xml:space="preserve">: ABS (unpublished) </w:t>
            </w:r>
            <w:r w:rsidRPr="00A97F84">
              <w:rPr>
                <w:i/>
              </w:rPr>
              <w:t xml:space="preserve">Patient Experience Survey, </w:t>
            </w:r>
            <w:r>
              <w:rPr>
                <w:i/>
              </w:rPr>
              <w:t>2012-13</w:t>
            </w:r>
            <w:r w:rsidR="0073181B">
              <w:rPr>
                <w:i/>
              </w:rPr>
              <w:t xml:space="preserve">, </w:t>
            </w:r>
            <w:r w:rsidR="0073181B" w:rsidRPr="003109EE">
              <w:rPr>
                <w:i/>
              </w:rPr>
              <w:t>2013-14</w:t>
            </w:r>
            <w:r w:rsidRPr="003109EE">
              <w:t>,</w:t>
            </w:r>
            <w:r>
              <w:t xml:space="preserve"> Cat. no. 4839.0</w:t>
            </w:r>
            <w:r w:rsidRPr="00A97F84">
              <w:t xml:space="preserve">; </w:t>
            </w:r>
            <w:r>
              <w:t>table </w:t>
            </w:r>
            <w:r w:rsidR="00C9076B">
              <w:t>10A.</w:t>
            </w:r>
            <w:r w:rsidRPr="00A97F84">
              <w:t>4</w:t>
            </w:r>
            <w:r w:rsidR="000D3D85">
              <w:t>3</w:t>
            </w:r>
            <w:r>
              <w:t>.</w:t>
            </w:r>
          </w:p>
        </w:tc>
      </w:tr>
      <w:tr w:rsidR="00284E6F" w:rsidTr="0067713D">
        <w:tc>
          <w:tcPr>
            <w:tcW w:w="8771" w:type="dxa"/>
            <w:tcBorders>
              <w:top w:val="nil"/>
              <w:left w:val="nil"/>
              <w:bottom w:val="single" w:sz="6" w:space="0" w:color="78A22F"/>
              <w:right w:val="nil"/>
            </w:tcBorders>
            <w:shd w:val="clear" w:color="auto" w:fill="auto"/>
          </w:tcPr>
          <w:p w:rsidR="00284E6F" w:rsidRDefault="00284E6F" w:rsidP="00744C67">
            <w:pPr>
              <w:pStyle w:val="Figurespace"/>
              <w:keepLines/>
            </w:pPr>
          </w:p>
        </w:tc>
      </w:tr>
    </w:tbl>
    <w:p w:rsidR="00904CC7" w:rsidRDefault="00685082" w:rsidP="00F728FE">
      <w:pPr>
        <w:pStyle w:val="Heading5"/>
      </w:pPr>
      <w:r>
        <w:t>P</w:t>
      </w:r>
      <w:r w:rsidRPr="00BD668B">
        <w:t>ublic dentistry</w:t>
      </w:r>
      <w:r>
        <w:t xml:space="preserve"> waiting times</w:t>
      </w:r>
    </w:p>
    <w:p w:rsidR="00B96D0A" w:rsidRDefault="00BD668B" w:rsidP="00F728FE">
      <w:pPr>
        <w:pStyle w:val="BodyText"/>
      </w:pPr>
      <w:r>
        <w:t>‘</w:t>
      </w:r>
      <w:r w:rsidR="00685082" w:rsidRPr="00685082">
        <w:t>Public dentistry waiting times</w:t>
      </w:r>
      <w:r>
        <w:t>’ is an indicator of governments’ objective to ensure timely access to public dental services for eligible people</w:t>
      </w:r>
      <w:r w:rsidR="001A3585">
        <w:t xml:space="preserve"> (</w:t>
      </w:r>
      <w:r w:rsidR="00897589">
        <w:t>box 10.</w:t>
      </w:r>
      <w:r w:rsidR="00B96D0A">
        <w:t>9)</w:t>
      </w:r>
      <w:r w:rsidR="008D6683">
        <w:t>.</w:t>
      </w:r>
    </w:p>
    <w:p w:rsidR="003F7095" w:rsidRDefault="003F7095">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F7095" w:rsidTr="00867BB6">
        <w:tc>
          <w:tcPr>
            <w:tcW w:w="8771" w:type="dxa"/>
            <w:tcBorders>
              <w:top w:val="single" w:sz="6" w:space="0" w:color="78A22F"/>
              <w:left w:val="nil"/>
              <w:bottom w:val="nil"/>
              <w:right w:val="nil"/>
            </w:tcBorders>
            <w:shd w:val="clear" w:color="auto" w:fill="F2F2F2" w:themeFill="background1" w:themeFillShade="F2"/>
          </w:tcPr>
          <w:p w:rsidR="003F7095" w:rsidRDefault="003F7095">
            <w:pPr>
              <w:pStyle w:val="BoxTitle"/>
            </w:pPr>
            <w:r>
              <w:rPr>
                <w:b w:val="0"/>
              </w:rPr>
              <w:t>Box 10.</w:t>
            </w:r>
            <w:r w:rsidR="0078724D">
              <w:rPr>
                <w:b w:val="0"/>
                <w:noProof/>
              </w:rPr>
              <w:t>9</w:t>
            </w:r>
            <w:r>
              <w:tab/>
            </w:r>
            <w:r w:rsidRPr="00C66DC8">
              <w:t>Public dentistry waiting times</w:t>
            </w:r>
          </w:p>
        </w:tc>
      </w:tr>
      <w:tr w:rsidR="003F7095" w:rsidTr="00867BB6">
        <w:trPr>
          <w:cantSplit/>
        </w:trPr>
        <w:tc>
          <w:tcPr>
            <w:tcW w:w="8771" w:type="dxa"/>
            <w:tcBorders>
              <w:top w:val="nil"/>
              <w:left w:val="nil"/>
              <w:bottom w:val="nil"/>
              <w:right w:val="nil"/>
            </w:tcBorders>
            <w:shd w:val="clear" w:color="auto" w:fill="F2F2F2" w:themeFill="background1" w:themeFillShade="F2"/>
          </w:tcPr>
          <w:p w:rsidR="003F7095" w:rsidRPr="00944E91" w:rsidRDefault="003F7095" w:rsidP="00867BB6">
            <w:pPr>
              <w:pStyle w:val="Box"/>
            </w:pPr>
            <w:r w:rsidRPr="00C66DC8">
              <w:t xml:space="preserve">‘Public dentistry waiting times’ is defined as </w:t>
            </w:r>
            <w:r>
              <w:t xml:space="preserve">the time waited </w:t>
            </w:r>
            <w:r w:rsidRPr="00C66DC8">
              <w:t xml:space="preserve">between being placed on </w:t>
            </w:r>
            <w:r>
              <w:br/>
            </w:r>
            <w:r w:rsidRPr="00C66DC8">
              <w:t>a public dentistry waiting list and being seen by a dental professional</w:t>
            </w:r>
            <w:r>
              <w:t xml:space="preserve">. It is measured </w:t>
            </w:r>
            <w:r>
              <w:br/>
              <w:t xml:space="preserve">as the proportion of </w:t>
            </w:r>
            <w:r w:rsidRPr="00A97F84">
              <w:t xml:space="preserve">people </w:t>
            </w:r>
            <w:r w:rsidRPr="00C66DC8">
              <w:t xml:space="preserve">on a public dental waiting list </w:t>
            </w:r>
            <w:r w:rsidRPr="0052184D">
              <w:t xml:space="preserve">who </w:t>
            </w:r>
            <w:r w:rsidR="007F3CC6">
              <w:t>received a public dental service</w:t>
            </w:r>
            <w:r w:rsidRPr="0052184D">
              <w:t xml:space="preserve"> within specified waiting </w:t>
            </w:r>
            <w:r w:rsidRPr="00C66DC8">
              <w:t>time categories.</w:t>
            </w:r>
          </w:p>
          <w:p w:rsidR="003F7095" w:rsidRDefault="003F7095" w:rsidP="00867BB6">
            <w:pPr>
              <w:pStyle w:val="Box"/>
            </w:pPr>
            <w:r>
              <w:t>A high or increasing proportion of people waiting shorter periods to see a dental professional indicates more timely access to public dental services.</w:t>
            </w:r>
          </w:p>
          <w:p w:rsidR="003F7095" w:rsidRDefault="003F7095" w:rsidP="00867BB6">
            <w:pPr>
              <w:pStyle w:val="Box"/>
            </w:pPr>
            <w:r w:rsidRPr="00A97F84">
              <w:t xml:space="preserve">Data </w:t>
            </w:r>
            <w:r>
              <w:t xml:space="preserve">reported </w:t>
            </w:r>
            <w:r w:rsidRPr="00A97F84">
              <w:t>for this indicator are</w:t>
            </w:r>
            <w:r>
              <w:t>:</w:t>
            </w:r>
          </w:p>
          <w:p w:rsidR="003F7095" w:rsidRDefault="003F7095" w:rsidP="00543BF1">
            <w:pPr>
              <w:pStyle w:val="BoxListBullet"/>
            </w:pPr>
            <w:r w:rsidRPr="00065D58">
              <w:t xml:space="preserve">comparable (subject to caveats) across jurisdictions </w:t>
            </w:r>
            <w:r w:rsidR="00C876B5">
              <w:t>but not over time</w:t>
            </w:r>
          </w:p>
          <w:p w:rsidR="003F7095" w:rsidRDefault="003F7095" w:rsidP="00867BB6">
            <w:pPr>
              <w:pStyle w:val="BoxListBullet"/>
            </w:pPr>
            <w:r w:rsidRPr="00065D58">
              <w:t xml:space="preserve">complete (subject to caveats) for the current reporting period. All required </w:t>
            </w:r>
            <w:r>
              <w:t>201</w:t>
            </w:r>
            <w:r w:rsidR="00BE0C3F">
              <w:t>3</w:t>
            </w:r>
            <w:r>
              <w:noBreakHyphen/>
              <w:t>1</w:t>
            </w:r>
            <w:r w:rsidR="00BE0C3F">
              <w:t>4</w:t>
            </w:r>
            <w:r w:rsidRPr="00065D58">
              <w:t xml:space="preserve"> data are available for all jurisdictions</w:t>
            </w:r>
            <w:r>
              <w:t>.</w:t>
            </w:r>
          </w:p>
          <w:p w:rsidR="003F7095" w:rsidRPr="00C66DC8" w:rsidRDefault="003F7095" w:rsidP="003109EE">
            <w:pPr>
              <w:pStyle w:val="Box"/>
              <w:rPr>
                <w:rStyle w:val="DraftingNote"/>
                <w:b w:val="0"/>
                <w:color w:val="auto"/>
                <w:sz w:val="22"/>
                <w:u w:val="none"/>
              </w:rPr>
            </w:pPr>
            <w:r w:rsidRPr="0027351B">
              <w:t xml:space="preserve">Data quality information </w:t>
            </w:r>
            <w:r w:rsidRPr="00C66DC8">
              <w:t>for this indicator</w:t>
            </w:r>
            <w:r w:rsidR="00786AB7">
              <w:t xml:space="preserve"> is at www.pc.gov.au</w:t>
            </w:r>
            <w:r w:rsidRPr="00C66DC8">
              <w:t>/</w:t>
            </w:r>
            <w:r>
              <w:t>rogs/201</w:t>
            </w:r>
            <w:r w:rsidR="003109EE">
              <w:t>5</w:t>
            </w:r>
            <w:r w:rsidRPr="00C66DC8">
              <w:t>.</w:t>
            </w:r>
          </w:p>
        </w:tc>
      </w:tr>
      <w:tr w:rsidR="003F7095" w:rsidTr="00867BB6">
        <w:trPr>
          <w:cantSplit/>
        </w:trPr>
        <w:tc>
          <w:tcPr>
            <w:tcW w:w="8771" w:type="dxa"/>
            <w:tcBorders>
              <w:top w:val="nil"/>
              <w:left w:val="nil"/>
              <w:bottom w:val="single" w:sz="6" w:space="0" w:color="78A22F"/>
              <w:right w:val="nil"/>
            </w:tcBorders>
            <w:shd w:val="clear" w:color="auto" w:fill="F2F2F2" w:themeFill="background1" w:themeFillShade="F2"/>
          </w:tcPr>
          <w:p w:rsidR="003F7095" w:rsidRDefault="003F7095">
            <w:pPr>
              <w:pStyle w:val="Box"/>
              <w:spacing w:before="0" w:line="120" w:lineRule="exact"/>
            </w:pPr>
          </w:p>
        </w:tc>
      </w:tr>
      <w:tr w:rsidR="003F7095" w:rsidRPr="000863A5" w:rsidTr="00867BB6">
        <w:tc>
          <w:tcPr>
            <w:tcW w:w="8771" w:type="dxa"/>
            <w:tcBorders>
              <w:top w:val="single" w:sz="6" w:space="0" w:color="78A22F"/>
              <w:left w:val="nil"/>
              <w:bottom w:val="nil"/>
              <w:right w:val="nil"/>
            </w:tcBorders>
          </w:tcPr>
          <w:p w:rsidR="003F7095" w:rsidRPr="00626D32" w:rsidRDefault="003F7095" w:rsidP="00867BB6">
            <w:pPr>
              <w:pStyle w:val="BoxSpaceBelow"/>
            </w:pPr>
          </w:p>
        </w:tc>
      </w:tr>
    </w:tbl>
    <w:p w:rsidR="00191F68" w:rsidRDefault="00CD3AF3" w:rsidP="003109EE">
      <w:pPr>
        <w:pStyle w:val="BodyText"/>
      </w:pPr>
      <w:r w:rsidRPr="0052184D">
        <w:t>Nationally</w:t>
      </w:r>
      <w:r w:rsidRPr="003109EE">
        <w:t xml:space="preserve">, </w:t>
      </w:r>
      <w:r w:rsidR="00032C04" w:rsidRPr="003109EE">
        <w:t xml:space="preserve">23.4 </w:t>
      </w:r>
      <w:r w:rsidRPr="003109EE">
        <w:t xml:space="preserve">per cent of people </w:t>
      </w:r>
      <w:r w:rsidR="008D6683" w:rsidRPr="003109EE">
        <w:t xml:space="preserve">who were </w:t>
      </w:r>
      <w:r w:rsidR="00821480" w:rsidRPr="003109EE">
        <w:t xml:space="preserve">on a public dental waiting list </w:t>
      </w:r>
      <w:r w:rsidR="008D6683" w:rsidRPr="003109EE">
        <w:t xml:space="preserve">waited </w:t>
      </w:r>
      <w:r w:rsidR="00F66FEE" w:rsidRPr="003109EE">
        <w:t xml:space="preserve">for </w:t>
      </w:r>
      <w:r w:rsidR="008D6683" w:rsidRPr="003109EE">
        <w:t xml:space="preserve">less than </w:t>
      </w:r>
      <w:r w:rsidR="00D2217D" w:rsidRPr="003109EE">
        <w:t>1 month</w:t>
      </w:r>
      <w:r w:rsidR="00821480" w:rsidRPr="003109EE">
        <w:t xml:space="preserve"> </w:t>
      </w:r>
      <w:r w:rsidR="00005A70" w:rsidRPr="003109EE">
        <w:t>to see a dental professional</w:t>
      </w:r>
      <w:r w:rsidR="00C66DC8" w:rsidRPr="003109EE">
        <w:t xml:space="preserve"> at a government dental clinic</w:t>
      </w:r>
      <w:r w:rsidR="008D6683" w:rsidRPr="003109EE">
        <w:t xml:space="preserve"> </w:t>
      </w:r>
      <w:r w:rsidR="00821480" w:rsidRPr="003109EE">
        <w:t xml:space="preserve">in </w:t>
      </w:r>
      <w:r w:rsidRPr="003109EE">
        <w:t>201</w:t>
      </w:r>
      <w:r w:rsidR="00032C04" w:rsidRPr="003109EE">
        <w:t>3</w:t>
      </w:r>
      <w:r w:rsidR="00A97F84" w:rsidRPr="003109EE">
        <w:t>-1</w:t>
      </w:r>
      <w:r w:rsidR="00032C04" w:rsidRPr="003109EE">
        <w:t>4</w:t>
      </w:r>
      <w:r w:rsidR="00354479" w:rsidRPr="003109EE">
        <w:t xml:space="preserve"> </w:t>
      </w:r>
      <w:r w:rsidRPr="00821480">
        <w:t>(</w:t>
      </w:r>
      <w:r w:rsidR="00186338">
        <w:t>figure </w:t>
      </w:r>
      <w:r w:rsidR="00897589">
        <w:t>10.</w:t>
      </w:r>
      <w:r w:rsidR="00186D80">
        <w:t>19</w:t>
      </w:r>
      <w:r w:rsidR="00821480">
        <w:t>)</w:t>
      </w:r>
      <w:r w:rsidR="00D2217D">
        <w:t>.</w:t>
      </w:r>
      <w:r w:rsidR="00191F68">
        <w:t xml:space="preserve"> </w:t>
      </w:r>
      <w:r w:rsidR="00AA45E5">
        <w:t xml:space="preserve">Data are presented by remoteness in table </w:t>
      </w:r>
      <w:r w:rsidR="00C9076B">
        <w:t>10A.</w:t>
      </w:r>
      <w:r w:rsidR="00AA45E5">
        <w:t>4</w:t>
      </w:r>
      <w:r w:rsidR="00AE2987">
        <w:t>6</w:t>
      </w:r>
      <w:r w:rsidR="00AA45E5">
        <w:t xml:space="preserve">. </w:t>
      </w:r>
      <w:r w:rsidR="00191F68" w:rsidRPr="007305C4">
        <w:t xml:space="preserve">Data for </w:t>
      </w:r>
      <w:r w:rsidR="00D16EBA">
        <w:t>Aboriginal and Torres Strait Islander</w:t>
      </w:r>
      <w:r w:rsidR="00191F68" w:rsidRPr="007305C4">
        <w:t xml:space="preserve"> Australians </w:t>
      </w:r>
      <w:r w:rsidR="00A81990">
        <w:t xml:space="preserve">that </w:t>
      </w:r>
      <w:r w:rsidR="00191F68" w:rsidRPr="007305C4">
        <w:t>are reported in table </w:t>
      </w:r>
      <w:r w:rsidR="00C9076B">
        <w:t>10A.</w:t>
      </w:r>
      <w:r w:rsidR="00F71281" w:rsidRPr="007305C4">
        <w:t>4</w:t>
      </w:r>
      <w:r w:rsidR="00AE2987">
        <w:t>7</w:t>
      </w:r>
      <w:r w:rsidR="00AA45E5">
        <w:t xml:space="preserve"> </w:t>
      </w:r>
      <w:r w:rsidR="00191F68" w:rsidRPr="007305C4">
        <w:t xml:space="preserve">are not comparable to data </w:t>
      </w:r>
      <w:r w:rsidR="00A81990">
        <w:t>for all Australians (see DQI for details)</w:t>
      </w:r>
      <w:r w:rsidR="00191F68">
        <w:t>.</w:t>
      </w:r>
    </w:p>
    <w:p w:rsidR="00284E6F" w:rsidRDefault="00284E6F" w:rsidP="00F07FF9">
      <w:pPr>
        <w:pStyle w:val="BoxSpaceAbove"/>
        <w:keepLines/>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284E6F" w:rsidTr="0067713D">
        <w:tc>
          <w:tcPr>
            <w:tcW w:w="8771" w:type="dxa"/>
            <w:tcBorders>
              <w:top w:val="single" w:sz="6" w:space="0" w:color="78A22F"/>
              <w:left w:val="nil"/>
              <w:bottom w:val="nil"/>
              <w:right w:val="nil"/>
            </w:tcBorders>
            <w:shd w:val="clear" w:color="auto" w:fill="auto"/>
          </w:tcPr>
          <w:p w:rsidR="00284E6F" w:rsidRPr="00176D3F" w:rsidRDefault="00284E6F" w:rsidP="009F38F3">
            <w:pPr>
              <w:pStyle w:val="FigureTitle"/>
            </w:pPr>
            <w:r w:rsidRPr="00784A05">
              <w:rPr>
                <w:b w:val="0"/>
              </w:rPr>
              <w:t xml:space="preserve">Figure </w:t>
            </w:r>
            <w:r w:rsidR="00DF255F">
              <w:rPr>
                <w:b w:val="0"/>
              </w:rPr>
              <w:t>10.</w:t>
            </w:r>
            <w:r w:rsidR="0078724D">
              <w:rPr>
                <w:b w:val="0"/>
                <w:noProof/>
              </w:rPr>
              <w:t>19</w:t>
            </w:r>
            <w:r>
              <w:tab/>
            </w:r>
            <w:r w:rsidRPr="00821480">
              <w:t xml:space="preserve">Time waited for public dentistry services, </w:t>
            </w:r>
            <w:r w:rsidR="009F38F3" w:rsidRPr="003109EE">
              <w:t>2013</w:t>
            </w:r>
            <w:r w:rsidRPr="003109EE">
              <w:t>-1</w:t>
            </w:r>
            <w:r w:rsidR="009F38F3" w:rsidRPr="003109EE">
              <w:t>4</w:t>
            </w:r>
            <w:r w:rsidRPr="003109EE">
              <w:rPr>
                <w:rStyle w:val="NoteLabel"/>
                <w:b/>
              </w:rPr>
              <w:t>a</w:t>
            </w:r>
            <w:r w:rsidRPr="0052184D">
              <w:rPr>
                <w:rStyle w:val="NoteLabel"/>
                <w:b/>
              </w:rPr>
              <w:t>,</w:t>
            </w:r>
            <w:r>
              <w:rPr>
                <w:rStyle w:val="NoteLabel"/>
                <w:b/>
              </w:rPr>
              <w:t xml:space="preserve"> </w:t>
            </w:r>
            <w:r w:rsidRPr="00821480">
              <w:rPr>
                <w:rStyle w:val="NoteLabel"/>
                <w:b/>
              </w:rPr>
              <w:t>b, c</w:t>
            </w:r>
            <w:r>
              <w:rPr>
                <w:rStyle w:val="NoteLabel"/>
                <w:b/>
              </w:rPr>
              <w:t>, d</w:t>
            </w:r>
            <w:r w:rsidR="00782691">
              <w:rPr>
                <w:rStyle w:val="NoteLabel"/>
                <w:b/>
              </w:rPr>
              <w:t>, e</w:t>
            </w:r>
          </w:p>
        </w:tc>
      </w:tr>
      <w:tr w:rsidR="00284E6F" w:rsidTr="0067713D">
        <w:tc>
          <w:tcPr>
            <w:tcW w:w="8771" w:type="dxa"/>
            <w:tcBorders>
              <w:top w:val="nil"/>
              <w:left w:val="nil"/>
              <w:bottom w:val="nil"/>
              <w:right w:val="nil"/>
            </w:tcBorders>
            <w:shd w:val="clear" w:color="auto" w:fill="auto"/>
            <w:tcMar>
              <w:top w:w="28" w:type="dxa"/>
              <w:bottom w:w="28" w:type="dxa"/>
            </w:tcMar>
          </w:tcPr>
          <w:tbl>
            <w:tblPr>
              <w:tblW w:w="8625" w:type="dxa"/>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625"/>
            </w:tblGrid>
            <w:tr w:rsidR="00284E6F" w:rsidTr="007551BB">
              <w:tc>
                <w:tcPr>
                  <w:tcW w:w="5000" w:type="pct"/>
                  <w:tcBorders>
                    <w:top w:val="nil"/>
                    <w:bottom w:val="nil"/>
                  </w:tcBorders>
                </w:tcPr>
                <w:p w:rsidR="00284E6F" w:rsidRDefault="00583B5D" w:rsidP="00F07FF9">
                  <w:pPr>
                    <w:pStyle w:val="Figure"/>
                    <w:keepLines/>
                    <w:spacing w:before="60" w:after="60"/>
                  </w:pPr>
                  <w:r>
                    <w:rPr>
                      <w:noProof/>
                    </w:rPr>
                    <w:drawing>
                      <wp:inline distT="0" distB="0" distL="0" distR="0">
                        <wp:extent cx="5391150" cy="2686050"/>
                        <wp:effectExtent l="0" t="0" r="0" b="0"/>
                        <wp:docPr id="27" name="Picture 27" descr="Figure 10.19 Time waited for public dentistry services, 2013-14&#10;&#10;More details can be found within the text surrounding this image.&#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391150" cy="2686050"/>
                                </a:xfrm>
                                <a:prstGeom prst="rect">
                                  <a:avLst/>
                                </a:prstGeom>
                                <a:noFill/>
                                <a:ln>
                                  <a:noFill/>
                                </a:ln>
                              </pic:spPr>
                            </pic:pic>
                          </a:graphicData>
                        </a:graphic>
                      </wp:inline>
                    </w:drawing>
                  </w:r>
                </w:p>
              </w:tc>
            </w:tr>
          </w:tbl>
          <w:p w:rsidR="00284E6F" w:rsidRDefault="00284E6F" w:rsidP="00F07FF9">
            <w:pPr>
              <w:pStyle w:val="Figure"/>
              <w:keepLines/>
            </w:pPr>
          </w:p>
        </w:tc>
      </w:tr>
      <w:tr w:rsidR="00284E6F" w:rsidRPr="00176D3F" w:rsidTr="0067713D">
        <w:tc>
          <w:tcPr>
            <w:tcW w:w="8771" w:type="dxa"/>
            <w:tcBorders>
              <w:top w:val="nil"/>
              <w:left w:val="nil"/>
              <w:bottom w:val="nil"/>
              <w:right w:val="nil"/>
            </w:tcBorders>
            <w:shd w:val="clear" w:color="auto" w:fill="auto"/>
          </w:tcPr>
          <w:p w:rsidR="00284E6F" w:rsidRPr="00176D3F" w:rsidRDefault="00284E6F" w:rsidP="00C77BA1">
            <w:pPr>
              <w:pStyle w:val="Note"/>
              <w:keepNext/>
              <w:shd w:val="clear" w:color="auto" w:fill="FFFFFF" w:themeFill="background1"/>
            </w:pPr>
            <w:r w:rsidRPr="00C77BA1">
              <w:rPr>
                <w:rStyle w:val="NoteLabel"/>
                <w:position w:val="4"/>
              </w:rPr>
              <w:t>a</w:t>
            </w:r>
            <w:r w:rsidRPr="00C60B1C">
              <w:rPr>
                <w:shd w:val="clear" w:color="auto" w:fill="FFFFFF" w:themeFill="background1"/>
              </w:rPr>
              <w:t xml:space="preserve"> </w:t>
            </w:r>
            <w:r w:rsidRPr="0078724D">
              <w:t xml:space="preserve">Time waited for </w:t>
            </w:r>
            <w:r w:rsidR="00887A18" w:rsidRPr="0078724D">
              <w:t xml:space="preserve">a public dental service, </w:t>
            </w:r>
            <w:r w:rsidRPr="0078724D">
              <w:t>for people 15 years or over who were on a public dental waiting list in the last 12 months.</w:t>
            </w:r>
            <w:r w:rsidRPr="007A4875">
              <w:t xml:space="preserve"> </w:t>
            </w:r>
            <w:r w:rsidRPr="00C77BA1">
              <w:rPr>
                <w:rStyle w:val="NoteLabel"/>
                <w:position w:val="4"/>
              </w:rPr>
              <w:t>b</w:t>
            </w:r>
            <w:r w:rsidRPr="00C60B1C">
              <w:rPr>
                <w:shd w:val="clear" w:color="auto" w:fill="FFFFFF" w:themeFill="background1"/>
              </w:rPr>
              <w:sym w:font="Symbol" w:char="F020"/>
            </w:r>
            <w:r w:rsidR="00782691" w:rsidRPr="0078724D">
              <w:t>Data are not comparable with data for previous years.</w:t>
            </w:r>
            <w:r w:rsidR="00887A18" w:rsidRPr="0078724D">
              <w:t xml:space="preserve"> See DQI for further information</w:t>
            </w:r>
            <w:r w:rsidR="0078724D">
              <w:t>.</w:t>
            </w:r>
            <w:r w:rsidR="00782691">
              <w:rPr>
                <w:shd w:val="clear" w:color="auto" w:fill="FFFFFF" w:themeFill="background1"/>
              </w:rPr>
              <w:t xml:space="preserve"> </w:t>
            </w:r>
            <w:r w:rsidR="00782691" w:rsidRPr="00C77BA1">
              <w:rPr>
                <w:rStyle w:val="NoteLabel"/>
                <w:position w:val="4"/>
              </w:rPr>
              <w:t>c</w:t>
            </w:r>
            <w:r w:rsidR="00782691" w:rsidRPr="007305C4">
              <w:t> </w:t>
            </w:r>
            <w:r w:rsidR="00782691">
              <w:t>Data are crude rates</w:t>
            </w:r>
            <w:r w:rsidRPr="007A4875">
              <w:t>.</w:t>
            </w:r>
            <w:r w:rsidRPr="00C60B1C">
              <w:rPr>
                <w:rStyle w:val="NoteLabel"/>
                <w:shd w:val="clear" w:color="auto" w:fill="FFFFFF" w:themeFill="background1"/>
              </w:rPr>
              <w:t xml:space="preserve"> </w:t>
            </w:r>
            <w:r w:rsidR="00782691" w:rsidRPr="00C77BA1">
              <w:rPr>
                <w:rStyle w:val="NoteLabel"/>
                <w:position w:val="4"/>
              </w:rPr>
              <w:t>d</w:t>
            </w:r>
            <w:r w:rsidR="00782691">
              <w:t> </w:t>
            </w:r>
            <w:r w:rsidR="005B3D06" w:rsidRPr="00A64597">
              <w:t>Data exclude discrete Aboriginal and Torres Strait Islander communities</w:t>
            </w:r>
            <w:r w:rsidR="005B3D06" w:rsidRPr="007305C4">
              <w:t>, which will affect the NT more than other jurisdictions</w:t>
            </w:r>
            <w:r w:rsidRPr="007305C4">
              <w:t>.</w:t>
            </w:r>
            <w:r w:rsidRPr="00C60B1C">
              <w:rPr>
                <w:shd w:val="clear" w:color="auto" w:fill="FFFFFF" w:themeFill="background1"/>
              </w:rPr>
              <w:t> </w:t>
            </w:r>
            <w:r w:rsidR="00C77BA1" w:rsidRPr="00C77BA1">
              <w:rPr>
                <w:rStyle w:val="NoteLabel"/>
                <w:position w:val="4"/>
              </w:rPr>
              <w:t>e</w:t>
            </w:r>
            <w:r w:rsidR="00C77BA1">
              <w:t> </w:t>
            </w:r>
            <w:r w:rsidRPr="007A4875">
              <w:t>Error bars represent the 95 per cent confidence interval associated with each point estimate.</w:t>
            </w:r>
          </w:p>
        </w:tc>
      </w:tr>
      <w:tr w:rsidR="00284E6F" w:rsidRPr="00176D3F" w:rsidTr="0067713D">
        <w:tc>
          <w:tcPr>
            <w:tcW w:w="8771" w:type="dxa"/>
            <w:tcBorders>
              <w:top w:val="nil"/>
              <w:left w:val="nil"/>
              <w:bottom w:val="nil"/>
              <w:right w:val="nil"/>
            </w:tcBorders>
            <w:shd w:val="clear" w:color="auto" w:fill="auto"/>
          </w:tcPr>
          <w:p w:rsidR="00284E6F" w:rsidRPr="00176D3F" w:rsidRDefault="00284E6F" w:rsidP="00C87556">
            <w:pPr>
              <w:pStyle w:val="Source"/>
              <w:keepNext/>
              <w:shd w:val="clear" w:color="auto" w:fill="FFFFFF" w:themeFill="background1"/>
            </w:pPr>
            <w:r w:rsidRPr="00C60B1C">
              <w:rPr>
                <w:i/>
                <w:shd w:val="clear" w:color="auto" w:fill="FFFFFF" w:themeFill="background1"/>
              </w:rPr>
              <w:t>Source</w:t>
            </w:r>
            <w:r w:rsidRPr="00C60B1C">
              <w:rPr>
                <w:shd w:val="clear" w:color="auto" w:fill="FFFFFF" w:themeFill="background1"/>
              </w:rPr>
              <w:t xml:space="preserve">: ABS (unpublished) </w:t>
            </w:r>
            <w:r w:rsidRPr="00C60B1C">
              <w:rPr>
                <w:i/>
                <w:shd w:val="clear" w:color="auto" w:fill="FFFFFF" w:themeFill="background1"/>
              </w:rPr>
              <w:t xml:space="preserve">Patient Experience </w:t>
            </w:r>
            <w:r w:rsidRPr="0052184D">
              <w:rPr>
                <w:i/>
              </w:rPr>
              <w:t>Survey 201</w:t>
            </w:r>
            <w:r w:rsidR="00BE26BE">
              <w:rPr>
                <w:i/>
              </w:rPr>
              <w:t>3</w:t>
            </w:r>
            <w:r w:rsidRPr="0052184D">
              <w:rPr>
                <w:i/>
              </w:rPr>
              <w:t>-1</w:t>
            </w:r>
            <w:r w:rsidR="00BE26BE">
              <w:rPr>
                <w:i/>
              </w:rPr>
              <w:t>4</w:t>
            </w:r>
            <w:r w:rsidRPr="0052184D">
              <w:t xml:space="preserve">; table </w:t>
            </w:r>
            <w:r w:rsidR="00C9076B">
              <w:rPr>
                <w:shd w:val="clear" w:color="auto" w:fill="FFFFFF" w:themeFill="background1"/>
              </w:rPr>
              <w:t>10A.</w:t>
            </w:r>
            <w:r>
              <w:rPr>
                <w:shd w:val="clear" w:color="auto" w:fill="FFFFFF" w:themeFill="background1"/>
              </w:rPr>
              <w:t>4</w:t>
            </w:r>
            <w:r w:rsidR="00C87556">
              <w:rPr>
                <w:shd w:val="clear" w:color="auto" w:fill="FFFFFF" w:themeFill="background1"/>
              </w:rPr>
              <w:t>5</w:t>
            </w:r>
            <w:r w:rsidRPr="00C60B1C">
              <w:rPr>
                <w:shd w:val="clear" w:color="auto" w:fill="FFFFFF" w:themeFill="background1"/>
              </w:rPr>
              <w:t>.</w:t>
            </w:r>
          </w:p>
        </w:tc>
      </w:tr>
      <w:tr w:rsidR="00284E6F" w:rsidTr="0067713D">
        <w:tc>
          <w:tcPr>
            <w:tcW w:w="8771" w:type="dxa"/>
            <w:tcBorders>
              <w:top w:val="nil"/>
              <w:left w:val="nil"/>
              <w:bottom w:val="single" w:sz="6" w:space="0" w:color="78A22F"/>
              <w:right w:val="nil"/>
            </w:tcBorders>
            <w:shd w:val="clear" w:color="auto" w:fill="auto"/>
          </w:tcPr>
          <w:p w:rsidR="00284E6F" w:rsidRDefault="00284E6F" w:rsidP="00F07FF9">
            <w:pPr>
              <w:pStyle w:val="Figurespace"/>
              <w:keepLines/>
            </w:pPr>
          </w:p>
        </w:tc>
      </w:tr>
      <w:tr w:rsidR="00284E6F" w:rsidRPr="000863A5" w:rsidTr="0067713D">
        <w:tc>
          <w:tcPr>
            <w:tcW w:w="8771" w:type="dxa"/>
            <w:tcBorders>
              <w:top w:val="single" w:sz="6" w:space="0" w:color="78A22F"/>
              <w:left w:val="nil"/>
              <w:bottom w:val="nil"/>
              <w:right w:val="nil"/>
            </w:tcBorders>
          </w:tcPr>
          <w:p w:rsidR="00284E6F" w:rsidRPr="00626D32" w:rsidRDefault="00284E6F" w:rsidP="00F07FF9">
            <w:pPr>
              <w:pStyle w:val="BoxSpaceBelow"/>
              <w:keepNext/>
              <w:keepLines/>
            </w:pPr>
          </w:p>
        </w:tc>
      </w:tr>
    </w:tbl>
    <w:p w:rsidR="002A4BFF" w:rsidRPr="00944E91" w:rsidRDefault="00CF7831" w:rsidP="00380CC8">
      <w:pPr>
        <w:pStyle w:val="Heading4"/>
      </w:pPr>
      <w:r w:rsidRPr="00C60B1C">
        <w:t>Appropriateness</w:t>
      </w:r>
    </w:p>
    <w:p w:rsidR="006A4C88" w:rsidRDefault="006A4C88" w:rsidP="006A4C88">
      <w:pPr>
        <w:pStyle w:val="Heading5"/>
      </w:pPr>
      <w:r w:rsidRPr="00B934AF">
        <w:t>GPs with vocational registration</w:t>
      </w:r>
    </w:p>
    <w:p w:rsidR="006A4C88" w:rsidRDefault="006A4C88" w:rsidP="006A4C88">
      <w:pPr>
        <w:pStyle w:val="BodyText"/>
      </w:pPr>
      <w:r>
        <w:t>‘</w:t>
      </w:r>
      <w:r w:rsidRPr="00E90439">
        <w:t>GPs with vocational registration</w:t>
      </w:r>
      <w:r>
        <w:t xml:space="preserve">’ is an indicator of governments’ objective to ensure </w:t>
      </w:r>
      <w:r w:rsidRPr="00E90439">
        <w:t xml:space="preserve">the GP workforce </w:t>
      </w:r>
      <w:r>
        <w:t xml:space="preserve">has the </w:t>
      </w:r>
      <w:r w:rsidRPr="00E90439">
        <w:t>capability to deliver high quality services</w:t>
      </w:r>
      <w:r>
        <w:t xml:space="preserve"> (</w:t>
      </w:r>
      <w:r w:rsidR="00897589">
        <w:t>box 10.</w:t>
      </w:r>
      <w:r w:rsidRPr="00AE52AB">
        <w:t>1</w:t>
      </w:r>
      <w:r w:rsidR="00AE52AB" w:rsidRPr="00AE52AB">
        <w:t>0</w:t>
      </w:r>
      <w:r>
        <w:t>).</w:t>
      </w:r>
    </w:p>
    <w:p w:rsidR="003F7095" w:rsidRDefault="003F7095">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F7095" w:rsidTr="00867BB6">
        <w:tc>
          <w:tcPr>
            <w:tcW w:w="8771" w:type="dxa"/>
            <w:tcBorders>
              <w:top w:val="single" w:sz="6" w:space="0" w:color="78A22F"/>
              <w:left w:val="nil"/>
              <w:bottom w:val="nil"/>
              <w:right w:val="nil"/>
            </w:tcBorders>
            <w:shd w:val="clear" w:color="auto" w:fill="F2F2F2" w:themeFill="background1" w:themeFillShade="F2"/>
          </w:tcPr>
          <w:p w:rsidR="003F7095" w:rsidRDefault="003F7095">
            <w:pPr>
              <w:pStyle w:val="BoxTitle"/>
            </w:pPr>
            <w:r>
              <w:rPr>
                <w:b w:val="0"/>
              </w:rPr>
              <w:t>Box 10.</w:t>
            </w:r>
            <w:r w:rsidR="0078724D">
              <w:rPr>
                <w:b w:val="0"/>
                <w:noProof/>
              </w:rPr>
              <w:t>10</w:t>
            </w:r>
            <w:r>
              <w:tab/>
            </w:r>
            <w:r w:rsidRPr="00B934AF">
              <w:t>GPs with vocational registration</w:t>
            </w:r>
          </w:p>
        </w:tc>
      </w:tr>
      <w:tr w:rsidR="003F7095" w:rsidTr="00867BB6">
        <w:trPr>
          <w:cantSplit/>
        </w:trPr>
        <w:tc>
          <w:tcPr>
            <w:tcW w:w="8771" w:type="dxa"/>
            <w:tcBorders>
              <w:top w:val="nil"/>
              <w:left w:val="nil"/>
              <w:bottom w:val="nil"/>
              <w:right w:val="nil"/>
            </w:tcBorders>
            <w:shd w:val="clear" w:color="auto" w:fill="F2F2F2" w:themeFill="background1" w:themeFillShade="F2"/>
          </w:tcPr>
          <w:p w:rsidR="003F7095" w:rsidRPr="00944E91" w:rsidRDefault="003F7095" w:rsidP="00867BB6">
            <w:pPr>
              <w:pStyle w:val="Box"/>
            </w:pPr>
            <w:r w:rsidRPr="00E90439">
              <w:t xml:space="preserve">‘GPs with vocational registration’ is </w:t>
            </w:r>
            <w:r>
              <w:t>defined as the proportion of FWE GPs with vocational registration.</w:t>
            </w:r>
            <w:r w:rsidRPr="00B70220">
              <w:t xml:space="preserve"> Vocationally registered GPs are considered to have the values, skills and knowledge necessary for competent unsupervised general practice within Australia (RACGP</w:t>
            </w:r>
            <w:r>
              <w:t> </w:t>
            </w:r>
            <w:r w:rsidR="002E0F2B">
              <w:t>201</w:t>
            </w:r>
            <w:r w:rsidR="00192064">
              <w:t>4b</w:t>
            </w:r>
            <w:r>
              <w:t>).</w:t>
            </w:r>
          </w:p>
          <w:p w:rsidR="003F7095" w:rsidRPr="00944E91" w:rsidRDefault="003F7095" w:rsidP="00867BB6">
            <w:pPr>
              <w:pStyle w:val="Box"/>
            </w:pPr>
            <w:r>
              <w:t>A high or increasing proportion of FWE GPs with vocational registration can indicate an improvement in the capability of the GP workforce to deliver high quality services</w:t>
            </w:r>
            <w:r w:rsidRPr="006E5535">
              <w:t>. GPs without vocational registration may deliver services of equally high quality, however, their access to DHS Medicare rebates for the general practice services they provide is limited compared to vocationally registered GPs.</w:t>
            </w:r>
          </w:p>
          <w:p w:rsidR="003F7095" w:rsidRDefault="003F7095" w:rsidP="00867BB6">
            <w:pPr>
              <w:pStyle w:val="Box"/>
            </w:pPr>
            <w:r w:rsidRPr="00A97F84">
              <w:t xml:space="preserve">Data </w:t>
            </w:r>
            <w:r>
              <w:t xml:space="preserve">reported </w:t>
            </w:r>
            <w:r w:rsidRPr="00A97F84">
              <w:t>for this indicator are</w:t>
            </w:r>
            <w:r>
              <w:t>:</w:t>
            </w:r>
          </w:p>
          <w:p w:rsidR="003F7095" w:rsidRDefault="003F7095" w:rsidP="00867BB6">
            <w:pPr>
              <w:pStyle w:val="BoxListBullet"/>
            </w:pPr>
            <w:r w:rsidRPr="00065D58">
              <w:t>comparable (subject to caveats) across jurisdictions and over time</w:t>
            </w:r>
          </w:p>
          <w:p w:rsidR="003F7095" w:rsidRDefault="003F7095" w:rsidP="00867BB6">
            <w:pPr>
              <w:pStyle w:val="BoxListBullet"/>
            </w:pPr>
            <w:r w:rsidRPr="00065D58">
              <w:t xml:space="preserve">complete (subject to caveats) for the current reporting period. All required </w:t>
            </w:r>
            <w:r w:rsidR="008A7F29">
              <w:t>2013</w:t>
            </w:r>
            <w:r>
              <w:noBreakHyphen/>
              <w:t>1</w:t>
            </w:r>
            <w:r w:rsidR="008A7F29">
              <w:t>4</w:t>
            </w:r>
            <w:r w:rsidRPr="00065D58">
              <w:t xml:space="preserve"> data are available for all jurisdictions</w:t>
            </w:r>
            <w:r>
              <w:t>.</w:t>
            </w:r>
          </w:p>
          <w:p w:rsidR="003F7095" w:rsidRDefault="003F7095" w:rsidP="00867BB6">
            <w:pPr>
              <w:pStyle w:val="Box"/>
            </w:pPr>
            <w:r w:rsidRPr="0027351B">
              <w:t>Data quality information for this indicator is under deve</w:t>
            </w:r>
            <w:r>
              <w:t>lopment.</w:t>
            </w:r>
          </w:p>
        </w:tc>
      </w:tr>
      <w:tr w:rsidR="003F7095" w:rsidTr="00867BB6">
        <w:trPr>
          <w:cantSplit/>
        </w:trPr>
        <w:tc>
          <w:tcPr>
            <w:tcW w:w="8771" w:type="dxa"/>
            <w:tcBorders>
              <w:top w:val="nil"/>
              <w:left w:val="nil"/>
              <w:bottom w:val="single" w:sz="6" w:space="0" w:color="78A22F"/>
              <w:right w:val="nil"/>
            </w:tcBorders>
            <w:shd w:val="clear" w:color="auto" w:fill="F2F2F2" w:themeFill="background1" w:themeFillShade="F2"/>
          </w:tcPr>
          <w:p w:rsidR="003F7095" w:rsidRDefault="003F7095">
            <w:pPr>
              <w:pStyle w:val="Box"/>
              <w:spacing w:before="0" w:line="120" w:lineRule="exact"/>
            </w:pPr>
          </w:p>
        </w:tc>
      </w:tr>
      <w:tr w:rsidR="003F7095" w:rsidRPr="000863A5" w:rsidTr="00867BB6">
        <w:tc>
          <w:tcPr>
            <w:tcW w:w="8771" w:type="dxa"/>
            <w:tcBorders>
              <w:top w:val="single" w:sz="6" w:space="0" w:color="78A22F"/>
              <w:left w:val="nil"/>
              <w:bottom w:val="nil"/>
              <w:right w:val="nil"/>
            </w:tcBorders>
          </w:tcPr>
          <w:p w:rsidR="003F7095" w:rsidRPr="00626D32" w:rsidRDefault="003F7095" w:rsidP="00867BB6">
            <w:pPr>
              <w:pStyle w:val="BoxSpaceBelow"/>
            </w:pPr>
          </w:p>
        </w:tc>
      </w:tr>
    </w:tbl>
    <w:p w:rsidR="006A4C88" w:rsidRPr="00944E91" w:rsidRDefault="006A4C88" w:rsidP="00944E91">
      <w:pPr>
        <w:pStyle w:val="BodyText"/>
      </w:pPr>
      <w:r w:rsidRPr="006E5535">
        <w:t>Since 1996, a GP can only achieve vocational registration by attaining Fellowship of the RACGP</w:t>
      </w:r>
      <w:r w:rsidR="00896F05" w:rsidRPr="006E5535">
        <w:t xml:space="preserve"> or (from April 2007) the Australian College of Rural and Remote Medicine (ACRRM) or equivalent, or hold a recognised training placement.</w:t>
      </w:r>
      <w:r w:rsidR="00896F05">
        <w:t xml:space="preserve"> </w:t>
      </w:r>
      <w:r w:rsidRPr="00E90439">
        <w:t xml:space="preserve">GPs can attain Fellowship through the successful completion of a formal general practice training program or through the ‘practice eligible’ route. </w:t>
      </w:r>
      <w:r w:rsidRPr="006E5535">
        <w:t xml:space="preserve">Once vocational registration is achieved, GPs must </w:t>
      </w:r>
      <w:r w:rsidR="00E21C19" w:rsidRPr="006E5535">
        <w:t>meet mandated registration standards which include Conti</w:t>
      </w:r>
      <w:r w:rsidR="00090CD0">
        <w:t>nuing Professional Development</w:t>
      </w:r>
      <w:r w:rsidR="00E21C19" w:rsidRPr="006E5535">
        <w:t xml:space="preserve"> in order to maintain registration.</w:t>
      </w:r>
    </w:p>
    <w:p w:rsidR="006A4C88" w:rsidRPr="00E31EAF" w:rsidRDefault="000F3F3E" w:rsidP="000F3F3E">
      <w:pPr>
        <w:pStyle w:val="BodyText"/>
        <w:rPr>
          <w:rStyle w:val="DraftingNote"/>
          <w:b w:val="0"/>
          <w:color w:val="auto"/>
          <w:sz w:val="26"/>
          <w:u w:val="none"/>
        </w:rPr>
      </w:pPr>
      <w:r>
        <w:t xml:space="preserve">Nationally, the proportion of FWE GPs </w:t>
      </w:r>
      <w:r w:rsidR="008A7F29">
        <w:t xml:space="preserve">with </w:t>
      </w:r>
      <w:r w:rsidR="008A7F29" w:rsidRPr="003D21F8">
        <w:t xml:space="preserve">vocational registration </w:t>
      </w:r>
      <w:r w:rsidR="008A7F29">
        <w:t>decreased slightly, from 89.7 to 88.5 per cent, in the period 2009</w:t>
      </w:r>
      <w:r w:rsidR="00C46A16">
        <w:t>-10</w:t>
      </w:r>
      <w:r w:rsidR="008A7F29">
        <w:t xml:space="preserve"> to 2013</w:t>
      </w:r>
      <w:r w:rsidR="008A7F29">
        <w:noBreakHyphen/>
        <w:t xml:space="preserve">14 </w:t>
      </w:r>
      <w:r w:rsidR="006E0BCB" w:rsidRPr="003D21F8">
        <w:t>(</w:t>
      </w:r>
      <w:r w:rsidR="006E0BCB">
        <w:t>figure 10.2</w:t>
      </w:r>
      <w:r w:rsidR="00186D80">
        <w:t>0</w:t>
      </w:r>
      <w:r w:rsidR="006E0BCB" w:rsidRPr="003D21F8">
        <w:t>)</w:t>
      </w:r>
      <w:r>
        <w:t xml:space="preserve">. </w:t>
      </w:r>
      <w:r w:rsidR="006A4C88" w:rsidRPr="003D21F8">
        <w:t xml:space="preserve">The proportion of FWE GPs with vocational registration was </w:t>
      </w:r>
      <w:r w:rsidR="006A4C88" w:rsidRPr="002B724C">
        <w:t>highest</w:t>
      </w:r>
      <w:r w:rsidR="006A4C88" w:rsidRPr="003D21F8">
        <w:t xml:space="preserve"> in </w:t>
      </w:r>
      <w:r w:rsidR="002B724C">
        <w:t>major</w:t>
      </w:r>
      <w:r w:rsidR="006A4C88" w:rsidRPr="003D21F8">
        <w:t xml:space="preserve"> cities and lowest in remote areas in</w:t>
      </w:r>
      <w:r w:rsidR="002B724C">
        <w:t xml:space="preserve"> 201</w:t>
      </w:r>
      <w:r w:rsidR="006E0BCB">
        <w:t>3</w:t>
      </w:r>
      <w:r w:rsidR="002B724C">
        <w:t>-1</w:t>
      </w:r>
      <w:r w:rsidR="006E0BCB">
        <w:t>4</w:t>
      </w:r>
      <w:r w:rsidR="006A4C88" w:rsidRPr="003D21F8">
        <w:t xml:space="preserve"> (table </w:t>
      </w:r>
      <w:r w:rsidR="00C9076B">
        <w:t>10A.</w:t>
      </w:r>
      <w:r w:rsidR="003D1BEB">
        <w:t>4</w:t>
      </w:r>
      <w:r w:rsidR="00AE2987">
        <w:t>8</w:t>
      </w:r>
      <w:r w:rsidR="006A4C88" w:rsidRPr="003D21F8">
        <w:t>).</w:t>
      </w:r>
    </w:p>
    <w:p w:rsidR="00284E6F" w:rsidRDefault="00284E6F" w:rsidP="0067713D">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284E6F" w:rsidTr="0067713D">
        <w:tc>
          <w:tcPr>
            <w:tcW w:w="8771" w:type="dxa"/>
            <w:tcBorders>
              <w:top w:val="single" w:sz="6" w:space="0" w:color="78A22F"/>
              <w:left w:val="nil"/>
              <w:bottom w:val="nil"/>
              <w:right w:val="nil"/>
            </w:tcBorders>
            <w:shd w:val="clear" w:color="auto" w:fill="auto"/>
          </w:tcPr>
          <w:p w:rsidR="00284E6F" w:rsidRPr="00176D3F" w:rsidRDefault="00284E6F" w:rsidP="00284E6F">
            <w:pPr>
              <w:pStyle w:val="FigureTitle"/>
            </w:pPr>
            <w:r w:rsidRPr="00784A05">
              <w:rPr>
                <w:b w:val="0"/>
              </w:rPr>
              <w:t xml:space="preserve">Figure </w:t>
            </w:r>
            <w:r w:rsidR="00DF255F">
              <w:rPr>
                <w:b w:val="0"/>
              </w:rPr>
              <w:t>10.</w:t>
            </w:r>
            <w:r w:rsidR="0078724D">
              <w:rPr>
                <w:b w:val="0"/>
                <w:noProof/>
              </w:rPr>
              <w:t>20</w:t>
            </w:r>
            <w:r>
              <w:tab/>
            </w:r>
            <w:r w:rsidRPr="00B245AB">
              <w:t>GPs (full time workload equivalent) with vocational registration</w:t>
            </w:r>
            <w:r w:rsidRPr="003171F4">
              <w:rPr>
                <w:rStyle w:val="NoteLabel"/>
                <w:b/>
              </w:rPr>
              <w:t>a</w:t>
            </w:r>
          </w:p>
        </w:tc>
      </w:tr>
      <w:tr w:rsidR="00284E6F" w:rsidTr="0067713D">
        <w:tc>
          <w:tcPr>
            <w:tcW w:w="8771" w:type="dxa"/>
            <w:tcBorders>
              <w:top w:val="nil"/>
              <w:left w:val="nil"/>
              <w:bottom w:val="nil"/>
              <w:right w:val="nil"/>
            </w:tcBorders>
            <w:shd w:val="clear" w:color="auto" w:fill="auto"/>
            <w:tcMar>
              <w:top w:w="28" w:type="dxa"/>
              <w:bottom w:w="28" w:type="dxa"/>
            </w:tcMar>
          </w:tcPr>
          <w:tbl>
            <w:tblPr>
              <w:tblW w:w="8625" w:type="dxa"/>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625"/>
            </w:tblGrid>
            <w:tr w:rsidR="00284E6F" w:rsidTr="006E0F9F">
              <w:tc>
                <w:tcPr>
                  <w:tcW w:w="5000" w:type="pct"/>
                  <w:tcBorders>
                    <w:top w:val="nil"/>
                    <w:bottom w:val="nil"/>
                  </w:tcBorders>
                </w:tcPr>
                <w:p w:rsidR="00284E6F" w:rsidRDefault="00583B5D" w:rsidP="0067713D">
                  <w:pPr>
                    <w:pStyle w:val="Figure"/>
                    <w:spacing w:before="60" w:after="60"/>
                  </w:pPr>
                  <w:r>
                    <w:rPr>
                      <w:noProof/>
                    </w:rPr>
                    <w:drawing>
                      <wp:inline distT="0" distB="0" distL="0" distR="0">
                        <wp:extent cx="5400675" cy="2695575"/>
                        <wp:effectExtent l="0" t="0" r="9525" b="9525"/>
                        <wp:docPr id="28" name="Picture 28" descr="Figure 10.20 GPs (full time workload equivalent) with vocational registration&#10;&#10;More details can be found within the text surrounding this image.&#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400675" cy="2695575"/>
                                </a:xfrm>
                                <a:prstGeom prst="rect">
                                  <a:avLst/>
                                </a:prstGeom>
                                <a:noFill/>
                                <a:ln>
                                  <a:noFill/>
                                </a:ln>
                              </pic:spPr>
                            </pic:pic>
                          </a:graphicData>
                        </a:graphic>
                      </wp:inline>
                    </w:drawing>
                  </w:r>
                </w:p>
              </w:tc>
            </w:tr>
          </w:tbl>
          <w:p w:rsidR="00284E6F" w:rsidRDefault="00284E6F" w:rsidP="0067713D">
            <w:pPr>
              <w:pStyle w:val="Figure"/>
            </w:pPr>
          </w:p>
        </w:tc>
      </w:tr>
      <w:tr w:rsidR="00284E6F" w:rsidRPr="00176D3F" w:rsidTr="0067713D">
        <w:tc>
          <w:tcPr>
            <w:tcW w:w="8771" w:type="dxa"/>
            <w:tcBorders>
              <w:top w:val="nil"/>
              <w:left w:val="nil"/>
              <w:bottom w:val="nil"/>
              <w:right w:val="nil"/>
            </w:tcBorders>
            <w:shd w:val="clear" w:color="auto" w:fill="auto"/>
          </w:tcPr>
          <w:p w:rsidR="00284E6F" w:rsidRPr="00176D3F" w:rsidRDefault="00284E6F" w:rsidP="00284E6F">
            <w:pPr>
              <w:pStyle w:val="Note"/>
              <w:keepNext/>
              <w:spacing w:before="60"/>
            </w:pPr>
            <w:r w:rsidRPr="003171F4">
              <w:rPr>
                <w:rStyle w:val="NoteLabel"/>
              </w:rPr>
              <w:t>a</w:t>
            </w:r>
            <w:r>
              <w:t xml:space="preserve"> </w:t>
            </w:r>
            <w:r w:rsidRPr="003171F4">
              <w:t xml:space="preserve">FWE GP numbers include vocationally </w:t>
            </w:r>
            <w:r w:rsidRPr="000B2487">
              <w:t xml:space="preserve">registered </w:t>
            </w:r>
            <w:r w:rsidRPr="003171F4">
              <w:t xml:space="preserve">GPs and OMPs billing </w:t>
            </w:r>
            <w:r w:rsidRPr="002D7882">
              <w:t>DHS Medicare</w:t>
            </w:r>
            <w:r w:rsidRPr="003171F4">
              <w:t>, who are allocated to a jurisdiction based on the postcode of their major practice</w:t>
            </w:r>
            <w:r>
              <w:t>.</w:t>
            </w:r>
          </w:p>
        </w:tc>
      </w:tr>
      <w:tr w:rsidR="00284E6F" w:rsidRPr="00176D3F" w:rsidTr="0067713D">
        <w:tc>
          <w:tcPr>
            <w:tcW w:w="8771" w:type="dxa"/>
            <w:tcBorders>
              <w:top w:val="nil"/>
              <w:left w:val="nil"/>
              <w:bottom w:val="nil"/>
              <w:right w:val="nil"/>
            </w:tcBorders>
            <w:shd w:val="clear" w:color="auto" w:fill="auto"/>
          </w:tcPr>
          <w:p w:rsidR="00284E6F" w:rsidRPr="00176D3F" w:rsidRDefault="00284E6F" w:rsidP="00AE2987">
            <w:pPr>
              <w:pStyle w:val="Source"/>
              <w:spacing w:before="60"/>
            </w:pPr>
            <w:r w:rsidRPr="00B245AB">
              <w:rPr>
                <w:i/>
              </w:rPr>
              <w:t>Source</w:t>
            </w:r>
            <w:r w:rsidRPr="00B245AB">
              <w:t xml:space="preserve">: </w:t>
            </w:r>
            <w:r>
              <w:t>Department of Health</w:t>
            </w:r>
            <w:r w:rsidRPr="00B156DD">
              <w:t xml:space="preserve"> (unpublished) MBS </w:t>
            </w:r>
            <w:r>
              <w:t>Statistics</w:t>
            </w:r>
            <w:r w:rsidRPr="00B245AB">
              <w:t>; table</w:t>
            </w:r>
            <w:r>
              <w:t> </w:t>
            </w:r>
            <w:r w:rsidR="00C9076B">
              <w:t>10A.</w:t>
            </w:r>
            <w:r w:rsidR="00AE2987">
              <w:t>50</w:t>
            </w:r>
            <w:r w:rsidRPr="006C74C6">
              <w:t>.</w:t>
            </w:r>
          </w:p>
        </w:tc>
      </w:tr>
      <w:tr w:rsidR="00284E6F" w:rsidTr="0067713D">
        <w:tc>
          <w:tcPr>
            <w:tcW w:w="8771" w:type="dxa"/>
            <w:tcBorders>
              <w:top w:val="nil"/>
              <w:left w:val="nil"/>
              <w:bottom w:val="single" w:sz="6" w:space="0" w:color="78A22F"/>
              <w:right w:val="nil"/>
            </w:tcBorders>
            <w:shd w:val="clear" w:color="auto" w:fill="auto"/>
          </w:tcPr>
          <w:p w:rsidR="00284E6F" w:rsidRDefault="00284E6F" w:rsidP="0067713D">
            <w:pPr>
              <w:pStyle w:val="Figurespace"/>
            </w:pPr>
          </w:p>
        </w:tc>
      </w:tr>
      <w:tr w:rsidR="00284E6F" w:rsidRPr="000863A5" w:rsidTr="0067713D">
        <w:tc>
          <w:tcPr>
            <w:tcW w:w="8771" w:type="dxa"/>
            <w:tcBorders>
              <w:top w:val="single" w:sz="6" w:space="0" w:color="78A22F"/>
              <w:left w:val="nil"/>
              <w:bottom w:val="nil"/>
              <w:right w:val="nil"/>
            </w:tcBorders>
          </w:tcPr>
          <w:p w:rsidR="00284E6F" w:rsidRPr="00626D32" w:rsidRDefault="00284E6F" w:rsidP="0067713D">
            <w:pPr>
              <w:pStyle w:val="BoxSpaceBelow"/>
            </w:pPr>
          </w:p>
        </w:tc>
      </w:tr>
    </w:tbl>
    <w:p w:rsidR="006A4C88" w:rsidRDefault="006A4C88" w:rsidP="006A4C88">
      <w:pPr>
        <w:pStyle w:val="Heading5"/>
      </w:pPr>
      <w:r w:rsidRPr="00B245AB">
        <w:t>General practices with accreditation</w:t>
      </w:r>
    </w:p>
    <w:p w:rsidR="006A4C88" w:rsidRPr="009D1F2C" w:rsidRDefault="006A4C88" w:rsidP="006A4C88">
      <w:pPr>
        <w:pStyle w:val="BodyText"/>
      </w:pPr>
      <w:r>
        <w:t>‘</w:t>
      </w:r>
      <w:r w:rsidRPr="009D1F2C">
        <w:t>General practices with accreditation</w:t>
      </w:r>
      <w:r>
        <w:t>’ is an indicator of governments’ objective to ensure the general practitioner workforce has the capability to provide high quality services (</w:t>
      </w:r>
      <w:r w:rsidR="00680E42">
        <w:t>box </w:t>
      </w:r>
      <w:r w:rsidR="00897589">
        <w:t>10.</w:t>
      </w:r>
      <w:r w:rsidRPr="0080159D">
        <w:t>1</w:t>
      </w:r>
      <w:r w:rsidR="00AE52AB">
        <w:t>1</w:t>
      </w:r>
      <w:r>
        <w:t>).</w:t>
      </w:r>
    </w:p>
    <w:p w:rsidR="003F7095" w:rsidRDefault="003F7095">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F7095" w:rsidTr="00867BB6">
        <w:tc>
          <w:tcPr>
            <w:tcW w:w="8771" w:type="dxa"/>
            <w:tcBorders>
              <w:top w:val="single" w:sz="6" w:space="0" w:color="78A22F"/>
              <w:left w:val="nil"/>
              <w:bottom w:val="nil"/>
              <w:right w:val="nil"/>
            </w:tcBorders>
            <w:shd w:val="clear" w:color="auto" w:fill="F2F2F2" w:themeFill="background1" w:themeFillShade="F2"/>
          </w:tcPr>
          <w:p w:rsidR="003F7095" w:rsidRDefault="003F7095">
            <w:pPr>
              <w:pStyle w:val="BoxTitle"/>
            </w:pPr>
            <w:r>
              <w:rPr>
                <w:b w:val="0"/>
              </w:rPr>
              <w:t xml:space="preserve">Box </w:t>
            </w:r>
            <w:bookmarkStart w:id="17" w:name="OLE_LINK3"/>
            <w:r>
              <w:rPr>
                <w:b w:val="0"/>
              </w:rPr>
              <w:t>10.</w:t>
            </w:r>
            <w:r w:rsidR="0078724D">
              <w:rPr>
                <w:b w:val="0"/>
                <w:noProof/>
              </w:rPr>
              <w:t>11</w:t>
            </w:r>
            <w:bookmarkEnd w:id="17"/>
            <w:r>
              <w:tab/>
            </w:r>
            <w:r w:rsidRPr="00B245AB">
              <w:t>General practices with accreditation</w:t>
            </w:r>
          </w:p>
        </w:tc>
      </w:tr>
      <w:tr w:rsidR="003F7095" w:rsidTr="00867BB6">
        <w:trPr>
          <w:cantSplit/>
        </w:trPr>
        <w:tc>
          <w:tcPr>
            <w:tcW w:w="8771" w:type="dxa"/>
            <w:tcBorders>
              <w:top w:val="nil"/>
              <w:left w:val="nil"/>
              <w:bottom w:val="nil"/>
              <w:right w:val="nil"/>
            </w:tcBorders>
            <w:shd w:val="clear" w:color="auto" w:fill="F2F2F2" w:themeFill="background1" w:themeFillShade="F2"/>
          </w:tcPr>
          <w:p w:rsidR="003F7095" w:rsidRDefault="003F7095" w:rsidP="00867BB6">
            <w:pPr>
              <w:pStyle w:val="Box"/>
            </w:pPr>
            <w:r>
              <w:t>‘</w:t>
            </w:r>
            <w:r w:rsidRPr="009D1F2C">
              <w:t>General practices with accreditation</w:t>
            </w:r>
            <w:r>
              <w:t xml:space="preserve">’ is defined as the number of general practices that are accredited as a proportion of all general </w:t>
            </w:r>
            <w:r w:rsidRPr="00CD48F3">
              <w:t>practices in Australia.</w:t>
            </w:r>
            <w:r>
              <w:t xml:space="preserve"> </w:t>
            </w:r>
            <w:r w:rsidRPr="00FC52FD">
              <w:t xml:space="preserve">Accreditation of general practice is a voluntary </w:t>
            </w:r>
            <w:r w:rsidRPr="0052184D">
              <w:t>process of independent third-party peer review tha</w:t>
            </w:r>
            <w:r w:rsidRPr="00FC52FD">
              <w:t>t involves the assessment of general practices against a set of standards developed by the RACGP. Accredited practices, therefore, have been assessed as complying with a set of national standards.</w:t>
            </w:r>
          </w:p>
          <w:p w:rsidR="003F7095" w:rsidRDefault="003F7095" w:rsidP="00867BB6">
            <w:pPr>
              <w:pStyle w:val="Continued"/>
            </w:pPr>
            <w:r>
              <w:t>(Continued next page)</w:t>
            </w:r>
          </w:p>
        </w:tc>
      </w:tr>
      <w:tr w:rsidR="003F7095" w:rsidTr="00867BB6">
        <w:trPr>
          <w:cantSplit/>
        </w:trPr>
        <w:tc>
          <w:tcPr>
            <w:tcW w:w="8771" w:type="dxa"/>
            <w:tcBorders>
              <w:top w:val="nil"/>
              <w:left w:val="nil"/>
              <w:bottom w:val="single" w:sz="6" w:space="0" w:color="78A22F"/>
              <w:right w:val="nil"/>
            </w:tcBorders>
            <w:shd w:val="clear" w:color="auto" w:fill="F2F2F2" w:themeFill="background1" w:themeFillShade="F2"/>
          </w:tcPr>
          <w:p w:rsidR="003F7095" w:rsidRDefault="003F7095">
            <w:pPr>
              <w:pStyle w:val="Box"/>
              <w:spacing w:before="0" w:line="120" w:lineRule="exact"/>
            </w:pPr>
          </w:p>
        </w:tc>
      </w:tr>
      <w:tr w:rsidR="003F7095" w:rsidRPr="000863A5" w:rsidTr="00867BB6">
        <w:tc>
          <w:tcPr>
            <w:tcW w:w="8771" w:type="dxa"/>
            <w:tcBorders>
              <w:top w:val="single" w:sz="6" w:space="0" w:color="78A22F"/>
              <w:left w:val="nil"/>
              <w:bottom w:val="nil"/>
              <w:right w:val="nil"/>
            </w:tcBorders>
          </w:tcPr>
          <w:p w:rsidR="003F7095" w:rsidRPr="00626D32" w:rsidRDefault="003F7095" w:rsidP="00867BB6">
            <w:pPr>
              <w:pStyle w:val="BoxSpaceBelow"/>
            </w:pPr>
          </w:p>
        </w:tc>
      </w:tr>
    </w:tbl>
    <w:p w:rsidR="003F7095" w:rsidRDefault="003F7095">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F7095" w:rsidTr="00867BB6">
        <w:tc>
          <w:tcPr>
            <w:tcW w:w="8771" w:type="dxa"/>
            <w:tcBorders>
              <w:top w:val="single" w:sz="6" w:space="0" w:color="78A22F"/>
              <w:left w:val="nil"/>
              <w:bottom w:val="nil"/>
              <w:right w:val="nil"/>
            </w:tcBorders>
            <w:shd w:val="clear" w:color="auto" w:fill="F2F2F2" w:themeFill="background1" w:themeFillShade="F2"/>
          </w:tcPr>
          <w:p w:rsidR="003F7095" w:rsidRDefault="003F7095" w:rsidP="00095E5A">
            <w:pPr>
              <w:pStyle w:val="BoxTitle"/>
            </w:pPr>
            <w:r>
              <w:rPr>
                <w:b w:val="0"/>
              </w:rPr>
              <w:t xml:space="preserve">Box </w:t>
            </w:r>
            <w:r w:rsidR="00095E5A" w:rsidRPr="00095E5A">
              <w:rPr>
                <w:b w:val="0"/>
              </w:rPr>
              <w:t>10.11</w:t>
            </w:r>
            <w:r>
              <w:tab/>
            </w:r>
            <w:r w:rsidRPr="002006A3">
              <w:rPr>
                <w:sz w:val="18"/>
                <w:szCs w:val="18"/>
              </w:rPr>
              <w:t>(Continued)</w:t>
            </w:r>
          </w:p>
        </w:tc>
      </w:tr>
      <w:tr w:rsidR="003F7095" w:rsidTr="00867BB6">
        <w:trPr>
          <w:cantSplit/>
        </w:trPr>
        <w:tc>
          <w:tcPr>
            <w:tcW w:w="8771" w:type="dxa"/>
            <w:tcBorders>
              <w:top w:val="nil"/>
              <w:left w:val="nil"/>
              <w:bottom w:val="nil"/>
              <w:right w:val="nil"/>
            </w:tcBorders>
            <w:shd w:val="clear" w:color="auto" w:fill="F2F2F2" w:themeFill="background1" w:themeFillShade="F2"/>
          </w:tcPr>
          <w:p w:rsidR="003F7095" w:rsidRDefault="003F7095" w:rsidP="00867BB6">
            <w:pPr>
              <w:pStyle w:val="Box"/>
            </w:pPr>
            <w:r>
              <w:t>A high or increasing proportion of practices with accreditation can indicate an improvement in the capability of general practice to deliver high quality services. However, general practices without accreditation may deliver services of equally high quality. For a particular general practice, the decision to seek accreditation might be influenced by perceived costs and benefits unrelated to its quality standards. Accreditation affects eligibility for some government programs (such as PIP), so there are financial incentives for gaining accreditation.</w:t>
            </w:r>
          </w:p>
          <w:p w:rsidR="003F7095" w:rsidRDefault="003F7095" w:rsidP="00867BB6">
            <w:pPr>
              <w:pStyle w:val="Box"/>
            </w:pPr>
            <w:r>
              <w:t>Data reported for this indicator are:</w:t>
            </w:r>
          </w:p>
          <w:p w:rsidR="003F7095" w:rsidRDefault="003F7095" w:rsidP="00867BB6">
            <w:pPr>
              <w:pStyle w:val="BoxListBullet"/>
            </w:pPr>
            <w:r>
              <w:t>comparable (subject to caveats) across jurisdictions and over time</w:t>
            </w:r>
          </w:p>
          <w:p w:rsidR="003F7095" w:rsidRDefault="003F7095" w:rsidP="00867BB6">
            <w:pPr>
              <w:pStyle w:val="BoxListBullet"/>
            </w:pPr>
            <w:r>
              <w:t>not available for the current reporting period.</w:t>
            </w:r>
          </w:p>
          <w:p w:rsidR="003F7095" w:rsidRDefault="003F7095" w:rsidP="00867BB6">
            <w:pPr>
              <w:pStyle w:val="Box"/>
            </w:pPr>
            <w:r w:rsidRPr="0027351B">
              <w:t>Data quality information for this indicator is under deve</w:t>
            </w:r>
            <w:r>
              <w:t>lopment.</w:t>
            </w:r>
          </w:p>
        </w:tc>
      </w:tr>
      <w:tr w:rsidR="003F7095" w:rsidTr="00867BB6">
        <w:trPr>
          <w:cantSplit/>
        </w:trPr>
        <w:tc>
          <w:tcPr>
            <w:tcW w:w="8771" w:type="dxa"/>
            <w:tcBorders>
              <w:top w:val="nil"/>
              <w:left w:val="nil"/>
              <w:bottom w:val="single" w:sz="6" w:space="0" w:color="78A22F"/>
              <w:right w:val="nil"/>
            </w:tcBorders>
            <w:shd w:val="clear" w:color="auto" w:fill="F2F2F2" w:themeFill="background1" w:themeFillShade="F2"/>
          </w:tcPr>
          <w:p w:rsidR="003F7095" w:rsidRDefault="003F7095">
            <w:pPr>
              <w:pStyle w:val="Box"/>
              <w:spacing w:before="0" w:line="120" w:lineRule="exact"/>
            </w:pPr>
          </w:p>
        </w:tc>
      </w:tr>
      <w:tr w:rsidR="003F7095" w:rsidRPr="000863A5" w:rsidTr="00867BB6">
        <w:tc>
          <w:tcPr>
            <w:tcW w:w="8771" w:type="dxa"/>
            <w:tcBorders>
              <w:top w:val="single" w:sz="6" w:space="0" w:color="78A22F"/>
              <w:left w:val="nil"/>
              <w:bottom w:val="nil"/>
              <w:right w:val="nil"/>
            </w:tcBorders>
          </w:tcPr>
          <w:p w:rsidR="003F7095" w:rsidRPr="00626D32" w:rsidRDefault="003F7095" w:rsidP="00867BB6">
            <w:pPr>
              <w:pStyle w:val="BoxSpaceBelow"/>
            </w:pPr>
          </w:p>
        </w:tc>
      </w:tr>
    </w:tbl>
    <w:p w:rsidR="006A4C88" w:rsidRPr="00944E91" w:rsidRDefault="006A4C88" w:rsidP="00944E91">
      <w:pPr>
        <w:pStyle w:val="BodyText"/>
      </w:pPr>
      <w:r w:rsidRPr="009D1F2C">
        <w:t>The two providers of general practice accreditation services are Australian General Practice Accreditation Limited (AGPAL) and</w:t>
      </w:r>
      <w:r w:rsidR="00DC4B41">
        <w:t xml:space="preserve"> Quality Practice Acc</w:t>
      </w:r>
      <w:r w:rsidR="001A1B20">
        <w:t>reditation Pty </w:t>
      </w:r>
      <w:r w:rsidR="00DC4B41">
        <w:t>Ltd</w:t>
      </w:r>
      <w:r>
        <w:t>.</w:t>
      </w:r>
    </w:p>
    <w:p w:rsidR="00F6669C" w:rsidRDefault="00680E42" w:rsidP="00944E91">
      <w:pPr>
        <w:pStyle w:val="BodyText"/>
      </w:pPr>
      <w:r w:rsidRPr="003C0E67">
        <w:t xml:space="preserve">Data are not available for the 2015 Report because no </w:t>
      </w:r>
      <w:r w:rsidR="000255F4">
        <w:t xml:space="preserve">current </w:t>
      </w:r>
      <w:r w:rsidR="000255F4" w:rsidRPr="003C0E67">
        <w:t xml:space="preserve">source </w:t>
      </w:r>
      <w:r w:rsidR="000255F4">
        <w:t xml:space="preserve">of </w:t>
      </w:r>
      <w:r w:rsidR="00691E7E" w:rsidRPr="003C0E67">
        <w:t>data can be identified</w:t>
      </w:r>
      <w:r w:rsidRPr="003C0E67">
        <w:t xml:space="preserve"> for the number of general practices</w:t>
      </w:r>
      <w:r w:rsidR="000255F4">
        <w:t>. Data for 2011 and previous years were sourced from</w:t>
      </w:r>
      <w:r w:rsidR="00691E7E" w:rsidRPr="003C0E67">
        <w:t xml:space="preserve"> </w:t>
      </w:r>
      <w:r w:rsidR="000255F4">
        <w:t>the</w:t>
      </w:r>
      <w:r w:rsidR="000255F4" w:rsidRPr="003C0E67">
        <w:t xml:space="preserve"> annual survey of Divisions of General Practice</w:t>
      </w:r>
      <w:r w:rsidR="000255F4">
        <w:t>, which ceased on</w:t>
      </w:r>
      <w:r w:rsidR="003C0E67" w:rsidRPr="003C0E67">
        <w:t xml:space="preserve"> transition </w:t>
      </w:r>
      <w:r w:rsidR="003C0E67">
        <w:t xml:space="preserve">from </w:t>
      </w:r>
      <w:r w:rsidR="003C0E67" w:rsidRPr="003C0E67">
        <w:t>Divisions of General Practice to Medicare Locals</w:t>
      </w:r>
      <w:r w:rsidR="00691E7E" w:rsidRPr="003C0E67">
        <w:t>.</w:t>
      </w:r>
      <w:r w:rsidR="003C0E67">
        <w:t xml:space="preserve"> </w:t>
      </w:r>
      <w:r w:rsidR="00F6669C">
        <w:t>Historic</w:t>
      </w:r>
      <w:r w:rsidR="00253C38">
        <w:t xml:space="preserve">al data are reported in </w:t>
      </w:r>
      <w:r w:rsidR="00253C38" w:rsidRPr="00CC4FB1">
        <w:t>table 10</w:t>
      </w:r>
      <w:r w:rsidR="00AE2987">
        <w:t>A.51</w:t>
      </w:r>
      <w:r w:rsidR="00F6669C">
        <w:t>.</w:t>
      </w:r>
    </w:p>
    <w:p w:rsidR="000A6D38" w:rsidRPr="00944E91" w:rsidRDefault="006A4C88" w:rsidP="00944E91">
      <w:pPr>
        <w:pStyle w:val="BodyText"/>
      </w:pPr>
      <w:r w:rsidRPr="005842D6">
        <w:t xml:space="preserve">The proportion of patients attending accredited practices provides useful </w:t>
      </w:r>
      <w:r w:rsidRPr="00807C85">
        <w:t>additional</w:t>
      </w:r>
      <w:r w:rsidRPr="005842D6">
        <w:t xml:space="preserve"> information relating to accreditation. For this measure, PIP practices provide a proxy for accredited practices, as accreditation is a requirement </w:t>
      </w:r>
      <w:r>
        <w:t>for PIP registration. Nationally</w:t>
      </w:r>
      <w:r w:rsidRPr="005842D6">
        <w:t xml:space="preserve">, the proportion of </w:t>
      </w:r>
      <w:r w:rsidRPr="00E04293">
        <w:t xml:space="preserve">general practice patient care </w:t>
      </w:r>
      <w:r>
        <w:t xml:space="preserve">— </w:t>
      </w:r>
      <w:r w:rsidRPr="00431431">
        <w:t>measured as standardised whole patient equivalents (SWPEs</w:t>
      </w:r>
      <w:r>
        <w:t>)</w:t>
      </w:r>
      <w:r w:rsidRPr="00F8208A">
        <w:rPr>
          <w:color w:val="008000"/>
        </w:rPr>
        <w:t xml:space="preserve"> </w:t>
      </w:r>
      <w:r>
        <w:t>— provided</w:t>
      </w:r>
      <w:r w:rsidRPr="005842D6">
        <w:t xml:space="preserve"> </w:t>
      </w:r>
      <w:r>
        <w:t>by</w:t>
      </w:r>
      <w:r w:rsidRPr="005842D6">
        <w:t xml:space="preserve"> PIP practices </w:t>
      </w:r>
      <w:r>
        <w:t xml:space="preserve">has </w:t>
      </w:r>
      <w:r w:rsidR="00BC4CF6">
        <w:t xml:space="preserve">increased </w:t>
      </w:r>
      <w:r w:rsidR="00F117C0">
        <w:t xml:space="preserve">slightly </w:t>
      </w:r>
      <w:r w:rsidRPr="00411092">
        <w:t xml:space="preserve">in the period from </w:t>
      </w:r>
      <w:r w:rsidRPr="00BC4CF6">
        <w:t>200</w:t>
      </w:r>
      <w:r w:rsidR="00CF6E97">
        <w:t>8</w:t>
      </w:r>
      <w:r w:rsidR="0080159D" w:rsidRPr="00BC4CF6">
        <w:noBreakHyphen/>
        <w:t>0</w:t>
      </w:r>
      <w:r w:rsidR="00CF6E97">
        <w:t>9</w:t>
      </w:r>
      <w:r w:rsidR="0080159D" w:rsidRPr="00BC4CF6">
        <w:t xml:space="preserve"> to 20</w:t>
      </w:r>
      <w:r w:rsidR="00411092" w:rsidRPr="00BC4CF6">
        <w:t>1</w:t>
      </w:r>
      <w:r w:rsidR="00CF6E97">
        <w:t>2</w:t>
      </w:r>
      <w:r w:rsidR="0080159D" w:rsidRPr="00BC4CF6">
        <w:t>-1</w:t>
      </w:r>
      <w:r w:rsidR="00CF6E97">
        <w:t>3</w:t>
      </w:r>
      <w:r w:rsidRPr="00411092">
        <w:t xml:space="preserve"> (</w:t>
      </w:r>
      <w:r w:rsidR="00897589">
        <w:t>figure 10.</w:t>
      </w:r>
      <w:r w:rsidR="00411092" w:rsidRPr="00411092">
        <w:t>2</w:t>
      </w:r>
      <w:r w:rsidR="00186D80">
        <w:t>1</w:t>
      </w:r>
      <w:r w:rsidR="00720450" w:rsidRPr="00411092">
        <w:t>).</w:t>
      </w:r>
    </w:p>
    <w:p w:rsidR="00284E6F" w:rsidRDefault="00284E6F" w:rsidP="0067713D">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284E6F" w:rsidTr="0067713D">
        <w:tc>
          <w:tcPr>
            <w:tcW w:w="8771" w:type="dxa"/>
            <w:tcBorders>
              <w:top w:val="single" w:sz="6" w:space="0" w:color="78A22F"/>
              <w:left w:val="nil"/>
              <w:bottom w:val="nil"/>
              <w:right w:val="nil"/>
            </w:tcBorders>
            <w:shd w:val="clear" w:color="auto" w:fill="auto"/>
          </w:tcPr>
          <w:p w:rsidR="00284E6F" w:rsidRPr="00176D3F" w:rsidRDefault="00284E6F" w:rsidP="00284E6F">
            <w:pPr>
              <w:pStyle w:val="FigureTitle"/>
            </w:pPr>
            <w:r w:rsidRPr="00784A05">
              <w:rPr>
                <w:b w:val="0"/>
              </w:rPr>
              <w:t xml:space="preserve">Figure </w:t>
            </w:r>
            <w:r w:rsidR="00DF255F">
              <w:rPr>
                <w:b w:val="0"/>
              </w:rPr>
              <w:t>10.</w:t>
            </w:r>
            <w:r w:rsidR="0078724D">
              <w:rPr>
                <w:b w:val="0"/>
                <w:noProof/>
              </w:rPr>
              <w:t>21</w:t>
            </w:r>
            <w:r>
              <w:tab/>
            </w:r>
            <w:r w:rsidRPr="00085B88">
              <w:t xml:space="preserve">Proportion of </w:t>
            </w:r>
            <w:r w:rsidRPr="00270364">
              <w:t xml:space="preserve">general practice patient care provided by </w:t>
            </w:r>
            <w:r w:rsidRPr="00085B88">
              <w:t>PIP practices</w:t>
            </w:r>
            <w:r w:rsidRPr="00085B88">
              <w:rPr>
                <w:rStyle w:val="NoteLabel"/>
                <w:b/>
              </w:rPr>
              <w:t>a</w:t>
            </w:r>
          </w:p>
        </w:tc>
      </w:tr>
      <w:tr w:rsidR="00284E6F" w:rsidTr="0067713D">
        <w:tc>
          <w:tcPr>
            <w:tcW w:w="8771" w:type="dxa"/>
            <w:tcBorders>
              <w:top w:val="nil"/>
              <w:left w:val="nil"/>
              <w:bottom w:val="nil"/>
              <w:right w:val="nil"/>
            </w:tcBorders>
            <w:shd w:val="clear" w:color="auto" w:fill="auto"/>
            <w:tcMar>
              <w:top w:w="28" w:type="dxa"/>
              <w:bottom w:w="28" w:type="dxa"/>
            </w:tcMar>
          </w:tcPr>
          <w:tbl>
            <w:tblPr>
              <w:tblW w:w="8625" w:type="dxa"/>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625"/>
            </w:tblGrid>
            <w:tr w:rsidR="00284E6F" w:rsidTr="00CA6199">
              <w:tc>
                <w:tcPr>
                  <w:tcW w:w="5000" w:type="pct"/>
                  <w:tcBorders>
                    <w:top w:val="nil"/>
                    <w:bottom w:val="nil"/>
                  </w:tcBorders>
                </w:tcPr>
                <w:p w:rsidR="00284E6F" w:rsidRDefault="00583B5D" w:rsidP="0067713D">
                  <w:pPr>
                    <w:pStyle w:val="Figure"/>
                    <w:spacing w:before="60" w:after="60"/>
                  </w:pPr>
                  <w:r>
                    <w:rPr>
                      <w:noProof/>
                    </w:rPr>
                    <w:drawing>
                      <wp:inline distT="0" distB="0" distL="0" distR="0">
                        <wp:extent cx="5400675" cy="2695575"/>
                        <wp:effectExtent l="0" t="0" r="9525" b="9525"/>
                        <wp:docPr id="30" name="Picture 30" descr="Figure 10.21 Proportion of general practice patient care provided by PIP practices&#10;&#10;More details can be found within the text surrounding this image.&#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400675" cy="2695575"/>
                                </a:xfrm>
                                <a:prstGeom prst="rect">
                                  <a:avLst/>
                                </a:prstGeom>
                                <a:noFill/>
                                <a:ln>
                                  <a:noFill/>
                                </a:ln>
                              </pic:spPr>
                            </pic:pic>
                          </a:graphicData>
                        </a:graphic>
                      </wp:inline>
                    </w:drawing>
                  </w:r>
                </w:p>
              </w:tc>
            </w:tr>
          </w:tbl>
          <w:p w:rsidR="00284E6F" w:rsidRDefault="00284E6F" w:rsidP="0067713D">
            <w:pPr>
              <w:pStyle w:val="Figure"/>
            </w:pPr>
          </w:p>
        </w:tc>
      </w:tr>
      <w:tr w:rsidR="00284E6F" w:rsidRPr="00176D3F" w:rsidTr="0067713D">
        <w:tc>
          <w:tcPr>
            <w:tcW w:w="8771" w:type="dxa"/>
            <w:tcBorders>
              <w:top w:val="nil"/>
              <w:left w:val="nil"/>
              <w:bottom w:val="nil"/>
              <w:right w:val="nil"/>
            </w:tcBorders>
            <w:shd w:val="clear" w:color="auto" w:fill="auto"/>
          </w:tcPr>
          <w:p w:rsidR="00284E6F" w:rsidRPr="00176D3F" w:rsidRDefault="00284E6F" w:rsidP="00B7585E">
            <w:pPr>
              <w:pStyle w:val="Note"/>
            </w:pPr>
            <w:r>
              <w:rPr>
                <w:rStyle w:val="NoteLabel"/>
              </w:rPr>
              <w:t>a</w:t>
            </w:r>
            <w:r>
              <w:sym w:font="Symbol" w:char="F020"/>
            </w:r>
            <w:r>
              <w:t>Patients are measured as SWPEs. A SWPE is an indicator of practice workload based on the number of patients seen. The SWPE value for a jurisdiction is the sum of the fractions of care provided by doctors in that jurisdiction to their patients, weighted for the age and sex of each patient in accordance with national ratios.</w:t>
            </w:r>
          </w:p>
        </w:tc>
      </w:tr>
      <w:tr w:rsidR="00284E6F" w:rsidRPr="00176D3F" w:rsidTr="0067713D">
        <w:tc>
          <w:tcPr>
            <w:tcW w:w="8771" w:type="dxa"/>
            <w:tcBorders>
              <w:top w:val="nil"/>
              <w:left w:val="nil"/>
              <w:bottom w:val="nil"/>
              <w:right w:val="nil"/>
            </w:tcBorders>
            <w:shd w:val="clear" w:color="auto" w:fill="auto"/>
          </w:tcPr>
          <w:p w:rsidR="00284E6F" w:rsidRPr="00176D3F" w:rsidRDefault="00284E6F" w:rsidP="00AE2987">
            <w:pPr>
              <w:pStyle w:val="Source"/>
            </w:pPr>
            <w:r w:rsidRPr="00085B88">
              <w:rPr>
                <w:i/>
              </w:rPr>
              <w:t>Source</w:t>
            </w:r>
            <w:r>
              <w:t xml:space="preserve">: Department of Health (unpublished) </w:t>
            </w:r>
            <w:r w:rsidRPr="00B156DD">
              <w:t xml:space="preserve">PIP and MBS data </w:t>
            </w:r>
            <w:r w:rsidRPr="006C74C6">
              <w:t>collections; table </w:t>
            </w:r>
            <w:r w:rsidR="00C9076B">
              <w:t>10A.</w:t>
            </w:r>
            <w:r>
              <w:t>5</w:t>
            </w:r>
            <w:r w:rsidR="00AE2987">
              <w:t>2</w:t>
            </w:r>
            <w:r>
              <w:t>.</w:t>
            </w:r>
          </w:p>
        </w:tc>
      </w:tr>
      <w:tr w:rsidR="00284E6F" w:rsidTr="0067713D">
        <w:tc>
          <w:tcPr>
            <w:tcW w:w="8771" w:type="dxa"/>
            <w:tcBorders>
              <w:top w:val="nil"/>
              <w:left w:val="nil"/>
              <w:bottom w:val="single" w:sz="6" w:space="0" w:color="78A22F"/>
              <w:right w:val="nil"/>
            </w:tcBorders>
            <w:shd w:val="clear" w:color="auto" w:fill="auto"/>
          </w:tcPr>
          <w:p w:rsidR="00284E6F" w:rsidRDefault="00284E6F" w:rsidP="0067713D">
            <w:pPr>
              <w:pStyle w:val="Figurespace"/>
            </w:pPr>
          </w:p>
        </w:tc>
      </w:tr>
      <w:tr w:rsidR="00284E6F" w:rsidRPr="000863A5" w:rsidTr="0067713D">
        <w:tc>
          <w:tcPr>
            <w:tcW w:w="8771" w:type="dxa"/>
            <w:tcBorders>
              <w:top w:val="single" w:sz="6" w:space="0" w:color="78A22F"/>
              <w:left w:val="nil"/>
              <w:bottom w:val="nil"/>
              <w:right w:val="nil"/>
            </w:tcBorders>
          </w:tcPr>
          <w:p w:rsidR="00284E6F" w:rsidRPr="00626D32" w:rsidRDefault="00284E6F" w:rsidP="0067713D">
            <w:pPr>
              <w:pStyle w:val="BoxSpaceBelow"/>
            </w:pPr>
          </w:p>
        </w:tc>
      </w:tr>
    </w:tbl>
    <w:p w:rsidR="00271E49" w:rsidRDefault="00271E49" w:rsidP="00445FCA">
      <w:pPr>
        <w:pStyle w:val="Heading5"/>
        <w:tabs>
          <w:tab w:val="left" w:pos="1965"/>
        </w:tabs>
      </w:pPr>
      <w:r w:rsidRPr="00271E49">
        <w:t xml:space="preserve">Management of </w:t>
      </w:r>
      <w:r w:rsidR="005E4E9F">
        <w:t xml:space="preserve">acute </w:t>
      </w:r>
      <w:r w:rsidRPr="00271E49">
        <w:t>upper respiratory tract infection</w:t>
      </w:r>
    </w:p>
    <w:p w:rsidR="00B32B08" w:rsidRDefault="00B32B08" w:rsidP="00944E91">
      <w:pPr>
        <w:pStyle w:val="BodyText"/>
      </w:pPr>
      <w:r w:rsidRPr="00C052BA">
        <w:t xml:space="preserve">‘Management of </w:t>
      </w:r>
      <w:r w:rsidR="00064B9F">
        <w:t xml:space="preserve">acute </w:t>
      </w:r>
      <w:r w:rsidRPr="00C052BA">
        <w:t>upper respiratory tract infection’ is an indicator of governments’ objective to ensure that antibiotics are used appropriately and effectively</w:t>
      </w:r>
      <w:r w:rsidR="00D31B9B" w:rsidRPr="00C052BA">
        <w:t xml:space="preserve"> (</w:t>
      </w:r>
      <w:r w:rsidR="00897589">
        <w:t>box 10.</w:t>
      </w:r>
      <w:r w:rsidR="006A4C88" w:rsidRPr="00AE52AB">
        <w:t>1</w:t>
      </w:r>
      <w:r w:rsidR="00AE52AB" w:rsidRPr="00AE52AB">
        <w:t>2</w:t>
      </w:r>
      <w:r w:rsidR="00D31B9B" w:rsidRPr="00AE52AB">
        <w:t>)</w:t>
      </w:r>
      <w:r w:rsidR="00655626">
        <w:t>.</w:t>
      </w:r>
    </w:p>
    <w:p w:rsidR="003F7095" w:rsidRDefault="003F7095">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F7095" w:rsidTr="00867BB6">
        <w:tc>
          <w:tcPr>
            <w:tcW w:w="8771" w:type="dxa"/>
            <w:tcBorders>
              <w:top w:val="single" w:sz="6" w:space="0" w:color="78A22F"/>
              <w:left w:val="nil"/>
              <w:bottom w:val="nil"/>
              <w:right w:val="nil"/>
            </w:tcBorders>
            <w:shd w:val="clear" w:color="auto" w:fill="F2F2F2" w:themeFill="background1" w:themeFillShade="F2"/>
          </w:tcPr>
          <w:p w:rsidR="003F7095" w:rsidRDefault="003F7095">
            <w:pPr>
              <w:pStyle w:val="BoxTitle"/>
            </w:pPr>
            <w:r>
              <w:rPr>
                <w:b w:val="0"/>
              </w:rPr>
              <w:t xml:space="preserve">Box </w:t>
            </w:r>
            <w:r w:rsidR="00095E5A">
              <w:rPr>
                <w:b w:val="0"/>
              </w:rPr>
              <w:t>10.</w:t>
            </w:r>
            <w:r w:rsidR="0078724D">
              <w:rPr>
                <w:b w:val="0"/>
                <w:noProof/>
              </w:rPr>
              <w:t>12</w:t>
            </w:r>
            <w:r>
              <w:tab/>
            </w:r>
            <w:r w:rsidRPr="00271E49">
              <w:t>Management of upper respiratory tract infection</w:t>
            </w:r>
          </w:p>
        </w:tc>
      </w:tr>
      <w:tr w:rsidR="003F7095" w:rsidTr="00867BB6">
        <w:trPr>
          <w:cantSplit/>
        </w:trPr>
        <w:tc>
          <w:tcPr>
            <w:tcW w:w="8771" w:type="dxa"/>
            <w:tcBorders>
              <w:top w:val="nil"/>
              <w:left w:val="nil"/>
              <w:bottom w:val="nil"/>
              <w:right w:val="nil"/>
            </w:tcBorders>
            <w:shd w:val="clear" w:color="auto" w:fill="F2F2F2" w:themeFill="background1" w:themeFillShade="F2"/>
          </w:tcPr>
          <w:p w:rsidR="003F7095" w:rsidRDefault="003F7095" w:rsidP="00867BB6">
            <w:pPr>
              <w:pStyle w:val="Box"/>
            </w:pPr>
            <w:r w:rsidRPr="00F33400">
              <w:t xml:space="preserve">‘Management of acute upper respiratory tract infection’ </w:t>
            </w:r>
            <w:r>
              <w:t xml:space="preserve">(URTI) </w:t>
            </w:r>
            <w:r w:rsidRPr="00F33400">
              <w:t>is defined by two measures:</w:t>
            </w:r>
          </w:p>
          <w:p w:rsidR="003F7095" w:rsidRDefault="003F7095" w:rsidP="00867BB6">
            <w:pPr>
              <w:pStyle w:val="BoxListBullet"/>
            </w:pPr>
            <w:r>
              <w:t>filled GP prescriptions for selected antibiotics (those oral antibiotics most commonly prescribed to treat URTI) per 1000 people</w:t>
            </w:r>
          </w:p>
          <w:p w:rsidR="003F7095" w:rsidRPr="00426009" w:rsidRDefault="003F7095" w:rsidP="00867BB6">
            <w:pPr>
              <w:pStyle w:val="BoxListBullet"/>
            </w:pPr>
            <w:r>
              <w:t>proportion of visits to GPs for acute URTI where systemic antibiotics are prescribed.</w:t>
            </w:r>
          </w:p>
          <w:p w:rsidR="003F7095" w:rsidRDefault="003F7095" w:rsidP="00867BB6">
            <w:pPr>
              <w:pStyle w:val="Box"/>
            </w:pPr>
            <w:r>
              <w:t>L</w:t>
            </w:r>
            <w:r w:rsidRPr="00F33400">
              <w:t>ow or decreasing rate</w:t>
            </w:r>
            <w:r>
              <w:t>s</w:t>
            </w:r>
            <w:r w:rsidRPr="00F33400">
              <w:t xml:space="preserve"> of</w:t>
            </w:r>
            <w:r>
              <w:t xml:space="preserve"> </w:t>
            </w:r>
            <w:r w:rsidRPr="00F33400">
              <w:t>prescription</w:t>
            </w:r>
            <w:r>
              <w:t xml:space="preserve"> of</w:t>
            </w:r>
            <w:r w:rsidRPr="00F33400">
              <w:t xml:space="preserve"> the selected antibiotics </w:t>
            </w:r>
            <w:r>
              <w:t xml:space="preserve">and </w:t>
            </w:r>
            <w:r w:rsidRPr="00F33400">
              <w:t xml:space="preserve">acute URTI GP visits where systemic antibiotics are prescribed can indicate that GPs’ management of </w:t>
            </w:r>
            <w:r>
              <w:t xml:space="preserve">acute </w:t>
            </w:r>
            <w:r w:rsidRPr="00F33400">
              <w:t>URTI more closely follows guidelines.</w:t>
            </w:r>
          </w:p>
          <w:p w:rsidR="003F7095" w:rsidRDefault="003F7095" w:rsidP="00867BB6">
            <w:pPr>
              <w:pStyle w:val="Box"/>
            </w:pPr>
            <w:r>
              <w:t>URTI without complication (acute URTI or the ‘common cold’) is most often caused by a virus. Antibiotics have no efficacy in the treatment of viral infections, but are nevertheless often prescribed for their treatment. Unnecessarily high rates of antibiotic prescription have the potential to increase both pharmaceutical costs and antibiotic resistance in the community</w:t>
            </w:r>
            <w:r w:rsidR="0097450A">
              <w:t xml:space="preserve"> (</w:t>
            </w:r>
            <w:r w:rsidR="007B082F">
              <w:t>Tamma and Cosgrove</w:t>
            </w:r>
            <w:r w:rsidR="0097450A">
              <w:t xml:space="preserve"> 2014)</w:t>
            </w:r>
            <w:r>
              <w:t>.</w:t>
            </w:r>
          </w:p>
          <w:p w:rsidR="003F7095" w:rsidRDefault="003F7095" w:rsidP="00867BB6">
            <w:pPr>
              <w:pStyle w:val="Box"/>
            </w:pPr>
            <w:r w:rsidRPr="00A97F84">
              <w:t xml:space="preserve">Data </w:t>
            </w:r>
            <w:r>
              <w:t xml:space="preserve">reported </w:t>
            </w:r>
            <w:r w:rsidRPr="00A97F84">
              <w:t>for this indicator are</w:t>
            </w:r>
            <w:r>
              <w:t>:</w:t>
            </w:r>
          </w:p>
          <w:p w:rsidR="003F7095" w:rsidRDefault="003F7095" w:rsidP="00706BB0">
            <w:pPr>
              <w:pStyle w:val="BoxListBullet"/>
            </w:pPr>
            <w:r w:rsidRPr="00065D58">
              <w:t>comparable (subject to caveats) across jurisdictions and over time</w:t>
            </w:r>
            <w:r w:rsidR="00706BB0">
              <w:t xml:space="preserve"> </w:t>
            </w:r>
            <w:r w:rsidR="00706BB0" w:rsidRPr="00706BB0">
              <w:t xml:space="preserve">but a break in time series means that data from 2012-13 are not comparable to data for previous years for the measure </w:t>
            </w:r>
            <w:r w:rsidR="00706BB0">
              <w:t>filled GP prescriptions for selected antibiotics</w:t>
            </w:r>
          </w:p>
          <w:p w:rsidR="003F7095" w:rsidRDefault="003F7095" w:rsidP="00867BB6">
            <w:pPr>
              <w:pStyle w:val="BoxListBullet"/>
            </w:pPr>
            <w:r w:rsidRPr="00065D58">
              <w:t xml:space="preserve">complete (subject to caveats) for the current reporting period. All required </w:t>
            </w:r>
            <w:r>
              <w:t>201</w:t>
            </w:r>
            <w:r w:rsidR="00C947DC">
              <w:t>3</w:t>
            </w:r>
            <w:r>
              <w:noBreakHyphen/>
              <w:t>1</w:t>
            </w:r>
            <w:r w:rsidR="00C947DC">
              <w:t>4</w:t>
            </w:r>
            <w:r w:rsidRPr="00065D58">
              <w:t xml:space="preserve"> data are available for all jurisdictions</w:t>
            </w:r>
            <w:r>
              <w:t>.</w:t>
            </w:r>
          </w:p>
          <w:p w:rsidR="003F7095" w:rsidRDefault="003F7095" w:rsidP="00F25AAD">
            <w:pPr>
              <w:pStyle w:val="Box"/>
            </w:pPr>
            <w:r w:rsidRPr="00A73D31">
              <w:t>Data quality information for the measure filled GP prescriptions for selected antibiotics is at www.pc.gov.a</w:t>
            </w:r>
            <w:r w:rsidR="00786AB7">
              <w:t>u</w:t>
            </w:r>
            <w:r w:rsidRPr="00A73D31">
              <w:t>/rogs/201</w:t>
            </w:r>
            <w:r w:rsidR="00F25AAD">
              <w:t>5</w:t>
            </w:r>
            <w:r w:rsidRPr="00A73D31">
              <w:t xml:space="preserve">. Data quality information for the measure acute URTI GP visits where systemic antibiotics are prescribed is under </w:t>
            </w:r>
            <w:r w:rsidRPr="00DF389D">
              <w:t>development.</w:t>
            </w:r>
          </w:p>
        </w:tc>
      </w:tr>
      <w:tr w:rsidR="003F7095" w:rsidTr="00867BB6">
        <w:trPr>
          <w:cantSplit/>
        </w:trPr>
        <w:tc>
          <w:tcPr>
            <w:tcW w:w="8771" w:type="dxa"/>
            <w:tcBorders>
              <w:top w:val="nil"/>
              <w:left w:val="nil"/>
              <w:bottom w:val="single" w:sz="6" w:space="0" w:color="78A22F"/>
              <w:right w:val="nil"/>
            </w:tcBorders>
            <w:shd w:val="clear" w:color="auto" w:fill="F2F2F2" w:themeFill="background1" w:themeFillShade="F2"/>
          </w:tcPr>
          <w:p w:rsidR="003F7095" w:rsidRDefault="003F7095">
            <w:pPr>
              <w:pStyle w:val="Box"/>
              <w:spacing w:before="0" w:line="120" w:lineRule="exact"/>
            </w:pPr>
          </w:p>
        </w:tc>
      </w:tr>
      <w:tr w:rsidR="003F7095" w:rsidRPr="000863A5" w:rsidTr="00867BB6">
        <w:tc>
          <w:tcPr>
            <w:tcW w:w="8771" w:type="dxa"/>
            <w:tcBorders>
              <w:top w:val="single" w:sz="6" w:space="0" w:color="78A22F"/>
              <w:left w:val="nil"/>
              <w:bottom w:val="nil"/>
              <w:right w:val="nil"/>
            </w:tcBorders>
          </w:tcPr>
          <w:p w:rsidR="003F7095" w:rsidRPr="00626D32" w:rsidRDefault="003F7095" w:rsidP="00867BB6">
            <w:pPr>
              <w:pStyle w:val="BoxSpaceBelow"/>
            </w:pPr>
          </w:p>
        </w:tc>
      </w:tr>
    </w:tbl>
    <w:p w:rsidR="007B3CF8" w:rsidRDefault="007B3CF8" w:rsidP="007B3CF8">
      <w:pPr>
        <w:pStyle w:val="Heading5"/>
      </w:pPr>
      <w:r w:rsidRPr="004B2F04">
        <w:t>Rate of prescription of selected antibiotics</w:t>
      </w:r>
    </w:p>
    <w:p w:rsidR="007B3CF8" w:rsidRDefault="007B3CF8" w:rsidP="007B3CF8">
      <w:pPr>
        <w:pStyle w:val="BodyText"/>
      </w:pPr>
      <w:r>
        <w:t xml:space="preserve">Caution should be used in interpreting the rate of </w:t>
      </w:r>
      <w:r w:rsidRPr="00766884">
        <w:t>prescription of the selected antibiotics</w:t>
      </w:r>
      <w:r>
        <w:t xml:space="preserve"> as the oral antibiotics most commonly prescribed to treat acute URTI are also prescribed for other illnesses. Information about the condition for which the antibiotics are prescribed is not available. </w:t>
      </w:r>
    </w:p>
    <w:p w:rsidR="00EC46A1" w:rsidRDefault="007B3CF8" w:rsidP="007B3CF8">
      <w:pPr>
        <w:pStyle w:val="BodyText"/>
      </w:pPr>
      <w:r>
        <w:t xml:space="preserve">Nationally, the prescription rate for the oral antibiotics most commonly used </w:t>
      </w:r>
      <w:r>
        <w:br/>
        <w:t xml:space="preserve">to treat acute URTI was </w:t>
      </w:r>
      <w:r w:rsidRPr="009967E7">
        <w:t>29</w:t>
      </w:r>
      <w:r w:rsidR="008C105F">
        <w:t>5</w:t>
      </w:r>
      <w:r w:rsidRPr="009967E7">
        <w:t xml:space="preserve"> per 1000 people in 201</w:t>
      </w:r>
      <w:r w:rsidR="00F6669C">
        <w:t>3</w:t>
      </w:r>
      <w:r w:rsidRPr="009967E7">
        <w:t>-1</w:t>
      </w:r>
      <w:r w:rsidR="00F6669C">
        <w:t>4</w:t>
      </w:r>
      <w:r w:rsidRPr="009967E7">
        <w:t xml:space="preserve"> (</w:t>
      </w:r>
      <w:r w:rsidR="001048E2">
        <w:t>figure 10.2</w:t>
      </w:r>
      <w:r w:rsidR="00A46D38">
        <w:t>2</w:t>
      </w:r>
      <w:r w:rsidR="001048E2">
        <w:t>;</w:t>
      </w:r>
      <w:r w:rsidR="00D629CB">
        <w:t xml:space="preserve"> table 10A.5</w:t>
      </w:r>
      <w:r w:rsidR="00AE2987">
        <w:t>3</w:t>
      </w:r>
      <w:r>
        <w:t>).</w:t>
      </w:r>
    </w:p>
    <w:p w:rsidR="00EC46A1" w:rsidRDefault="00EC46A1" w:rsidP="005B0C7F">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C46A1" w:rsidTr="005B0C7F">
        <w:tc>
          <w:tcPr>
            <w:tcW w:w="8771" w:type="dxa"/>
            <w:tcBorders>
              <w:top w:val="single" w:sz="6" w:space="0" w:color="78A22F"/>
              <w:left w:val="nil"/>
              <w:bottom w:val="nil"/>
              <w:right w:val="nil"/>
            </w:tcBorders>
            <w:shd w:val="clear" w:color="auto" w:fill="auto"/>
          </w:tcPr>
          <w:p w:rsidR="00EC46A1" w:rsidRPr="00A05924" w:rsidRDefault="00EC46A1" w:rsidP="00EC46A1">
            <w:pPr>
              <w:pStyle w:val="FigureTitle"/>
              <w:rPr>
                <w:rStyle w:val="NoteLabel"/>
              </w:rPr>
            </w:pPr>
            <w:r w:rsidRPr="00784A05">
              <w:rPr>
                <w:b w:val="0"/>
              </w:rPr>
              <w:t xml:space="preserve">Figure </w:t>
            </w:r>
            <w:r>
              <w:rPr>
                <w:b w:val="0"/>
              </w:rPr>
              <w:t>10.</w:t>
            </w:r>
            <w:r w:rsidR="0078724D">
              <w:rPr>
                <w:b w:val="0"/>
                <w:noProof/>
              </w:rPr>
              <w:t>22</w:t>
            </w:r>
            <w:r>
              <w:tab/>
              <w:t xml:space="preserve">Rate of prescription of oral antibiotics </w:t>
            </w:r>
            <w:r w:rsidR="00A05924" w:rsidRPr="00A05924">
              <w:t xml:space="preserve">used most commonly to treat acute upper respiratory tract </w:t>
            </w:r>
            <w:r w:rsidR="00A05924">
              <w:t>infection</w:t>
            </w:r>
            <w:r w:rsidR="00A05924" w:rsidRPr="00A05924">
              <w:rPr>
                <w:rStyle w:val="NoteLabel"/>
                <w:b/>
              </w:rPr>
              <w:t>a, b</w:t>
            </w:r>
            <w:r w:rsidR="00A05924">
              <w:rPr>
                <w:rStyle w:val="NoteLabel"/>
                <w:b/>
              </w:rPr>
              <w:t>, c</w:t>
            </w:r>
          </w:p>
        </w:tc>
      </w:tr>
      <w:tr w:rsidR="00EC46A1" w:rsidTr="005B0C7F">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EC46A1" w:rsidTr="005B0C7F">
              <w:trPr>
                <w:jc w:val="center"/>
              </w:trPr>
              <w:tc>
                <w:tcPr>
                  <w:tcW w:w="5000" w:type="pct"/>
                  <w:tcBorders>
                    <w:top w:val="nil"/>
                    <w:bottom w:val="nil"/>
                  </w:tcBorders>
                </w:tcPr>
                <w:p w:rsidR="00EC46A1" w:rsidRDefault="00583B5D" w:rsidP="005B0C7F">
                  <w:pPr>
                    <w:pStyle w:val="Figure"/>
                    <w:spacing w:before="60" w:after="60"/>
                  </w:pPr>
                  <w:r>
                    <w:rPr>
                      <w:noProof/>
                    </w:rPr>
                    <w:drawing>
                      <wp:inline distT="0" distB="0" distL="0" distR="0">
                        <wp:extent cx="5391150" cy="2886075"/>
                        <wp:effectExtent l="0" t="0" r="0" b="9525"/>
                        <wp:docPr id="31" name="Picture 31" descr="Figure 10.22 Rate of prescription of oral antibiotics used most commonly to treat acute upper respiratory tract infection&#10;&#10;More details can be found within the text surrounding this image.&#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391150" cy="2886075"/>
                                </a:xfrm>
                                <a:prstGeom prst="rect">
                                  <a:avLst/>
                                </a:prstGeom>
                                <a:noFill/>
                                <a:ln>
                                  <a:noFill/>
                                </a:ln>
                              </pic:spPr>
                            </pic:pic>
                          </a:graphicData>
                        </a:graphic>
                      </wp:inline>
                    </w:drawing>
                  </w:r>
                </w:p>
              </w:tc>
            </w:tr>
          </w:tbl>
          <w:p w:rsidR="00EC46A1" w:rsidRDefault="00EC46A1" w:rsidP="005B0C7F">
            <w:pPr>
              <w:pStyle w:val="Figure"/>
            </w:pPr>
          </w:p>
        </w:tc>
      </w:tr>
      <w:tr w:rsidR="00EC46A1" w:rsidRPr="00176D3F" w:rsidTr="005B0C7F">
        <w:tc>
          <w:tcPr>
            <w:tcW w:w="8771" w:type="dxa"/>
            <w:tcBorders>
              <w:top w:val="nil"/>
              <w:left w:val="nil"/>
              <w:bottom w:val="nil"/>
              <w:right w:val="nil"/>
            </w:tcBorders>
            <w:shd w:val="clear" w:color="auto" w:fill="auto"/>
          </w:tcPr>
          <w:p w:rsidR="00EC46A1" w:rsidRPr="00EC46A1" w:rsidRDefault="00EC46A1" w:rsidP="00971ACF">
            <w:pPr>
              <w:pStyle w:val="Note"/>
            </w:pPr>
            <w:r w:rsidRPr="00EC46A1">
              <w:rPr>
                <w:rStyle w:val="NoteLabel"/>
              </w:rPr>
              <w:t>a</w:t>
            </w:r>
            <w:r w:rsidRPr="00EC46A1">
              <w:t xml:space="preserve"> Prescriptions ordered by vocationally registered GPs and other medical practitioners (OMPs) and dispensed. </w:t>
            </w:r>
            <w:r w:rsidRPr="00EC46A1">
              <w:rPr>
                <w:rStyle w:val="NoteLabel"/>
              </w:rPr>
              <w:t xml:space="preserve">b </w:t>
            </w:r>
            <w:r w:rsidRPr="00EC46A1">
              <w:t>Data are not limited to prescriptions for treatment of upper respiratory tract infection.</w:t>
            </w:r>
            <w:r>
              <w:t xml:space="preserve"> </w:t>
            </w:r>
            <w:r>
              <w:rPr>
                <w:rStyle w:val="NoteLabel"/>
              </w:rPr>
              <w:t xml:space="preserve">c </w:t>
            </w:r>
            <w:r w:rsidRPr="00EC46A1">
              <w:t>Data</w:t>
            </w:r>
            <w:r w:rsidR="00A05924">
              <w:t xml:space="preserve"> from 2012-13 are for all people and are not comparable with data for previous years that were limited to prescriptions provided to holders of concession cards</w:t>
            </w:r>
            <w:r w:rsidR="00D629CB">
              <w:t xml:space="preserve">, and are reported in </w:t>
            </w:r>
            <w:r w:rsidR="003F0CA0">
              <w:t>table 10A.5</w:t>
            </w:r>
            <w:r w:rsidR="00971ACF">
              <w:t>4</w:t>
            </w:r>
            <w:r w:rsidR="00A05924">
              <w:t>.</w:t>
            </w:r>
          </w:p>
        </w:tc>
      </w:tr>
      <w:tr w:rsidR="00EC46A1" w:rsidRPr="00176D3F" w:rsidTr="005B0C7F">
        <w:tc>
          <w:tcPr>
            <w:tcW w:w="8771" w:type="dxa"/>
            <w:tcBorders>
              <w:top w:val="nil"/>
              <w:left w:val="nil"/>
              <w:bottom w:val="nil"/>
              <w:right w:val="nil"/>
            </w:tcBorders>
            <w:shd w:val="clear" w:color="auto" w:fill="auto"/>
          </w:tcPr>
          <w:p w:rsidR="00EC46A1" w:rsidRPr="00176D3F" w:rsidRDefault="00EC46A1" w:rsidP="00C45C95">
            <w:pPr>
              <w:pStyle w:val="Source"/>
            </w:pPr>
            <w:r>
              <w:rPr>
                <w:i/>
              </w:rPr>
              <w:t>S</w:t>
            </w:r>
            <w:r w:rsidRPr="00784A05">
              <w:rPr>
                <w:i/>
              </w:rPr>
              <w:t>ource</w:t>
            </w:r>
            <w:r w:rsidRPr="00176D3F">
              <w:t xml:space="preserve">: </w:t>
            </w:r>
            <w:r w:rsidRPr="00EC46A1">
              <w:t>Department of Health unpublished, PBS Statistics</w:t>
            </w:r>
            <w:r w:rsidR="00A05924">
              <w:t>; table 10A.5</w:t>
            </w:r>
            <w:r w:rsidR="00AE2987">
              <w:t>3</w:t>
            </w:r>
            <w:r>
              <w:t>.</w:t>
            </w:r>
          </w:p>
        </w:tc>
      </w:tr>
      <w:tr w:rsidR="00EC46A1" w:rsidTr="005B0C7F">
        <w:tc>
          <w:tcPr>
            <w:tcW w:w="8771" w:type="dxa"/>
            <w:tcBorders>
              <w:top w:val="nil"/>
              <w:left w:val="nil"/>
              <w:bottom w:val="single" w:sz="6" w:space="0" w:color="78A22F"/>
              <w:right w:val="nil"/>
            </w:tcBorders>
            <w:shd w:val="clear" w:color="auto" w:fill="auto"/>
          </w:tcPr>
          <w:p w:rsidR="00EC46A1" w:rsidRDefault="00EC46A1" w:rsidP="005B0C7F">
            <w:pPr>
              <w:pStyle w:val="Figurespace"/>
            </w:pPr>
          </w:p>
        </w:tc>
      </w:tr>
      <w:tr w:rsidR="00EC46A1" w:rsidRPr="000863A5" w:rsidTr="005B0C7F">
        <w:tc>
          <w:tcPr>
            <w:tcW w:w="8771" w:type="dxa"/>
            <w:tcBorders>
              <w:top w:val="single" w:sz="6" w:space="0" w:color="78A22F"/>
              <w:left w:val="nil"/>
              <w:bottom w:val="nil"/>
              <w:right w:val="nil"/>
            </w:tcBorders>
          </w:tcPr>
          <w:p w:rsidR="00EC46A1" w:rsidRPr="00626D32" w:rsidRDefault="00EC46A1" w:rsidP="005B0C7F">
            <w:pPr>
              <w:pStyle w:val="BoxSpaceBelow"/>
            </w:pPr>
          </w:p>
        </w:tc>
      </w:tr>
    </w:tbl>
    <w:p w:rsidR="002C44D9" w:rsidRDefault="002C44D9" w:rsidP="002C44D9">
      <w:pPr>
        <w:pStyle w:val="Heading5"/>
      </w:pPr>
      <w:r w:rsidRPr="002C44D9">
        <w:t>Proportion of GP visits for acute URTI where systemic antibiotics are prescribed</w:t>
      </w:r>
    </w:p>
    <w:p w:rsidR="002C44D9" w:rsidRPr="00914420" w:rsidRDefault="002C44D9" w:rsidP="00E74CB8">
      <w:pPr>
        <w:pStyle w:val="BodyText"/>
      </w:pPr>
      <w:r w:rsidRPr="00914420">
        <w:t xml:space="preserve">Data for the proportion of GP visits for acute URTI where systemic antibiotics are prescribed are available at </w:t>
      </w:r>
      <w:r w:rsidR="0037103E" w:rsidRPr="00914420">
        <w:t>State/Territory level</w:t>
      </w:r>
      <w:r w:rsidRPr="00914420">
        <w:t>, from the annual BEACH survey of general practice activity in Australia.</w:t>
      </w:r>
    </w:p>
    <w:p w:rsidR="00EA7A83" w:rsidRDefault="002C44D9" w:rsidP="00EA7A83">
      <w:pPr>
        <w:pStyle w:val="BodyText"/>
      </w:pPr>
      <w:r w:rsidRPr="00914420">
        <w:t xml:space="preserve">The BEACH survey collects information on the reason for the GP visit as well as the treatment prescribed or provided. This allows derivation of the proportion of visits to GPs for acute URTI for which systemic antibiotics were prescribed or supplied. Each year, the national BEACH sample comprises around 1000 GPs, each providing data for around 100 patient visits. </w:t>
      </w:r>
      <w:r w:rsidR="007E4C19" w:rsidRPr="00914420">
        <w:t>A</w:t>
      </w:r>
      <w:r w:rsidRPr="00914420">
        <w:t>ggregat</w:t>
      </w:r>
      <w:r w:rsidR="007E4C19" w:rsidRPr="00914420">
        <w:t>ion of data</w:t>
      </w:r>
      <w:r w:rsidRPr="00914420">
        <w:t xml:space="preserve"> for a period of </w:t>
      </w:r>
      <w:r w:rsidR="001521CE" w:rsidRPr="00914420">
        <w:t>5 </w:t>
      </w:r>
      <w:r w:rsidRPr="00914420">
        <w:t>years allow</w:t>
      </w:r>
      <w:r w:rsidR="007E4C19" w:rsidRPr="00914420">
        <w:t>s</w:t>
      </w:r>
      <w:r w:rsidRPr="00914420">
        <w:t xml:space="preserve"> publication of data for all States and Territories (</w:t>
      </w:r>
      <w:r w:rsidR="00897589" w:rsidRPr="00914420">
        <w:t>figure 10.</w:t>
      </w:r>
      <w:r w:rsidR="00360BA5" w:rsidRPr="00914420">
        <w:t>2</w:t>
      </w:r>
      <w:r w:rsidR="00C066EE">
        <w:t>3</w:t>
      </w:r>
      <w:r w:rsidRPr="00914420">
        <w:t>).</w:t>
      </w:r>
      <w:r w:rsidR="00444E24" w:rsidRPr="00914420">
        <w:t xml:space="preserve"> </w:t>
      </w:r>
      <w:r w:rsidR="00DD2EF4" w:rsidRPr="00914420">
        <w:t>This has some limitations — short-term change will be reflected only if sub</w:t>
      </w:r>
      <w:r w:rsidR="007E4C19" w:rsidRPr="00914420">
        <w:t>stantive when averaged over a 5 </w:t>
      </w:r>
      <w:r w:rsidR="00DD2EF4" w:rsidRPr="00914420">
        <w:t xml:space="preserve">year period, and proximate causes </w:t>
      </w:r>
      <w:r w:rsidR="007E4C19" w:rsidRPr="00914420">
        <w:t xml:space="preserve">of change </w:t>
      </w:r>
      <w:r w:rsidR="00DD2EF4" w:rsidRPr="00914420">
        <w:t xml:space="preserve">will not be directly identifiable. These limitations are </w:t>
      </w:r>
      <w:r w:rsidR="007E4C19" w:rsidRPr="00914420">
        <w:t xml:space="preserve">to a degree </w:t>
      </w:r>
      <w:r w:rsidR="00DD2EF4" w:rsidRPr="00914420">
        <w:t xml:space="preserve">mitigated by </w:t>
      </w:r>
      <w:r w:rsidR="007E4C19" w:rsidRPr="00914420">
        <w:t xml:space="preserve">the </w:t>
      </w:r>
      <w:r w:rsidR="00DD2EF4" w:rsidRPr="00914420">
        <w:t xml:space="preserve">reporting </w:t>
      </w:r>
      <w:r w:rsidR="007E4C19" w:rsidRPr="00914420">
        <w:t xml:space="preserve">of data for each year in the reference period at the </w:t>
      </w:r>
      <w:r w:rsidR="00DD2EF4" w:rsidRPr="00914420">
        <w:t xml:space="preserve">national </w:t>
      </w:r>
      <w:r w:rsidR="007E4C19" w:rsidRPr="00914420">
        <w:t>level</w:t>
      </w:r>
      <w:r w:rsidR="00DD2EF4" w:rsidRPr="00914420">
        <w:t xml:space="preserve">. </w:t>
      </w:r>
      <w:r w:rsidR="007E4C19" w:rsidRPr="00914420">
        <w:t xml:space="preserve">This </w:t>
      </w:r>
      <w:r w:rsidR="00DD2EF4" w:rsidRPr="00914420">
        <w:t xml:space="preserve">will assist in interpreting whether change </w:t>
      </w:r>
      <w:r w:rsidR="007E4C19" w:rsidRPr="00914420">
        <w:t xml:space="preserve">reflected </w:t>
      </w:r>
      <w:r w:rsidR="00DD2EF4" w:rsidRPr="00914420">
        <w:t xml:space="preserve">over rolling 5 year periods is due to substantive </w:t>
      </w:r>
      <w:r w:rsidR="007E4C19" w:rsidRPr="00914420">
        <w:t>short</w:t>
      </w:r>
      <w:r w:rsidR="007E4C19" w:rsidRPr="00914420">
        <w:noBreakHyphen/>
      </w:r>
      <w:r w:rsidR="00DD2EF4" w:rsidRPr="00914420">
        <w:t>term change or to incremental change over several years.</w:t>
      </w:r>
    </w:p>
    <w:p w:rsidR="00C849ED" w:rsidRDefault="00311CC8" w:rsidP="00C719CC">
      <w:pPr>
        <w:pStyle w:val="BodyText"/>
      </w:pPr>
      <w:r>
        <w:t>The</w:t>
      </w:r>
      <w:r w:rsidR="00C849ED">
        <w:t xml:space="preserve"> proportion of people </w:t>
      </w:r>
      <w:r w:rsidR="00970C6D">
        <w:t>presenting</w:t>
      </w:r>
      <w:r w:rsidR="00C849ED">
        <w:t xml:space="preserve"> to GPs for acute URTI</w:t>
      </w:r>
      <w:r w:rsidR="00970C6D">
        <w:t xml:space="preserve"> who were prescribed </w:t>
      </w:r>
      <w:r w:rsidR="00C849ED">
        <w:t xml:space="preserve"> </w:t>
      </w:r>
      <w:r w:rsidR="00BD4D56">
        <w:br/>
      </w:r>
      <w:r w:rsidR="00C849ED">
        <w:t>systemic antibiotics</w:t>
      </w:r>
      <w:r w:rsidR="008051E1">
        <w:t xml:space="preserve"> </w:t>
      </w:r>
      <w:r w:rsidR="00C849ED">
        <w:t xml:space="preserve">for its treatment </w:t>
      </w:r>
      <w:r w:rsidR="00BD4D56">
        <w:t xml:space="preserve">decreased </w:t>
      </w:r>
      <w:r>
        <w:t>at the national level</w:t>
      </w:r>
      <w:r w:rsidR="00970C6D">
        <w:t>,</w:t>
      </w:r>
      <w:r>
        <w:t xml:space="preserve"> </w:t>
      </w:r>
      <w:r w:rsidR="00BD4D56">
        <w:t>from 32.4 per cent for the 5</w:t>
      </w:r>
      <w:r>
        <w:t> </w:t>
      </w:r>
      <w:r w:rsidR="00BD4D56">
        <w:t>years April 2006</w:t>
      </w:r>
      <w:r w:rsidR="00BD4D56" w:rsidRPr="004949BF">
        <w:t xml:space="preserve"> to March 201</w:t>
      </w:r>
      <w:r w:rsidR="00BD4D56">
        <w:t>1 to</w:t>
      </w:r>
      <w:r w:rsidR="00C849ED" w:rsidRPr="004949BF">
        <w:t xml:space="preserve"> 3</w:t>
      </w:r>
      <w:r w:rsidR="00C719CC">
        <w:t>0</w:t>
      </w:r>
      <w:r w:rsidR="00C849ED" w:rsidRPr="004949BF">
        <w:t xml:space="preserve">.5 per cent </w:t>
      </w:r>
      <w:r w:rsidR="00C719CC">
        <w:t>for the 5 years April 20</w:t>
      </w:r>
      <w:r w:rsidR="00F7479F">
        <w:t>09</w:t>
      </w:r>
      <w:r w:rsidR="006D741A">
        <w:t xml:space="preserve"> to March </w:t>
      </w:r>
      <w:r w:rsidR="00C719CC" w:rsidRPr="004949BF">
        <w:t>201</w:t>
      </w:r>
      <w:r w:rsidR="00C719CC">
        <w:t>4</w:t>
      </w:r>
      <w:r>
        <w:t>, reflecting a</w:t>
      </w:r>
      <w:r w:rsidR="008051E1">
        <w:t>n</w:t>
      </w:r>
      <w:r>
        <w:t xml:space="preserve"> </w:t>
      </w:r>
      <w:r w:rsidR="008051E1">
        <w:t xml:space="preserve">overall </w:t>
      </w:r>
      <w:r>
        <w:t xml:space="preserve">decreasing trend in most states and territories for the same period </w:t>
      </w:r>
      <w:r w:rsidRPr="004949BF">
        <w:t>(</w:t>
      </w:r>
      <w:r>
        <w:t>figure 10.</w:t>
      </w:r>
      <w:r w:rsidRPr="004949BF">
        <w:t>2</w:t>
      </w:r>
      <w:r w:rsidR="00C066EE">
        <w:t>3</w:t>
      </w:r>
      <w:r w:rsidRPr="004949BF">
        <w:t>)</w:t>
      </w:r>
      <w:r w:rsidR="008051E1">
        <w:t>.</w:t>
      </w:r>
    </w:p>
    <w:p w:rsidR="00284E6F" w:rsidRDefault="00284E6F" w:rsidP="0067713D">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284E6F" w:rsidTr="0067713D">
        <w:tc>
          <w:tcPr>
            <w:tcW w:w="8771" w:type="dxa"/>
            <w:tcBorders>
              <w:top w:val="single" w:sz="6" w:space="0" w:color="78A22F"/>
              <w:left w:val="nil"/>
              <w:bottom w:val="nil"/>
              <w:right w:val="nil"/>
            </w:tcBorders>
            <w:shd w:val="clear" w:color="auto" w:fill="auto"/>
          </w:tcPr>
          <w:p w:rsidR="00284E6F" w:rsidRPr="00176D3F" w:rsidRDefault="00284E6F" w:rsidP="00284E6F">
            <w:pPr>
              <w:pStyle w:val="FigureTitle"/>
            </w:pPr>
            <w:r w:rsidRPr="00784A05">
              <w:rPr>
                <w:b w:val="0"/>
              </w:rPr>
              <w:t xml:space="preserve">Figure </w:t>
            </w:r>
            <w:r w:rsidR="00DF255F">
              <w:rPr>
                <w:b w:val="0"/>
              </w:rPr>
              <w:t>10.</w:t>
            </w:r>
            <w:r w:rsidR="0078724D">
              <w:rPr>
                <w:b w:val="0"/>
                <w:noProof/>
              </w:rPr>
              <w:t>23</w:t>
            </w:r>
            <w:r>
              <w:tab/>
            </w:r>
            <w:r w:rsidRPr="00E06A72">
              <w:t>Proportion of acute URTI managements where systemic antibiotics were prescribed</w:t>
            </w:r>
            <w:r w:rsidRPr="00444E24">
              <w:rPr>
                <w:rStyle w:val="NoteLabel"/>
                <w:b/>
              </w:rPr>
              <w:t>a, b</w:t>
            </w:r>
          </w:p>
        </w:tc>
      </w:tr>
      <w:tr w:rsidR="00284E6F" w:rsidTr="0067713D">
        <w:tc>
          <w:tcPr>
            <w:tcW w:w="8771" w:type="dxa"/>
            <w:tcBorders>
              <w:top w:val="nil"/>
              <w:left w:val="nil"/>
              <w:bottom w:val="nil"/>
              <w:right w:val="nil"/>
            </w:tcBorders>
            <w:shd w:val="clear" w:color="auto" w:fill="auto"/>
            <w:tcMar>
              <w:top w:w="28" w:type="dxa"/>
              <w:bottom w:w="28" w:type="dxa"/>
            </w:tcMar>
          </w:tcPr>
          <w:tbl>
            <w:tblPr>
              <w:tblW w:w="8625" w:type="dxa"/>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625"/>
            </w:tblGrid>
            <w:tr w:rsidR="00284E6F" w:rsidTr="000724C3">
              <w:tc>
                <w:tcPr>
                  <w:tcW w:w="5000" w:type="pct"/>
                  <w:tcBorders>
                    <w:top w:val="nil"/>
                    <w:bottom w:val="nil"/>
                  </w:tcBorders>
                </w:tcPr>
                <w:p w:rsidR="00284E6F" w:rsidRDefault="00583B5D" w:rsidP="0067713D">
                  <w:pPr>
                    <w:pStyle w:val="Figure"/>
                    <w:spacing w:before="60" w:after="60"/>
                  </w:pPr>
                  <w:r>
                    <w:rPr>
                      <w:noProof/>
                    </w:rPr>
                    <w:drawing>
                      <wp:inline distT="0" distB="0" distL="0" distR="0">
                        <wp:extent cx="5391150" cy="2886075"/>
                        <wp:effectExtent l="0" t="0" r="0" b="9525"/>
                        <wp:docPr id="32" name="Picture 32" descr="Figure 10.23 Proportion of acute URTI managements where systemic antibiotics were prescribed&#10;&#10;More details can be found within the text surrounding this image.&#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391150" cy="2886075"/>
                                </a:xfrm>
                                <a:prstGeom prst="rect">
                                  <a:avLst/>
                                </a:prstGeom>
                                <a:noFill/>
                                <a:ln>
                                  <a:noFill/>
                                </a:ln>
                              </pic:spPr>
                            </pic:pic>
                          </a:graphicData>
                        </a:graphic>
                      </wp:inline>
                    </w:drawing>
                  </w:r>
                </w:p>
              </w:tc>
            </w:tr>
          </w:tbl>
          <w:p w:rsidR="00284E6F" w:rsidRDefault="00284E6F" w:rsidP="0067713D">
            <w:pPr>
              <w:pStyle w:val="Figure"/>
            </w:pPr>
          </w:p>
        </w:tc>
      </w:tr>
      <w:tr w:rsidR="00284E6F" w:rsidRPr="00176D3F" w:rsidTr="0067713D">
        <w:tc>
          <w:tcPr>
            <w:tcW w:w="8771" w:type="dxa"/>
            <w:tcBorders>
              <w:top w:val="nil"/>
              <w:left w:val="nil"/>
              <w:bottom w:val="nil"/>
              <w:right w:val="nil"/>
            </w:tcBorders>
            <w:shd w:val="clear" w:color="auto" w:fill="auto"/>
          </w:tcPr>
          <w:p w:rsidR="00284E6F" w:rsidRPr="00176D3F" w:rsidRDefault="00284E6F" w:rsidP="0067713D">
            <w:pPr>
              <w:pStyle w:val="Note"/>
            </w:pPr>
            <w:r>
              <w:rPr>
                <w:rStyle w:val="NoteLabel"/>
              </w:rPr>
              <w:t>a</w:t>
            </w:r>
            <w:r w:rsidRPr="00444E24">
              <w:t xml:space="preserve"> </w:t>
            </w:r>
            <w:r>
              <w:t xml:space="preserve">Error bars represent the 95 per cent confidence interval associated with each point estimate. </w:t>
            </w:r>
            <w:r>
              <w:rPr>
                <w:rStyle w:val="NoteLabel"/>
              </w:rPr>
              <w:t>b</w:t>
            </w:r>
            <w:r w:rsidR="0066668C">
              <w:t> </w:t>
            </w:r>
            <w:r>
              <w:t>Participation in the survey is voluntary. Data are not necessarily representative of the prescribing behaviour of non</w:t>
            </w:r>
            <w:r>
              <w:noBreakHyphen/>
              <w:t>participating GPs.</w:t>
            </w:r>
          </w:p>
        </w:tc>
      </w:tr>
      <w:tr w:rsidR="00284E6F" w:rsidRPr="00176D3F" w:rsidTr="0067713D">
        <w:tc>
          <w:tcPr>
            <w:tcW w:w="8771" w:type="dxa"/>
            <w:tcBorders>
              <w:top w:val="nil"/>
              <w:left w:val="nil"/>
              <w:bottom w:val="nil"/>
              <w:right w:val="nil"/>
            </w:tcBorders>
            <w:shd w:val="clear" w:color="auto" w:fill="auto"/>
          </w:tcPr>
          <w:p w:rsidR="00284E6F" w:rsidRPr="00176D3F" w:rsidRDefault="00284E6F" w:rsidP="00971ACF">
            <w:pPr>
              <w:pStyle w:val="Source"/>
            </w:pPr>
            <w:r>
              <w:rPr>
                <w:i/>
              </w:rPr>
              <w:t>Source</w:t>
            </w:r>
            <w:r>
              <w:t>:</w:t>
            </w:r>
            <w:r w:rsidRPr="00444E24">
              <w:t xml:space="preserve"> </w:t>
            </w:r>
            <w:r>
              <w:t>Britt et al</w:t>
            </w:r>
            <w:r w:rsidR="00BB1838">
              <w:t>.</w:t>
            </w:r>
            <w:r>
              <w:t xml:space="preserve"> (unpublished) BEACH Statistics; table </w:t>
            </w:r>
            <w:r w:rsidR="00C9076B">
              <w:t>10A.</w:t>
            </w:r>
            <w:r>
              <w:t>5</w:t>
            </w:r>
            <w:r w:rsidR="00971ACF">
              <w:t>5</w:t>
            </w:r>
            <w:r w:rsidRPr="006C74C6">
              <w:t>.</w:t>
            </w:r>
          </w:p>
        </w:tc>
      </w:tr>
      <w:tr w:rsidR="00284E6F" w:rsidTr="0067713D">
        <w:tc>
          <w:tcPr>
            <w:tcW w:w="8771" w:type="dxa"/>
            <w:tcBorders>
              <w:top w:val="nil"/>
              <w:left w:val="nil"/>
              <w:bottom w:val="single" w:sz="6" w:space="0" w:color="78A22F"/>
              <w:right w:val="nil"/>
            </w:tcBorders>
            <w:shd w:val="clear" w:color="auto" w:fill="auto"/>
          </w:tcPr>
          <w:p w:rsidR="00284E6F" w:rsidRDefault="00284E6F" w:rsidP="0067713D">
            <w:pPr>
              <w:pStyle w:val="Figurespace"/>
            </w:pPr>
          </w:p>
        </w:tc>
      </w:tr>
      <w:tr w:rsidR="00284E6F" w:rsidRPr="000863A5" w:rsidTr="0067713D">
        <w:tc>
          <w:tcPr>
            <w:tcW w:w="8771" w:type="dxa"/>
            <w:tcBorders>
              <w:top w:val="single" w:sz="6" w:space="0" w:color="78A22F"/>
              <w:left w:val="nil"/>
              <w:bottom w:val="nil"/>
              <w:right w:val="nil"/>
            </w:tcBorders>
          </w:tcPr>
          <w:p w:rsidR="00284E6F" w:rsidRPr="00626D32" w:rsidRDefault="00284E6F" w:rsidP="0067713D">
            <w:pPr>
              <w:pStyle w:val="BoxSpaceBelow"/>
            </w:pPr>
          </w:p>
        </w:tc>
      </w:tr>
    </w:tbl>
    <w:p w:rsidR="008051E1" w:rsidRDefault="008051E1" w:rsidP="008051E1">
      <w:pPr>
        <w:pStyle w:val="BodyText"/>
      </w:pPr>
      <w:r>
        <w:t xml:space="preserve">Nationally, the proportion of acute URTI presentations for which systemic antibiotics were prescribed by GPs, in each 12 month period from April to the following </w:t>
      </w:r>
      <w:r w:rsidR="00FB4669">
        <w:t>March increased</w:t>
      </w:r>
      <w:r>
        <w:t xml:space="preserve"> from 29.6 per cent in 2009-</w:t>
      </w:r>
      <w:r w:rsidR="00FB4669">
        <w:t xml:space="preserve">10 to 32.8 per cent in 2011-12, decreasing to </w:t>
      </w:r>
      <w:r>
        <w:t>29.0 in 2013-14 (figure 10.2</w:t>
      </w:r>
      <w:r w:rsidR="004C6FAD">
        <w:t>4</w:t>
      </w:r>
      <w:r>
        <w:t>).</w:t>
      </w:r>
    </w:p>
    <w:p w:rsidR="008051E1" w:rsidRDefault="008051E1" w:rsidP="008051E1">
      <w:pPr>
        <w:pStyle w:val="BodyText"/>
      </w:pPr>
    </w:p>
    <w:p w:rsidR="00284E6F" w:rsidRDefault="00284E6F" w:rsidP="0067713D">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284E6F" w:rsidTr="0067713D">
        <w:tc>
          <w:tcPr>
            <w:tcW w:w="8771" w:type="dxa"/>
            <w:tcBorders>
              <w:top w:val="single" w:sz="6" w:space="0" w:color="78A22F"/>
              <w:left w:val="nil"/>
              <w:bottom w:val="nil"/>
              <w:right w:val="nil"/>
            </w:tcBorders>
            <w:shd w:val="clear" w:color="auto" w:fill="auto"/>
          </w:tcPr>
          <w:p w:rsidR="00284E6F" w:rsidRPr="0067713D" w:rsidRDefault="00284E6F" w:rsidP="0067713D">
            <w:pPr>
              <w:pStyle w:val="FigureTitle"/>
              <w:ind w:left="1560" w:hanging="1560"/>
              <w:rPr>
                <w:b w:val="0"/>
                <w:position w:val="6"/>
                <w:sz w:val="18"/>
              </w:rPr>
            </w:pPr>
            <w:r w:rsidRPr="00784A05">
              <w:rPr>
                <w:b w:val="0"/>
              </w:rPr>
              <w:t xml:space="preserve">Figure </w:t>
            </w:r>
            <w:r w:rsidR="00DF255F">
              <w:rPr>
                <w:b w:val="0"/>
              </w:rPr>
              <w:t>10.</w:t>
            </w:r>
            <w:r w:rsidR="0078724D">
              <w:rPr>
                <w:b w:val="0"/>
                <w:noProof/>
              </w:rPr>
              <w:t>24</w:t>
            </w:r>
            <w:r>
              <w:tab/>
            </w:r>
            <w:r w:rsidR="0067713D" w:rsidRPr="004B181C">
              <w:t>Proportion of acute URTI managements where systemic antibiotics were prescribed</w:t>
            </w:r>
            <w:r w:rsidR="0067713D">
              <w:t>, Australia</w:t>
            </w:r>
            <w:r w:rsidR="0067713D" w:rsidRPr="00444E24">
              <w:rPr>
                <w:rStyle w:val="NoteLabel"/>
                <w:b/>
              </w:rPr>
              <w:t>a, b</w:t>
            </w:r>
          </w:p>
        </w:tc>
      </w:tr>
      <w:tr w:rsidR="00284E6F" w:rsidTr="0067713D">
        <w:tc>
          <w:tcPr>
            <w:tcW w:w="8771" w:type="dxa"/>
            <w:tcBorders>
              <w:top w:val="nil"/>
              <w:left w:val="nil"/>
              <w:bottom w:val="nil"/>
              <w:right w:val="nil"/>
            </w:tcBorders>
            <w:shd w:val="clear" w:color="auto" w:fill="auto"/>
            <w:tcMar>
              <w:top w:w="28" w:type="dxa"/>
              <w:bottom w:w="28" w:type="dxa"/>
            </w:tcMar>
          </w:tcPr>
          <w:tbl>
            <w:tblPr>
              <w:tblW w:w="8625" w:type="dxa"/>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625"/>
            </w:tblGrid>
            <w:tr w:rsidR="00284E6F" w:rsidTr="00E74CB8">
              <w:tc>
                <w:tcPr>
                  <w:tcW w:w="5000" w:type="pct"/>
                  <w:tcBorders>
                    <w:top w:val="nil"/>
                    <w:bottom w:val="nil"/>
                  </w:tcBorders>
                </w:tcPr>
                <w:p w:rsidR="00284E6F" w:rsidRDefault="00583B5D" w:rsidP="0067713D">
                  <w:pPr>
                    <w:pStyle w:val="Figure"/>
                    <w:spacing w:before="60" w:after="60"/>
                  </w:pPr>
                  <w:r>
                    <w:rPr>
                      <w:noProof/>
                    </w:rPr>
                    <w:drawing>
                      <wp:inline distT="0" distB="0" distL="0" distR="0">
                        <wp:extent cx="5391150" cy="2876550"/>
                        <wp:effectExtent l="0" t="0" r="0" b="0"/>
                        <wp:docPr id="33" name="Picture 33" descr="Figure 10.24 Proportion of acute URTI managements where systemic antibiotics were prescribed, Australia&#10;&#10;More details can be found within the text surrounding this image.&#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391150" cy="2876550"/>
                                </a:xfrm>
                                <a:prstGeom prst="rect">
                                  <a:avLst/>
                                </a:prstGeom>
                                <a:noFill/>
                                <a:ln>
                                  <a:noFill/>
                                </a:ln>
                              </pic:spPr>
                            </pic:pic>
                          </a:graphicData>
                        </a:graphic>
                      </wp:inline>
                    </w:drawing>
                  </w:r>
                </w:p>
              </w:tc>
            </w:tr>
          </w:tbl>
          <w:p w:rsidR="00284E6F" w:rsidRDefault="00284E6F" w:rsidP="0067713D">
            <w:pPr>
              <w:pStyle w:val="Figure"/>
            </w:pPr>
          </w:p>
        </w:tc>
      </w:tr>
      <w:tr w:rsidR="00284E6F" w:rsidRPr="00176D3F" w:rsidTr="0067713D">
        <w:tc>
          <w:tcPr>
            <w:tcW w:w="8771" w:type="dxa"/>
            <w:tcBorders>
              <w:top w:val="nil"/>
              <w:left w:val="nil"/>
              <w:bottom w:val="nil"/>
              <w:right w:val="nil"/>
            </w:tcBorders>
            <w:shd w:val="clear" w:color="auto" w:fill="auto"/>
          </w:tcPr>
          <w:p w:rsidR="00284E6F" w:rsidRPr="00176D3F" w:rsidRDefault="00284E6F" w:rsidP="0067713D">
            <w:pPr>
              <w:pStyle w:val="Note"/>
            </w:pPr>
            <w:r>
              <w:rPr>
                <w:rStyle w:val="NoteLabel"/>
              </w:rPr>
              <w:t>a</w:t>
            </w:r>
            <w:r w:rsidRPr="00444E24">
              <w:t xml:space="preserve"> </w:t>
            </w:r>
            <w:r>
              <w:t xml:space="preserve">Error bars represent the 95 per cent confidence interval associated with each point estimate. </w:t>
            </w:r>
            <w:r>
              <w:rPr>
                <w:rStyle w:val="NoteLabel"/>
              </w:rPr>
              <w:t>b</w:t>
            </w:r>
            <w:r w:rsidR="006D741A">
              <w:t> </w:t>
            </w:r>
            <w:r>
              <w:t>Participation in the survey is voluntary. Data are not necessarily representative of the prescribing behaviour of non</w:t>
            </w:r>
            <w:r>
              <w:noBreakHyphen/>
              <w:t>participating GPs.</w:t>
            </w:r>
          </w:p>
        </w:tc>
      </w:tr>
      <w:tr w:rsidR="00284E6F" w:rsidRPr="00176D3F" w:rsidTr="0067713D">
        <w:tc>
          <w:tcPr>
            <w:tcW w:w="8771" w:type="dxa"/>
            <w:tcBorders>
              <w:top w:val="nil"/>
              <w:left w:val="nil"/>
              <w:bottom w:val="nil"/>
              <w:right w:val="nil"/>
            </w:tcBorders>
            <w:shd w:val="clear" w:color="auto" w:fill="auto"/>
          </w:tcPr>
          <w:p w:rsidR="00284E6F" w:rsidRPr="00176D3F" w:rsidRDefault="00284E6F" w:rsidP="00971ACF">
            <w:pPr>
              <w:pStyle w:val="Source"/>
            </w:pPr>
            <w:r>
              <w:rPr>
                <w:i/>
              </w:rPr>
              <w:t>Source</w:t>
            </w:r>
            <w:r>
              <w:t>:</w:t>
            </w:r>
            <w:r w:rsidRPr="00444E24">
              <w:t xml:space="preserve"> </w:t>
            </w:r>
            <w:r>
              <w:t>Britt et al</w:t>
            </w:r>
            <w:r w:rsidR="00BB1838">
              <w:t>.</w:t>
            </w:r>
            <w:r>
              <w:t xml:space="preserve"> (unpublished) BEACH Statistics; table </w:t>
            </w:r>
            <w:r w:rsidR="00C9076B">
              <w:t>10A.</w:t>
            </w:r>
            <w:r>
              <w:t>5</w:t>
            </w:r>
            <w:r w:rsidR="00971ACF">
              <w:t>6</w:t>
            </w:r>
            <w:r w:rsidRPr="006C74C6">
              <w:t>.</w:t>
            </w:r>
          </w:p>
        </w:tc>
      </w:tr>
      <w:tr w:rsidR="00284E6F" w:rsidTr="0067713D">
        <w:tc>
          <w:tcPr>
            <w:tcW w:w="8771" w:type="dxa"/>
            <w:tcBorders>
              <w:top w:val="nil"/>
              <w:left w:val="nil"/>
              <w:bottom w:val="single" w:sz="6" w:space="0" w:color="78A22F"/>
              <w:right w:val="nil"/>
            </w:tcBorders>
            <w:shd w:val="clear" w:color="auto" w:fill="auto"/>
          </w:tcPr>
          <w:p w:rsidR="00284E6F" w:rsidRDefault="00284E6F" w:rsidP="0067713D">
            <w:pPr>
              <w:pStyle w:val="Figurespace"/>
            </w:pPr>
          </w:p>
        </w:tc>
      </w:tr>
      <w:tr w:rsidR="00284E6F" w:rsidRPr="000863A5" w:rsidTr="0067713D">
        <w:tc>
          <w:tcPr>
            <w:tcW w:w="8771" w:type="dxa"/>
            <w:tcBorders>
              <w:top w:val="single" w:sz="6" w:space="0" w:color="78A22F"/>
              <w:left w:val="nil"/>
              <w:bottom w:val="nil"/>
              <w:right w:val="nil"/>
            </w:tcBorders>
          </w:tcPr>
          <w:p w:rsidR="00284E6F" w:rsidRPr="00626D32" w:rsidRDefault="00284E6F" w:rsidP="0067713D">
            <w:pPr>
              <w:pStyle w:val="BoxSpaceBelow"/>
            </w:pPr>
          </w:p>
        </w:tc>
      </w:tr>
    </w:tbl>
    <w:p w:rsidR="00F34472" w:rsidRDefault="004815B8" w:rsidP="00F34472">
      <w:pPr>
        <w:pStyle w:val="Heading5"/>
      </w:pPr>
      <w:r>
        <w:t>Chronic disease management</w:t>
      </w:r>
    </w:p>
    <w:p w:rsidR="00F34472" w:rsidRDefault="00F34472" w:rsidP="00F34472">
      <w:pPr>
        <w:pStyle w:val="BodyText"/>
      </w:pPr>
      <w:r>
        <w:t>‘</w:t>
      </w:r>
      <w:r w:rsidR="004815B8" w:rsidRPr="004815B8">
        <w:t>Chronic disease management</w:t>
      </w:r>
      <w:r>
        <w:t>’</w:t>
      </w:r>
      <w:r w:rsidRPr="00D00A5A">
        <w:t xml:space="preserve"> </w:t>
      </w:r>
      <w:r>
        <w:t>is an indicator of governments’ objective to ensure appropriate and effective management of chronic disease in the primary and community health sector</w:t>
      </w:r>
      <w:r w:rsidR="0090275F">
        <w:t xml:space="preserve"> </w:t>
      </w:r>
      <w:r w:rsidR="000A06C3">
        <w:t>(</w:t>
      </w:r>
      <w:r w:rsidR="00897589">
        <w:t>box 10.</w:t>
      </w:r>
      <w:r w:rsidRPr="005105E8">
        <w:t>1</w:t>
      </w:r>
      <w:r w:rsidR="005105E8" w:rsidRPr="005105E8">
        <w:t>3</w:t>
      </w:r>
      <w:r>
        <w:t>).</w:t>
      </w:r>
    </w:p>
    <w:p w:rsidR="003F7095" w:rsidRDefault="003F7095">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F7095" w:rsidTr="00867BB6">
        <w:tc>
          <w:tcPr>
            <w:tcW w:w="8771" w:type="dxa"/>
            <w:tcBorders>
              <w:top w:val="single" w:sz="6" w:space="0" w:color="78A22F"/>
              <w:left w:val="nil"/>
              <w:bottom w:val="nil"/>
              <w:right w:val="nil"/>
            </w:tcBorders>
            <w:shd w:val="clear" w:color="auto" w:fill="F2F2F2" w:themeFill="background1" w:themeFillShade="F2"/>
          </w:tcPr>
          <w:p w:rsidR="003F7095" w:rsidRDefault="003F7095">
            <w:pPr>
              <w:pStyle w:val="BoxTitle"/>
            </w:pPr>
            <w:r>
              <w:rPr>
                <w:b w:val="0"/>
              </w:rPr>
              <w:t xml:space="preserve">Box </w:t>
            </w:r>
            <w:bookmarkStart w:id="18" w:name="OLE_LINK4"/>
            <w:r>
              <w:rPr>
                <w:b w:val="0"/>
              </w:rPr>
              <w:t>10.</w:t>
            </w:r>
            <w:r w:rsidR="0078724D">
              <w:rPr>
                <w:b w:val="0"/>
                <w:noProof/>
              </w:rPr>
              <w:t>13</w:t>
            </w:r>
            <w:bookmarkEnd w:id="18"/>
            <w:r>
              <w:tab/>
            </w:r>
            <w:r w:rsidRPr="004815B8">
              <w:t>Chronic disease management</w:t>
            </w:r>
          </w:p>
        </w:tc>
      </w:tr>
      <w:tr w:rsidR="003F7095" w:rsidTr="00867BB6">
        <w:trPr>
          <w:cantSplit/>
        </w:trPr>
        <w:tc>
          <w:tcPr>
            <w:tcW w:w="8771" w:type="dxa"/>
            <w:tcBorders>
              <w:top w:val="nil"/>
              <w:left w:val="nil"/>
              <w:bottom w:val="nil"/>
              <w:right w:val="nil"/>
            </w:tcBorders>
            <w:shd w:val="clear" w:color="auto" w:fill="F2F2F2" w:themeFill="background1" w:themeFillShade="F2"/>
          </w:tcPr>
          <w:p w:rsidR="003F7095" w:rsidRDefault="003F7095" w:rsidP="00867BB6">
            <w:pPr>
              <w:pStyle w:val="Box"/>
            </w:pPr>
            <w:r>
              <w:t>‘</w:t>
            </w:r>
            <w:r w:rsidRPr="004815B8">
              <w:t>Chronic disease management</w:t>
            </w:r>
            <w:r>
              <w:t>’</w:t>
            </w:r>
            <w:r w:rsidRPr="00F34472">
              <w:t xml:space="preserve"> </w:t>
            </w:r>
            <w:r>
              <w:t>is defined by four measures:</w:t>
            </w:r>
          </w:p>
          <w:p w:rsidR="003F7095" w:rsidRDefault="003F7095" w:rsidP="007E0F82">
            <w:pPr>
              <w:pStyle w:val="BoxListBullet"/>
            </w:pPr>
            <w:r>
              <w:t xml:space="preserve">management of diabetes — </w:t>
            </w:r>
            <w:r w:rsidR="007E0F82" w:rsidRPr="007E0F82">
              <w:t>PIP diabetes incentive</w:t>
            </w:r>
            <w:r w:rsidR="007E0F82">
              <w:t>, defined as</w:t>
            </w:r>
            <w:r w:rsidR="007E0F82" w:rsidRPr="007E0F82">
              <w:t xml:space="preserve"> </w:t>
            </w:r>
            <w:r w:rsidR="00CF4AC4" w:rsidRPr="00CF4AC4">
              <w:t xml:space="preserve">the proportion of general practices enrolled in the Practice Incentives Program (PIP) that are registered for the PIP </w:t>
            </w:r>
            <w:r w:rsidR="00CF4AC4">
              <w:t>diabetes</w:t>
            </w:r>
            <w:r w:rsidR="00CF4AC4" w:rsidRPr="00CF4AC4">
              <w:t xml:space="preserve"> incentive</w:t>
            </w:r>
          </w:p>
          <w:p w:rsidR="003F7095" w:rsidRDefault="003F7095" w:rsidP="00867BB6">
            <w:pPr>
              <w:pStyle w:val="BoxListBullet"/>
            </w:pPr>
            <w:r>
              <w:t xml:space="preserve">management of diabetes — </w:t>
            </w:r>
            <w:r w:rsidRPr="004C6697">
              <w:t>HbA1c</w:t>
            </w:r>
            <w:r>
              <w:t>, defined as t</w:t>
            </w:r>
            <w:r w:rsidRPr="004C6697">
              <w:t>he proportion of people with diabetes with HbA1c (glycosolate</w:t>
            </w:r>
            <w:r>
              <w:t>d haemoglobin) below 7 per cent (</w:t>
            </w:r>
            <w:r w:rsidRPr="004C6697">
              <w:t>the number of people with diabetes with HbA1c below 7 per cent, divided by the estimated number of people with diabetes</w:t>
            </w:r>
            <w:r>
              <w:t>)</w:t>
            </w:r>
          </w:p>
          <w:p w:rsidR="003F7095" w:rsidRDefault="003F7095" w:rsidP="00867BB6">
            <w:pPr>
              <w:pStyle w:val="BoxListBullet"/>
            </w:pPr>
            <w:r>
              <w:t>management of asthma, defined as the proportion of people with asthma who have a written asthma action plan</w:t>
            </w:r>
          </w:p>
          <w:p w:rsidR="003F7095" w:rsidRDefault="003F7095" w:rsidP="00867BB6">
            <w:pPr>
              <w:pStyle w:val="BoxListBullet"/>
            </w:pPr>
            <w:r>
              <w:t>care planning/case conferencing, defined as the proportion of GPs who used the MBS chronic disease management items for care planning or case conferencing at least once during a 12 month period.</w:t>
            </w:r>
          </w:p>
          <w:p w:rsidR="003F7095" w:rsidRPr="008C5C2B" w:rsidRDefault="003F7095" w:rsidP="00867BB6">
            <w:pPr>
              <w:pStyle w:val="Box"/>
            </w:pPr>
            <w:r w:rsidRPr="00617D21">
              <w:t>A high</w:t>
            </w:r>
            <w:r w:rsidRPr="008C5C2B">
              <w:t xml:space="preserve"> or increasing proportion of </w:t>
            </w:r>
            <w:r w:rsidR="00CF4AC4">
              <w:t>PIP practices registered for the PIP diabetes incentive</w:t>
            </w:r>
            <w:r w:rsidRPr="008C5C2B">
              <w:t>, people with diabetes with HbA1c below 7 per cent, people with asthma who have a written asthma action plan, and GPs who use chronic disease management items</w:t>
            </w:r>
            <w:r>
              <w:t>,</w:t>
            </w:r>
            <w:r w:rsidRPr="008C5C2B">
              <w:t xml:space="preserve"> is desirable.</w:t>
            </w:r>
          </w:p>
          <w:p w:rsidR="003F7095" w:rsidRDefault="007E0F82" w:rsidP="00867BB6">
            <w:pPr>
              <w:pStyle w:val="Box"/>
            </w:pPr>
            <w:r>
              <w:t xml:space="preserve">Registration for </w:t>
            </w:r>
            <w:r w:rsidR="00117FE6">
              <w:t xml:space="preserve">the </w:t>
            </w:r>
            <w:r w:rsidR="00D32753" w:rsidRPr="00D32753">
              <w:t>PIP diabetes incentive</w:t>
            </w:r>
            <w:r w:rsidR="00D32753">
              <w:t xml:space="preserve"> requires</w:t>
            </w:r>
            <w:r w:rsidR="00D32753" w:rsidRPr="00D32753">
              <w:t xml:space="preserve"> </w:t>
            </w:r>
            <w:r>
              <w:t>the</w:t>
            </w:r>
            <w:r w:rsidR="00D32753" w:rsidRPr="00D32753">
              <w:t xml:space="preserve"> </w:t>
            </w:r>
            <w:r w:rsidR="00117FE6">
              <w:t>implement</w:t>
            </w:r>
            <w:r>
              <w:t>ation of</w:t>
            </w:r>
            <w:r w:rsidR="00117FE6">
              <w:t xml:space="preserve"> </w:t>
            </w:r>
            <w:r w:rsidR="0088185B">
              <w:t xml:space="preserve">management strategies for patients with diabetes that are </w:t>
            </w:r>
            <w:r w:rsidR="00117FE6">
              <w:t xml:space="preserve">based on </w:t>
            </w:r>
            <w:r w:rsidR="00117FE6" w:rsidRPr="00617D21">
              <w:t xml:space="preserve">RACGP clinical guidelines for appropriate </w:t>
            </w:r>
            <w:r w:rsidR="0088185B" w:rsidRPr="00617D21">
              <w:t>Type 2 diabetes</w:t>
            </w:r>
            <w:r w:rsidR="0088185B">
              <w:t xml:space="preserve"> </w:t>
            </w:r>
            <w:r w:rsidR="00117FE6" w:rsidRPr="00617D21">
              <w:t xml:space="preserve">management </w:t>
            </w:r>
            <w:r w:rsidR="0088185B">
              <w:t>in general practice</w:t>
            </w:r>
            <w:r w:rsidR="00117FE6">
              <w:t>.</w:t>
            </w:r>
            <w:r w:rsidR="00117FE6" w:rsidRPr="00D32753">
              <w:t xml:space="preserve"> </w:t>
            </w:r>
            <w:r w:rsidR="003F7095" w:rsidRPr="00617D21">
              <w:t>Appropriate management of diabetes in the primary and community health sector can prevent or minimise the severity of complications (AIHW 2008</w:t>
            </w:r>
            <w:r w:rsidR="00B4364B">
              <w:t>b</w:t>
            </w:r>
            <w:r w:rsidR="003F7095" w:rsidRPr="00617D21">
              <w:t>). Patient compliance with management measures is also a critical determinant of the occurrence</w:t>
            </w:r>
            <w:r w:rsidR="00C355C6">
              <w:t xml:space="preserve"> and severity of complications.</w:t>
            </w:r>
          </w:p>
          <w:p w:rsidR="003F7095" w:rsidRDefault="003F7095" w:rsidP="00867BB6">
            <w:pPr>
              <w:pStyle w:val="Box"/>
            </w:pPr>
            <w:r w:rsidRPr="00617D21">
              <w:t xml:space="preserve">HbA1c measures the level of glucose in the blood averaged </w:t>
            </w:r>
            <w:r>
              <w:t xml:space="preserve">over the preceding three months. </w:t>
            </w:r>
            <w:r w:rsidRPr="00A73D31">
              <w:t>HbA1c levels below 7 per cent are indicative of appropriate management of diabetes in that period.</w:t>
            </w:r>
          </w:p>
          <w:p w:rsidR="003F7095" w:rsidRDefault="003F7095" w:rsidP="00867BB6">
            <w:pPr>
              <w:pStyle w:val="Box"/>
            </w:pPr>
            <w:r w:rsidRPr="00617D21">
              <w:t xml:space="preserve">Written asthma action plans have been included in clinical guidelines for asthma management for </w:t>
            </w:r>
            <w:r w:rsidR="008C47C2">
              <w:t>around</w:t>
            </w:r>
            <w:r w:rsidRPr="00617D21">
              <w:t xml:space="preserve"> 20 years. They enable people with asthma to recognise and respond quickly and appropriately to deteriorating asthma symptoms, thereby preventing or reducing the severity of acute asthma episodes (ACAM 2008)</w:t>
            </w:r>
            <w:r w:rsidR="008C47C2">
              <w:t>.</w:t>
            </w:r>
          </w:p>
          <w:p w:rsidR="00C93A92" w:rsidRDefault="00C93A92" w:rsidP="00C93A92">
            <w:pPr>
              <w:pStyle w:val="Box"/>
            </w:pPr>
            <w:r w:rsidRPr="00617D21">
              <w:t xml:space="preserve">A high or increasing proportion of GPs who use chronic disease management items can indicate an improvement in the continuity of care provided to people with complex, multidisciplinary care needs. Chronic disease management items in the MBS allow for the preparation and regular review of care plans for individuals with complex, multidisciplinary care needs due to chronic or terminal medical conditions, through GP managed or multidisciplinary team based care. Individual compliance with management measures is also a critical determinant of the occurrence and severity of complications for patients with chronic disease. </w:t>
            </w:r>
          </w:p>
          <w:p w:rsidR="003F7095" w:rsidRDefault="003F7095" w:rsidP="00867BB6">
            <w:pPr>
              <w:pStyle w:val="Continued"/>
            </w:pPr>
            <w:r w:rsidRPr="00D272CD">
              <w:t xml:space="preserve"> (Continued next page)</w:t>
            </w:r>
          </w:p>
        </w:tc>
      </w:tr>
      <w:tr w:rsidR="003F7095" w:rsidTr="00867BB6">
        <w:trPr>
          <w:cantSplit/>
        </w:trPr>
        <w:tc>
          <w:tcPr>
            <w:tcW w:w="8771" w:type="dxa"/>
            <w:tcBorders>
              <w:top w:val="nil"/>
              <w:left w:val="nil"/>
              <w:bottom w:val="single" w:sz="6" w:space="0" w:color="78A22F"/>
              <w:right w:val="nil"/>
            </w:tcBorders>
            <w:shd w:val="clear" w:color="auto" w:fill="F2F2F2" w:themeFill="background1" w:themeFillShade="F2"/>
          </w:tcPr>
          <w:p w:rsidR="003F7095" w:rsidRDefault="003F7095">
            <w:pPr>
              <w:pStyle w:val="Box"/>
              <w:spacing w:before="0" w:line="120" w:lineRule="exact"/>
            </w:pPr>
          </w:p>
        </w:tc>
      </w:tr>
      <w:tr w:rsidR="003F7095" w:rsidRPr="000863A5" w:rsidTr="00867BB6">
        <w:tc>
          <w:tcPr>
            <w:tcW w:w="8771" w:type="dxa"/>
            <w:tcBorders>
              <w:top w:val="single" w:sz="6" w:space="0" w:color="78A22F"/>
              <w:left w:val="nil"/>
              <w:bottom w:val="nil"/>
              <w:right w:val="nil"/>
            </w:tcBorders>
          </w:tcPr>
          <w:p w:rsidR="003F7095" w:rsidRPr="00626D32" w:rsidRDefault="003F7095" w:rsidP="00867BB6">
            <w:pPr>
              <w:pStyle w:val="BoxSpaceBelow"/>
            </w:pPr>
          </w:p>
        </w:tc>
      </w:tr>
    </w:tbl>
    <w:p w:rsidR="00095E5A" w:rsidRDefault="00095E5A">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095E5A" w:rsidTr="00867BB6">
        <w:tc>
          <w:tcPr>
            <w:tcW w:w="8771" w:type="dxa"/>
            <w:tcBorders>
              <w:top w:val="single" w:sz="6" w:space="0" w:color="78A22F"/>
              <w:left w:val="nil"/>
              <w:bottom w:val="nil"/>
              <w:right w:val="nil"/>
            </w:tcBorders>
            <w:shd w:val="clear" w:color="auto" w:fill="F2F2F2" w:themeFill="background1" w:themeFillShade="F2"/>
          </w:tcPr>
          <w:p w:rsidR="00095E5A" w:rsidRDefault="00095E5A" w:rsidP="00095E5A">
            <w:pPr>
              <w:pStyle w:val="BoxTitle"/>
            </w:pPr>
            <w:r>
              <w:rPr>
                <w:b w:val="0"/>
              </w:rPr>
              <w:t xml:space="preserve">Box </w:t>
            </w:r>
            <w:r w:rsidRPr="00095E5A">
              <w:rPr>
                <w:b w:val="0"/>
              </w:rPr>
              <w:t>10.13</w:t>
            </w:r>
            <w:r>
              <w:tab/>
            </w:r>
            <w:r w:rsidRPr="002006A3">
              <w:rPr>
                <w:sz w:val="18"/>
                <w:szCs w:val="18"/>
              </w:rPr>
              <w:t>(Continued)</w:t>
            </w:r>
          </w:p>
        </w:tc>
      </w:tr>
      <w:tr w:rsidR="00095E5A" w:rsidTr="00867BB6">
        <w:trPr>
          <w:cantSplit/>
        </w:trPr>
        <w:tc>
          <w:tcPr>
            <w:tcW w:w="8771" w:type="dxa"/>
            <w:tcBorders>
              <w:top w:val="nil"/>
              <w:left w:val="nil"/>
              <w:bottom w:val="nil"/>
              <w:right w:val="nil"/>
            </w:tcBorders>
            <w:shd w:val="clear" w:color="auto" w:fill="F2F2F2" w:themeFill="background1" w:themeFillShade="F2"/>
          </w:tcPr>
          <w:p w:rsidR="00095E5A" w:rsidRDefault="00095E5A" w:rsidP="00867BB6">
            <w:pPr>
              <w:pStyle w:val="Box"/>
            </w:pPr>
            <w:r>
              <w:t>Data reported against this indicator are:</w:t>
            </w:r>
          </w:p>
          <w:p w:rsidR="00095E5A" w:rsidRDefault="00095E5A" w:rsidP="00867BB6">
            <w:pPr>
              <w:pStyle w:val="BoxListBullet"/>
            </w:pPr>
            <w:r>
              <w:t>comparable (subject to caveats) across jurisdictions and over time</w:t>
            </w:r>
          </w:p>
          <w:p w:rsidR="00095E5A" w:rsidRDefault="00095E5A" w:rsidP="00867BB6">
            <w:pPr>
              <w:pStyle w:val="BoxListBullet"/>
            </w:pPr>
            <w:r>
              <w:t>complete (subject to caveats) for the current reporting period. All required</w:t>
            </w:r>
            <w:r w:rsidR="00C46C54">
              <w:t xml:space="preserve"> </w:t>
            </w:r>
            <w:r>
              <w:t>201</w:t>
            </w:r>
            <w:r w:rsidR="00C46C54">
              <w:t>3</w:t>
            </w:r>
            <w:r>
              <w:noBreakHyphen/>
              <w:t>1</w:t>
            </w:r>
            <w:r w:rsidR="00C46C54">
              <w:t>4</w:t>
            </w:r>
            <w:r>
              <w:t xml:space="preserve"> data are available for all jurisdictions for m</w:t>
            </w:r>
            <w:r w:rsidRPr="00837A2B">
              <w:t>anagement of diabetes —</w:t>
            </w:r>
            <w:r w:rsidR="007E0F82">
              <w:t xml:space="preserve"> </w:t>
            </w:r>
            <w:r w:rsidR="00C46C54">
              <w:t>PIP diabetes incentive</w:t>
            </w:r>
            <w:r>
              <w:t xml:space="preserve"> and</w:t>
            </w:r>
            <w:r w:rsidR="00C46C54">
              <w:t xml:space="preserve"> for </w:t>
            </w:r>
            <w:r>
              <w:t>c</w:t>
            </w:r>
            <w:r w:rsidRPr="00837A2B">
              <w:t>are planning/case conferencing</w:t>
            </w:r>
            <w:r>
              <w:t>. All required 2011</w:t>
            </w:r>
            <w:r w:rsidR="00DA6A4A">
              <w:noBreakHyphen/>
            </w:r>
            <w:r>
              <w:t>1</w:t>
            </w:r>
            <w:r w:rsidR="00DA6A4A">
              <w:t>2</w:t>
            </w:r>
            <w:r>
              <w:t xml:space="preserve"> data are available for all jurisdictions for m</w:t>
            </w:r>
            <w:r w:rsidRPr="00837A2B">
              <w:t>anagement of diabetes —</w:t>
            </w:r>
            <w:r>
              <w:t xml:space="preserve"> HbA1c and m</w:t>
            </w:r>
            <w:r w:rsidRPr="00837A2B">
              <w:t>anagement of asthma</w:t>
            </w:r>
            <w:r>
              <w:t>.</w:t>
            </w:r>
          </w:p>
          <w:p w:rsidR="00095E5A" w:rsidRDefault="00095E5A" w:rsidP="006533EF">
            <w:pPr>
              <w:pStyle w:val="Box"/>
            </w:pPr>
            <w:r w:rsidRPr="0027351B">
              <w:t xml:space="preserve">Data quality information </w:t>
            </w:r>
            <w:r w:rsidR="006533EF">
              <w:t xml:space="preserve">(DQI) </w:t>
            </w:r>
            <w:r w:rsidR="006533EF" w:rsidRPr="00617D21">
              <w:t xml:space="preserve">is at </w:t>
            </w:r>
            <w:r w:rsidR="00786AB7">
              <w:t>www.pc.gov.au</w:t>
            </w:r>
            <w:r w:rsidR="006533EF" w:rsidRPr="006533EF">
              <w:t>/rogs/2015</w:t>
            </w:r>
            <w:r w:rsidR="006533EF">
              <w:t xml:space="preserve"> </w:t>
            </w:r>
            <w:r w:rsidRPr="00617D21">
              <w:t>for th</w:t>
            </w:r>
            <w:r w:rsidR="006533EF">
              <w:t>e measures m</w:t>
            </w:r>
            <w:r w:rsidR="006533EF" w:rsidRPr="00837A2B">
              <w:t>anagement of diabetes —</w:t>
            </w:r>
            <w:r w:rsidR="006533EF">
              <w:t xml:space="preserve"> HbA1c and m</w:t>
            </w:r>
            <w:r w:rsidR="006533EF" w:rsidRPr="00837A2B">
              <w:t>anagement of asthma</w:t>
            </w:r>
            <w:r w:rsidR="006533EF">
              <w:t xml:space="preserve">. DQI is under development for </w:t>
            </w:r>
            <w:r>
              <w:t>for the measure</w:t>
            </w:r>
            <w:r w:rsidR="006533EF">
              <w:t>s m</w:t>
            </w:r>
            <w:r w:rsidR="006533EF" w:rsidRPr="00837A2B">
              <w:t>anagement of diabetes —</w:t>
            </w:r>
            <w:r w:rsidR="006533EF">
              <w:t xml:space="preserve"> PIP diabetes incentive</w:t>
            </w:r>
            <w:r>
              <w:t xml:space="preserve"> </w:t>
            </w:r>
            <w:r w:rsidR="006533EF">
              <w:t>and c</w:t>
            </w:r>
            <w:r w:rsidR="006533EF" w:rsidRPr="00837A2B">
              <w:t>are planning/case conferencing</w:t>
            </w:r>
            <w:r w:rsidR="006533EF">
              <w:t>.</w:t>
            </w:r>
          </w:p>
        </w:tc>
      </w:tr>
      <w:tr w:rsidR="00095E5A" w:rsidTr="00867BB6">
        <w:trPr>
          <w:cantSplit/>
        </w:trPr>
        <w:tc>
          <w:tcPr>
            <w:tcW w:w="8771" w:type="dxa"/>
            <w:tcBorders>
              <w:top w:val="nil"/>
              <w:left w:val="nil"/>
              <w:bottom w:val="single" w:sz="6" w:space="0" w:color="78A22F"/>
              <w:right w:val="nil"/>
            </w:tcBorders>
            <w:shd w:val="clear" w:color="auto" w:fill="F2F2F2" w:themeFill="background1" w:themeFillShade="F2"/>
          </w:tcPr>
          <w:p w:rsidR="00095E5A" w:rsidRDefault="00095E5A">
            <w:pPr>
              <w:pStyle w:val="Box"/>
              <w:spacing w:before="0" w:line="120" w:lineRule="exact"/>
            </w:pPr>
          </w:p>
        </w:tc>
      </w:tr>
      <w:tr w:rsidR="00095E5A" w:rsidRPr="000863A5" w:rsidTr="00867BB6">
        <w:tc>
          <w:tcPr>
            <w:tcW w:w="8771" w:type="dxa"/>
            <w:tcBorders>
              <w:top w:val="single" w:sz="6" w:space="0" w:color="78A22F"/>
              <w:left w:val="nil"/>
              <w:bottom w:val="nil"/>
              <w:right w:val="nil"/>
            </w:tcBorders>
          </w:tcPr>
          <w:p w:rsidR="00095E5A" w:rsidRPr="00626D32" w:rsidRDefault="00095E5A" w:rsidP="00867BB6">
            <w:pPr>
              <w:pStyle w:val="BoxSpaceBelow"/>
            </w:pPr>
          </w:p>
        </w:tc>
      </w:tr>
    </w:tbl>
    <w:p w:rsidR="00077B7C" w:rsidRPr="004E7BE9" w:rsidRDefault="00077B7C" w:rsidP="005F5036">
      <w:pPr>
        <w:pStyle w:val="BodyText"/>
      </w:pPr>
      <w:r>
        <w:t xml:space="preserve">Reporting against this indicator has improved as </w:t>
      </w:r>
      <w:r w:rsidR="00AE2606">
        <w:t>the measure m</w:t>
      </w:r>
      <w:r w:rsidR="00AE2606" w:rsidRPr="00837A2B">
        <w:t>anagement of diabetes —</w:t>
      </w:r>
      <w:r w:rsidR="00AE2606">
        <w:t xml:space="preserve"> PIP diabetes incentive is reported for</w:t>
      </w:r>
      <w:r>
        <w:t xml:space="preserve"> the first time</w:t>
      </w:r>
      <w:r w:rsidR="00B63E98">
        <w:t>. U</w:t>
      </w:r>
      <w:r w:rsidR="00603439">
        <w:t>pdated data for asthma management by Indigenous status</w:t>
      </w:r>
      <w:r w:rsidR="00B63E98">
        <w:t xml:space="preserve"> are also reported</w:t>
      </w:r>
      <w:r w:rsidR="00895509">
        <w:t>.</w:t>
      </w:r>
    </w:p>
    <w:p w:rsidR="003473F0" w:rsidRDefault="00554192" w:rsidP="005F5036">
      <w:pPr>
        <w:pStyle w:val="BodyText"/>
      </w:pPr>
      <w:r>
        <w:t xml:space="preserve">Chronic diseases are generally long term and often progressive conditions, </w:t>
      </w:r>
      <w:r w:rsidR="00160899">
        <w:t>for example,</w:t>
      </w:r>
      <w:r>
        <w:t xml:space="preserve"> diabetes and asthma. </w:t>
      </w:r>
      <w:r w:rsidR="00FC0F00">
        <w:t>Chronic disease</w:t>
      </w:r>
      <w:r w:rsidR="005813C7">
        <w:t xml:space="preserve"> </w:t>
      </w:r>
      <w:r w:rsidR="005813C7" w:rsidRPr="005813C7">
        <w:t>is estimated to be r</w:t>
      </w:r>
      <w:r w:rsidR="00C13B36">
        <w:t>esponsible for more than 80 per </w:t>
      </w:r>
      <w:r w:rsidR="005813C7" w:rsidRPr="005813C7">
        <w:t>cent of the burden of disease and injury suffered by Australians</w:t>
      </w:r>
      <w:r>
        <w:t xml:space="preserve"> </w:t>
      </w:r>
      <w:r w:rsidR="005F5036">
        <w:t>(Australian Government 2010)</w:t>
      </w:r>
      <w:r w:rsidR="003473F0">
        <w:t>.</w:t>
      </w:r>
    </w:p>
    <w:p w:rsidR="00554192" w:rsidRPr="00C93A92" w:rsidRDefault="000F039A" w:rsidP="00C93A92">
      <w:pPr>
        <w:pStyle w:val="BodyText"/>
        <w:rPr>
          <w:rStyle w:val="DraftingNote"/>
          <w:b w:val="0"/>
          <w:color w:val="auto"/>
          <w:u w:val="none"/>
        </w:rPr>
      </w:pPr>
      <w:r>
        <w:t>A</w:t>
      </w:r>
      <w:r w:rsidR="005813C7">
        <w:t xml:space="preserve">ppropriate and effective management in the primary and community health sector can delay </w:t>
      </w:r>
      <w:r>
        <w:t xml:space="preserve">the </w:t>
      </w:r>
      <w:r w:rsidR="005813C7">
        <w:t xml:space="preserve">progression </w:t>
      </w:r>
      <w:r>
        <w:t>of many chronic diseases as well as</w:t>
      </w:r>
      <w:r w:rsidR="005813C7">
        <w:t xml:space="preserve"> prevent or </w:t>
      </w:r>
      <w:r w:rsidR="00F5502A">
        <w:br/>
      </w:r>
      <w:r w:rsidR="00554192" w:rsidRPr="00EE62D0">
        <w:t xml:space="preserve">minimise </w:t>
      </w:r>
      <w:r w:rsidR="005813C7">
        <w:t xml:space="preserve">the severity of </w:t>
      </w:r>
      <w:r w:rsidR="005813C7" w:rsidRPr="00284091">
        <w:t>complications</w:t>
      </w:r>
      <w:r w:rsidR="0088243E">
        <w:t xml:space="preserve"> (AIHW 2008</w:t>
      </w:r>
      <w:r w:rsidR="00B4364B">
        <w:t>b</w:t>
      </w:r>
      <w:r w:rsidR="00F5502A" w:rsidRPr="00284091">
        <w:t>, NHPAC 2006</w:t>
      </w:r>
      <w:r w:rsidR="00554192" w:rsidRPr="00284091">
        <w:t>).</w:t>
      </w:r>
      <w:r w:rsidR="000A06C3">
        <w:t xml:space="preserve"> </w:t>
      </w:r>
      <w:r w:rsidR="00257AF5">
        <w:t>Effective management requires the provision of timely, high quality healthcare to meet individual needs and provide continuity</w:t>
      </w:r>
      <w:r w:rsidR="00C13B36">
        <w:t xml:space="preserve"> of care (Australian Government </w:t>
      </w:r>
      <w:r w:rsidR="00257AF5">
        <w:t xml:space="preserve">2010). Effective management </w:t>
      </w:r>
      <w:r w:rsidR="000A06C3">
        <w:t xml:space="preserve">can have profound effects on individuals and on the broader health system. Individuals benefit from improved health and wellbeing, and the capacity for greater economic and social participation. </w:t>
      </w:r>
      <w:r w:rsidR="00B670B6">
        <w:t>R</w:t>
      </w:r>
      <w:r w:rsidR="003473F0">
        <w:t>educ</w:t>
      </w:r>
      <w:r w:rsidR="00B670B6">
        <w:t>ed</w:t>
      </w:r>
      <w:r w:rsidR="003473F0">
        <w:t xml:space="preserve"> </w:t>
      </w:r>
      <w:r w:rsidR="000A06C3">
        <w:t xml:space="preserve">demand for treatment in the acute health sector </w:t>
      </w:r>
      <w:r w:rsidR="00160899">
        <w:t>can</w:t>
      </w:r>
      <w:r w:rsidR="000A06C3">
        <w:t xml:space="preserve"> reduc</w:t>
      </w:r>
      <w:r w:rsidR="00160899">
        <w:t>e</w:t>
      </w:r>
      <w:r w:rsidR="000A06C3">
        <w:t xml:space="preserve"> the burden on the broader health system.</w:t>
      </w:r>
    </w:p>
    <w:p w:rsidR="006709FA" w:rsidRDefault="0011550A" w:rsidP="00AD79B2">
      <w:pPr>
        <w:pStyle w:val="BodyText"/>
      </w:pPr>
      <w:r w:rsidRPr="001D1C7B">
        <w:t>Patient compliance with management measures is also a critical determinant of the occurrenc</w:t>
      </w:r>
      <w:r>
        <w:t>e and severity of complications.</w:t>
      </w:r>
    </w:p>
    <w:p w:rsidR="0011550A" w:rsidRDefault="00F3615B" w:rsidP="0011550A">
      <w:pPr>
        <w:pStyle w:val="Heading5"/>
      </w:pPr>
      <w:r>
        <w:t>C</w:t>
      </w:r>
      <w:r w:rsidR="0011550A">
        <w:t>hronic disease</w:t>
      </w:r>
      <w:r>
        <w:t xml:space="preserve"> management </w:t>
      </w:r>
      <w:r w:rsidR="0011550A">
        <w:t>—</w:t>
      </w:r>
      <w:r w:rsidR="00B04241">
        <w:t xml:space="preserve"> diabetes</w:t>
      </w:r>
    </w:p>
    <w:p w:rsidR="00245064" w:rsidRPr="00944E91" w:rsidRDefault="009B3775" w:rsidP="00944E91">
      <w:pPr>
        <w:pStyle w:val="BodyText"/>
      </w:pPr>
      <w:r w:rsidRPr="00EE62D0">
        <w:t>Diabetes mellitus</w:t>
      </w:r>
      <w:r w:rsidR="008C14C7">
        <w:t xml:space="preserve">, a chronic disease of </w:t>
      </w:r>
      <w:r w:rsidR="008C14C7" w:rsidRPr="00EE62D0">
        <w:t>increasing prevalence</w:t>
      </w:r>
      <w:r w:rsidR="008C14C7">
        <w:t>,</w:t>
      </w:r>
      <w:r w:rsidRPr="00EE62D0">
        <w:t xml:space="preserve"> </w:t>
      </w:r>
      <w:r w:rsidR="008C14C7">
        <w:t>is an identified National Health Priority Area for Australia.</w:t>
      </w:r>
      <w:r w:rsidR="0069391A">
        <w:t xml:space="preserve"> </w:t>
      </w:r>
      <w:r w:rsidRPr="00EE62D0">
        <w:t>People with diabetes</w:t>
      </w:r>
      <w:r w:rsidR="00DD5291">
        <w:rPr>
          <w:rStyle w:val="FootnoteReference"/>
        </w:rPr>
        <w:t xml:space="preserve"> </w:t>
      </w:r>
      <w:r w:rsidR="00DD5291">
        <w:t>(‘diabetes’ ref</w:t>
      </w:r>
      <w:r w:rsidR="005A67F7">
        <w:t>ers to diabetes mellitus; this R</w:t>
      </w:r>
      <w:r w:rsidR="00DD5291">
        <w:t>eport does not consider diabetes insipidus)</w:t>
      </w:r>
      <w:r w:rsidRPr="00EE62D0">
        <w:t xml:space="preserve"> are at high risk of serious complications such as cardiovascular, eye and kidney disease. </w:t>
      </w:r>
      <w:r w:rsidR="001D1C7B">
        <w:t>Type 2 diabetes is the most common form of diabetes and is largely preventable.</w:t>
      </w:r>
    </w:p>
    <w:p w:rsidR="00D84F00" w:rsidRDefault="009B3775" w:rsidP="00944E91">
      <w:pPr>
        <w:pStyle w:val="BodyText"/>
      </w:pPr>
      <w:r w:rsidRPr="00EE62D0">
        <w:t xml:space="preserve">Appropriate management in the primary and community health sector can prevent </w:t>
      </w:r>
      <w:r w:rsidRPr="00284091">
        <w:t xml:space="preserve">or minimise the severity of </w:t>
      </w:r>
      <w:r w:rsidR="001D1C7B" w:rsidRPr="00284091">
        <w:t xml:space="preserve">diabetes </w:t>
      </w:r>
      <w:r w:rsidRPr="00284091">
        <w:t>complications</w:t>
      </w:r>
      <w:r w:rsidR="00EA4368" w:rsidRPr="00284091">
        <w:t xml:space="preserve"> (AIHW </w:t>
      </w:r>
      <w:r w:rsidR="00B4364B">
        <w:t>2008b</w:t>
      </w:r>
      <w:r w:rsidRPr="00284091">
        <w:t>).</w:t>
      </w:r>
      <w:r w:rsidR="008C14C7" w:rsidRPr="00284091">
        <w:t xml:space="preserve"> </w:t>
      </w:r>
      <w:r w:rsidR="00D84F00" w:rsidRPr="00284091">
        <w:t>Patient compliance with management measures is also a critical determinant of the occurrenc</w:t>
      </w:r>
      <w:r w:rsidR="00D44A1C" w:rsidRPr="00284091">
        <w:t>e and severity of complications</w:t>
      </w:r>
      <w:r w:rsidR="00B63E98">
        <w:t>.</w:t>
      </w:r>
    </w:p>
    <w:p w:rsidR="00B63E98" w:rsidRPr="00944E91" w:rsidRDefault="001045F4" w:rsidP="00B63E98">
      <w:pPr>
        <w:pStyle w:val="BodyText"/>
      </w:pPr>
      <w:r>
        <w:t xml:space="preserve">The PIP Diabetes incentive provides incentives to eligible practices to improve management of patients with diabetes. </w:t>
      </w:r>
      <w:r w:rsidR="00B63E98">
        <w:t xml:space="preserve">In order to register for the PIP Diabetes incentive, general practices are required to maintain an active patient register and recall and reminder system for all known patients with diabetes mellitus, and to agree to implement an annual cycle of care for patients with diabetes mellitus. The </w:t>
      </w:r>
      <w:r w:rsidR="00B63E98" w:rsidRPr="00B63E98">
        <w:t>annual cycle of care is generally based on the RACGP’s clinical guidelines for the management of Type 2 diabetes in general practice</w:t>
      </w:r>
      <w:r w:rsidR="00B63E98">
        <w:t xml:space="preserve">, which represent the </w:t>
      </w:r>
      <w:r w:rsidR="00B63E98" w:rsidRPr="00B63E98">
        <w:t>minimum required level of care</w:t>
      </w:r>
      <w:r w:rsidR="00B63E98">
        <w:t>.</w:t>
      </w:r>
    </w:p>
    <w:p w:rsidR="00E32188" w:rsidRDefault="0046677D" w:rsidP="00E31EAF">
      <w:pPr>
        <w:pStyle w:val="BodyText"/>
      </w:pPr>
      <w:r w:rsidRPr="009C1700">
        <w:t>Nation</w:t>
      </w:r>
      <w:r w:rsidR="00941DCE" w:rsidRPr="009C1700">
        <w:t>ally</w:t>
      </w:r>
      <w:r w:rsidRPr="009C1700">
        <w:t xml:space="preserve">, </w:t>
      </w:r>
      <w:r w:rsidR="00E74E93">
        <w:t>47.3</w:t>
      </w:r>
      <w:r w:rsidR="00EA4368" w:rsidRPr="00331E76">
        <w:t> </w:t>
      </w:r>
      <w:r w:rsidR="00EB4E57" w:rsidRPr="00331E76">
        <w:t>per</w:t>
      </w:r>
      <w:r w:rsidR="00EA4368" w:rsidRPr="00331E76">
        <w:t> </w:t>
      </w:r>
      <w:r w:rsidR="00EB4E57" w:rsidRPr="00331E76">
        <w:t>cent o</w:t>
      </w:r>
      <w:r w:rsidR="00EB4E57" w:rsidRPr="008E5591">
        <w:t xml:space="preserve">f </w:t>
      </w:r>
      <w:r w:rsidR="00E74E93">
        <w:t>PIP practices were registered for the PIP diabetes incentive</w:t>
      </w:r>
      <w:r w:rsidR="006B33FE">
        <w:t xml:space="preserve"> although there was considerable variation across States and Territories</w:t>
      </w:r>
      <w:r w:rsidR="002B3B4D">
        <w:t>,</w:t>
      </w:r>
      <w:r w:rsidR="006B33FE">
        <w:t xml:space="preserve"> </w:t>
      </w:r>
      <w:r w:rsidR="002B3B4D" w:rsidRPr="00331E76">
        <w:t>in</w:t>
      </w:r>
      <w:r w:rsidR="002B3B4D">
        <w:t xml:space="preserve"> 2013</w:t>
      </w:r>
      <w:r w:rsidR="002B3B4D" w:rsidRPr="00331E76">
        <w:t>-1</w:t>
      </w:r>
      <w:r w:rsidR="002B3B4D">
        <w:t>4</w:t>
      </w:r>
      <w:r w:rsidR="002B3B4D" w:rsidRPr="00331E76">
        <w:t xml:space="preserve"> </w:t>
      </w:r>
      <w:r w:rsidR="006B33FE" w:rsidRPr="00331E76">
        <w:t>(</w:t>
      </w:r>
      <w:r w:rsidR="002B3B4D">
        <w:t>figure </w:t>
      </w:r>
      <w:r w:rsidR="006B33FE">
        <w:t>10.</w:t>
      </w:r>
      <w:r w:rsidR="006B33FE" w:rsidRPr="00284091">
        <w:t>2</w:t>
      </w:r>
      <w:r w:rsidR="004C6FAD">
        <w:t>5</w:t>
      </w:r>
      <w:r w:rsidR="006B33FE" w:rsidRPr="00284091">
        <w:t>)</w:t>
      </w:r>
      <w:r w:rsidR="001404B7" w:rsidRPr="00284091">
        <w:t>.</w:t>
      </w:r>
    </w:p>
    <w:p w:rsidR="0067713D" w:rsidRDefault="0067713D" w:rsidP="00F07FF9">
      <w:pPr>
        <w:pStyle w:val="BoxSpaceAbove"/>
        <w:keepLines/>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67713D" w:rsidTr="0029124A">
        <w:tc>
          <w:tcPr>
            <w:tcW w:w="8771" w:type="dxa"/>
            <w:tcBorders>
              <w:top w:val="single" w:sz="4" w:space="0" w:color="78A22F" w:themeColor="accent1"/>
              <w:left w:val="nil"/>
              <w:bottom w:val="nil"/>
              <w:right w:val="nil"/>
            </w:tcBorders>
            <w:shd w:val="clear" w:color="auto" w:fill="auto"/>
          </w:tcPr>
          <w:p w:rsidR="0067713D" w:rsidRPr="00176D3F" w:rsidRDefault="0067713D" w:rsidP="00F07FF9">
            <w:pPr>
              <w:pStyle w:val="FigureTitle"/>
            </w:pPr>
            <w:r w:rsidRPr="00784A05">
              <w:rPr>
                <w:b w:val="0"/>
              </w:rPr>
              <w:t xml:space="preserve">Figure </w:t>
            </w:r>
            <w:r w:rsidR="00DF255F">
              <w:rPr>
                <w:b w:val="0"/>
              </w:rPr>
              <w:t>10.</w:t>
            </w:r>
            <w:r w:rsidR="0078724D">
              <w:rPr>
                <w:b w:val="0"/>
                <w:noProof/>
              </w:rPr>
              <w:t>25</w:t>
            </w:r>
            <w:r>
              <w:tab/>
            </w:r>
            <w:r w:rsidR="008432B1">
              <w:t>PIP practices registered for the PIP diabetes incentive</w:t>
            </w:r>
            <w:r w:rsidR="001C6B3F">
              <w:t xml:space="preserve">, </w:t>
            </w:r>
            <w:r w:rsidR="006B33FE">
              <w:br/>
            </w:r>
            <w:r w:rsidR="001C6B3F" w:rsidRPr="00A73D31">
              <w:t>201</w:t>
            </w:r>
            <w:r w:rsidR="008432B1">
              <w:t>3</w:t>
            </w:r>
            <w:r w:rsidR="001C6B3F" w:rsidRPr="00A73D31">
              <w:t>-1</w:t>
            </w:r>
            <w:r w:rsidR="008432B1">
              <w:t>4</w:t>
            </w:r>
            <w:r w:rsidR="001C6B3F" w:rsidRPr="00A73D31">
              <w:rPr>
                <w:rStyle w:val="NoteLabel"/>
                <w:b/>
              </w:rPr>
              <w:t>a</w:t>
            </w:r>
          </w:p>
        </w:tc>
      </w:tr>
      <w:tr w:rsidR="0067713D" w:rsidTr="0067713D">
        <w:tc>
          <w:tcPr>
            <w:tcW w:w="8771" w:type="dxa"/>
            <w:tcBorders>
              <w:top w:val="nil"/>
              <w:left w:val="nil"/>
              <w:bottom w:val="nil"/>
              <w:right w:val="nil"/>
            </w:tcBorders>
            <w:shd w:val="clear" w:color="auto" w:fill="auto"/>
            <w:tcMar>
              <w:top w:w="28" w:type="dxa"/>
              <w:bottom w:w="28" w:type="dxa"/>
            </w:tcMar>
          </w:tcPr>
          <w:tbl>
            <w:tblPr>
              <w:tblW w:w="8625" w:type="dxa"/>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625"/>
            </w:tblGrid>
            <w:tr w:rsidR="0067713D" w:rsidTr="008432B1">
              <w:tc>
                <w:tcPr>
                  <w:tcW w:w="5000" w:type="pct"/>
                  <w:tcBorders>
                    <w:top w:val="nil"/>
                    <w:bottom w:val="nil"/>
                  </w:tcBorders>
                </w:tcPr>
                <w:p w:rsidR="0067713D" w:rsidRDefault="00583B5D" w:rsidP="00F07FF9">
                  <w:pPr>
                    <w:pStyle w:val="Figure"/>
                    <w:keepLines/>
                    <w:spacing w:before="60" w:after="60"/>
                  </w:pPr>
                  <w:r>
                    <w:rPr>
                      <w:noProof/>
                    </w:rPr>
                    <w:drawing>
                      <wp:inline distT="0" distB="0" distL="0" distR="0">
                        <wp:extent cx="5391150" cy="2686050"/>
                        <wp:effectExtent l="0" t="0" r="0" b="0"/>
                        <wp:docPr id="34" name="Picture 34" descr="Figure 10.25 PIP practices registered for the PIP diabetes incentive, 2013-14&#10;&#10;More details can be found within the text surrounding this image.&#1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391150" cy="2686050"/>
                                </a:xfrm>
                                <a:prstGeom prst="rect">
                                  <a:avLst/>
                                </a:prstGeom>
                                <a:noFill/>
                                <a:ln>
                                  <a:noFill/>
                                </a:ln>
                              </pic:spPr>
                            </pic:pic>
                          </a:graphicData>
                        </a:graphic>
                      </wp:inline>
                    </w:drawing>
                  </w:r>
                </w:p>
              </w:tc>
            </w:tr>
          </w:tbl>
          <w:p w:rsidR="0067713D" w:rsidRDefault="0067713D" w:rsidP="00F07FF9">
            <w:pPr>
              <w:pStyle w:val="Figure"/>
              <w:keepLines/>
            </w:pPr>
          </w:p>
        </w:tc>
      </w:tr>
      <w:tr w:rsidR="0067713D" w:rsidRPr="00176D3F" w:rsidTr="0067713D">
        <w:tc>
          <w:tcPr>
            <w:tcW w:w="8771" w:type="dxa"/>
            <w:tcBorders>
              <w:top w:val="nil"/>
              <w:left w:val="nil"/>
              <w:bottom w:val="nil"/>
              <w:right w:val="nil"/>
            </w:tcBorders>
            <w:shd w:val="clear" w:color="auto" w:fill="auto"/>
          </w:tcPr>
          <w:p w:rsidR="0067713D" w:rsidRPr="00176D3F" w:rsidRDefault="0067713D" w:rsidP="00AE2987">
            <w:pPr>
              <w:pStyle w:val="Note"/>
              <w:keepNext/>
            </w:pPr>
            <w:r w:rsidRPr="00986F3E">
              <w:rPr>
                <w:rStyle w:val="NoteLabel"/>
              </w:rPr>
              <w:t>a</w:t>
            </w:r>
            <w:r w:rsidRPr="00986F3E">
              <w:sym w:font="Symbol" w:char="F020"/>
            </w:r>
            <w:r w:rsidR="00833694">
              <w:t xml:space="preserve">Not </w:t>
            </w:r>
            <w:r w:rsidR="00D315C4">
              <w:t>all practices are enrolled in the PIP</w:t>
            </w:r>
            <w:r w:rsidR="00D315C4" w:rsidRPr="00D315C4">
              <w:t>, and the</w:t>
            </w:r>
            <w:r w:rsidR="00D315C4">
              <w:t xml:space="preserve"> enrolled</w:t>
            </w:r>
            <w:r w:rsidR="00D315C4" w:rsidRPr="00D315C4">
              <w:t xml:space="preserve"> proportion may vary across jurisdictions</w:t>
            </w:r>
            <w:r w:rsidR="00D315C4">
              <w:t>.</w:t>
            </w:r>
            <w:r w:rsidR="00833694">
              <w:t xml:space="preserve"> </w:t>
            </w:r>
            <w:r w:rsidR="00833694" w:rsidRPr="00CC4FB1">
              <w:t>Around 8</w:t>
            </w:r>
            <w:r w:rsidR="00021B4D" w:rsidRPr="00CC4FB1">
              <w:t>5</w:t>
            </w:r>
            <w:r w:rsidR="00833694" w:rsidRPr="00CC4FB1">
              <w:t xml:space="preserve"> per cent of patient care is provided by practices enrolled in the PIP</w:t>
            </w:r>
            <w:r w:rsidR="00021B4D" w:rsidRPr="00CC4FB1">
              <w:t xml:space="preserve"> (table 10A.5</w:t>
            </w:r>
            <w:r w:rsidR="00AE2987">
              <w:t>2</w:t>
            </w:r>
            <w:r w:rsidR="00021B4D" w:rsidRPr="00CC4FB1">
              <w:t>)</w:t>
            </w:r>
            <w:r w:rsidR="00C60184" w:rsidRPr="00CC4FB1">
              <w:t>.</w:t>
            </w:r>
          </w:p>
        </w:tc>
      </w:tr>
      <w:tr w:rsidR="0067713D" w:rsidRPr="00176D3F" w:rsidTr="0067713D">
        <w:tc>
          <w:tcPr>
            <w:tcW w:w="8771" w:type="dxa"/>
            <w:tcBorders>
              <w:top w:val="nil"/>
              <w:left w:val="nil"/>
              <w:bottom w:val="nil"/>
              <w:right w:val="nil"/>
            </w:tcBorders>
            <w:shd w:val="clear" w:color="auto" w:fill="auto"/>
          </w:tcPr>
          <w:p w:rsidR="0067713D" w:rsidRPr="00176D3F" w:rsidRDefault="001C6B3F" w:rsidP="00971ACF">
            <w:pPr>
              <w:pStyle w:val="Source"/>
              <w:keepNext/>
            </w:pPr>
            <w:r>
              <w:rPr>
                <w:i/>
              </w:rPr>
              <w:t>Source</w:t>
            </w:r>
            <w:r w:rsidRPr="00CE78E6">
              <w:t>:</w:t>
            </w:r>
            <w:r>
              <w:t xml:space="preserve"> </w:t>
            </w:r>
            <w:r w:rsidR="00D315C4" w:rsidRPr="00D315C4">
              <w:t>Department of Health (unpublished) MBS and PIP data collections</w:t>
            </w:r>
            <w:r>
              <w:t>; table </w:t>
            </w:r>
            <w:r w:rsidR="00C9076B">
              <w:t>10A.</w:t>
            </w:r>
            <w:r>
              <w:t>5</w:t>
            </w:r>
            <w:r w:rsidR="00971ACF">
              <w:t>7</w:t>
            </w:r>
            <w:r w:rsidRPr="006C74C6">
              <w:t>.</w:t>
            </w:r>
          </w:p>
        </w:tc>
      </w:tr>
      <w:tr w:rsidR="0067713D" w:rsidTr="0067713D">
        <w:tc>
          <w:tcPr>
            <w:tcW w:w="8771" w:type="dxa"/>
            <w:tcBorders>
              <w:top w:val="nil"/>
              <w:left w:val="nil"/>
              <w:bottom w:val="single" w:sz="6" w:space="0" w:color="78A22F"/>
              <w:right w:val="nil"/>
            </w:tcBorders>
            <w:shd w:val="clear" w:color="auto" w:fill="auto"/>
          </w:tcPr>
          <w:p w:rsidR="0067713D" w:rsidRDefault="0067713D" w:rsidP="00F07FF9">
            <w:pPr>
              <w:pStyle w:val="Figurespace"/>
              <w:keepLines/>
            </w:pPr>
          </w:p>
        </w:tc>
      </w:tr>
      <w:tr w:rsidR="0067713D" w:rsidRPr="000863A5" w:rsidTr="0067713D">
        <w:tc>
          <w:tcPr>
            <w:tcW w:w="8771" w:type="dxa"/>
            <w:tcBorders>
              <w:top w:val="single" w:sz="6" w:space="0" w:color="78A22F"/>
              <w:left w:val="nil"/>
              <w:bottom w:val="nil"/>
              <w:right w:val="nil"/>
            </w:tcBorders>
          </w:tcPr>
          <w:p w:rsidR="0067713D" w:rsidRPr="00626D32" w:rsidRDefault="0067713D" w:rsidP="00F07FF9">
            <w:pPr>
              <w:pStyle w:val="BoxSpaceBelow"/>
              <w:keepNext/>
              <w:keepLines/>
            </w:pPr>
          </w:p>
        </w:tc>
      </w:tr>
    </w:tbl>
    <w:p w:rsidR="00F27349" w:rsidRDefault="00077B7C" w:rsidP="00A73D31">
      <w:pPr>
        <w:pStyle w:val="BodyText"/>
        <w:rPr>
          <w:shd w:val="clear" w:color="auto" w:fill="F9F9F9" w:themeFill="accent4" w:themeFillTint="66"/>
        </w:rPr>
      </w:pPr>
      <w:r>
        <w:t xml:space="preserve">HbA1c </w:t>
      </w:r>
      <w:r w:rsidR="00240F14" w:rsidRPr="004C6697">
        <w:t>(glycosolate</w:t>
      </w:r>
      <w:r w:rsidR="00240F14">
        <w:t xml:space="preserve">d haemoglobin) </w:t>
      </w:r>
      <w:r>
        <w:t xml:space="preserve">provides a measure </w:t>
      </w:r>
      <w:r w:rsidR="00240F14">
        <w:t xml:space="preserve">of </w:t>
      </w:r>
      <w:r>
        <w:t xml:space="preserve">the average </w:t>
      </w:r>
      <w:r w:rsidR="00240F14">
        <w:t xml:space="preserve">blood glucose </w:t>
      </w:r>
      <w:r>
        <w:t xml:space="preserve">level </w:t>
      </w:r>
      <w:r w:rsidR="00240F14">
        <w:t>for the</w:t>
      </w:r>
      <w:r>
        <w:t xml:space="preserve"> preceding three months. </w:t>
      </w:r>
      <w:r w:rsidR="00A2332B" w:rsidRPr="00A73D31">
        <w:t xml:space="preserve">RACGP  guidelines for management of diabetes indicate that HbA1c levels should be tested at least every 6 months. Nationally, 77.5 per cent of people with known diabetes had a HbA1c test in the previous 12 months (table </w:t>
      </w:r>
      <w:r w:rsidR="00C9076B">
        <w:t>10A.</w:t>
      </w:r>
      <w:r w:rsidR="00A2332B" w:rsidRPr="00A73D31">
        <w:t>5</w:t>
      </w:r>
      <w:r w:rsidR="00971ACF">
        <w:t>8</w:t>
      </w:r>
      <w:r w:rsidR="00A2332B" w:rsidRPr="00A73D31">
        <w:t>).</w:t>
      </w:r>
      <w:r w:rsidR="00A2332B">
        <w:rPr>
          <w:shd w:val="clear" w:color="auto" w:fill="F9F9F9" w:themeFill="accent4" w:themeFillTint="66"/>
        </w:rPr>
        <w:t xml:space="preserve"> </w:t>
      </w:r>
    </w:p>
    <w:p w:rsidR="00077B7C" w:rsidRPr="00C93A92" w:rsidRDefault="00240F14" w:rsidP="00C93A92">
      <w:pPr>
        <w:pStyle w:val="BodyText"/>
        <w:rPr>
          <w:rStyle w:val="DraftingNote"/>
          <w:b w:val="0"/>
          <w:color w:val="auto"/>
          <w:u w:val="none"/>
        </w:rPr>
      </w:pPr>
      <w:r>
        <w:t>An outcome of appropriate management of</w:t>
      </w:r>
      <w:r w:rsidR="00077B7C">
        <w:t xml:space="preserve"> diabetes</w:t>
      </w:r>
      <w:r>
        <w:t xml:space="preserve">, by the </w:t>
      </w:r>
      <w:r w:rsidRPr="00EE62D0">
        <w:t xml:space="preserve">primary and community health </w:t>
      </w:r>
      <w:r>
        <w:t>care</w:t>
      </w:r>
      <w:r w:rsidRPr="00240F14">
        <w:t xml:space="preserve"> </w:t>
      </w:r>
      <w:r>
        <w:t xml:space="preserve">sector in conjunction with the patient, is </w:t>
      </w:r>
      <w:r w:rsidR="00A2332B">
        <w:t xml:space="preserve">a </w:t>
      </w:r>
      <w:r w:rsidRPr="00240F14">
        <w:t xml:space="preserve">HbA1c </w:t>
      </w:r>
      <w:r w:rsidR="00A2332B">
        <w:t xml:space="preserve">level at or </w:t>
      </w:r>
      <w:r w:rsidR="00C13B36">
        <w:t>below 7 </w:t>
      </w:r>
      <w:r w:rsidRPr="00240F14">
        <w:t>per cent</w:t>
      </w:r>
      <w:r w:rsidR="00045E61">
        <w:t>.</w:t>
      </w:r>
      <w:r w:rsidR="00FF2328">
        <w:t xml:space="preserve"> Nati</w:t>
      </w:r>
      <w:r w:rsidR="00DD0695">
        <w:t>o</w:t>
      </w:r>
      <w:r w:rsidR="00FF2328">
        <w:t xml:space="preserve">nally, </w:t>
      </w:r>
      <w:r w:rsidR="00DD0695">
        <w:t xml:space="preserve">50.5 per cent of people with known diabetes had a </w:t>
      </w:r>
      <w:r w:rsidR="00DD0695" w:rsidRPr="00240F14">
        <w:t xml:space="preserve">HbA1c </w:t>
      </w:r>
      <w:r w:rsidR="00DD0695">
        <w:t xml:space="preserve">level at or </w:t>
      </w:r>
      <w:r w:rsidR="00C13B36">
        <w:t>below 7 </w:t>
      </w:r>
      <w:r w:rsidR="00DD0695" w:rsidRPr="00240F14">
        <w:t>per cent</w:t>
      </w:r>
      <w:r w:rsidR="003A0E8A">
        <w:t xml:space="preserve"> (</w:t>
      </w:r>
      <w:r w:rsidR="00897589">
        <w:t>figure 10.</w:t>
      </w:r>
      <w:r w:rsidR="003A0E8A">
        <w:t>2</w:t>
      </w:r>
      <w:r w:rsidR="004C6FAD">
        <w:t>6</w:t>
      </w:r>
      <w:r w:rsidR="003A0E8A">
        <w:t>)</w:t>
      </w:r>
      <w:r w:rsidR="00DD0695">
        <w:t>.</w:t>
      </w:r>
    </w:p>
    <w:p w:rsidR="001C6B3F" w:rsidRDefault="001C6B3F" w:rsidP="00D61F90">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1C6B3F" w:rsidTr="00D61F90">
        <w:tc>
          <w:tcPr>
            <w:tcW w:w="8771" w:type="dxa"/>
            <w:tcBorders>
              <w:top w:val="single" w:sz="6" w:space="0" w:color="78A22F"/>
              <w:left w:val="nil"/>
              <w:bottom w:val="nil"/>
              <w:right w:val="nil"/>
            </w:tcBorders>
            <w:shd w:val="clear" w:color="auto" w:fill="auto"/>
          </w:tcPr>
          <w:p w:rsidR="001C6B3F" w:rsidRPr="008A5814" w:rsidRDefault="001C6B3F" w:rsidP="00856210">
            <w:pPr>
              <w:pStyle w:val="FigureTitle"/>
              <w:rPr>
                <w:rStyle w:val="NoteLabel"/>
              </w:rPr>
            </w:pPr>
            <w:r w:rsidRPr="00784A05">
              <w:rPr>
                <w:b w:val="0"/>
              </w:rPr>
              <w:t xml:space="preserve">Figure </w:t>
            </w:r>
            <w:r w:rsidR="00DF255F">
              <w:rPr>
                <w:b w:val="0"/>
              </w:rPr>
              <w:t>10.</w:t>
            </w:r>
            <w:r w:rsidR="0078724D">
              <w:rPr>
                <w:b w:val="0"/>
                <w:noProof/>
              </w:rPr>
              <w:t>26</w:t>
            </w:r>
            <w:r>
              <w:tab/>
              <w:t>P</w:t>
            </w:r>
            <w:r w:rsidRPr="00200A43">
              <w:t xml:space="preserve">eople with known diabetes </w:t>
            </w:r>
            <w:r>
              <w:t>with</w:t>
            </w:r>
            <w:r w:rsidRPr="00200A43">
              <w:t xml:space="preserve"> HbA1c level 7 per cent </w:t>
            </w:r>
            <w:r>
              <w:t>or less</w:t>
            </w:r>
            <w:r w:rsidR="008A5814" w:rsidRPr="008A5814">
              <w:rPr>
                <w:rStyle w:val="NoteLabel"/>
                <w:b/>
              </w:rPr>
              <w:t>a, b, c, d</w:t>
            </w:r>
          </w:p>
        </w:tc>
      </w:tr>
      <w:tr w:rsidR="001C6B3F" w:rsidTr="00D61F90">
        <w:tc>
          <w:tcPr>
            <w:tcW w:w="8771" w:type="dxa"/>
            <w:tcBorders>
              <w:top w:val="nil"/>
              <w:left w:val="nil"/>
              <w:bottom w:val="nil"/>
              <w:right w:val="nil"/>
            </w:tcBorders>
            <w:shd w:val="clear" w:color="auto" w:fill="auto"/>
            <w:tcMar>
              <w:top w:w="28" w:type="dxa"/>
              <w:bottom w:w="28" w:type="dxa"/>
            </w:tcMar>
          </w:tcPr>
          <w:tbl>
            <w:tblPr>
              <w:tblW w:w="8625" w:type="dxa"/>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625"/>
            </w:tblGrid>
            <w:tr w:rsidR="001C6B3F" w:rsidTr="00D775D2">
              <w:tc>
                <w:tcPr>
                  <w:tcW w:w="5000" w:type="pct"/>
                  <w:tcBorders>
                    <w:top w:val="nil"/>
                    <w:bottom w:val="nil"/>
                  </w:tcBorders>
                </w:tcPr>
                <w:p w:rsidR="001C6B3F" w:rsidRDefault="00583B5D" w:rsidP="00D61F90">
                  <w:pPr>
                    <w:pStyle w:val="Figure"/>
                    <w:spacing w:before="60" w:after="60"/>
                  </w:pPr>
                  <w:r>
                    <w:rPr>
                      <w:noProof/>
                    </w:rPr>
                    <w:drawing>
                      <wp:inline distT="0" distB="0" distL="0" distR="0">
                        <wp:extent cx="5391150" cy="2867025"/>
                        <wp:effectExtent l="0" t="0" r="0" b="9525"/>
                        <wp:docPr id="35" name="Picture 35" descr="Figure 10.26 People with known diabetes with HbA1c level 7 per cent or less&#10;&#10;More details can be found within the text surrounding this image.&#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391150" cy="2867025"/>
                                </a:xfrm>
                                <a:prstGeom prst="rect">
                                  <a:avLst/>
                                </a:prstGeom>
                                <a:noFill/>
                                <a:ln>
                                  <a:noFill/>
                                </a:ln>
                              </pic:spPr>
                            </pic:pic>
                          </a:graphicData>
                        </a:graphic>
                      </wp:inline>
                    </w:drawing>
                  </w:r>
                </w:p>
              </w:tc>
            </w:tr>
          </w:tbl>
          <w:p w:rsidR="001C6B3F" w:rsidRDefault="001C6B3F" w:rsidP="00D61F90">
            <w:pPr>
              <w:pStyle w:val="Figure"/>
            </w:pPr>
          </w:p>
        </w:tc>
      </w:tr>
      <w:tr w:rsidR="001C6B3F" w:rsidRPr="00176D3F" w:rsidTr="00D61F90">
        <w:tc>
          <w:tcPr>
            <w:tcW w:w="8771" w:type="dxa"/>
            <w:tcBorders>
              <w:top w:val="nil"/>
              <w:left w:val="nil"/>
              <w:bottom w:val="nil"/>
              <w:right w:val="nil"/>
            </w:tcBorders>
            <w:shd w:val="clear" w:color="auto" w:fill="auto"/>
          </w:tcPr>
          <w:p w:rsidR="001C6B3F" w:rsidRPr="00176D3F" w:rsidRDefault="001C6B3F" w:rsidP="00D61F90">
            <w:pPr>
              <w:pStyle w:val="Note"/>
            </w:pPr>
            <w:r>
              <w:rPr>
                <w:rStyle w:val="NoteLabel"/>
              </w:rPr>
              <w:t>a</w:t>
            </w:r>
            <w:r>
              <w:t xml:space="preserve"> </w:t>
            </w:r>
            <w:r w:rsidRPr="00FB74B5">
              <w:t>People aged 18 years to 69 years</w:t>
            </w:r>
            <w:r>
              <w:t xml:space="preserve"> with known diabetes</w:t>
            </w:r>
            <w:r w:rsidRPr="00FB74B5">
              <w:t>. Includes pregnant women.</w:t>
            </w:r>
            <w:r>
              <w:t xml:space="preserve"> </w:t>
            </w:r>
            <w:r>
              <w:rPr>
                <w:rStyle w:val="NoteLabel"/>
              </w:rPr>
              <w:t>b</w:t>
            </w:r>
            <w:r w:rsidRPr="00FB74B5">
              <w:t xml:space="preserve"> </w:t>
            </w:r>
            <w:r>
              <w:t>Known diabetes based on fasting plasma glucose test results and self-reported information on diagnosis/medication use.</w:t>
            </w:r>
            <w:r w:rsidRPr="00FB74B5">
              <w:rPr>
                <w:rStyle w:val="NoteLabel"/>
              </w:rPr>
              <w:t xml:space="preserve"> </w:t>
            </w:r>
            <w:r>
              <w:rPr>
                <w:rStyle w:val="NoteLabel"/>
              </w:rPr>
              <w:t>c</w:t>
            </w:r>
            <w:r w:rsidR="008A5814">
              <w:t> </w:t>
            </w:r>
            <w:r>
              <w:t xml:space="preserve">Rates are not age-standardised. </w:t>
            </w:r>
            <w:r w:rsidRPr="00A73D31">
              <w:rPr>
                <w:rStyle w:val="NoteLabel"/>
              </w:rPr>
              <w:t>d</w:t>
            </w:r>
            <w:r w:rsidRPr="00A73D31">
              <w:t xml:space="preserve"> Data for the NT should be used with care as exclusion of very remote areas from the Australian Health Survey translates to the exclusion of around 23 per cent of the NT population.</w:t>
            </w:r>
          </w:p>
        </w:tc>
      </w:tr>
      <w:tr w:rsidR="001C6B3F" w:rsidRPr="00176D3F" w:rsidTr="00D61F90">
        <w:tc>
          <w:tcPr>
            <w:tcW w:w="8771" w:type="dxa"/>
            <w:tcBorders>
              <w:top w:val="nil"/>
              <w:left w:val="nil"/>
              <w:bottom w:val="nil"/>
              <w:right w:val="nil"/>
            </w:tcBorders>
            <w:shd w:val="clear" w:color="auto" w:fill="auto"/>
          </w:tcPr>
          <w:p w:rsidR="001C6B3F" w:rsidRPr="00176D3F" w:rsidRDefault="001C6B3F" w:rsidP="00B06590">
            <w:pPr>
              <w:pStyle w:val="Source"/>
              <w:spacing w:before="60"/>
            </w:pPr>
            <w:r>
              <w:rPr>
                <w:i/>
              </w:rPr>
              <w:t>Source</w:t>
            </w:r>
            <w:r w:rsidRPr="00167F06">
              <w:t>:</w:t>
            </w:r>
            <w:r w:rsidRPr="006C74C6">
              <w:t xml:space="preserve"> ABS (unpublished</w:t>
            </w:r>
            <w:r w:rsidRPr="00A73D31">
              <w:t xml:space="preserve">) </w:t>
            </w:r>
            <w:r w:rsidRPr="00A73D31">
              <w:rPr>
                <w:i/>
              </w:rPr>
              <w:t>Australian Health Survey, 2011-13</w:t>
            </w:r>
            <w:r w:rsidRPr="00A73D31">
              <w:t xml:space="preserve"> (</w:t>
            </w:r>
            <w:r w:rsidR="00B06590" w:rsidRPr="00A73D31">
              <w:t>2011</w:t>
            </w:r>
            <w:r w:rsidR="00B06590" w:rsidRPr="00A73D31">
              <w:noBreakHyphen/>
              <w:t xml:space="preserve">12 </w:t>
            </w:r>
            <w:r w:rsidRPr="00A73D31">
              <w:t xml:space="preserve">National Health Measures </w:t>
            </w:r>
            <w:r w:rsidR="00B06590">
              <w:t xml:space="preserve">Survey </w:t>
            </w:r>
            <w:r w:rsidRPr="00A73D31">
              <w:t>component)</w:t>
            </w:r>
            <w:r w:rsidR="00B06590">
              <w:t>,</w:t>
            </w:r>
            <w:r w:rsidRPr="00A73D31">
              <w:t xml:space="preserve"> Cat. No. 4364.0;</w:t>
            </w:r>
            <w:r w:rsidRPr="006C74C6">
              <w:t xml:space="preserve"> table </w:t>
            </w:r>
            <w:r w:rsidR="00C9076B">
              <w:t>10A.</w:t>
            </w:r>
            <w:r>
              <w:t>5</w:t>
            </w:r>
            <w:r w:rsidR="00971ACF">
              <w:t>9</w:t>
            </w:r>
            <w:r w:rsidRPr="006C74C6">
              <w:t>.</w:t>
            </w:r>
          </w:p>
        </w:tc>
      </w:tr>
      <w:tr w:rsidR="001C6B3F" w:rsidTr="00D61F90">
        <w:tc>
          <w:tcPr>
            <w:tcW w:w="8771" w:type="dxa"/>
            <w:tcBorders>
              <w:top w:val="nil"/>
              <w:left w:val="nil"/>
              <w:bottom w:val="single" w:sz="6" w:space="0" w:color="78A22F"/>
              <w:right w:val="nil"/>
            </w:tcBorders>
            <w:shd w:val="clear" w:color="auto" w:fill="auto"/>
          </w:tcPr>
          <w:p w:rsidR="001C6B3F" w:rsidRDefault="001C6B3F" w:rsidP="00D61F90">
            <w:pPr>
              <w:pStyle w:val="Figurespace"/>
            </w:pPr>
          </w:p>
        </w:tc>
      </w:tr>
      <w:tr w:rsidR="001C6B3F" w:rsidRPr="000863A5" w:rsidTr="00D61F90">
        <w:tc>
          <w:tcPr>
            <w:tcW w:w="8771" w:type="dxa"/>
            <w:tcBorders>
              <w:top w:val="single" w:sz="6" w:space="0" w:color="78A22F"/>
              <w:left w:val="nil"/>
              <w:bottom w:val="nil"/>
              <w:right w:val="nil"/>
            </w:tcBorders>
          </w:tcPr>
          <w:p w:rsidR="001C6B3F" w:rsidRPr="00626D32" w:rsidRDefault="001C6B3F" w:rsidP="00D61F90">
            <w:pPr>
              <w:pStyle w:val="BoxSpaceBelow"/>
            </w:pPr>
          </w:p>
        </w:tc>
      </w:tr>
    </w:tbl>
    <w:p w:rsidR="0011550A" w:rsidRDefault="00F3615B" w:rsidP="0011550A">
      <w:pPr>
        <w:pStyle w:val="Heading5"/>
      </w:pPr>
      <w:r>
        <w:t xml:space="preserve">Chronic disease management — </w:t>
      </w:r>
      <w:r w:rsidR="0011550A">
        <w:t>asthma</w:t>
      </w:r>
    </w:p>
    <w:p w:rsidR="002A4BFF" w:rsidRDefault="003F2838" w:rsidP="00AD79B2">
      <w:pPr>
        <w:pStyle w:val="BodyText"/>
      </w:pPr>
      <w:r w:rsidRPr="003F2838">
        <w:t>Asthma, an identified National Health Priority Area for Australia, is a common chronic disease among Australians — particularly children — and is associated with wheezing and shortness of breath. Asthma can be intermittent or persistent, and varies in severity.</w:t>
      </w:r>
    </w:p>
    <w:p w:rsidR="00776056" w:rsidRDefault="00733DFE" w:rsidP="00CC4FB1">
      <w:pPr>
        <w:pStyle w:val="BodyText"/>
      </w:pPr>
      <w:r w:rsidRPr="00DA07AF">
        <w:t xml:space="preserve">Nationally, the proportion of people with asthma reporting that they have a written asthma action plan was 24.6 per cent for </w:t>
      </w:r>
      <w:r w:rsidR="00A20DA3">
        <w:t xml:space="preserve">people of </w:t>
      </w:r>
      <w:r w:rsidRPr="00DA07AF">
        <w:t xml:space="preserve">all ages </w:t>
      </w:r>
      <w:r w:rsidR="00E96459">
        <w:t xml:space="preserve">in 2011-12, </w:t>
      </w:r>
      <w:r w:rsidR="00776056" w:rsidRPr="00CC4FB1">
        <w:t>a slight increase</w:t>
      </w:r>
      <w:r w:rsidR="00E96459" w:rsidRPr="00CC4FB1">
        <w:t xml:space="preserve"> from </w:t>
      </w:r>
      <w:r w:rsidR="00776056" w:rsidRPr="00CC4FB1">
        <w:t>22.9 </w:t>
      </w:r>
      <w:r w:rsidR="00E96459" w:rsidRPr="00CC4FB1">
        <w:t xml:space="preserve">per cent in 2004-05 (figure 10.27). </w:t>
      </w:r>
      <w:r w:rsidR="00776056" w:rsidRPr="00CC4FB1">
        <w:t>The proportion of people with asthma reporting that they have a written asthma action plan was higher for children aged 0–14 years than for other age groups i</w:t>
      </w:r>
      <w:r w:rsidR="00971ACF">
        <w:t>n all jurisdictions (table 10A.60</w:t>
      </w:r>
      <w:r w:rsidR="00776056" w:rsidRPr="00CC4FB1">
        <w:t>)</w:t>
      </w:r>
      <w:r w:rsidR="00776056" w:rsidRPr="00DA07AF">
        <w:t xml:space="preserve">. </w:t>
      </w:r>
    </w:p>
    <w:p w:rsidR="000E1F66" w:rsidRDefault="000E1F66" w:rsidP="00D61F90">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0E1F66" w:rsidTr="00CC4FB1">
        <w:tc>
          <w:tcPr>
            <w:tcW w:w="8771" w:type="dxa"/>
            <w:tcBorders>
              <w:top w:val="single" w:sz="6" w:space="0" w:color="78A22F"/>
              <w:left w:val="nil"/>
              <w:bottom w:val="nil"/>
              <w:right w:val="nil"/>
            </w:tcBorders>
            <w:shd w:val="clear" w:color="auto" w:fill="auto"/>
          </w:tcPr>
          <w:p w:rsidR="000E1F66" w:rsidRPr="00176D3F" w:rsidRDefault="000E1F66" w:rsidP="00A22EE8">
            <w:pPr>
              <w:pStyle w:val="FigureTitle"/>
            </w:pPr>
            <w:r w:rsidRPr="00784A05">
              <w:rPr>
                <w:b w:val="0"/>
              </w:rPr>
              <w:t xml:space="preserve">Figure </w:t>
            </w:r>
            <w:r w:rsidR="00DF255F">
              <w:rPr>
                <w:b w:val="0"/>
              </w:rPr>
              <w:t>10.</w:t>
            </w:r>
            <w:r w:rsidR="0078724D">
              <w:rPr>
                <w:b w:val="0"/>
                <w:noProof/>
              </w:rPr>
              <w:t>27</w:t>
            </w:r>
            <w:r>
              <w:tab/>
            </w:r>
            <w:r w:rsidRPr="006C74C6">
              <w:t>Proportion of people with asthma who have a written asthma action plan</w:t>
            </w:r>
            <w:r w:rsidR="00325659">
              <w:t>, all ages</w:t>
            </w:r>
            <w:r w:rsidRPr="00A73D31">
              <w:rPr>
                <w:rStyle w:val="NoteLabel"/>
                <w:b/>
              </w:rPr>
              <w:t>a,</w:t>
            </w:r>
            <w:r w:rsidRPr="006C74C6">
              <w:rPr>
                <w:rStyle w:val="NoteLabel"/>
                <w:b/>
              </w:rPr>
              <w:t xml:space="preserve"> b, c</w:t>
            </w:r>
            <w:r w:rsidR="00F87091">
              <w:rPr>
                <w:rStyle w:val="NoteLabel"/>
                <w:b/>
              </w:rPr>
              <w:t>, d</w:t>
            </w:r>
          </w:p>
        </w:tc>
      </w:tr>
      <w:tr w:rsidR="000E1F66" w:rsidTr="00CC4FB1">
        <w:tc>
          <w:tcPr>
            <w:tcW w:w="8771" w:type="dxa"/>
            <w:tcBorders>
              <w:top w:val="nil"/>
              <w:left w:val="nil"/>
              <w:bottom w:val="nil"/>
              <w:right w:val="nil"/>
            </w:tcBorders>
            <w:shd w:val="clear" w:color="auto" w:fill="auto"/>
            <w:tcMar>
              <w:top w:w="28" w:type="dxa"/>
              <w:bottom w:w="28" w:type="dxa"/>
            </w:tcMar>
          </w:tcPr>
          <w:tbl>
            <w:tblPr>
              <w:tblW w:w="8625" w:type="dxa"/>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625"/>
            </w:tblGrid>
            <w:tr w:rsidR="000E1F66" w:rsidTr="00DA07AF">
              <w:trPr>
                <w:trHeight w:val="313"/>
              </w:trPr>
              <w:tc>
                <w:tcPr>
                  <w:tcW w:w="8625" w:type="dxa"/>
                  <w:tcBorders>
                    <w:top w:val="nil"/>
                    <w:bottom w:val="nil"/>
                  </w:tcBorders>
                </w:tcPr>
                <w:p w:rsidR="0054637A" w:rsidRPr="00490CC9" w:rsidRDefault="00583B5D" w:rsidP="00490CC9">
                  <w:pPr>
                    <w:pStyle w:val="Figure"/>
                    <w:spacing w:before="0" w:after="0" w:line="240" w:lineRule="auto"/>
                    <w:rPr>
                      <w:sz w:val="2"/>
                      <w:szCs w:val="2"/>
                    </w:rPr>
                  </w:pPr>
                  <w:r>
                    <w:rPr>
                      <w:noProof/>
                      <w:sz w:val="2"/>
                      <w:szCs w:val="2"/>
                    </w:rPr>
                    <w:drawing>
                      <wp:inline distT="0" distB="0" distL="0" distR="0">
                        <wp:extent cx="5391150" cy="2876550"/>
                        <wp:effectExtent l="0" t="0" r="0" b="0"/>
                        <wp:docPr id="36" name="Picture 36" descr="Figure 10.27 Proportion of people with asthma who have a written asthma action plan, all ages&#10;&#10;More details can be found within the text surrounding this image.&#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391150" cy="2876550"/>
                                </a:xfrm>
                                <a:prstGeom prst="rect">
                                  <a:avLst/>
                                </a:prstGeom>
                                <a:noFill/>
                                <a:ln>
                                  <a:noFill/>
                                </a:ln>
                              </pic:spPr>
                            </pic:pic>
                          </a:graphicData>
                        </a:graphic>
                      </wp:inline>
                    </w:drawing>
                  </w:r>
                </w:p>
              </w:tc>
            </w:tr>
          </w:tbl>
          <w:p w:rsidR="000E1F66" w:rsidRDefault="000E1F66" w:rsidP="00D61F90">
            <w:pPr>
              <w:pStyle w:val="Figure"/>
            </w:pPr>
          </w:p>
        </w:tc>
      </w:tr>
      <w:tr w:rsidR="000E1F66" w:rsidRPr="00176D3F" w:rsidTr="00CC4FB1">
        <w:tc>
          <w:tcPr>
            <w:tcW w:w="8771" w:type="dxa"/>
            <w:tcBorders>
              <w:top w:val="nil"/>
              <w:left w:val="nil"/>
              <w:bottom w:val="nil"/>
              <w:right w:val="nil"/>
            </w:tcBorders>
            <w:shd w:val="clear" w:color="auto" w:fill="auto"/>
          </w:tcPr>
          <w:p w:rsidR="000E1F66" w:rsidRPr="00176D3F" w:rsidRDefault="000E1F66" w:rsidP="00A20DA3">
            <w:pPr>
              <w:pStyle w:val="Note"/>
              <w:keepNext/>
            </w:pPr>
            <w:r w:rsidRPr="006C74C6">
              <w:rPr>
                <w:rStyle w:val="NoteLabel"/>
              </w:rPr>
              <w:t xml:space="preserve">a </w:t>
            </w:r>
            <w:r w:rsidRPr="006C74C6">
              <w:t xml:space="preserve">Rates are age standardised to the Australian population at 30 June 2001. </w:t>
            </w:r>
            <w:r w:rsidRPr="006C74C6">
              <w:rPr>
                <w:rStyle w:val="NoteLabel"/>
              </w:rPr>
              <w:t>b</w:t>
            </w:r>
            <w:r w:rsidRPr="006C74C6">
              <w:t xml:space="preserve"> Error bars represent the 95</w:t>
            </w:r>
            <w:r w:rsidR="00A20DA3">
              <w:t> </w:t>
            </w:r>
            <w:r w:rsidRPr="006C74C6">
              <w:t>per cent confidence interval associated with each point estimate.</w:t>
            </w:r>
            <w:r>
              <w:t xml:space="preserve"> </w:t>
            </w:r>
            <w:r>
              <w:rPr>
                <w:rStyle w:val="NoteLabel"/>
              </w:rPr>
              <w:t>c</w:t>
            </w:r>
            <w:r w:rsidRPr="006C74C6">
              <w:t xml:space="preserve"> </w:t>
            </w:r>
            <w:r w:rsidRPr="00A73D31">
              <w:t xml:space="preserve">Data for the NT should be used with care as </w:t>
            </w:r>
            <w:r w:rsidR="00A20DA3" w:rsidRPr="00A73D31">
              <w:t>the</w:t>
            </w:r>
            <w:r w:rsidR="002D51D4">
              <w:t xml:space="preserve"> NHS</w:t>
            </w:r>
            <w:r w:rsidR="00A20DA3" w:rsidRPr="00A73D31">
              <w:t xml:space="preserve"> </w:t>
            </w:r>
            <w:r w:rsidR="002D51D4">
              <w:t>(</w:t>
            </w:r>
            <w:r w:rsidR="00A20DA3" w:rsidRPr="00CC4FB1">
              <w:t>National Health Survey</w:t>
            </w:r>
            <w:r w:rsidR="002D51D4">
              <w:t>)</w:t>
            </w:r>
            <w:r w:rsidR="00A20DA3" w:rsidRPr="00CC4FB1">
              <w:t xml:space="preserve"> </w:t>
            </w:r>
            <w:r w:rsidRPr="00CC4FB1">
              <w:t>exclu</w:t>
            </w:r>
            <w:r w:rsidR="00A20DA3" w:rsidRPr="00CC4FB1">
              <w:t>des</w:t>
            </w:r>
            <w:r w:rsidRPr="00CC4FB1">
              <w:t xml:space="preserve"> very remote areas</w:t>
            </w:r>
            <w:r w:rsidR="00A20DA3" w:rsidRPr="00CC4FB1">
              <w:t xml:space="preserve"> and therefore </w:t>
            </w:r>
            <w:r w:rsidRPr="00CC4FB1">
              <w:t>around 23 per cent of the NT population.</w:t>
            </w:r>
            <w:r w:rsidR="00A20DA3" w:rsidRPr="00CC4FB1">
              <w:t xml:space="preserve"> Data for the NT are not available for 2004-05.</w:t>
            </w:r>
            <w:r w:rsidR="00A20DA3">
              <w:t xml:space="preserve"> </w:t>
            </w:r>
            <w:r w:rsidR="00B51F23">
              <w:rPr>
                <w:rStyle w:val="NoteLabel"/>
              </w:rPr>
              <w:t>d</w:t>
            </w:r>
            <w:r w:rsidR="00F87091" w:rsidRPr="006C74C6">
              <w:t xml:space="preserve"> </w:t>
            </w:r>
            <w:r w:rsidR="00F87091" w:rsidRPr="00A73D31">
              <w:t>Data</w:t>
            </w:r>
            <w:r w:rsidR="00F87091">
              <w:t xml:space="preserve"> </w:t>
            </w:r>
            <w:r w:rsidR="00FB2D06">
              <w:t xml:space="preserve">for the NT for 2011-12 </w:t>
            </w:r>
            <w:r w:rsidR="00F87091">
              <w:t xml:space="preserve">are not comparable </w:t>
            </w:r>
            <w:r w:rsidR="00FB2D06">
              <w:t xml:space="preserve">to data for previous years </w:t>
            </w:r>
            <w:r w:rsidR="00F87091">
              <w:t xml:space="preserve">due to the </w:t>
            </w:r>
            <w:r w:rsidR="00FB2D06">
              <w:t>increased</w:t>
            </w:r>
            <w:r w:rsidR="00F87091">
              <w:t xml:space="preserve"> sample size.</w:t>
            </w:r>
          </w:p>
        </w:tc>
      </w:tr>
      <w:tr w:rsidR="000E1F66" w:rsidRPr="00176D3F" w:rsidTr="00D61F90">
        <w:tc>
          <w:tcPr>
            <w:tcW w:w="8771" w:type="dxa"/>
            <w:tcBorders>
              <w:top w:val="nil"/>
              <w:left w:val="nil"/>
              <w:bottom w:val="nil"/>
              <w:right w:val="nil"/>
            </w:tcBorders>
            <w:shd w:val="clear" w:color="auto" w:fill="auto"/>
          </w:tcPr>
          <w:p w:rsidR="000E1F66" w:rsidRPr="00176D3F" w:rsidRDefault="000E1F66" w:rsidP="00A97E0B">
            <w:pPr>
              <w:pStyle w:val="Source"/>
              <w:spacing w:before="60"/>
            </w:pPr>
            <w:r w:rsidRPr="006C74C6">
              <w:rPr>
                <w:i/>
              </w:rPr>
              <w:t>Source</w:t>
            </w:r>
            <w:r w:rsidRPr="006C74C6">
              <w:t>: ABS (unpublished)</w:t>
            </w:r>
            <w:r w:rsidR="00A97E0B">
              <w:t xml:space="preserve"> </w:t>
            </w:r>
            <w:r w:rsidR="00A97E0B">
              <w:rPr>
                <w:i/>
              </w:rPr>
              <w:t>Australian Health Survey,</w:t>
            </w:r>
            <w:r w:rsidRPr="006C74C6">
              <w:t xml:space="preserve"> </w:t>
            </w:r>
            <w:r w:rsidR="00A97E0B" w:rsidRPr="00A97E0B">
              <w:rPr>
                <w:i/>
              </w:rPr>
              <w:t>2011–2013</w:t>
            </w:r>
            <w:r w:rsidR="00A97E0B">
              <w:t xml:space="preserve"> (2011-12 NHS component)</w:t>
            </w:r>
            <w:r w:rsidR="009A23AE">
              <w:rPr>
                <w:i/>
              </w:rPr>
              <w:t xml:space="preserve">, </w:t>
            </w:r>
            <w:r w:rsidR="00A97E0B" w:rsidRPr="00A73D31">
              <w:t>Cat. No. 4364.0;</w:t>
            </w:r>
            <w:r w:rsidR="00A97E0B" w:rsidRPr="006C74C6">
              <w:t xml:space="preserve"> ABS (unpublished)</w:t>
            </w:r>
            <w:r w:rsidR="00A97E0B">
              <w:t xml:space="preserve"> </w:t>
            </w:r>
            <w:r w:rsidR="00A97E0B" w:rsidRPr="00A97E0B">
              <w:rPr>
                <w:i/>
              </w:rPr>
              <w:t>National Health Survey</w:t>
            </w:r>
            <w:r w:rsidR="00A97E0B">
              <w:rPr>
                <w:i/>
              </w:rPr>
              <w:t>,</w:t>
            </w:r>
            <w:r w:rsidR="00A97E0B" w:rsidRPr="009A23AE">
              <w:rPr>
                <w:i/>
              </w:rPr>
              <w:t xml:space="preserve"> </w:t>
            </w:r>
            <w:r w:rsidR="009A23AE" w:rsidRPr="009A23AE">
              <w:rPr>
                <w:i/>
              </w:rPr>
              <w:t>2007-08</w:t>
            </w:r>
            <w:r w:rsidR="009A23AE">
              <w:t>,</w:t>
            </w:r>
            <w:r w:rsidR="00B51F23">
              <w:t xml:space="preserve"> </w:t>
            </w:r>
            <w:r w:rsidR="00B51F23">
              <w:rPr>
                <w:i/>
              </w:rPr>
              <w:t>2004-05</w:t>
            </w:r>
            <w:r w:rsidR="00B51F23">
              <w:t>,</w:t>
            </w:r>
            <w:r w:rsidRPr="00A73D31">
              <w:t xml:space="preserve"> Cat. No. 4364.0;</w:t>
            </w:r>
            <w:r w:rsidRPr="006C74C6">
              <w:t xml:space="preserve"> table </w:t>
            </w:r>
            <w:r w:rsidR="00C9076B">
              <w:t>10A.</w:t>
            </w:r>
            <w:r w:rsidR="00971ACF">
              <w:t>60</w:t>
            </w:r>
            <w:r w:rsidRPr="006C74C6">
              <w:t>.</w:t>
            </w:r>
          </w:p>
        </w:tc>
      </w:tr>
      <w:tr w:rsidR="000E1F66" w:rsidTr="008968FB">
        <w:tc>
          <w:tcPr>
            <w:tcW w:w="8771" w:type="dxa"/>
            <w:tcBorders>
              <w:top w:val="nil"/>
              <w:left w:val="nil"/>
              <w:bottom w:val="single" w:sz="6" w:space="0" w:color="78A22F"/>
              <w:right w:val="nil"/>
            </w:tcBorders>
            <w:shd w:val="clear" w:color="auto" w:fill="auto"/>
          </w:tcPr>
          <w:p w:rsidR="000E1F66" w:rsidRDefault="000E1F66" w:rsidP="00D61F90">
            <w:pPr>
              <w:pStyle w:val="Figurespace"/>
            </w:pPr>
          </w:p>
        </w:tc>
      </w:tr>
      <w:tr w:rsidR="00C93A92" w:rsidRPr="000863A5" w:rsidTr="002E0F2B">
        <w:tc>
          <w:tcPr>
            <w:tcW w:w="8771" w:type="dxa"/>
            <w:tcBorders>
              <w:top w:val="single" w:sz="6" w:space="0" w:color="78A22F"/>
              <w:left w:val="nil"/>
              <w:bottom w:val="nil"/>
              <w:right w:val="nil"/>
            </w:tcBorders>
          </w:tcPr>
          <w:p w:rsidR="00C93A92" w:rsidRPr="00626D32" w:rsidRDefault="00C93A92" w:rsidP="002E0F2B">
            <w:pPr>
              <w:pStyle w:val="BoxSpaceBelow"/>
            </w:pPr>
          </w:p>
        </w:tc>
      </w:tr>
    </w:tbl>
    <w:p w:rsidR="00CC62D8" w:rsidRDefault="00CC62D8" w:rsidP="00CC62D8">
      <w:pPr>
        <w:pStyle w:val="BodyText"/>
      </w:pPr>
      <w:r w:rsidRPr="00DA07AF">
        <w:t>Nationally, the proportion of Aboriginal and Torres Strait Islander people</w:t>
      </w:r>
      <w:r>
        <w:t xml:space="preserve"> </w:t>
      </w:r>
      <w:r w:rsidRPr="00DA07AF">
        <w:t>with asthma reporting that they have a written asthma action plan was 27.3 per cent for people of all ages and 50.9 per cent for children aged 0–14 years in 2012-13 (figure 10.</w:t>
      </w:r>
      <w:r>
        <w:t>28; table </w:t>
      </w:r>
      <w:r w:rsidRPr="00DF01ED">
        <w:t>10A.6</w:t>
      </w:r>
      <w:r>
        <w:t>1</w:t>
      </w:r>
      <w:r w:rsidRPr="00DA07AF">
        <w:t>).</w:t>
      </w:r>
      <w:r>
        <w:t xml:space="preserve"> </w:t>
      </w:r>
      <w:r w:rsidRPr="00CC4FB1">
        <w:t>Data for people of all ages are reported by Indigenous status for 2004-05 and 2011–13 in table 10A.6</w:t>
      </w:r>
      <w:r>
        <w:t xml:space="preserve">2. Data for people of all ages </w:t>
      </w:r>
      <w:r w:rsidRPr="00DA07AF">
        <w:t>are reported by geographical region</w:t>
      </w:r>
      <w:r w:rsidRPr="00DF01ED">
        <w:t xml:space="preserve"> </w:t>
      </w:r>
      <w:r w:rsidRPr="00DA07AF">
        <w:t>for 2007-08 in table 10A.6</w:t>
      </w:r>
      <w:r>
        <w:t>3</w:t>
      </w:r>
      <w:r w:rsidRPr="00DA07AF">
        <w:t>.</w:t>
      </w:r>
    </w:p>
    <w:p w:rsidR="00B941CD" w:rsidRDefault="00B941CD" w:rsidP="00A47F5E">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B941CD" w:rsidTr="00A47F5E">
        <w:tc>
          <w:tcPr>
            <w:tcW w:w="8771" w:type="dxa"/>
            <w:tcBorders>
              <w:top w:val="single" w:sz="6" w:space="0" w:color="78A22F"/>
              <w:left w:val="nil"/>
              <w:bottom w:val="nil"/>
              <w:right w:val="nil"/>
            </w:tcBorders>
            <w:shd w:val="clear" w:color="auto" w:fill="auto"/>
          </w:tcPr>
          <w:p w:rsidR="00B941CD" w:rsidRPr="0067659C" w:rsidRDefault="00B941CD" w:rsidP="008772EC">
            <w:pPr>
              <w:pStyle w:val="FigureTitle"/>
              <w:rPr>
                <w:rStyle w:val="NoteLabel"/>
              </w:rPr>
            </w:pPr>
            <w:r w:rsidRPr="00784A05">
              <w:rPr>
                <w:b w:val="0"/>
              </w:rPr>
              <w:t>Figure</w:t>
            </w:r>
            <w:r w:rsidR="00F12C72">
              <w:t> </w:t>
            </w:r>
            <w:r>
              <w:rPr>
                <w:b w:val="0"/>
              </w:rPr>
              <w:t>10.</w:t>
            </w:r>
            <w:r w:rsidR="0078724D">
              <w:rPr>
                <w:b w:val="0"/>
                <w:noProof/>
              </w:rPr>
              <w:t>28</w:t>
            </w:r>
            <w:r>
              <w:tab/>
            </w:r>
            <w:r w:rsidRPr="00B941CD">
              <w:t>Proportion of people with asthma who have a written asthma action plan</w:t>
            </w:r>
            <w:r>
              <w:t xml:space="preserve"> by </w:t>
            </w:r>
            <w:r w:rsidR="00E50F9B">
              <w:t xml:space="preserve">age, </w:t>
            </w:r>
            <w:r w:rsidR="002D1294">
              <w:t xml:space="preserve">by </w:t>
            </w:r>
            <w:r>
              <w:t>Indigenous status, 2011</w:t>
            </w:r>
            <w:r>
              <w:rPr>
                <w:rFonts w:ascii="Lucida Sans" w:hAnsi="Lucida Sans"/>
              </w:rPr>
              <w:t>–</w:t>
            </w:r>
            <w:r w:rsidRPr="00B941CD">
              <w:t>1</w:t>
            </w:r>
            <w:r>
              <w:t>3</w:t>
            </w:r>
            <w:r w:rsidR="0067659C" w:rsidRPr="0067659C">
              <w:rPr>
                <w:rStyle w:val="NoteLabel"/>
                <w:b/>
              </w:rPr>
              <w:t>a, b, c</w:t>
            </w:r>
          </w:p>
        </w:tc>
      </w:tr>
      <w:tr w:rsidR="00B941CD" w:rsidTr="00A47F5E">
        <w:tc>
          <w:tcPr>
            <w:tcW w:w="8771" w:type="dxa"/>
            <w:tcBorders>
              <w:top w:val="nil"/>
              <w:left w:val="nil"/>
              <w:bottom w:val="nil"/>
              <w:right w:val="nil"/>
            </w:tcBorders>
            <w:shd w:val="clear" w:color="auto" w:fill="auto"/>
            <w:tcMar>
              <w:top w:w="28" w:type="dxa"/>
              <w:bottom w:w="28" w:type="dxa"/>
            </w:tcMar>
          </w:tcPr>
          <w:tbl>
            <w:tblPr>
              <w:tblW w:w="863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634"/>
            </w:tblGrid>
            <w:tr w:rsidR="00B941CD" w:rsidTr="00100BBE">
              <w:trPr>
                <w:trHeight w:val="4849"/>
                <w:jc w:val="center"/>
              </w:trPr>
              <w:tc>
                <w:tcPr>
                  <w:tcW w:w="8634" w:type="dxa"/>
                  <w:tcBorders>
                    <w:top w:val="nil"/>
                    <w:bottom w:val="nil"/>
                  </w:tcBorders>
                </w:tcPr>
                <w:p w:rsidR="005A0FDC" w:rsidRDefault="00184D66" w:rsidP="00184D66">
                  <w:pPr>
                    <w:pStyle w:val="Figure"/>
                    <w:spacing w:before="60" w:after="60"/>
                  </w:pPr>
                  <w:r>
                    <w:rPr>
                      <w:noProof/>
                    </w:rPr>
                    <w:drawing>
                      <wp:anchor distT="0" distB="0" distL="114300" distR="114300" simplePos="0" relativeHeight="251660288" behindDoc="0" locked="0" layoutInCell="1" allowOverlap="1" wp14:anchorId="51A39DBD" wp14:editId="0CE736B4">
                        <wp:simplePos x="0" y="0"/>
                        <wp:positionH relativeFrom="column">
                          <wp:posOffset>3650615</wp:posOffset>
                        </wp:positionH>
                        <wp:positionV relativeFrom="paragraph">
                          <wp:posOffset>2667000</wp:posOffset>
                        </wp:positionV>
                        <wp:extent cx="1676400" cy="190500"/>
                        <wp:effectExtent l="0" t="0" r="0" b="0"/>
                        <wp:wrapNone/>
                        <wp:docPr id="11" name="Picture 5" descr="Figure 10.28 Proportion of people with asthma who have a written asthma action plan by age, by Indigenous status, 2011–13&#10;&#10;Legend to figure&#10;&#10;More details can be found within the text surrounding this image.&#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5"/>
                                <pic:cNvPicPr>
                                  <a:picLocks noChangeAspect="1" noChangeArrowheads="1"/>
                                </pic:cNvPicPr>
                              </pic:nvPicPr>
                              <pic:blipFill>
                                <a:blip r:embed="rId39">
                                  <a:extLst>
                                    <a:ext uri="{28A0092B-C50C-407E-A947-70E740481C1C}">
                                      <a14:useLocalDpi xmlns:a14="http://schemas.microsoft.com/office/drawing/2010/main" val="0"/>
                                    </a:ext>
                                  </a:extLst>
                                </a:blip>
                                <a:srcRect l="19896" t="77122" r="48978" b="16235"/>
                                <a:stretch>
                                  <a:fillRect/>
                                </a:stretch>
                              </pic:blipFill>
                              <pic:spPr bwMode="auto">
                                <a:xfrm>
                                  <a:off x="0" y="0"/>
                                  <a:ext cx="1676400" cy="190500"/>
                                </a:xfrm>
                                <a:prstGeom prst="rect">
                                  <a:avLst/>
                                </a:prstGeom>
                                <a:noFill/>
                                <a:extLst>
                                  <a:ext uri="{909E8E84-426E-40DD-AFC4-6F175D3DCCD1}">
                                    <a14:hiddenFill xmlns:a14="http://schemas.microsoft.com/office/drawing/2010/main">
                                      <a:solidFill>
                                        <a:srgbClr val="FFFFFF"/>
                                      </a:solidFill>
                                    </a14:hiddenFill>
                                  </a:ext>
                                </a:extLst>
                              </pic:spPr>
                            </pic:pic>
                          </a:graphicData>
                        </a:graphic>
                      </wp:anchor>
                    </w:drawing>
                  </w:r>
                  <w:r w:rsidR="00163100">
                    <w:rPr>
                      <w:noProof/>
                    </w:rPr>
                    <w:drawing>
                      <wp:anchor distT="0" distB="0" distL="114300" distR="114300" simplePos="0" relativeHeight="251659264" behindDoc="0" locked="0" layoutInCell="1" allowOverlap="1" wp14:anchorId="1D2A3F1B" wp14:editId="78C3AC9F">
                        <wp:simplePos x="0" y="0"/>
                        <wp:positionH relativeFrom="column">
                          <wp:posOffset>639903</wp:posOffset>
                        </wp:positionH>
                        <wp:positionV relativeFrom="paragraph">
                          <wp:posOffset>2636830</wp:posOffset>
                        </wp:positionV>
                        <wp:extent cx="3009900" cy="209550"/>
                        <wp:effectExtent l="0" t="0" r="0" b="0"/>
                        <wp:wrapNone/>
                        <wp:docPr id="1" name="Picture 1" descr="Figure 10.28 Proportion of people with asthma who have a written asthma action plan by age, by Indigenous status, 2011–13&#10;&#10;Legend to figure&#10;&#10;More details can be found within the text surrounding this image.&#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
                                <pic:cNvPicPr>
                                  <a:picLocks noChangeAspect="1" noChangeArrowheads="1"/>
                                </pic:cNvPicPr>
                              </pic:nvPicPr>
                              <pic:blipFill>
                                <a:blip r:embed="rId40">
                                  <a:extLst>
                                    <a:ext uri="{28A0092B-C50C-407E-A947-70E740481C1C}">
                                      <a14:useLocalDpi xmlns:a14="http://schemas.microsoft.com/office/drawing/2010/main" val="0"/>
                                    </a:ext>
                                  </a:extLst>
                                </a:blip>
                                <a:srcRect l="20670" t="69460" r="23622" b="23152"/>
                                <a:stretch>
                                  <a:fillRect/>
                                </a:stretch>
                              </pic:blipFill>
                              <pic:spPr bwMode="auto">
                                <a:xfrm>
                                  <a:off x="0" y="0"/>
                                  <a:ext cx="3009900" cy="209550"/>
                                </a:xfrm>
                                <a:prstGeom prst="rect">
                                  <a:avLst/>
                                </a:prstGeom>
                                <a:noFill/>
                                <a:extLst>
                                  <a:ext uri="{909E8E84-426E-40DD-AFC4-6F175D3DCCD1}">
                                    <a14:hiddenFill xmlns:a14="http://schemas.microsoft.com/office/drawing/2010/main">
                                      <a:solidFill>
                                        <a:srgbClr val="FFFFFF"/>
                                      </a:solidFill>
                                    </a14:hiddenFill>
                                  </a:ext>
                                </a:extLst>
                              </pic:spPr>
                            </pic:pic>
                          </a:graphicData>
                        </a:graphic>
                      </wp:anchor>
                    </w:drawing>
                  </w:r>
                  <w:r w:rsidR="007B1994">
                    <w:rPr>
                      <w:noProof/>
                    </w:rPr>
                    <w:drawing>
                      <wp:inline distT="0" distB="0" distL="0" distR="0">
                        <wp:extent cx="5391150" cy="2590800"/>
                        <wp:effectExtent l="0" t="0" r="0" b="0"/>
                        <wp:docPr id="37" name="Picture 37" descr="Figure 10.28 Proportion of people with asthma who have a written asthma action plan by age, by Indigenous status, 2011–13&#10;&#10;More details can be found within the text surrounding this image.&#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391150" cy="2590800"/>
                                </a:xfrm>
                                <a:prstGeom prst="rect">
                                  <a:avLst/>
                                </a:prstGeom>
                                <a:noFill/>
                                <a:ln>
                                  <a:noFill/>
                                </a:ln>
                              </pic:spPr>
                            </pic:pic>
                          </a:graphicData>
                        </a:graphic>
                      </wp:inline>
                    </w:drawing>
                  </w:r>
                  <w:r w:rsidR="005A0FDC">
                    <w:t xml:space="preserve">           </w:t>
                  </w:r>
                </w:p>
                <w:p w:rsidR="005A67E4" w:rsidRDefault="005A0FDC" w:rsidP="005A0FDC">
                  <w:pPr>
                    <w:jc w:val="center"/>
                  </w:pPr>
                  <w:r>
                    <w:t xml:space="preserve">               </w:t>
                  </w:r>
                  <w:r>
                    <w:rPr>
                      <w:noProof/>
                    </w:rPr>
                    <w:drawing>
                      <wp:inline distT="0" distB="0" distL="0" distR="0" wp14:anchorId="05C24A59" wp14:editId="09AAF21B">
                        <wp:extent cx="3133344" cy="170688"/>
                        <wp:effectExtent l="0" t="0" r="0" b="1270"/>
                        <wp:docPr id="17" name="Picture 17" descr="Figure 10.28 Proportion of people with asthma who have a written asthma action plan by age, by Indigenous status, 2011–13&#10;&#10;Legend to figure&#10;&#10;More details can be found within the text surrounding this image.&#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42">
                                  <a:extLst>
                                    <a:ext uri="{28A0092B-C50C-407E-A947-70E740481C1C}">
                                      <a14:useLocalDpi xmlns:a14="http://schemas.microsoft.com/office/drawing/2010/main" val="0"/>
                                    </a:ext>
                                  </a:extLst>
                                </a:blip>
                                <a:srcRect l="21143" t="85095" r="20429" b="8943"/>
                                <a:stretch/>
                              </pic:blipFill>
                              <pic:spPr bwMode="auto">
                                <a:xfrm>
                                  <a:off x="0" y="0"/>
                                  <a:ext cx="3133344" cy="170688"/>
                                </a:xfrm>
                                <a:prstGeom prst="rect">
                                  <a:avLst/>
                                </a:prstGeom>
                                <a:noFill/>
                                <a:ln>
                                  <a:noFill/>
                                </a:ln>
                                <a:extLst>
                                  <a:ext uri="{53640926-AAD7-44D8-BBD7-CCE9431645EC}">
                                    <a14:shadowObscured xmlns:a14="http://schemas.microsoft.com/office/drawing/2010/main"/>
                                  </a:ext>
                                </a:extLst>
                              </pic:spPr>
                            </pic:pic>
                          </a:graphicData>
                        </a:graphic>
                      </wp:inline>
                    </w:drawing>
                  </w:r>
                  <w:r>
                    <w:rPr>
                      <w:noProof/>
                    </w:rPr>
                    <w:drawing>
                      <wp:inline distT="0" distB="0" distL="0" distR="0" wp14:anchorId="7E16AB01" wp14:editId="46AB4438">
                        <wp:extent cx="1499616" cy="182880"/>
                        <wp:effectExtent l="0" t="0" r="5715" b="7620"/>
                        <wp:docPr id="18" name="Picture 18" descr="Figure 10.28 Proportion of people with asthma who have a written asthma action plan by age, by Indigenous status, 2011–13&#10;&#10;Legend to figure&#10;&#10;More details can be found within the text surrounding this image.&#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42">
                                  <a:extLst>
                                    <a:ext uri="{28A0092B-C50C-407E-A947-70E740481C1C}">
                                      <a14:useLocalDpi xmlns:a14="http://schemas.microsoft.com/office/drawing/2010/main" val="0"/>
                                    </a:ext>
                                  </a:extLst>
                                </a:blip>
                                <a:srcRect l="21370" t="91057" r="50666" b="2555"/>
                                <a:stretch/>
                              </pic:blipFill>
                              <pic:spPr bwMode="auto">
                                <a:xfrm>
                                  <a:off x="0" y="0"/>
                                  <a:ext cx="1499616" cy="182880"/>
                                </a:xfrm>
                                <a:prstGeom prst="rect">
                                  <a:avLst/>
                                </a:prstGeom>
                                <a:noFill/>
                                <a:ln>
                                  <a:noFill/>
                                </a:ln>
                                <a:extLst>
                                  <a:ext uri="{53640926-AAD7-44D8-BBD7-CCE9431645EC}">
                                    <a14:shadowObscured xmlns:a14="http://schemas.microsoft.com/office/drawing/2010/main"/>
                                  </a:ext>
                                </a:extLst>
                              </pic:spPr>
                            </pic:pic>
                          </a:graphicData>
                        </a:graphic>
                      </wp:inline>
                    </w:drawing>
                  </w:r>
                </w:p>
              </w:tc>
            </w:tr>
          </w:tbl>
          <w:p w:rsidR="00B941CD" w:rsidRDefault="00B941CD" w:rsidP="00A47F5E">
            <w:pPr>
              <w:pStyle w:val="Figure"/>
            </w:pPr>
          </w:p>
        </w:tc>
      </w:tr>
      <w:tr w:rsidR="00B941CD" w:rsidRPr="00176D3F" w:rsidTr="00A47F5E">
        <w:tc>
          <w:tcPr>
            <w:tcW w:w="8771" w:type="dxa"/>
            <w:tcBorders>
              <w:top w:val="nil"/>
              <w:left w:val="nil"/>
              <w:bottom w:val="nil"/>
              <w:right w:val="nil"/>
            </w:tcBorders>
            <w:shd w:val="clear" w:color="auto" w:fill="auto"/>
          </w:tcPr>
          <w:p w:rsidR="00B941CD" w:rsidRPr="00176D3F" w:rsidRDefault="00B941CD" w:rsidP="002D51D4">
            <w:pPr>
              <w:pStyle w:val="Note"/>
            </w:pPr>
            <w:r w:rsidRPr="006C74C6">
              <w:rPr>
                <w:rStyle w:val="NoteLabel"/>
              </w:rPr>
              <w:t xml:space="preserve">a </w:t>
            </w:r>
            <w:r w:rsidRPr="006C74C6">
              <w:t xml:space="preserve">Rates </w:t>
            </w:r>
            <w:r w:rsidR="0018162B">
              <w:t>for ‘</w:t>
            </w:r>
            <w:r w:rsidR="0018162B" w:rsidRPr="006C74C6">
              <w:t xml:space="preserve">all ages’ </w:t>
            </w:r>
            <w:r w:rsidRPr="006C74C6">
              <w:t xml:space="preserve">are age standardised to the Australian population at 30 June 2001. </w:t>
            </w:r>
            <w:r w:rsidRPr="006C74C6">
              <w:rPr>
                <w:rStyle w:val="NoteLabel"/>
              </w:rPr>
              <w:t>b</w:t>
            </w:r>
            <w:r w:rsidRPr="006C74C6">
              <w:t xml:space="preserve"> Error bars represent the 95 per cent confidence interval associated with each point estimate.</w:t>
            </w:r>
            <w:r>
              <w:t xml:space="preserve"> </w:t>
            </w:r>
            <w:r>
              <w:rPr>
                <w:rStyle w:val="NoteLabel"/>
              </w:rPr>
              <w:t>c</w:t>
            </w:r>
            <w:r w:rsidRPr="006C74C6">
              <w:t xml:space="preserve"> </w:t>
            </w:r>
            <w:r w:rsidRPr="00A73D31">
              <w:t xml:space="preserve">Data for </w:t>
            </w:r>
            <w:r>
              <w:t xml:space="preserve">‘other Australians’ for </w:t>
            </w:r>
            <w:r w:rsidRPr="00A73D31">
              <w:t xml:space="preserve">the NT should be used with care as exclusion of very remote areas from the </w:t>
            </w:r>
            <w:r w:rsidR="002D51D4">
              <w:t>NHS</w:t>
            </w:r>
            <w:r w:rsidRPr="00A73D31">
              <w:t xml:space="preserve"> translates to the exclusion of around 23 per cent of the NT population.</w:t>
            </w:r>
          </w:p>
        </w:tc>
      </w:tr>
      <w:tr w:rsidR="00B941CD" w:rsidRPr="00176D3F" w:rsidTr="00A47F5E">
        <w:tc>
          <w:tcPr>
            <w:tcW w:w="8771" w:type="dxa"/>
            <w:tcBorders>
              <w:top w:val="nil"/>
              <w:left w:val="nil"/>
              <w:bottom w:val="nil"/>
              <w:right w:val="nil"/>
            </w:tcBorders>
            <w:shd w:val="clear" w:color="auto" w:fill="auto"/>
          </w:tcPr>
          <w:p w:rsidR="00B941CD" w:rsidRPr="00176D3F" w:rsidRDefault="00B941CD" w:rsidP="004C43AB">
            <w:pPr>
              <w:pStyle w:val="Source"/>
            </w:pPr>
            <w:r w:rsidRPr="006C74C6">
              <w:rPr>
                <w:i/>
              </w:rPr>
              <w:t>Source</w:t>
            </w:r>
            <w:r w:rsidRPr="006C74C6">
              <w:t xml:space="preserve">: ABS (unpublished) </w:t>
            </w:r>
            <w:r w:rsidRPr="00A73D31">
              <w:rPr>
                <w:i/>
              </w:rPr>
              <w:t>Australian Health Survey, 2011</w:t>
            </w:r>
            <w:r w:rsidR="004C43AB">
              <w:rPr>
                <w:i/>
              </w:rPr>
              <w:t>–</w:t>
            </w:r>
            <w:r w:rsidRPr="00A73D31">
              <w:rPr>
                <w:i/>
              </w:rPr>
              <w:t>13</w:t>
            </w:r>
            <w:r w:rsidRPr="00A73D31">
              <w:t xml:space="preserve"> (</w:t>
            </w:r>
            <w:r w:rsidR="004C43AB" w:rsidRPr="00CC4FB1">
              <w:t xml:space="preserve">2011-12 </w:t>
            </w:r>
            <w:r w:rsidRPr="00A73D31">
              <w:t>NHS</w:t>
            </w:r>
            <w:r>
              <w:t xml:space="preserve"> </w:t>
            </w:r>
            <w:r w:rsidR="004C43AB" w:rsidRPr="00A73D31">
              <w:t>component</w:t>
            </w:r>
            <w:r w:rsidR="004C43AB">
              <w:t>),</w:t>
            </w:r>
            <w:r w:rsidR="004C43AB" w:rsidRPr="00A73D31">
              <w:t xml:space="preserve"> </w:t>
            </w:r>
            <w:r w:rsidR="004C43AB">
              <w:t>Cat. n</w:t>
            </w:r>
            <w:r w:rsidR="004C43AB" w:rsidRPr="00A73D31">
              <w:t>o. 4364.0;</w:t>
            </w:r>
            <w:r w:rsidR="004C43AB" w:rsidRPr="006C74C6">
              <w:t xml:space="preserve"> </w:t>
            </w:r>
            <w:r w:rsidR="004C43AB" w:rsidRPr="00CC4FB1">
              <w:t xml:space="preserve"> </w:t>
            </w:r>
            <w:r w:rsidR="004C43AB" w:rsidRPr="006C74C6">
              <w:t xml:space="preserve">ABS (unpublished) </w:t>
            </w:r>
            <w:r w:rsidR="004C43AB" w:rsidRPr="00A73D31">
              <w:rPr>
                <w:i/>
              </w:rPr>
              <w:t>Australian</w:t>
            </w:r>
            <w:r w:rsidR="004C43AB">
              <w:rPr>
                <w:i/>
              </w:rPr>
              <w:t xml:space="preserve"> </w:t>
            </w:r>
            <w:r w:rsidR="004C43AB" w:rsidRPr="004C43AB">
              <w:rPr>
                <w:i/>
              </w:rPr>
              <w:t xml:space="preserve">Aboriginal and Torres Strait Islander Health Survey </w:t>
            </w:r>
            <w:r w:rsidR="004C43AB">
              <w:t>(</w:t>
            </w:r>
            <w:r w:rsidR="00C54261">
              <w:t xml:space="preserve">National </w:t>
            </w:r>
            <w:r w:rsidR="00C54261" w:rsidRPr="00C54261">
              <w:t xml:space="preserve">Aboriginal and Torres Strait Islander </w:t>
            </w:r>
            <w:r w:rsidR="00C54261">
              <w:t xml:space="preserve">Health Survey </w:t>
            </w:r>
            <w:r w:rsidRPr="00A73D31">
              <w:t>component)</w:t>
            </w:r>
            <w:r>
              <w:t>,</w:t>
            </w:r>
            <w:r w:rsidR="004C43AB">
              <w:t xml:space="preserve"> Cat. n</w:t>
            </w:r>
            <w:r w:rsidRPr="00A73D31">
              <w:t>o. 4</w:t>
            </w:r>
            <w:r w:rsidR="004C43AB">
              <w:t>727</w:t>
            </w:r>
            <w:r w:rsidRPr="00A73D31">
              <w:t>.0;</w:t>
            </w:r>
            <w:r w:rsidRPr="006C74C6">
              <w:t xml:space="preserve"> table </w:t>
            </w:r>
            <w:r w:rsidR="00A40CF7" w:rsidRPr="00DA07AF">
              <w:t>10A.6</w:t>
            </w:r>
            <w:r w:rsidR="00971ACF">
              <w:t>1</w:t>
            </w:r>
            <w:r w:rsidRPr="006C74C6">
              <w:t>.</w:t>
            </w:r>
          </w:p>
        </w:tc>
      </w:tr>
      <w:tr w:rsidR="00B941CD" w:rsidTr="00A47F5E">
        <w:tc>
          <w:tcPr>
            <w:tcW w:w="8771" w:type="dxa"/>
            <w:tcBorders>
              <w:top w:val="nil"/>
              <w:left w:val="nil"/>
              <w:bottom w:val="single" w:sz="6" w:space="0" w:color="78A22F"/>
              <w:right w:val="nil"/>
            </w:tcBorders>
            <w:shd w:val="clear" w:color="auto" w:fill="auto"/>
          </w:tcPr>
          <w:p w:rsidR="00B941CD" w:rsidRDefault="00B941CD" w:rsidP="00A47F5E">
            <w:pPr>
              <w:pStyle w:val="Figurespace"/>
            </w:pPr>
          </w:p>
        </w:tc>
      </w:tr>
      <w:tr w:rsidR="00B941CD" w:rsidRPr="000863A5" w:rsidTr="00A47F5E">
        <w:tc>
          <w:tcPr>
            <w:tcW w:w="8771" w:type="dxa"/>
            <w:tcBorders>
              <w:top w:val="single" w:sz="6" w:space="0" w:color="78A22F"/>
              <w:left w:val="nil"/>
              <w:bottom w:val="nil"/>
              <w:right w:val="nil"/>
            </w:tcBorders>
          </w:tcPr>
          <w:p w:rsidR="00B941CD" w:rsidRPr="00626D32" w:rsidRDefault="00B941CD" w:rsidP="00A47F5E">
            <w:pPr>
              <w:pStyle w:val="BoxSpaceBelow"/>
            </w:pPr>
          </w:p>
        </w:tc>
      </w:tr>
    </w:tbl>
    <w:p w:rsidR="0011550A" w:rsidRPr="0011550A" w:rsidRDefault="00155441" w:rsidP="0011550A">
      <w:pPr>
        <w:pStyle w:val="Heading5"/>
      </w:pPr>
      <w:r>
        <w:t>Chronic disease management</w:t>
      </w:r>
      <w:r w:rsidR="00F3615B">
        <w:t xml:space="preserve"> — </w:t>
      </w:r>
      <w:r w:rsidR="0011550A">
        <w:t>ca</w:t>
      </w:r>
      <w:r w:rsidR="0011550A" w:rsidRPr="0011550A">
        <w:t>re planning and case conferencing</w:t>
      </w:r>
    </w:p>
    <w:p w:rsidR="002A4BFF" w:rsidRDefault="004771F7" w:rsidP="0011550A">
      <w:pPr>
        <w:pStyle w:val="BodyText"/>
      </w:pPr>
      <w:r>
        <w:t>I</w:t>
      </w:r>
      <w:r w:rsidR="00160899" w:rsidRPr="00160899">
        <w:t xml:space="preserve">ndividuals with chronic or terminal medical conditions </w:t>
      </w:r>
      <w:r w:rsidR="00160899">
        <w:t xml:space="preserve">commonly </w:t>
      </w:r>
      <w:r>
        <w:t xml:space="preserve">have </w:t>
      </w:r>
      <w:r w:rsidRPr="00160899">
        <w:t>complex, multidisciplinary care needs</w:t>
      </w:r>
      <w:r>
        <w:t xml:space="preserve">. Coordination of service provision to </w:t>
      </w:r>
      <w:r w:rsidRPr="00160899">
        <w:t xml:space="preserve">provide continuity of care </w:t>
      </w:r>
      <w:r>
        <w:t>and meet the changing needs of individuals over time is important in the effective</w:t>
      </w:r>
      <w:r w:rsidR="00160899" w:rsidRPr="00160899">
        <w:t xml:space="preserve"> management</w:t>
      </w:r>
      <w:r>
        <w:t xml:space="preserve"> of such conditions. </w:t>
      </w:r>
      <w:r w:rsidR="00160899" w:rsidRPr="00160899">
        <w:t>Chronic disease management items in the MBS allow for the preparation and regular review of care plans for individuals with complex, multidisciplinary care needs due to chronic or terminal medical conditions, through GP managed or multidisciplinary team based care</w:t>
      </w:r>
      <w:r w:rsidR="006E3497">
        <w:t xml:space="preserve"> planning and case conferencing</w:t>
      </w:r>
      <w:r w:rsidR="00160899" w:rsidRPr="00160899">
        <w:t>.</w:t>
      </w:r>
    </w:p>
    <w:p w:rsidR="00160899" w:rsidRDefault="00160899" w:rsidP="0011550A">
      <w:pPr>
        <w:pStyle w:val="BodyText"/>
      </w:pPr>
      <w:r w:rsidRPr="00160899">
        <w:t>Individual compliance with management measures is also a critical determinant of the occurrence and severity of complications for patients with chronic disease.</w:t>
      </w:r>
    </w:p>
    <w:p w:rsidR="00AD79B2" w:rsidRPr="00200C93" w:rsidRDefault="00AD79B2" w:rsidP="00944E91">
      <w:pPr>
        <w:pStyle w:val="BodyText"/>
      </w:pPr>
      <w:r w:rsidRPr="00AD2BF6">
        <w:t xml:space="preserve">Nationally, the proportion of GPs </w:t>
      </w:r>
      <w:r w:rsidR="007D6286" w:rsidRPr="00AD2BF6">
        <w:t>who used</w:t>
      </w:r>
      <w:r w:rsidRPr="00AD2BF6">
        <w:t xml:space="preserve"> chronic disease management MBS items for care planning or case conferencing</w:t>
      </w:r>
      <w:r w:rsidR="001F5620">
        <w:t xml:space="preserve"> </w:t>
      </w:r>
      <w:r w:rsidR="00165C63">
        <w:t>increased slightly — from 96.1 to 97.0 per cent</w:t>
      </w:r>
      <w:r w:rsidR="00165C63" w:rsidRPr="00AD2BF6">
        <w:t xml:space="preserve"> </w:t>
      </w:r>
      <w:r w:rsidR="00165C63">
        <w:t xml:space="preserve">— in the period 2009-10 to 2013-14 </w:t>
      </w:r>
      <w:r w:rsidR="00165C63" w:rsidRPr="00AD2BF6">
        <w:t>(</w:t>
      </w:r>
      <w:r w:rsidR="00165C63">
        <w:t>figure</w:t>
      </w:r>
      <w:r w:rsidR="00195474">
        <w:t xml:space="preserve"> 10.29</w:t>
      </w:r>
      <w:r w:rsidR="00165C63">
        <w:t>).</w:t>
      </w:r>
    </w:p>
    <w:p w:rsidR="000E1F66" w:rsidRDefault="000E1F66" w:rsidP="00D61F90">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0E1F66" w:rsidTr="00D61F90">
        <w:tc>
          <w:tcPr>
            <w:tcW w:w="8771" w:type="dxa"/>
            <w:tcBorders>
              <w:top w:val="single" w:sz="6" w:space="0" w:color="78A22F"/>
              <w:left w:val="nil"/>
              <w:bottom w:val="nil"/>
              <w:right w:val="nil"/>
            </w:tcBorders>
            <w:shd w:val="clear" w:color="auto" w:fill="auto"/>
          </w:tcPr>
          <w:p w:rsidR="000E1F66" w:rsidRPr="00176D3F" w:rsidRDefault="000E1F66" w:rsidP="000E1F66">
            <w:pPr>
              <w:pStyle w:val="FigureTitle"/>
            </w:pPr>
            <w:r w:rsidRPr="00784A05">
              <w:rPr>
                <w:b w:val="0"/>
              </w:rPr>
              <w:t xml:space="preserve">Figure </w:t>
            </w:r>
            <w:r w:rsidR="00DF255F">
              <w:rPr>
                <w:b w:val="0"/>
              </w:rPr>
              <w:t>10.</w:t>
            </w:r>
            <w:r w:rsidR="0078724D">
              <w:rPr>
                <w:b w:val="0"/>
                <w:noProof/>
              </w:rPr>
              <w:t>29</w:t>
            </w:r>
            <w:r>
              <w:tab/>
            </w:r>
            <w:r w:rsidRPr="00233631">
              <w:t xml:space="preserve">GP use of chronic disease management </w:t>
            </w:r>
            <w:r>
              <w:t>MBS</w:t>
            </w:r>
            <w:r w:rsidRPr="00233631">
              <w:t xml:space="preserve"> items for care planning and case conferencing</w:t>
            </w:r>
            <w:r w:rsidRPr="00233631">
              <w:rPr>
                <w:rStyle w:val="NoteLabel"/>
                <w:b/>
              </w:rPr>
              <w:t>a</w:t>
            </w:r>
            <w:r w:rsidR="00B73B87">
              <w:rPr>
                <w:rStyle w:val="NoteLabel"/>
                <w:b/>
              </w:rPr>
              <w:t>, b</w:t>
            </w:r>
          </w:p>
        </w:tc>
      </w:tr>
      <w:tr w:rsidR="000E1F66" w:rsidTr="00D61F90">
        <w:tc>
          <w:tcPr>
            <w:tcW w:w="8771" w:type="dxa"/>
            <w:tcBorders>
              <w:top w:val="nil"/>
              <w:left w:val="nil"/>
              <w:bottom w:val="nil"/>
              <w:right w:val="nil"/>
            </w:tcBorders>
            <w:shd w:val="clear" w:color="auto" w:fill="auto"/>
            <w:tcMar>
              <w:top w:w="28" w:type="dxa"/>
              <w:bottom w:w="28" w:type="dxa"/>
            </w:tcMar>
          </w:tcPr>
          <w:tbl>
            <w:tblPr>
              <w:tblW w:w="8625" w:type="dxa"/>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625"/>
            </w:tblGrid>
            <w:tr w:rsidR="000E1F66" w:rsidTr="00A47F5E">
              <w:tc>
                <w:tcPr>
                  <w:tcW w:w="5000" w:type="pct"/>
                  <w:tcBorders>
                    <w:top w:val="nil"/>
                    <w:bottom w:val="nil"/>
                  </w:tcBorders>
                </w:tcPr>
                <w:p w:rsidR="000E1F66" w:rsidRDefault="007B1994" w:rsidP="00D61F90">
                  <w:pPr>
                    <w:pStyle w:val="Figure"/>
                    <w:spacing w:before="60" w:after="60"/>
                  </w:pPr>
                  <w:r>
                    <w:rPr>
                      <w:noProof/>
                    </w:rPr>
                    <w:drawing>
                      <wp:inline distT="0" distB="0" distL="0" distR="0">
                        <wp:extent cx="5391150" cy="2705100"/>
                        <wp:effectExtent l="0" t="0" r="0" b="0"/>
                        <wp:docPr id="38" name="Picture 38" descr="Figure 10.29 GP use of chronic disease management MBS items for care planning and case conferencing&#10;&#10;More details can be found within the text surrounding this image.&#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5391150" cy="2705100"/>
                                </a:xfrm>
                                <a:prstGeom prst="rect">
                                  <a:avLst/>
                                </a:prstGeom>
                                <a:noFill/>
                                <a:ln>
                                  <a:noFill/>
                                </a:ln>
                              </pic:spPr>
                            </pic:pic>
                          </a:graphicData>
                        </a:graphic>
                      </wp:inline>
                    </w:drawing>
                  </w:r>
                </w:p>
              </w:tc>
            </w:tr>
          </w:tbl>
          <w:p w:rsidR="000E1F66" w:rsidRDefault="000E1F66" w:rsidP="00D61F90">
            <w:pPr>
              <w:pStyle w:val="Figure"/>
            </w:pPr>
          </w:p>
        </w:tc>
      </w:tr>
      <w:tr w:rsidR="000E1F66" w:rsidRPr="00176D3F" w:rsidTr="00D61F90">
        <w:tc>
          <w:tcPr>
            <w:tcW w:w="8771" w:type="dxa"/>
            <w:tcBorders>
              <w:top w:val="nil"/>
              <w:left w:val="nil"/>
              <w:bottom w:val="nil"/>
              <w:right w:val="nil"/>
            </w:tcBorders>
            <w:shd w:val="clear" w:color="auto" w:fill="auto"/>
          </w:tcPr>
          <w:p w:rsidR="000E1F66" w:rsidRPr="00176D3F" w:rsidRDefault="000E1F66" w:rsidP="008D3137">
            <w:pPr>
              <w:pStyle w:val="Note"/>
              <w:keepNext/>
            </w:pPr>
            <w:r>
              <w:rPr>
                <w:rStyle w:val="NoteLabel"/>
              </w:rPr>
              <w:t>a</w:t>
            </w:r>
            <w:r>
              <w:sym w:font="Symbol" w:char="F020"/>
            </w:r>
            <w:r w:rsidRPr="00165C63">
              <w:t>The Strengthening Medicare initiative provides access to a range of allied health and dental care treatments for patients with chronic conditions and complex needs, on referral from a GP.</w:t>
            </w:r>
            <w:r w:rsidR="008D3137">
              <w:t xml:space="preserve"> </w:t>
            </w:r>
            <w:r w:rsidR="008D3137">
              <w:rPr>
                <w:rStyle w:val="NoteLabel"/>
              </w:rPr>
              <w:t>b</w:t>
            </w:r>
            <w:r w:rsidR="008D3137">
              <w:sym w:font="Symbol" w:char="F020"/>
            </w:r>
            <w:r w:rsidRPr="00D33CA6">
              <w:t>Additional chronic disease management MBS items have be</w:t>
            </w:r>
            <w:r>
              <w:t>come available</w:t>
            </w:r>
            <w:r w:rsidRPr="00D33CA6">
              <w:t xml:space="preserve"> on several occasions since introduction of the Strengthening Medicare initiative in 2004.</w:t>
            </w:r>
          </w:p>
        </w:tc>
      </w:tr>
      <w:tr w:rsidR="000E1F66" w:rsidRPr="00176D3F" w:rsidTr="00D61F90">
        <w:tc>
          <w:tcPr>
            <w:tcW w:w="8771" w:type="dxa"/>
            <w:tcBorders>
              <w:top w:val="nil"/>
              <w:left w:val="nil"/>
              <w:bottom w:val="nil"/>
              <w:right w:val="nil"/>
            </w:tcBorders>
            <w:shd w:val="clear" w:color="auto" w:fill="auto"/>
          </w:tcPr>
          <w:p w:rsidR="000E1F66" w:rsidRPr="00176D3F" w:rsidRDefault="000E1F66" w:rsidP="00971ACF">
            <w:pPr>
              <w:pStyle w:val="Source"/>
            </w:pPr>
            <w:r w:rsidRPr="006C74C6">
              <w:rPr>
                <w:i/>
              </w:rPr>
              <w:t>Source</w:t>
            </w:r>
            <w:r w:rsidRPr="006C74C6">
              <w:t xml:space="preserve">: </w:t>
            </w:r>
            <w:r>
              <w:t>Department of Health</w:t>
            </w:r>
            <w:r w:rsidRPr="006C74C6">
              <w:t xml:space="preserve"> (unpublished) MBS Statistics; table </w:t>
            </w:r>
            <w:r w:rsidR="00C9076B">
              <w:t>10A.</w:t>
            </w:r>
            <w:r>
              <w:t>6</w:t>
            </w:r>
            <w:r w:rsidR="00971ACF">
              <w:t>4</w:t>
            </w:r>
            <w:r>
              <w:t>.</w:t>
            </w:r>
          </w:p>
        </w:tc>
      </w:tr>
      <w:tr w:rsidR="000E1F66" w:rsidTr="00D61F90">
        <w:tc>
          <w:tcPr>
            <w:tcW w:w="8771" w:type="dxa"/>
            <w:tcBorders>
              <w:top w:val="nil"/>
              <w:left w:val="nil"/>
              <w:bottom w:val="single" w:sz="6" w:space="0" w:color="78A22F"/>
              <w:right w:val="nil"/>
            </w:tcBorders>
            <w:shd w:val="clear" w:color="auto" w:fill="auto"/>
          </w:tcPr>
          <w:p w:rsidR="000E1F66" w:rsidRDefault="000E1F66" w:rsidP="00D61F90">
            <w:pPr>
              <w:pStyle w:val="Figurespace"/>
            </w:pPr>
          </w:p>
        </w:tc>
      </w:tr>
      <w:tr w:rsidR="000E1F66" w:rsidRPr="000863A5" w:rsidTr="00D61F90">
        <w:tc>
          <w:tcPr>
            <w:tcW w:w="8771" w:type="dxa"/>
            <w:tcBorders>
              <w:top w:val="single" w:sz="6" w:space="0" w:color="78A22F"/>
              <w:left w:val="nil"/>
              <w:bottom w:val="nil"/>
              <w:right w:val="nil"/>
            </w:tcBorders>
          </w:tcPr>
          <w:p w:rsidR="000E1F66" w:rsidRPr="00626D32" w:rsidRDefault="000E1F66" w:rsidP="00D61F90">
            <w:pPr>
              <w:pStyle w:val="BoxSpaceBelow"/>
            </w:pPr>
          </w:p>
        </w:tc>
      </w:tr>
    </w:tbl>
    <w:p w:rsidR="00753514" w:rsidRDefault="002F6012" w:rsidP="00753514">
      <w:pPr>
        <w:pStyle w:val="Heading5"/>
      </w:pPr>
      <w:r>
        <w:t>Use of p</w:t>
      </w:r>
      <w:r w:rsidR="00753514" w:rsidRPr="00753514">
        <w:t>athology tests and di</w:t>
      </w:r>
      <w:r w:rsidR="00962C64">
        <w:t>agnostic imaging</w:t>
      </w:r>
    </w:p>
    <w:p w:rsidR="00E6435D" w:rsidRDefault="00E6435D" w:rsidP="007644A0">
      <w:pPr>
        <w:pStyle w:val="BodyText"/>
      </w:pPr>
      <w:r>
        <w:t>‘</w:t>
      </w:r>
      <w:r w:rsidR="002F6012">
        <w:t>Use of p</w:t>
      </w:r>
      <w:r w:rsidRPr="00D1658D">
        <w:t>athology tests and diagnostic imaging</w:t>
      </w:r>
      <w:r>
        <w:t>’ is an indicator of governments’ objective to</w:t>
      </w:r>
      <w:r w:rsidRPr="00E6435D">
        <w:t xml:space="preserve"> </w:t>
      </w:r>
      <w:r>
        <w:t>ensure that primary healthcare services are appropriate</w:t>
      </w:r>
      <w:r w:rsidR="0066577F">
        <w:t xml:space="preserve"> (</w:t>
      </w:r>
      <w:r w:rsidR="00897589">
        <w:t>box 10.</w:t>
      </w:r>
      <w:r w:rsidR="00445562">
        <w:t>1</w:t>
      </w:r>
      <w:r w:rsidR="004F66F0">
        <w:t>4</w:t>
      </w:r>
      <w:r w:rsidR="0066577F">
        <w:t>)</w:t>
      </w:r>
      <w:r>
        <w:t>.</w:t>
      </w:r>
    </w:p>
    <w:p w:rsidR="00095E5A" w:rsidRDefault="00095E5A">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095E5A" w:rsidTr="00867BB6">
        <w:tc>
          <w:tcPr>
            <w:tcW w:w="8771" w:type="dxa"/>
            <w:tcBorders>
              <w:top w:val="single" w:sz="6" w:space="0" w:color="78A22F"/>
              <w:left w:val="nil"/>
              <w:bottom w:val="nil"/>
              <w:right w:val="nil"/>
            </w:tcBorders>
            <w:shd w:val="clear" w:color="auto" w:fill="F2F2F2" w:themeFill="background1" w:themeFillShade="F2"/>
          </w:tcPr>
          <w:p w:rsidR="00095E5A" w:rsidRDefault="00095E5A">
            <w:pPr>
              <w:pStyle w:val="BoxTitle"/>
            </w:pPr>
            <w:r>
              <w:rPr>
                <w:b w:val="0"/>
              </w:rPr>
              <w:t>Box 10.</w:t>
            </w:r>
            <w:r w:rsidR="0078724D">
              <w:rPr>
                <w:b w:val="0"/>
                <w:noProof/>
              </w:rPr>
              <w:t>14</w:t>
            </w:r>
            <w:r>
              <w:tab/>
              <w:t>Use of p</w:t>
            </w:r>
            <w:r w:rsidRPr="00753514">
              <w:t xml:space="preserve">athology tests </w:t>
            </w:r>
            <w:r>
              <w:t>and diagnostic imaging</w:t>
            </w:r>
          </w:p>
        </w:tc>
      </w:tr>
      <w:tr w:rsidR="00095E5A" w:rsidTr="00867BB6">
        <w:trPr>
          <w:cantSplit/>
        </w:trPr>
        <w:tc>
          <w:tcPr>
            <w:tcW w:w="8771" w:type="dxa"/>
            <w:tcBorders>
              <w:top w:val="nil"/>
              <w:left w:val="nil"/>
              <w:bottom w:val="nil"/>
              <w:right w:val="nil"/>
            </w:tcBorders>
            <w:shd w:val="clear" w:color="auto" w:fill="F2F2F2" w:themeFill="background1" w:themeFillShade="F2"/>
          </w:tcPr>
          <w:p w:rsidR="00095E5A" w:rsidRDefault="00095E5A" w:rsidP="00867BB6">
            <w:pPr>
              <w:pStyle w:val="Box"/>
            </w:pPr>
            <w:r>
              <w:t>‘Use of p</w:t>
            </w:r>
            <w:r w:rsidRPr="007B4157">
              <w:t>athology tests and diagnostic imaging</w:t>
            </w:r>
            <w:r>
              <w:t>’ is defined by four measures:</w:t>
            </w:r>
          </w:p>
          <w:p w:rsidR="00095E5A" w:rsidRDefault="00095E5A" w:rsidP="00867BB6">
            <w:pPr>
              <w:pStyle w:val="BoxListBullet"/>
            </w:pPr>
            <w:r>
              <w:t xml:space="preserve">MBS items rebated through </w:t>
            </w:r>
            <w:r w:rsidRPr="002D7882">
              <w:t xml:space="preserve">DHS Medicare </w:t>
            </w:r>
            <w:r>
              <w:t xml:space="preserve">for pathology tests requested by vocationally </w:t>
            </w:r>
            <w:r w:rsidRPr="000B2487">
              <w:t>registered</w:t>
            </w:r>
            <w:r>
              <w:t xml:space="preserve"> GPs and OMPs, per person</w:t>
            </w:r>
          </w:p>
          <w:p w:rsidR="00095E5A" w:rsidRDefault="00095E5A" w:rsidP="00867BB6">
            <w:pPr>
              <w:pStyle w:val="BoxListBullet"/>
            </w:pPr>
            <w:r>
              <w:t xml:space="preserve">diagnostic imaging services provided on referral from vocationally </w:t>
            </w:r>
            <w:r w:rsidRPr="000B2487">
              <w:t xml:space="preserve">registered </w:t>
            </w:r>
            <w:r>
              <w:t xml:space="preserve">GPs and OMPs and rebated through </w:t>
            </w:r>
            <w:r w:rsidRPr="002D7882">
              <w:t>DHS Medicare</w:t>
            </w:r>
            <w:r>
              <w:t>, per person</w:t>
            </w:r>
          </w:p>
          <w:p w:rsidR="00095E5A" w:rsidRDefault="00095E5A" w:rsidP="00867BB6">
            <w:pPr>
              <w:pStyle w:val="BoxListBullet"/>
            </w:pPr>
            <w:r>
              <w:t>DHS Medicare benefits paid per person for pathology tests</w:t>
            </w:r>
          </w:p>
          <w:p w:rsidR="00095E5A" w:rsidRDefault="00095E5A" w:rsidP="00867BB6">
            <w:pPr>
              <w:pStyle w:val="BoxListBullet"/>
            </w:pPr>
            <w:r>
              <w:t>DHS Medicare benefits paid per person for diagnostic imaging.</w:t>
            </w:r>
          </w:p>
          <w:p w:rsidR="00095E5A" w:rsidRDefault="00095E5A" w:rsidP="00867BB6">
            <w:pPr>
              <w:pStyle w:val="Box"/>
            </w:pPr>
            <w:r>
              <w:t xml:space="preserve">This indicator needs to be interpreted with care as </w:t>
            </w:r>
            <w:r w:rsidRPr="0075197A">
              <w:t>appropriate levels of use</w:t>
            </w:r>
            <w:r>
              <w:t xml:space="preserve"> of pathology tests and diagnostic imaging</w:t>
            </w:r>
            <w:r w:rsidRPr="0075197A">
              <w:t xml:space="preserve"> cannot be determined</w:t>
            </w:r>
            <w:r>
              <w:t xml:space="preserve">. A high or increasing level of use can </w:t>
            </w:r>
            <w:r w:rsidRPr="0075197A">
              <w:t xml:space="preserve">reflect overeliance on tools to support the diagnostic process. </w:t>
            </w:r>
            <w:r>
              <w:t xml:space="preserve">A low or decreasing level of </w:t>
            </w:r>
            <w:r w:rsidRPr="0075197A">
              <w:t>use can contribute to misdiagnosis of disease and to relatively poor treatment decisions.</w:t>
            </w:r>
            <w:r>
              <w:t xml:space="preserve"> R</w:t>
            </w:r>
            <w:r w:rsidRPr="0075197A">
              <w:t xml:space="preserve">eporting differences across jurisdictions and over time contributes to </w:t>
            </w:r>
            <w:r>
              <w:t xml:space="preserve">consideration </w:t>
            </w:r>
            <w:r w:rsidRPr="0075197A">
              <w:t>of these issues. Pathology tests and diagnostic imaging are important tools used by GPs in the diagnosis of many diseases, and in monitoring response to treatment.</w:t>
            </w:r>
            <w:r>
              <w:t xml:space="preserve"> P</w:t>
            </w:r>
            <w:r w:rsidRPr="00BA1E15">
              <w:t xml:space="preserve">athology and diagnostic imaging </w:t>
            </w:r>
            <w:r>
              <w:t>services performed at the request</w:t>
            </w:r>
            <w:r w:rsidRPr="00BA1E15">
              <w:t xml:space="preserve"> </w:t>
            </w:r>
            <w:r>
              <w:t>of</w:t>
            </w:r>
            <w:r w:rsidRPr="00BA1E15">
              <w:t xml:space="preserve"> vocationally </w:t>
            </w:r>
            <w:r w:rsidRPr="000B2487">
              <w:t xml:space="preserve">registered </w:t>
            </w:r>
            <w:r w:rsidRPr="00BA1E15">
              <w:t>GPs and OMPs</w:t>
            </w:r>
            <w:r>
              <w:t xml:space="preserve"> and </w:t>
            </w:r>
            <w:r w:rsidRPr="00BA1E15">
              <w:t xml:space="preserve">rebated through </w:t>
            </w:r>
            <w:r w:rsidRPr="002D7882">
              <w:t xml:space="preserve">DHS Medicare </w:t>
            </w:r>
            <w:r>
              <w:t>is used as a proxy in reporting against this indicator.</w:t>
            </w:r>
          </w:p>
          <w:p w:rsidR="00095E5A" w:rsidRDefault="00095E5A" w:rsidP="00867BB6">
            <w:pPr>
              <w:pStyle w:val="Box"/>
            </w:pPr>
            <w:r>
              <w:t>Data reported for this indicator are:</w:t>
            </w:r>
          </w:p>
          <w:p w:rsidR="00095E5A" w:rsidRDefault="00095E5A" w:rsidP="00867BB6">
            <w:pPr>
              <w:pStyle w:val="BoxListBullet"/>
            </w:pPr>
            <w:r>
              <w:t xml:space="preserve">comparable (subject to caveats) </w:t>
            </w:r>
            <w:r w:rsidR="002C5348" w:rsidRPr="00065D58">
              <w:t>across jurisdictions and over time</w:t>
            </w:r>
            <w:r w:rsidR="002C5348">
              <w:t xml:space="preserve"> </w:t>
            </w:r>
            <w:r w:rsidR="002C5348" w:rsidRPr="00706BB0">
              <w:t>but a break in time series means that data from 2012-13 are not compar</w:t>
            </w:r>
            <w:r w:rsidR="002C5348">
              <w:t>able to data for previous years</w:t>
            </w:r>
          </w:p>
          <w:p w:rsidR="00095E5A" w:rsidRDefault="00095E5A" w:rsidP="00867BB6">
            <w:pPr>
              <w:pStyle w:val="BoxListBullet"/>
            </w:pPr>
            <w:r>
              <w:t>complete (subject to caveats) for the current reporting period. All required 201</w:t>
            </w:r>
            <w:r w:rsidR="00075CB2">
              <w:t>3</w:t>
            </w:r>
            <w:r>
              <w:t>-1</w:t>
            </w:r>
            <w:r w:rsidR="00075CB2">
              <w:t>4</w:t>
            </w:r>
            <w:r>
              <w:t xml:space="preserve"> data are available for all jurisdictions.</w:t>
            </w:r>
          </w:p>
          <w:p w:rsidR="00095E5A" w:rsidRDefault="00095E5A" w:rsidP="00075CB2">
            <w:pPr>
              <w:pStyle w:val="Box"/>
            </w:pPr>
            <w:r w:rsidRPr="0027351B">
              <w:t xml:space="preserve">Data quality information </w:t>
            </w:r>
            <w:r w:rsidRPr="00B010F5">
              <w:t>f</w:t>
            </w:r>
            <w:r>
              <w:t xml:space="preserve">or this indicator is at  </w:t>
            </w:r>
            <w:r w:rsidR="00786AB7">
              <w:t>www.pc.gov.au</w:t>
            </w:r>
            <w:r w:rsidRPr="00B010F5">
              <w:t>/</w:t>
            </w:r>
            <w:r>
              <w:t>rogs/201</w:t>
            </w:r>
            <w:r w:rsidR="00075CB2">
              <w:t>5</w:t>
            </w:r>
            <w:r w:rsidRPr="00B010F5">
              <w:t>.</w:t>
            </w:r>
          </w:p>
        </w:tc>
      </w:tr>
      <w:tr w:rsidR="00095E5A" w:rsidTr="00867BB6">
        <w:trPr>
          <w:cantSplit/>
        </w:trPr>
        <w:tc>
          <w:tcPr>
            <w:tcW w:w="8771" w:type="dxa"/>
            <w:tcBorders>
              <w:top w:val="nil"/>
              <w:left w:val="nil"/>
              <w:bottom w:val="single" w:sz="6" w:space="0" w:color="78A22F"/>
              <w:right w:val="nil"/>
            </w:tcBorders>
            <w:shd w:val="clear" w:color="auto" w:fill="F2F2F2" w:themeFill="background1" w:themeFillShade="F2"/>
          </w:tcPr>
          <w:p w:rsidR="00095E5A" w:rsidRDefault="00095E5A">
            <w:pPr>
              <w:pStyle w:val="Box"/>
              <w:spacing w:before="0" w:line="120" w:lineRule="exact"/>
            </w:pPr>
          </w:p>
        </w:tc>
      </w:tr>
      <w:tr w:rsidR="00095E5A" w:rsidRPr="000863A5" w:rsidTr="00867BB6">
        <w:tc>
          <w:tcPr>
            <w:tcW w:w="8771" w:type="dxa"/>
            <w:tcBorders>
              <w:top w:val="single" w:sz="6" w:space="0" w:color="78A22F"/>
              <w:left w:val="nil"/>
              <w:bottom w:val="nil"/>
              <w:right w:val="nil"/>
            </w:tcBorders>
          </w:tcPr>
          <w:p w:rsidR="00095E5A" w:rsidRPr="00626D32" w:rsidRDefault="00095E5A" w:rsidP="00867BB6">
            <w:pPr>
              <w:pStyle w:val="BoxSpaceBelow"/>
            </w:pPr>
          </w:p>
        </w:tc>
      </w:tr>
    </w:tbl>
    <w:p w:rsidR="00602FD0" w:rsidRDefault="00503FCC" w:rsidP="00944E91">
      <w:pPr>
        <w:pStyle w:val="BodyText"/>
      </w:pPr>
      <w:r>
        <w:t>A</w:t>
      </w:r>
      <w:r w:rsidR="008B30F5">
        <w:t xml:space="preserve">vailable </w:t>
      </w:r>
      <w:r w:rsidR="007C55EC">
        <w:t xml:space="preserve">data do not </w:t>
      </w:r>
      <w:r w:rsidR="00B85C6A">
        <w:t xml:space="preserve">exactly </w:t>
      </w:r>
      <w:r w:rsidR="007C55EC">
        <w:t xml:space="preserve">reflect the services </w:t>
      </w:r>
      <w:r w:rsidR="00F95A29">
        <w:t xml:space="preserve">requested and </w:t>
      </w:r>
      <w:r w:rsidR="007C55EC">
        <w:t xml:space="preserve">performed. </w:t>
      </w:r>
      <w:r w:rsidR="003D329E">
        <w:t xml:space="preserve">For example, </w:t>
      </w:r>
      <w:r w:rsidR="00161A48" w:rsidRPr="00051912">
        <w:t xml:space="preserve">rebates are </w:t>
      </w:r>
      <w:r w:rsidR="00161A48">
        <w:t xml:space="preserve">provided for a maximum of three MBS </w:t>
      </w:r>
      <w:r w:rsidR="003D329E">
        <w:t xml:space="preserve">pathology </w:t>
      </w:r>
      <w:r w:rsidR="00161A48">
        <w:t xml:space="preserve">items </w:t>
      </w:r>
      <w:r w:rsidR="003D329E">
        <w:t>—</w:t>
      </w:r>
      <w:r w:rsidR="003254D6">
        <w:t xml:space="preserve"> </w:t>
      </w:r>
      <w:r w:rsidR="00A24473">
        <w:t>additional pathology tests can be requested and performed, but are excluded from the data</w:t>
      </w:r>
      <w:r w:rsidR="003D329E">
        <w:t xml:space="preserve"> </w:t>
      </w:r>
      <w:r w:rsidR="00A24473">
        <w:t>because rebates are not provided</w:t>
      </w:r>
      <w:r w:rsidR="003D329E">
        <w:t>.</w:t>
      </w:r>
      <w:r w:rsidR="0090670D">
        <w:t xml:space="preserve"> </w:t>
      </w:r>
      <w:r w:rsidR="00602FD0">
        <w:t xml:space="preserve">A radiologist </w:t>
      </w:r>
      <w:r w:rsidR="00EA2EE4">
        <w:t>can</w:t>
      </w:r>
      <w:r w:rsidR="00602FD0">
        <w:t xml:space="preserve"> identify the need for and perform more or different diagnostic imaging services than requested</w:t>
      </w:r>
      <w:r w:rsidR="005A67F7">
        <w:t>.</w:t>
      </w:r>
      <w:r w:rsidR="00EA2EE4">
        <w:t xml:space="preserve"> </w:t>
      </w:r>
      <w:r w:rsidR="002D7882" w:rsidRPr="002D7882">
        <w:t xml:space="preserve">DHS Medicare </w:t>
      </w:r>
      <w:r w:rsidR="0090670D">
        <w:t>data</w:t>
      </w:r>
      <w:r w:rsidR="00602FD0">
        <w:t xml:space="preserve"> </w:t>
      </w:r>
      <w:r w:rsidR="0090670D">
        <w:t xml:space="preserve">reflect </w:t>
      </w:r>
      <w:r w:rsidR="005A67F7">
        <w:t xml:space="preserve">only those </w:t>
      </w:r>
      <w:r w:rsidR="00602FD0">
        <w:t xml:space="preserve">services provided </w:t>
      </w:r>
      <w:r w:rsidR="0035180D">
        <w:t>and rebated</w:t>
      </w:r>
      <w:r w:rsidR="00602FD0">
        <w:t>.</w:t>
      </w:r>
    </w:p>
    <w:p w:rsidR="00AB133C" w:rsidRPr="00200C93" w:rsidRDefault="000B29A1" w:rsidP="00944E91">
      <w:pPr>
        <w:pStyle w:val="BodyText"/>
      </w:pPr>
      <w:r>
        <w:t>A</w:t>
      </w:r>
      <w:r w:rsidR="00131F67">
        <w:t>ge-standardis</w:t>
      </w:r>
      <w:r>
        <w:t>ed</w:t>
      </w:r>
      <w:r w:rsidR="00131F67">
        <w:t xml:space="preserve"> rates </w:t>
      </w:r>
      <w:r>
        <w:t>are available from</w:t>
      </w:r>
      <w:r w:rsidR="00131F67">
        <w:t xml:space="preserve"> 2012</w:t>
      </w:r>
      <w:r w:rsidR="00131F67">
        <w:noBreakHyphen/>
        <w:t xml:space="preserve">13. </w:t>
      </w:r>
      <w:r w:rsidR="00AB133C">
        <w:t xml:space="preserve">Historical data are </w:t>
      </w:r>
      <w:r>
        <w:t xml:space="preserve">crude rates and are </w:t>
      </w:r>
      <w:r w:rsidR="00AB133C">
        <w:t xml:space="preserve">provided in </w:t>
      </w:r>
      <w:r w:rsidR="009A06CD">
        <w:t xml:space="preserve">tables </w:t>
      </w:r>
      <w:r w:rsidR="00C9076B">
        <w:t>10A.</w:t>
      </w:r>
      <w:r w:rsidR="009A06CD">
        <w:t>6</w:t>
      </w:r>
      <w:r w:rsidR="00E5021C">
        <w:t>6</w:t>
      </w:r>
      <w:r w:rsidR="009A06CD">
        <w:t xml:space="preserve"> </w:t>
      </w:r>
      <w:r>
        <w:t>(</w:t>
      </w:r>
      <w:r w:rsidR="005A0AC1">
        <w:t>pathology tests</w:t>
      </w:r>
      <w:r>
        <w:t>)</w:t>
      </w:r>
      <w:r w:rsidR="005A0AC1">
        <w:t xml:space="preserve"> </w:t>
      </w:r>
      <w:r w:rsidR="009A06CD">
        <w:t xml:space="preserve">and </w:t>
      </w:r>
      <w:r w:rsidR="00C9076B">
        <w:t>10A.</w:t>
      </w:r>
      <w:r w:rsidR="009A06CD">
        <w:t>6</w:t>
      </w:r>
      <w:r w:rsidR="00E5021C">
        <w:t>8</w:t>
      </w:r>
      <w:r w:rsidR="005A0AC1">
        <w:t xml:space="preserve"> </w:t>
      </w:r>
      <w:r>
        <w:t>(</w:t>
      </w:r>
      <w:r w:rsidR="005A0AC1" w:rsidRPr="00BA1E15">
        <w:t>diagnostic imaging</w:t>
      </w:r>
      <w:r>
        <w:t>)</w:t>
      </w:r>
      <w:r w:rsidR="00AB133C">
        <w:t>.</w:t>
      </w:r>
    </w:p>
    <w:p w:rsidR="00753514" w:rsidRPr="00CC62D8" w:rsidRDefault="00D1658D" w:rsidP="00CC62D8">
      <w:pPr>
        <w:pStyle w:val="BodyText"/>
        <w:rPr>
          <w:rStyle w:val="DraftingNote"/>
          <w:b w:val="0"/>
          <w:color w:val="auto"/>
          <w:u w:val="none"/>
        </w:rPr>
      </w:pPr>
      <w:r>
        <w:t xml:space="preserve">Nationally, the number of </w:t>
      </w:r>
      <w:r w:rsidR="00907986">
        <w:t>rebated MBS items for pathology</w:t>
      </w:r>
      <w:r>
        <w:t xml:space="preserve"> tests </w:t>
      </w:r>
      <w:r w:rsidR="004F6142">
        <w:t>requested</w:t>
      </w:r>
      <w:r>
        <w:t xml:space="preserve"> </w:t>
      </w:r>
      <w:r w:rsidR="004F6142">
        <w:t xml:space="preserve">by GPs </w:t>
      </w:r>
      <w:r w:rsidR="00D74E5E">
        <w:t xml:space="preserve">and </w:t>
      </w:r>
      <w:r w:rsidR="00D74E5E" w:rsidRPr="005A3FD4">
        <w:t>eligible</w:t>
      </w:r>
      <w:r w:rsidR="00D74E5E">
        <w:t xml:space="preserve"> nurse practitioners </w:t>
      </w:r>
      <w:r w:rsidR="00AB133C">
        <w:t>was 3.</w:t>
      </w:r>
      <w:r w:rsidR="00D74E5E">
        <w:t>5 </w:t>
      </w:r>
      <w:r w:rsidR="00131F67">
        <w:t xml:space="preserve">per person </w:t>
      </w:r>
      <w:r w:rsidR="00AB133C">
        <w:t>in 201</w:t>
      </w:r>
      <w:r w:rsidR="00D74E5E">
        <w:t>3</w:t>
      </w:r>
      <w:r w:rsidR="00AB133C">
        <w:t>-1</w:t>
      </w:r>
      <w:r w:rsidR="00D74E5E">
        <w:t>4</w:t>
      </w:r>
      <w:r w:rsidR="00AB133C">
        <w:t xml:space="preserve"> </w:t>
      </w:r>
      <w:r w:rsidRPr="007D4BA0">
        <w:t>(</w:t>
      </w:r>
      <w:r w:rsidR="00897589">
        <w:t>figure 10.</w:t>
      </w:r>
      <w:r w:rsidR="00195474">
        <w:t>30</w:t>
      </w:r>
      <w:r w:rsidR="00C751B0">
        <w:t>).</w:t>
      </w:r>
    </w:p>
    <w:p w:rsidR="000E1F66" w:rsidRDefault="000E1F66" w:rsidP="00D61F90">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0E1F66" w:rsidTr="00D61F90">
        <w:tc>
          <w:tcPr>
            <w:tcW w:w="8771" w:type="dxa"/>
            <w:tcBorders>
              <w:top w:val="single" w:sz="6" w:space="0" w:color="78A22F"/>
              <w:left w:val="nil"/>
              <w:bottom w:val="nil"/>
              <w:right w:val="nil"/>
            </w:tcBorders>
            <w:shd w:val="clear" w:color="auto" w:fill="auto"/>
          </w:tcPr>
          <w:p w:rsidR="000E1F66" w:rsidRPr="00176D3F" w:rsidRDefault="000E1F66" w:rsidP="009514DC">
            <w:pPr>
              <w:pStyle w:val="FigureTitle"/>
            </w:pPr>
            <w:r w:rsidRPr="00784A05">
              <w:rPr>
                <w:b w:val="0"/>
              </w:rPr>
              <w:t xml:space="preserve">Figure </w:t>
            </w:r>
            <w:r w:rsidR="00DF255F">
              <w:rPr>
                <w:b w:val="0"/>
              </w:rPr>
              <w:t>10.</w:t>
            </w:r>
            <w:r w:rsidR="0078724D">
              <w:rPr>
                <w:b w:val="0"/>
                <w:noProof/>
              </w:rPr>
              <w:t>30</w:t>
            </w:r>
            <w:r>
              <w:tab/>
              <w:t xml:space="preserve">MBS items </w:t>
            </w:r>
            <w:r w:rsidRPr="000B2A40">
              <w:t xml:space="preserve">rebated through </w:t>
            </w:r>
            <w:r w:rsidRPr="002D7882">
              <w:t>DHS Medicare</w:t>
            </w:r>
            <w:r>
              <w:t xml:space="preserve"> for p</w:t>
            </w:r>
            <w:r w:rsidRPr="000B2A40">
              <w:t xml:space="preserve">athology </w:t>
            </w:r>
            <w:r>
              <w:t>tests requested by GPs</w:t>
            </w:r>
            <w:r w:rsidR="00627B8D">
              <w:t>, per person</w:t>
            </w:r>
            <w:r w:rsidRPr="000B2A40">
              <w:rPr>
                <w:rStyle w:val="NoteLabel"/>
                <w:b/>
              </w:rPr>
              <w:t>a</w:t>
            </w:r>
            <w:r>
              <w:rPr>
                <w:rStyle w:val="NoteLabel"/>
                <w:b/>
              </w:rPr>
              <w:t>, b</w:t>
            </w:r>
          </w:p>
        </w:tc>
      </w:tr>
      <w:tr w:rsidR="000E1F66" w:rsidTr="00D61F90">
        <w:tc>
          <w:tcPr>
            <w:tcW w:w="8771" w:type="dxa"/>
            <w:tcBorders>
              <w:top w:val="nil"/>
              <w:left w:val="nil"/>
              <w:bottom w:val="nil"/>
              <w:right w:val="nil"/>
            </w:tcBorders>
            <w:shd w:val="clear" w:color="auto" w:fill="auto"/>
            <w:tcMar>
              <w:top w:w="28" w:type="dxa"/>
              <w:bottom w:w="28" w:type="dxa"/>
            </w:tcMar>
          </w:tcPr>
          <w:tbl>
            <w:tblPr>
              <w:tblW w:w="8625" w:type="dxa"/>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625"/>
            </w:tblGrid>
            <w:tr w:rsidR="000E1F66" w:rsidTr="00993112">
              <w:tc>
                <w:tcPr>
                  <w:tcW w:w="5000" w:type="pct"/>
                  <w:tcBorders>
                    <w:top w:val="nil"/>
                    <w:bottom w:val="nil"/>
                  </w:tcBorders>
                </w:tcPr>
                <w:p w:rsidR="000E1F66" w:rsidRDefault="007B1994" w:rsidP="00D61F90">
                  <w:pPr>
                    <w:pStyle w:val="Figure"/>
                    <w:spacing w:before="60" w:after="60"/>
                  </w:pPr>
                  <w:r>
                    <w:rPr>
                      <w:noProof/>
                    </w:rPr>
                    <w:drawing>
                      <wp:inline distT="0" distB="0" distL="0" distR="0">
                        <wp:extent cx="5391150" cy="2705100"/>
                        <wp:effectExtent l="0" t="0" r="0" b="0"/>
                        <wp:docPr id="39" name="Picture 39" descr="Figure 10.30 MBS items rebated through DHS Medicare for pathology tests requested by GPs, per person&#10;&#10;More details can be found within the text surrounding this image.&#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5391150" cy="2705100"/>
                                </a:xfrm>
                                <a:prstGeom prst="rect">
                                  <a:avLst/>
                                </a:prstGeom>
                                <a:noFill/>
                                <a:ln>
                                  <a:noFill/>
                                </a:ln>
                              </pic:spPr>
                            </pic:pic>
                          </a:graphicData>
                        </a:graphic>
                      </wp:inline>
                    </w:drawing>
                  </w:r>
                </w:p>
              </w:tc>
            </w:tr>
          </w:tbl>
          <w:p w:rsidR="000E1F66" w:rsidRDefault="000E1F66" w:rsidP="00D61F90">
            <w:pPr>
              <w:pStyle w:val="Figure"/>
            </w:pPr>
          </w:p>
        </w:tc>
      </w:tr>
      <w:tr w:rsidR="000E1F66" w:rsidRPr="00176D3F" w:rsidTr="00D61F90">
        <w:tc>
          <w:tcPr>
            <w:tcW w:w="8771" w:type="dxa"/>
            <w:tcBorders>
              <w:top w:val="nil"/>
              <w:left w:val="nil"/>
              <w:bottom w:val="nil"/>
              <w:right w:val="nil"/>
            </w:tcBorders>
            <w:shd w:val="clear" w:color="auto" w:fill="auto"/>
          </w:tcPr>
          <w:p w:rsidR="000E1F66" w:rsidRPr="00176D3F" w:rsidRDefault="000E1F66" w:rsidP="00D61F90">
            <w:pPr>
              <w:pStyle w:val="Note"/>
            </w:pPr>
            <w:r>
              <w:rPr>
                <w:rStyle w:val="NoteLabel"/>
              </w:rPr>
              <w:t>a</w:t>
            </w:r>
            <w:r>
              <w:sym w:font="Symbol" w:char="F020"/>
            </w:r>
            <w:r>
              <w:t xml:space="preserve">Data are age standardised to the 2001 Australian standard population. </w:t>
            </w:r>
            <w:r>
              <w:rPr>
                <w:rStyle w:val="NoteLabel"/>
              </w:rPr>
              <w:t>b</w:t>
            </w:r>
            <w:r>
              <w:sym w:font="Symbol" w:char="F020"/>
            </w:r>
            <w:r w:rsidRPr="000B2A40">
              <w:t xml:space="preserve">Data include tests </w:t>
            </w:r>
            <w:r>
              <w:t>requested</w:t>
            </w:r>
            <w:r w:rsidRPr="000B2A40">
              <w:t xml:space="preserve"> by vocationally </w:t>
            </w:r>
            <w:r w:rsidRPr="000B2487">
              <w:t>registered</w:t>
            </w:r>
            <w:r w:rsidRPr="000B2A40">
              <w:t xml:space="preserve"> GPs and OMPs</w:t>
            </w:r>
            <w:r w:rsidR="00D74E5E">
              <w:t xml:space="preserve"> and, from 2013-14, eligible nurse practitioners</w:t>
            </w:r>
            <w:r w:rsidRPr="000B2A40">
              <w:t>. Data include patient episode initiated items.</w:t>
            </w:r>
          </w:p>
        </w:tc>
      </w:tr>
      <w:tr w:rsidR="000E1F66" w:rsidRPr="00176D3F" w:rsidTr="00D61F90">
        <w:tc>
          <w:tcPr>
            <w:tcW w:w="8771" w:type="dxa"/>
            <w:tcBorders>
              <w:top w:val="nil"/>
              <w:left w:val="nil"/>
              <w:bottom w:val="nil"/>
              <w:right w:val="nil"/>
            </w:tcBorders>
            <w:shd w:val="clear" w:color="auto" w:fill="auto"/>
          </w:tcPr>
          <w:p w:rsidR="000E1F66" w:rsidRPr="00176D3F" w:rsidRDefault="000E1F66" w:rsidP="00E5021C">
            <w:pPr>
              <w:pStyle w:val="Source"/>
            </w:pPr>
            <w:r>
              <w:rPr>
                <w:i/>
              </w:rPr>
              <w:t>Source</w:t>
            </w:r>
            <w:r w:rsidRPr="000B2A40">
              <w:t>:</w:t>
            </w:r>
            <w:r>
              <w:t xml:space="preserve"> Department of Health</w:t>
            </w:r>
            <w:r w:rsidRPr="000B2A40">
              <w:t xml:space="preserve"> (unpublished)</w:t>
            </w:r>
            <w:r>
              <w:t xml:space="preserve"> </w:t>
            </w:r>
            <w:r w:rsidRPr="00B156DD">
              <w:t>MBS</w:t>
            </w:r>
            <w:r>
              <w:t xml:space="preserve"> and DVA</w:t>
            </w:r>
            <w:r w:rsidRPr="00B156DD">
              <w:t xml:space="preserve"> data </w:t>
            </w:r>
            <w:r>
              <w:t>collections</w:t>
            </w:r>
            <w:r w:rsidRPr="006C74C6">
              <w:t>; table </w:t>
            </w:r>
            <w:r w:rsidR="00C9076B">
              <w:t>10A.</w:t>
            </w:r>
            <w:r>
              <w:t>6</w:t>
            </w:r>
            <w:r w:rsidR="00E5021C">
              <w:t>5</w:t>
            </w:r>
            <w:r>
              <w:t>.</w:t>
            </w:r>
          </w:p>
        </w:tc>
      </w:tr>
      <w:tr w:rsidR="000E1F66" w:rsidTr="00D61F90">
        <w:tc>
          <w:tcPr>
            <w:tcW w:w="8771" w:type="dxa"/>
            <w:tcBorders>
              <w:top w:val="nil"/>
              <w:left w:val="nil"/>
              <w:bottom w:val="single" w:sz="6" w:space="0" w:color="78A22F"/>
              <w:right w:val="nil"/>
            </w:tcBorders>
            <w:shd w:val="clear" w:color="auto" w:fill="auto"/>
          </w:tcPr>
          <w:p w:rsidR="000E1F66" w:rsidRDefault="000E1F66" w:rsidP="00D61F90">
            <w:pPr>
              <w:pStyle w:val="Figurespace"/>
            </w:pPr>
          </w:p>
        </w:tc>
      </w:tr>
      <w:tr w:rsidR="000E1F66" w:rsidRPr="000863A5" w:rsidTr="00D61F90">
        <w:tc>
          <w:tcPr>
            <w:tcW w:w="8771" w:type="dxa"/>
            <w:tcBorders>
              <w:top w:val="single" w:sz="6" w:space="0" w:color="78A22F"/>
              <w:left w:val="nil"/>
              <w:bottom w:val="nil"/>
              <w:right w:val="nil"/>
            </w:tcBorders>
          </w:tcPr>
          <w:p w:rsidR="000E1F66" w:rsidRPr="00626D32" w:rsidRDefault="000E1F66" w:rsidP="00D61F90">
            <w:pPr>
              <w:pStyle w:val="BoxSpaceBelow"/>
            </w:pPr>
          </w:p>
        </w:tc>
      </w:tr>
    </w:tbl>
    <w:p w:rsidR="000B2A40" w:rsidRPr="00200C93" w:rsidRDefault="000B2A40" w:rsidP="009F667C">
      <w:pPr>
        <w:pStyle w:val="BodyText"/>
      </w:pPr>
      <w:r w:rsidRPr="000B2A40">
        <w:t>Australian Government ex</w:t>
      </w:r>
      <w:r w:rsidR="00730A7D">
        <w:t xml:space="preserve">penditure </w:t>
      </w:r>
      <w:r w:rsidRPr="000B2A40">
        <w:t xml:space="preserve">under </w:t>
      </w:r>
      <w:r w:rsidR="002D7882" w:rsidRPr="002D7882">
        <w:t>DHS Medicare</w:t>
      </w:r>
      <w:r w:rsidRPr="000B2A40">
        <w:t xml:space="preserve"> </w:t>
      </w:r>
      <w:r w:rsidR="00C549A3">
        <w:t>for</w:t>
      </w:r>
      <w:r w:rsidRPr="000B2A40">
        <w:t xml:space="preserve"> p</w:t>
      </w:r>
      <w:r>
        <w:t>athology tests</w:t>
      </w:r>
      <w:r w:rsidR="00627B8D">
        <w:t xml:space="preserve"> </w:t>
      </w:r>
      <w:r w:rsidR="00B1759D" w:rsidRPr="00A0640A">
        <w:t xml:space="preserve">requested </w:t>
      </w:r>
      <w:r w:rsidR="00B1759D" w:rsidRPr="00477390">
        <w:t xml:space="preserve">by vocationally </w:t>
      </w:r>
      <w:r w:rsidR="000B2487" w:rsidRPr="000B2487">
        <w:t xml:space="preserve">registered </w:t>
      </w:r>
      <w:r w:rsidR="00B1759D" w:rsidRPr="00477390">
        <w:t xml:space="preserve">GPs and OMPs </w:t>
      </w:r>
      <w:r w:rsidR="00D63EAA">
        <w:t xml:space="preserve">and eligible nurse practitioners </w:t>
      </w:r>
      <w:r w:rsidRPr="00477390">
        <w:t xml:space="preserve">amounted to </w:t>
      </w:r>
      <w:r w:rsidR="00A46843" w:rsidRPr="00477390">
        <w:t>$</w:t>
      </w:r>
      <w:r w:rsidR="00580384" w:rsidRPr="00477390">
        <w:t>1.</w:t>
      </w:r>
      <w:r w:rsidR="002A10D3">
        <w:t>6</w:t>
      </w:r>
      <w:r w:rsidRPr="00477390">
        <w:t> billion</w:t>
      </w:r>
      <w:r w:rsidR="004375A8">
        <w:t xml:space="preserve"> — </w:t>
      </w:r>
      <w:r w:rsidR="00C549A3" w:rsidRPr="00477390">
        <w:t>around</w:t>
      </w:r>
      <w:r w:rsidR="00470689" w:rsidRPr="00477390">
        <w:t xml:space="preserve"> </w:t>
      </w:r>
      <w:r w:rsidRPr="00477390">
        <w:t>$</w:t>
      </w:r>
      <w:r w:rsidR="00470689" w:rsidRPr="00477390">
        <w:t>6</w:t>
      </w:r>
      <w:r w:rsidR="002A10D3">
        <w:t>4</w:t>
      </w:r>
      <w:r w:rsidRPr="00477390">
        <w:t> per person</w:t>
      </w:r>
      <w:r w:rsidR="008A4BF5" w:rsidRPr="00477390">
        <w:t xml:space="preserve"> </w:t>
      </w:r>
      <w:r w:rsidR="004375A8">
        <w:t xml:space="preserve">— </w:t>
      </w:r>
      <w:r w:rsidR="008A4BF5" w:rsidRPr="00477390">
        <w:t>in</w:t>
      </w:r>
      <w:r w:rsidR="00BA0F30">
        <w:t xml:space="preserve"> 201</w:t>
      </w:r>
      <w:r w:rsidR="002A10D3">
        <w:t>3</w:t>
      </w:r>
      <w:r w:rsidR="004375A8">
        <w:noBreakHyphen/>
      </w:r>
      <w:r w:rsidR="00BA0F30">
        <w:t>1</w:t>
      </w:r>
      <w:r w:rsidR="002A10D3">
        <w:t>4</w:t>
      </w:r>
      <w:r w:rsidRPr="00477390">
        <w:t xml:space="preserve"> (</w:t>
      </w:r>
      <w:r w:rsidR="00897589">
        <w:t>figure 10.</w:t>
      </w:r>
      <w:r w:rsidR="00CA25A8">
        <w:t>3</w:t>
      </w:r>
      <w:r w:rsidR="00307EC5">
        <w:t>1</w:t>
      </w:r>
      <w:r w:rsidR="00C3690E">
        <w:t>)</w:t>
      </w:r>
      <w:r w:rsidR="008F6ECE" w:rsidRPr="00477390">
        <w:t>.</w:t>
      </w:r>
      <w:r w:rsidR="00627B8D" w:rsidRPr="00627B8D">
        <w:t xml:space="preserve"> </w:t>
      </w:r>
      <w:r w:rsidR="00627B8D" w:rsidRPr="000B2A40">
        <w:t>Australian Government ex</w:t>
      </w:r>
      <w:r w:rsidR="00627B8D">
        <w:t xml:space="preserve">penditure </w:t>
      </w:r>
      <w:r w:rsidR="00627B8D" w:rsidRPr="000B2A40">
        <w:t xml:space="preserve">under </w:t>
      </w:r>
      <w:r w:rsidR="00627B8D" w:rsidRPr="002D7882">
        <w:t>DHS Medicare</w:t>
      </w:r>
      <w:r w:rsidR="00627B8D" w:rsidRPr="000B2A40">
        <w:t xml:space="preserve"> </w:t>
      </w:r>
      <w:r w:rsidR="00627B8D">
        <w:t xml:space="preserve">for diagnostic imaging tests </w:t>
      </w:r>
      <w:r w:rsidR="00627B8D" w:rsidRPr="00A0640A">
        <w:t xml:space="preserve">requested </w:t>
      </w:r>
      <w:r w:rsidR="00627B8D" w:rsidRPr="00477390">
        <w:t xml:space="preserve">by vocationally </w:t>
      </w:r>
      <w:r w:rsidR="00627B8D" w:rsidRPr="000B2487">
        <w:t xml:space="preserve">registered </w:t>
      </w:r>
      <w:r w:rsidR="00627B8D" w:rsidRPr="00477390">
        <w:t xml:space="preserve">GPs and OMPs </w:t>
      </w:r>
      <w:r w:rsidR="00627B8D">
        <w:t xml:space="preserve">and eligible nurse practitioners </w:t>
      </w:r>
      <w:r w:rsidR="00D12663">
        <w:t>was also $1.6 </w:t>
      </w:r>
      <w:r w:rsidR="00627B8D">
        <w:t>billion in 2013-14</w:t>
      </w:r>
      <w:r w:rsidR="00D12663">
        <w:t xml:space="preserve"> although </w:t>
      </w:r>
      <w:r w:rsidR="0078338F">
        <w:t xml:space="preserve">expenditure per person was less for diagnostic imaging </w:t>
      </w:r>
      <w:r w:rsidR="00D12663">
        <w:t xml:space="preserve">than for pathology tests in most jurisdictions </w:t>
      </w:r>
      <w:r w:rsidR="00D12663" w:rsidRPr="00477390">
        <w:t>(</w:t>
      </w:r>
      <w:r w:rsidR="00D12663">
        <w:t>figure 10.3</w:t>
      </w:r>
      <w:r w:rsidR="00307EC5">
        <w:t>1</w:t>
      </w:r>
      <w:r w:rsidR="00D12663">
        <w:t>)</w:t>
      </w:r>
      <w:r w:rsidR="00627B8D" w:rsidRPr="00477390">
        <w:t>.</w:t>
      </w:r>
    </w:p>
    <w:p w:rsidR="000E1F66" w:rsidRDefault="000E1F66" w:rsidP="00D61F90">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0E1F66" w:rsidTr="00D61F90">
        <w:tc>
          <w:tcPr>
            <w:tcW w:w="8771" w:type="dxa"/>
            <w:tcBorders>
              <w:top w:val="single" w:sz="6" w:space="0" w:color="78A22F"/>
              <w:left w:val="nil"/>
              <w:bottom w:val="nil"/>
              <w:right w:val="nil"/>
            </w:tcBorders>
            <w:shd w:val="clear" w:color="auto" w:fill="auto"/>
          </w:tcPr>
          <w:p w:rsidR="000E1F66" w:rsidRPr="00176D3F" w:rsidRDefault="000E1F66" w:rsidP="00D63EAA">
            <w:pPr>
              <w:pStyle w:val="FigureTitle"/>
            </w:pPr>
            <w:r w:rsidRPr="00784A05">
              <w:rPr>
                <w:b w:val="0"/>
              </w:rPr>
              <w:t xml:space="preserve">Figure </w:t>
            </w:r>
            <w:r w:rsidR="00DF255F">
              <w:rPr>
                <w:b w:val="0"/>
              </w:rPr>
              <w:t>10.</w:t>
            </w:r>
            <w:r w:rsidR="0078724D">
              <w:rPr>
                <w:b w:val="0"/>
                <w:noProof/>
              </w:rPr>
              <w:t>31</w:t>
            </w:r>
            <w:r>
              <w:tab/>
            </w:r>
            <w:r w:rsidRPr="000B2A40">
              <w:t xml:space="preserve">Benefits paid for </w:t>
            </w:r>
            <w:r w:rsidR="008F3D0D">
              <w:t xml:space="preserve">GP-referred </w:t>
            </w:r>
            <w:r w:rsidRPr="000B2A40">
              <w:t>pathology tes</w:t>
            </w:r>
            <w:r>
              <w:t>ts and diagnostic imaging</w:t>
            </w:r>
            <w:r w:rsidR="008F3D0D" w:rsidRPr="000B2A40">
              <w:t xml:space="preserve"> rebated through </w:t>
            </w:r>
            <w:r w:rsidR="008F3D0D" w:rsidRPr="002D7882">
              <w:t>DHS Medicare</w:t>
            </w:r>
            <w:r w:rsidR="00D63EAA">
              <w:t>, 2013-14</w:t>
            </w:r>
            <w:r w:rsidRPr="00AD73BD">
              <w:rPr>
                <w:rStyle w:val="NoteLabel"/>
                <w:b/>
              </w:rPr>
              <w:t>a</w:t>
            </w:r>
          </w:p>
        </w:tc>
      </w:tr>
      <w:tr w:rsidR="000E1F66" w:rsidTr="00D61F90">
        <w:tc>
          <w:tcPr>
            <w:tcW w:w="8771" w:type="dxa"/>
            <w:tcBorders>
              <w:top w:val="nil"/>
              <w:left w:val="nil"/>
              <w:bottom w:val="nil"/>
              <w:right w:val="nil"/>
            </w:tcBorders>
            <w:shd w:val="clear" w:color="auto" w:fill="auto"/>
            <w:tcMar>
              <w:top w:w="28" w:type="dxa"/>
              <w:bottom w:w="28" w:type="dxa"/>
            </w:tcMar>
          </w:tcPr>
          <w:tbl>
            <w:tblPr>
              <w:tblW w:w="8625" w:type="dxa"/>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625"/>
            </w:tblGrid>
            <w:tr w:rsidR="000E1F66" w:rsidTr="002A10D3">
              <w:tc>
                <w:tcPr>
                  <w:tcW w:w="5000" w:type="pct"/>
                  <w:tcBorders>
                    <w:top w:val="nil"/>
                    <w:bottom w:val="nil"/>
                  </w:tcBorders>
                </w:tcPr>
                <w:p w:rsidR="000E1F66" w:rsidRDefault="007B1994" w:rsidP="00D61F90">
                  <w:pPr>
                    <w:pStyle w:val="Figure"/>
                    <w:spacing w:before="60" w:after="60"/>
                  </w:pPr>
                  <w:r>
                    <w:rPr>
                      <w:noProof/>
                    </w:rPr>
                    <w:drawing>
                      <wp:inline distT="0" distB="0" distL="0" distR="0">
                        <wp:extent cx="5391150" cy="2867025"/>
                        <wp:effectExtent l="0" t="0" r="0" b="9525"/>
                        <wp:docPr id="40" name="Picture 40" descr="Figure 10.31 Benefits paid for GP-referred pathology tests and diagnostic imaging rebated through DHS Medicare, 2013-14&#10;&#10;More details can be found within the text surrounding this image.&#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5391150" cy="2867025"/>
                                </a:xfrm>
                                <a:prstGeom prst="rect">
                                  <a:avLst/>
                                </a:prstGeom>
                                <a:noFill/>
                                <a:ln>
                                  <a:noFill/>
                                </a:ln>
                              </pic:spPr>
                            </pic:pic>
                          </a:graphicData>
                        </a:graphic>
                      </wp:inline>
                    </w:drawing>
                  </w:r>
                </w:p>
              </w:tc>
            </w:tr>
          </w:tbl>
          <w:p w:rsidR="000E1F66" w:rsidRDefault="000E1F66" w:rsidP="00D61F90">
            <w:pPr>
              <w:pStyle w:val="Figure"/>
            </w:pPr>
          </w:p>
        </w:tc>
      </w:tr>
      <w:tr w:rsidR="000E1F66" w:rsidRPr="00176D3F" w:rsidTr="00D61F90">
        <w:tc>
          <w:tcPr>
            <w:tcW w:w="8771" w:type="dxa"/>
            <w:tcBorders>
              <w:top w:val="nil"/>
              <w:left w:val="nil"/>
              <w:bottom w:val="nil"/>
              <w:right w:val="nil"/>
            </w:tcBorders>
            <w:shd w:val="clear" w:color="auto" w:fill="auto"/>
          </w:tcPr>
          <w:p w:rsidR="000E1F66" w:rsidRPr="00176D3F" w:rsidRDefault="000E1F66" w:rsidP="00191A49">
            <w:pPr>
              <w:pStyle w:val="Note"/>
              <w:keepNext/>
            </w:pPr>
            <w:r>
              <w:rPr>
                <w:rStyle w:val="NoteLabel"/>
              </w:rPr>
              <w:t>a</w:t>
            </w:r>
            <w:r>
              <w:sym w:font="Symbol" w:char="F020"/>
            </w:r>
            <w:r w:rsidRPr="000B2A40">
              <w:t xml:space="preserve">Includes benefits paid through </w:t>
            </w:r>
            <w:r w:rsidRPr="002D7882">
              <w:t xml:space="preserve">DHS Medicare </w:t>
            </w:r>
            <w:r w:rsidRPr="000B2A40">
              <w:t xml:space="preserve">(including DVA data) for </w:t>
            </w:r>
            <w:r>
              <w:t>MBS</w:t>
            </w:r>
            <w:r w:rsidRPr="001B2BDC">
              <w:t xml:space="preserve"> </w:t>
            </w:r>
            <w:r>
              <w:t xml:space="preserve">pathology and diagnostic imaging items, for services provided on referral from </w:t>
            </w:r>
            <w:r w:rsidRPr="000B2A40">
              <w:t xml:space="preserve">vocationally </w:t>
            </w:r>
            <w:r w:rsidRPr="000B2487">
              <w:t>registered</w:t>
            </w:r>
            <w:r w:rsidRPr="000B2A40">
              <w:t xml:space="preserve"> GPs and OMPs</w:t>
            </w:r>
            <w:r w:rsidR="00CC5E47">
              <w:t xml:space="preserve"> and from eligible nurse practitioners</w:t>
            </w:r>
            <w:r w:rsidRPr="000B2A40">
              <w:t>.</w:t>
            </w:r>
          </w:p>
        </w:tc>
      </w:tr>
      <w:tr w:rsidR="000E1F66" w:rsidRPr="00176D3F" w:rsidTr="00D61F90">
        <w:tc>
          <w:tcPr>
            <w:tcW w:w="8771" w:type="dxa"/>
            <w:tcBorders>
              <w:top w:val="nil"/>
              <w:left w:val="nil"/>
              <w:bottom w:val="nil"/>
              <w:right w:val="nil"/>
            </w:tcBorders>
            <w:shd w:val="clear" w:color="auto" w:fill="auto"/>
          </w:tcPr>
          <w:p w:rsidR="000E1F66" w:rsidRPr="00176D3F" w:rsidRDefault="000E1F66" w:rsidP="00E5021C">
            <w:pPr>
              <w:pStyle w:val="Source"/>
            </w:pPr>
            <w:r>
              <w:rPr>
                <w:i/>
              </w:rPr>
              <w:t>Source</w:t>
            </w:r>
            <w:r w:rsidRPr="000B2A40">
              <w:t>:</w:t>
            </w:r>
            <w:r>
              <w:t xml:space="preserve"> Department of Health</w:t>
            </w:r>
            <w:r w:rsidRPr="000B2A40">
              <w:t xml:space="preserve"> (unpublished)</w:t>
            </w:r>
            <w:r>
              <w:t xml:space="preserve"> </w:t>
            </w:r>
            <w:r w:rsidRPr="00B156DD">
              <w:t>MBS</w:t>
            </w:r>
            <w:r>
              <w:t xml:space="preserve"> and DVA</w:t>
            </w:r>
            <w:r w:rsidRPr="00B156DD">
              <w:t xml:space="preserve"> data </w:t>
            </w:r>
            <w:r>
              <w:t>collections</w:t>
            </w:r>
            <w:r w:rsidRPr="006C74C6">
              <w:t>; tables </w:t>
            </w:r>
            <w:r w:rsidR="00C9076B">
              <w:t>10A.</w:t>
            </w:r>
            <w:r>
              <w:t>6</w:t>
            </w:r>
            <w:r w:rsidR="00E5021C">
              <w:t>5</w:t>
            </w:r>
            <w:r w:rsidRPr="006C74C6">
              <w:t xml:space="preserve"> and </w:t>
            </w:r>
            <w:r w:rsidR="00C9076B">
              <w:t>10A.</w:t>
            </w:r>
            <w:r>
              <w:t>6</w:t>
            </w:r>
            <w:r w:rsidR="00E5021C">
              <w:t>7</w:t>
            </w:r>
            <w:r w:rsidRPr="006C74C6">
              <w:t>.</w:t>
            </w:r>
          </w:p>
        </w:tc>
      </w:tr>
      <w:tr w:rsidR="000E1F66" w:rsidTr="00D61F90">
        <w:tc>
          <w:tcPr>
            <w:tcW w:w="8771" w:type="dxa"/>
            <w:tcBorders>
              <w:top w:val="nil"/>
              <w:left w:val="nil"/>
              <w:bottom w:val="single" w:sz="6" w:space="0" w:color="78A22F"/>
              <w:right w:val="nil"/>
            </w:tcBorders>
            <w:shd w:val="clear" w:color="auto" w:fill="auto"/>
          </w:tcPr>
          <w:p w:rsidR="000E1F66" w:rsidRDefault="000E1F66" w:rsidP="00D61F90">
            <w:pPr>
              <w:pStyle w:val="Figurespace"/>
            </w:pPr>
          </w:p>
        </w:tc>
      </w:tr>
      <w:tr w:rsidR="000E1F66" w:rsidRPr="000863A5" w:rsidTr="00D61F90">
        <w:tc>
          <w:tcPr>
            <w:tcW w:w="8771" w:type="dxa"/>
            <w:tcBorders>
              <w:top w:val="single" w:sz="6" w:space="0" w:color="78A22F"/>
              <w:left w:val="nil"/>
              <w:bottom w:val="nil"/>
              <w:right w:val="nil"/>
            </w:tcBorders>
          </w:tcPr>
          <w:p w:rsidR="000E1F66" w:rsidRPr="00626D32" w:rsidRDefault="000E1F66" w:rsidP="00D61F90">
            <w:pPr>
              <w:pStyle w:val="BoxSpaceBelow"/>
            </w:pPr>
          </w:p>
        </w:tc>
      </w:tr>
    </w:tbl>
    <w:p w:rsidR="00CC4FB1" w:rsidRPr="00200C93" w:rsidRDefault="00AD73BD" w:rsidP="009F667C">
      <w:pPr>
        <w:pStyle w:val="BodyText"/>
      </w:pPr>
      <w:r w:rsidRPr="00AD73BD">
        <w:t xml:space="preserve">Nationally, the number of rebated MBS items for </w:t>
      </w:r>
      <w:r w:rsidRPr="000B2A40">
        <w:t xml:space="preserve">diagnostic imaging </w:t>
      </w:r>
      <w:r>
        <w:t xml:space="preserve">performed on </w:t>
      </w:r>
      <w:r w:rsidRPr="000B2A40">
        <w:t>referral</w:t>
      </w:r>
      <w:r>
        <w:t xml:space="preserve"> from </w:t>
      </w:r>
      <w:r w:rsidRPr="00AD73BD">
        <w:t xml:space="preserve">GPs </w:t>
      </w:r>
      <w:r w:rsidR="00075CB2">
        <w:t xml:space="preserve">and, for 2013-14, eligible nurse practitioners, </w:t>
      </w:r>
      <w:r w:rsidRPr="00AD73BD">
        <w:t xml:space="preserve">was </w:t>
      </w:r>
      <w:r w:rsidRPr="009F667C">
        <w:t>0.5</w:t>
      </w:r>
      <w:r w:rsidR="00C85710" w:rsidRPr="009F667C">
        <w:t>4</w:t>
      </w:r>
      <w:r w:rsidR="006062AA">
        <w:t xml:space="preserve"> per person in 2013-14</w:t>
      </w:r>
      <w:r w:rsidRPr="00AD73BD">
        <w:t xml:space="preserve"> </w:t>
      </w:r>
      <w:r w:rsidR="000B2A40" w:rsidRPr="00FB7966">
        <w:t>(</w:t>
      </w:r>
      <w:r w:rsidR="00897589">
        <w:t>figure 10.</w:t>
      </w:r>
      <w:r w:rsidR="009E2824" w:rsidRPr="00FB7966">
        <w:t>3</w:t>
      </w:r>
      <w:r w:rsidR="00307EC5">
        <w:t>2</w:t>
      </w:r>
      <w:r w:rsidR="00190D16">
        <w:t>).</w:t>
      </w:r>
    </w:p>
    <w:p w:rsidR="000E1F66" w:rsidRDefault="000E1F66" w:rsidP="00D61F90">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0E1F66" w:rsidTr="00D61F90">
        <w:tc>
          <w:tcPr>
            <w:tcW w:w="8771" w:type="dxa"/>
            <w:tcBorders>
              <w:top w:val="single" w:sz="6" w:space="0" w:color="78A22F"/>
              <w:left w:val="nil"/>
              <w:bottom w:val="nil"/>
              <w:right w:val="nil"/>
            </w:tcBorders>
            <w:shd w:val="clear" w:color="auto" w:fill="auto"/>
          </w:tcPr>
          <w:p w:rsidR="000E1F66" w:rsidRPr="00176D3F" w:rsidRDefault="000E1F66" w:rsidP="00560B6C">
            <w:pPr>
              <w:pStyle w:val="FigureTitle"/>
            </w:pPr>
            <w:r w:rsidRPr="00784A05">
              <w:rPr>
                <w:b w:val="0"/>
              </w:rPr>
              <w:t xml:space="preserve">Figure </w:t>
            </w:r>
            <w:r w:rsidR="00DF255F">
              <w:rPr>
                <w:b w:val="0"/>
              </w:rPr>
              <w:t>10.</w:t>
            </w:r>
            <w:r w:rsidR="0078724D">
              <w:rPr>
                <w:b w:val="0"/>
                <w:noProof/>
              </w:rPr>
              <w:t>32</w:t>
            </w:r>
            <w:r>
              <w:tab/>
            </w:r>
            <w:r w:rsidRPr="006B7534">
              <w:t xml:space="preserve">Diagnostic imaging </w:t>
            </w:r>
            <w:r>
              <w:t>services referred</w:t>
            </w:r>
            <w:r w:rsidRPr="000B2A40">
              <w:t xml:space="preserve"> by GPs and rebated through </w:t>
            </w:r>
            <w:r w:rsidRPr="002D7882">
              <w:t>DHS Medicare</w:t>
            </w:r>
            <w:r w:rsidRPr="000B2A40">
              <w:rPr>
                <w:rStyle w:val="NoteLabel"/>
                <w:b/>
              </w:rPr>
              <w:t>a</w:t>
            </w:r>
            <w:r w:rsidR="00560B6C">
              <w:rPr>
                <w:rStyle w:val="NoteLabel"/>
                <w:b/>
              </w:rPr>
              <w:t>, b</w:t>
            </w:r>
          </w:p>
        </w:tc>
      </w:tr>
      <w:tr w:rsidR="000E1F66" w:rsidTr="00D61F90">
        <w:tc>
          <w:tcPr>
            <w:tcW w:w="8771" w:type="dxa"/>
            <w:tcBorders>
              <w:top w:val="nil"/>
              <w:left w:val="nil"/>
              <w:bottom w:val="nil"/>
              <w:right w:val="nil"/>
            </w:tcBorders>
            <w:shd w:val="clear" w:color="auto" w:fill="auto"/>
            <w:tcMar>
              <w:top w:w="28" w:type="dxa"/>
              <w:bottom w:w="28" w:type="dxa"/>
            </w:tcMar>
          </w:tcPr>
          <w:tbl>
            <w:tblPr>
              <w:tblW w:w="8625" w:type="dxa"/>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625"/>
            </w:tblGrid>
            <w:tr w:rsidR="000E1F66" w:rsidTr="00560B6C">
              <w:tc>
                <w:tcPr>
                  <w:tcW w:w="5000" w:type="pct"/>
                  <w:tcBorders>
                    <w:top w:val="nil"/>
                    <w:bottom w:val="nil"/>
                  </w:tcBorders>
                </w:tcPr>
                <w:p w:rsidR="000E1F66" w:rsidRDefault="007B1994" w:rsidP="00D61F90">
                  <w:pPr>
                    <w:pStyle w:val="Figure"/>
                    <w:spacing w:before="60" w:after="60"/>
                  </w:pPr>
                  <w:r>
                    <w:rPr>
                      <w:noProof/>
                    </w:rPr>
                    <w:drawing>
                      <wp:inline distT="0" distB="0" distL="0" distR="0" wp14:anchorId="5D2CD66B" wp14:editId="1C2AAD4D">
                        <wp:extent cx="5391150" cy="2705100"/>
                        <wp:effectExtent l="0" t="0" r="0" b="0"/>
                        <wp:docPr id="41" name="Picture 41" descr="Figure 10.32 Diagnostic imaging services referred by GPs and rebated through DHS Medicare&#10;&#10;More details can be found within the text surrounding this image.&#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5391150" cy="2705100"/>
                                </a:xfrm>
                                <a:prstGeom prst="rect">
                                  <a:avLst/>
                                </a:prstGeom>
                                <a:noFill/>
                                <a:ln>
                                  <a:noFill/>
                                </a:ln>
                              </pic:spPr>
                            </pic:pic>
                          </a:graphicData>
                        </a:graphic>
                      </wp:inline>
                    </w:drawing>
                  </w:r>
                </w:p>
              </w:tc>
            </w:tr>
          </w:tbl>
          <w:p w:rsidR="000E1F66" w:rsidRDefault="000E1F66" w:rsidP="00D61F90">
            <w:pPr>
              <w:pStyle w:val="Figure"/>
            </w:pPr>
          </w:p>
        </w:tc>
      </w:tr>
      <w:tr w:rsidR="00560B6C" w:rsidRPr="00176D3F" w:rsidTr="00D61F90">
        <w:tc>
          <w:tcPr>
            <w:tcW w:w="8771" w:type="dxa"/>
            <w:tcBorders>
              <w:top w:val="nil"/>
              <w:left w:val="nil"/>
              <w:bottom w:val="nil"/>
              <w:right w:val="nil"/>
            </w:tcBorders>
            <w:shd w:val="clear" w:color="auto" w:fill="auto"/>
          </w:tcPr>
          <w:p w:rsidR="00560B6C" w:rsidRPr="00176D3F" w:rsidRDefault="00560B6C" w:rsidP="00560B6C">
            <w:pPr>
              <w:pStyle w:val="Note"/>
            </w:pPr>
            <w:r>
              <w:rPr>
                <w:rStyle w:val="NoteLabel"/>
              </w:rPr>
              <w:t>a</w:t>
            </w:r>
            <w:r>
              <w:sym w:font="Symbol" w:char="F020"/>
            </w:r>
            <w:r>
              <w:t xml:space="preserve">Data are age standardised to the 2001 Australian standard population. </w:t>
            </w:r>
            <w:r>
              <w:rPr>
                <w:rStyle w:val="NoteLabel"/>
              </w:rPr>
              <w:t>b</w:t>
            </w:r>
            <w:r>
              <w:sym w:font="Symbol" w:char="F020"/>
            </w:r>
            <w:r w:rsidRPr="000B2A40">
              <w:t xml:space="preserve">Data include tests </w:t>
            </w:r>
            <w:r>
              <w:t>requested</w:t>
            </w:r>
            <w:r w:rsidRPr="000B2A40">
              <w:t xml:space="preserve"> by vocationally </w:t>
            </w:r>
            <w:r w:rsidRPr="000B2487">
              <w:t>registered</w:t>
            </w:r>
            <w:r w:rsidRPr="000B2A40">
              <w:t xml:space="preserve"> GPs and OMPs</w:t>
            </w:r>
            <w:r>
              <w:t xml:space="preserve"> and, from 2013-14, eligible nurse practitioners.</w:t>
            </w:r>
          </w:p>
        </w:tc>
      </w:tr>
      <w:tr w:rsidR="000E1F66" w:rsidRPr="00176D3F" w:rsidTr="00D61F90">
        <w:tc>
          <w:tcPr>
            <w:tcW w:w="8771" w:type="dxa"/>
            <w:tcBorders>
              <w:top w:val="nil"/>
              <w:left w:val="nil"/>
              <w:bottom w:val="nil"/>
              <w:right w:val="nil"/>
            </w:tcBorders>
            <w:shd w:val="clear" w:color="auto" w:fill="auto"/>
          </w:tcPr>
          <w:p w:rsidR="000E1F66" w:rsidRPr="00176D3F" w:rsidRDefault="000E1F66" w:rsidP="00E5021C">
            <w:pPr>
              <w:pStyle w:val="Source"/>
            </w:pPr>
            <w:r w:rsidRPr="0070304B">
              <w:rPr>
                <w:i/>
              </w:rPr>
              <w:t>Source</w:t>
            </w:r>
            <w:r w:rsidRPr="0070304B">
              <w:t xml:space="preserve">: </w:t>
            </w:r>
            <w:r>
              <w:t>Department of Health</w:t>
            </w:r>
            <w:r w:rsidRPr="0070304B">
              <w:t xml:space="preserve"> (unpublished) </w:t>
            </w:r>
            <w:r w:rsidRPr="00B156DD">
              <w:t>MBS</w:t>
            </w:r>
            <w:r>
              <w:t xml:space="preserve"> and DVA</w:t>
            </w:r>
            <w:r w:rsidRPr="00B156DD">
              <w:t xml:space="preserve"> data </w:t>
            </w:r>
            <w:r w:rsidRPr="006C74C6">
              <w:t>collections; table </w:t>
            </w:r>
            <w:r w:rsidR="00C9076B">
              <w:t>10A.</w:t>
            </w:r>
            <w:r>
              <w:t>6</w:t>
            </w:r>
            <w:r w:rsidR="00E5021C">
              <w:t>7</w:t>
            </w:r>
            <w:r w:rsidRPr="006C74C6">
              <w:t>.</w:t>
            </w:r>
          </w:p>
        </w:tc>
      </w:tr>
      <w:tr w:rsidR="000E1F66" w:rsidTr="00D61F90">
        <w:tc>
          <w:tcPr>
            <w:tcW w:w="8771" w:type="dxa"/>
            <w:tcBorders>
              <w:top w:val="nil"/>
              <w:left w:val="nil"/>
              <w:bottom w:val="single" w:sz="6" w:space="0" w:color="78A22F"/>
              <w:right w:val="nil"/>
            </w:tcBorders>
            <w:shd w:val="clear" w:color="auto" w:fill="auto"/>
          </w:tcPr>
          <w:p w:rsidR="000E1F66" w:rsidRDefault="000E1F66" w:rsidP="00D61F90">
            <w:pPr>
              <w:pStyle w:val="Figurespace"/>
            </w:pPr>
          </w:p>
        </w:tc>
      </w:tr>
      <w:tr w:rsidR="000E1F66" w:rsidRPr="000863A5" w:rsidTr="00D61F90">
        <w:tc>
          <w:tcPr>
            <w:tcW w:w="8771" w:type="dxa"/>
            <w:tcBorders>
              <w:top w:val="single" w:sz="6" w:space="0" w:color="78A22F"/>
              <w:left w:val="nil"/>
              <w:bottom w:val="nil"/>
              <w:right w:val="nil"/>
            </w:tcBorders>
          </w:tcPr>
          <w:p w:rsidR="000E1F66" w:rsidRPr="00626D32" w:rsidRDefault="000E1F66" w:rsidP="00D61F90">
            <w:pPr>
              <w:pStyle w:val="BoxSpaceBelow"/>
            </w:pPr>
          </w:p>
        </w:tc>
      </w:tr>
    </w:tbl>
    <w:p w:rsidR="006B7534" w:rsidRDefault="006B7534" w:rsidP="006B7534">
      <w:pPr>
        <w:pStyle w:val="Heading4"/>
      </w:pPr>
      <w:r>
        <w:t>Quality — safety</w:t>
      </w:r>
    </w:p>
    <w:p w:rsidR="006B7534" w:rsidRPr="00EE7B5B" w:rsidRDefault="0043386F" w:rsidP="006B7534">
      <w:pPr>
        <w:pStyle w:val="Heading5"/>
      </w:pPr>
      <w:bookmarkStart w:id="19" w:name="OLE_LINK12"/>
      <w:r>
        <w:t>E</w:t>
      </w:r>
      <w:r w:rsidR="00EE7B5B" w:rsidRPr="00EE7B5B">
        <w:t xml:space="preserve">lectronic health </w:t>
      </w:r>
      <w:r w:rsidR="00255CC0">
        <w:t xml:space="preserve">information </w:t>
      </w:r>
      <w:r w:rsidR="00EE7B5B" w:rsidRPr="00EE7B5B">
        <w:t>systems</w:t>
      </w:r>
      <w:bookmarkEnd w:id="19"/>
    </w:p>
    <w:p w:rsidR="006E3F26" w:rsidRPr="00200C93" w:rsidRDefault="00B679EB" w:rsidP="00944E91">
      <w:pPr>
        <w:pStyle w:val="BodyText"/>
      </w:pPr>
      <w:r>
        <w:t>‘</w:t>
      </w:r>
      <w:r w:rsidR="0043386F">
        <w:t>E</w:t>
      </w:r>
      <w:r w:rsidR="00EE7B5B" w:rsidRPr="00EE7B5B">
        <w:t xml:space="preserve">lectronic health </w:t>
      </w:r>
      <w:r w:rsidR="00255CC0" w:rsidRPr="00255CC0">
        <w:t xml:space="preserve">information </w:t>
      </w:r>
      <w:r w:rsidR="00EE7B5B" w:rsidRPr="00EE7B5B">
        <w:t>systems</w:t>
      </w:r>
      <w:r>
        <w:t>’</w:t>
      </w:r>
      <w:r w:rsidRPr="00B679EB">
        <w:t xml:space="preserve"> is an indicator of </w:t>
      </w:r>
      <w:r>
        <w:t xml:space="preserve">governments’ objective to improve patient safety through </w:t>
      </w:r>
      <w:r w:rsidR="00C5227E" w:rsidRPr="00C5227E">
        <w:t>enhanced access to patient health information at the point of care and the more efficient coordination of care across m</w:t>
      </w:r>
      <w:r w:rsidR="00C5227E">
        <w:t>ultiple providers and services (</w:t>
      </w:r>
      <w:r w:rsidR="00897589">
        <w:t>box 10.</w:t>
      </w:r>
      <w:r w:rsidR="004F66F0">
        <w:t>15</w:t>
      </w:r>
      <w:r w:rsidR="006E3F26" w:rsidRPr="004F66F0">
        <w:t>)</w:t>
      </w:r>
      <w:r w:rsidR="00C5227E">
        <w:t>.</w:t>
      </w:r>
    </w:p>
    <w:p w:rsidR="00095E5A" w:rsidRDefault="00095E5A">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095E5A" w:rsidTr="00867BB6">
        <w:tc>
          <w:tcPr>
            <w:tcW w:w="8771" w:type="dxa"/>
            <w:tcBorders>
              <w:top w:val="single" w:sz="6" w:space="0" w:color="78A22F"/>
              <w:left w:val="nil"/>
              <w:bottom w:val="nil"/>
              <w:right w:val="nil"/>
            </w:tcBorders>
            <w:shd w:val="clear" w:color="auto" w:fill="F2F2F2" w:themeFill="background1" w:themeFillShade="F2"/>
          </w:tcPr>
          <w:p w:rsidR="00095E5A" w:rsidRDefault="00095E5A">
            <w:pPr>
              <w:pStyle w:val="BoxTitle"/>
            </w:pPr>
            <w:r>
              <w:rPr>
                <w:b w:val="0"/>
              </w:rPr>
              <w:t>Box 10.</w:t>
            </w:r>
            <w:r w:rsidR="0078724D">
              <w:rPr>
                <w:b w:val="0"/>
                <w:noProof/>
              </w:rPr>
              <w:t>15</w:t>
            </w:r>
            <w:r>
              <w:tab/>
              <w:t>E</w:t>
            </w:r>
            <w:r w:rsidRPr="00EE7B5B">
              <w:t xml:space="preserve">lectronic health </w:t>
            </w:r>
            <w:r>
              <w:t xml:space="preserve">information </w:t>
            </w:r>
            <w:r w:rsidRPr="00EE7B5B">
              <w:t>systems</w:t>
            </w:r>
          </w:p>
        </w:tc>
      </w:tr>
      <w:tr w:rsidR="00095E5A" w:rsidTr="00867BB6">
        <w:trPr>
          <w:cantSplit/>
        </w:trPr>
        <w:tc>
          <w:tcPr>
            <w:tcW w:w="8771" w:type="dxa"/>
            <w:tcBorders>
              <w:top w:val="nil"/>
              <w:left w:val="nil"/>
              <w:bottom w:val="nil"/>
              <w:right w:val="nil"/>
            </w:tcBorders>
            <w:shd w:val="clear" w:color="auto" w:fill="F2F2F2" w:themeFill="background1" w:themeFillShade="F2"/>
          </w:tcPr>
          <w:p w:rsidR="00095E5A" w:rsidRPr="0070304B" w:rsidRDefault="00095E5A" w:rsidP="00867BB6">
            <w:pPr>
              <w:pStyle w:val="Box"/>
            </w:pPr>
            <w:r w:rsidRPr="0070304B">
              <w:t>‘</w:t>
            </w:r>
            <w:r>
              <w:t>E</w:t>
            </w:r>
            <w:r w:rsidRPr="00EE7B5B">
              <w:t xml:space="preserve">lectronic health </w:t>
            </w:r>
            <w:r w:rsidRPr="00255CC0">
              <w:t xml:space="preserve">information </w:t>
            </w:r>
            <w:r w:rsidRPr="00EE7B5B">
              <w:t>systems</w:t>
            </w:r>
            <w:r w:rsidRPr="0070304B">
              <w:t xml:space="preserve">’ </w:t>
            </w:r>
            <w:r>
              <w:t xml:space="preserve">is defined as the </w:t>
            </w:r>
            <w:r w:rsidRPr="0070304B">
              <w:t xml:space="preserve">proportion of </w:t>
            </w:r>
            <w:r>
              <w:t xml:space="preserve">general </w:t>
            </w:r>
            <w:r w:rsidRPr="0070304B">
              <w:t xml:space="preserve">practices enrolled in the Practice Incentives Program (PIP) that </w:t>
            </w:r>
            <w:r>
              <w:t xml:space="preserve">are </w:t>
            </w:r>
            <w:r w:rsidRPr="00B27FCD">
              <w:t>registered for the PIP eHealth incentive</w:t>
            </w:r>
            <w:r>
              <w:t>.</w:t>
            </w:r>
          </w:p>
          <w:p w:rsidR="00095E5A" w:rsidRPr="0070304B" w:rsidRDefault="00095E5A" w:rsidP="00867BB6">
            <w:pPr>
              <w:pStyle w:val="Box"/>
            </w:pPr>
            <w:r w:rsidRPr="0070304B">
              <w:t>A</w:t>
            </w:r>
            <w:r>
              <w:t xml:space="preserve"> high or</w:t>
            </w:r>
            <w:r w:rsidRPr="0070304B">
              <w:t xml:space="preserve"> increas</w:t>
            </w:r>
            <w:r>
              <w:t>ing</w:t>
            </w:r>
            <w:r w:rsidRPr="0070304B">
              <w:t xml:space="preserve"> proportion </w:t>
            </w:r>
            <w:r>
              <w:t>can</w:t>
            </w:r>
            <w:r w:rsidRPr="0070304B">
              <w:t xml:space="preserve"> indicate </w:t>
            </w:r>
            <w:r w:rsidRPr="00A642DE">
              <w:t xml:space="preserve">that patient health information at the point of care and coordination of care across multiple providers and services </w:t>
            </w:r>
            <w:r>
              <w:t xml:space="preserve">are desirable or </w:t>
            </w:r>
            <w:r w:rsidRPr="00A642DE">
              <w:t>are improved, minimising the</w:t>
            </w:r>
            <w:r w:rsidRPr="0070304B">
              <w:t xml:space="preserve"> likelihood of patient harm due</w:t>
            </w:r>
            <w:r>
              <w:t xml:space="preserve"> </w:t>
            </w:r>
            <w:r w:rsidRPr="00A642DE">
              <w:t>to information gaps.</w:t>
            </w:r>
          </w:p>
          <w:p w:rsidR="00095E5A" w:rsidRPr="0070304B" w:rsidRDefault="00095E5A" w:rsidP="00867BB6">
            <w:pPr>
              <w:pStyle w:val="Box"/>
            </w:pPr>
            <w:r w:rsidRPr="0070304B">
              <w:t xml:space="preserve">The PIP does not include all practices in Australia. PIP practices </w:t>
            </w:r>
            <w:r w:rsidRPr="00E04293">
              <w:t xml:space="preserve">provided around </w:t>
            </w:r>
            <w:r w:rsidRPr="0087694D">
              <w:t xml:space="preserve">83.0 per cent of general practice patient care in Australia (measured as standardised whole patient equivalents) in 2010-11 </w:t>
            </w:r>
            <w:r w:rsidRPr="0070304B">
              <w:t>(</w:t>
            </w:r>
            <w:r>
              <w:t>Department of Health</w:t>
            </w:r>
            <w:r w:rsidRPr="0070304B">
              <w:t xml:space="preserve"> unpublished</w:t>
            </w:r>
            <w:r w:rsidRPr="006C74C6">
              <w:t>; table </w:t>
            </w:r>
            <w:r w:rsidR="00C9076B">
              <w:t>10A.</w:t>
            </w:r>
            <w:r>
              <w:t>5</w:t>
            </w:r>
            <w:r w:rsidR="00C45C95">
              <w:t>2</w:t>
            </w:r>
            <w:r w:rsidRPr="006C74C6">
              <w:t>).</w:t>
            </w:r>
          </w:p>
          <w:p w:rsidR="00095E5A" w:rsidRDefault="00095E5A" w:rsidP="00867BB6">
            <w:pPr>
              <w:pStyle w:val="Box"/>
            </w:pPr>
            <w:r>
              <w:t>Data reported against this indicator are:</w:t>
            </w:r>
          </w:p>
          <w:p w:rsidR="00095E5A" w:rsidRDefault="00095E5A" w:rsidP="00867BB6">
            <w:pPr>
              <w:pStyle w:val="BoxListBullet"/>
            </w:pPr>
            <w:r>
              <w:t>comparable (subject to caveats) across jurisdictions and over time</w:t>
            </w:r>
          </w:p>
          <w:p w:rsidR="00095E5A" w:rsidRDefault="00095E5A" w:rsidP="00867BB6">
            <w:pPr>
              <w:pStyle w:val="BoxListBullet"/>
            </w:pPr>
            <w:r>
              <w:t>complete (subject to caveats) for the current rep</w:t>
            </w:r>
            <w:r w:rsidR="003A3F1D">
              <w:t>orting period. All required 2014</w:t>
            </w:r>
            <w:r>
              <w:t xml:space="preserve"> data are available for all jurisdictions.</w:t>
            </w:r>
          </w:p>
          <w:p w:rsidR="00095E5A" w:rsidRPr="0070304B" w:rsidRDefault="00095E5A" w:rsidP="00867BB6">
            <w:pPr>
              <w:pStyle w:val="Box"/>
            </w:pPr>
            <w:r w:rsidRPr="0027351B">
              <w:t>Data quality information for this indicator is under deve</w:t>
            </w:r>
            <w:r>
              <w:t>lopment.</w:t>
            </w:r>
          </w:p>
        </w:tc>
      </w:tr>
      <w:tr w:rsidR="00095E5A" w:rsidTr="00867BB6">
        <w:trPr>
          <w:cantSplit/>
        </w:trPr>
        <w:tc>
          <w:tcPr>
            <w:tcW w:w="8771" w:type="dxa"/>
            <w:tcBorders>
              <w:top w:val="nil"/>
              <w:left w:val="nil"/>
              <w:bottom w:val="single" w:sz="6" w:space="0" w:color="78A22F"/>
              <w:right w:val="nil"/>
            </w:tcBorders>
            <w:shd w:val="clear" w:color="auto" w:fill="F2F2F2" w:themeFill="background1" w:themeFillShade="F2"/>
          </w:tcPr>
          <w:p w:rsidR="00095E5A" w:rsidRDefault="00095E5A">
            <w:pPr>
              <w:pStyle w:val="Box"/>
              <w:spacing w:before="0" w:line="120" w:lineRule="exact"/>
            </w:pPr>
          </w:p>
        </w:tc>
      </w:tr>
      <w:tr w:rsidR="00095E5A" w:rsidRPr="000863A5" w:rsidTr="00867BB6">
        <w:tc>
          <w:tcPr>
            <w:tcW w:w="8771" w:type="dxa"/>
            <w:tcBorders>
              <w:top w:val="single" w:sz="6" w:space="0" w:color="78A22F"/>
              <w:left w:val="nil"/>
              <w:bottom w:val="nil"/>
              <w:right w:val="nil"/>
            </w:tcBorders>
          </w:tcPr>
          <w:p w:rsidR="00095E5A" w:rsidRPr="00626D32" w:rsidRDefault="00095E5A" w:rsidP="00867BB6">
            <w:pPr>
              <w:pStyle w:val="BoxSpaceBelow"/>
            </w:pPr>
          </w:p>
        </w:tc>
      </w:tr>
    </w:tbl>
    <w:p w:rsidR="006E3F26" w:rsidRPr="00200C93" w:rsidRDefault="006E3F26" w:rsidP="00944E91">
      <w:pPr>
        <w:pStyle w:val="BodyText"/>
      </w:pPr>
      <w:r>
        <w:t xml:space="preserve">The use of electronic health information systems can, for example, </w:t>
      </w:r>
      <w:r w:rsidRPr="00B679EB">
        <w:t xml:space="preserve">facilitate best practice chronic disease management </w:t>
      </w:r>
      <w:r w:rsidR="00E04313">
        <w:t>as well as</w:t>
      </w:r>
      <w:r w:rsidRPr="00B679EB">
        <w:t xml:space="preserve"> </w:t>
      </w:r>
      <w:r>
        <w:t xml:space="preserve">minimise </w:t>
      </w:r>
      <w:r w:rsidRPr="00B679EB">
        <w:t xml:space="preserve">errors </w:t>
      </w:r>
      <w:r>
        <w:t xml:space="preserve">of </w:t>
      </w:r>
      <w:r w:rsidRPr="00B679EB">
        <w:t>prescribing and dispensing</w:t>
      </w:r>
      <w:r>
        <w:t xml:space="preserve"> that can cause adverse drug reactions</w:t>
      </w:r>
      <w:r w:rsidR="00576D3A">
        <w:t xml:space="preserve"> (</w:t>
      </w:r>
      <w:r w:rsidR="00576D3A" w:rsidRPr="00576D3A">
        <w:t>Hofmarch</w:t>
      </w:r>
      <w:r w:rsidR="00576D3A">
        <w:t>er, Oxley</w:t>
      </w:r>
      <w:r w:rsidR="005D33F3">
        <w:t xml:space="preserve"> and</w:t>
      </w:r>
      <w:r w:rsidR="00576D3A" w:rsidRPr="00576D3A">
        <w:t xml:space="preserve"> Rusticelli</w:t>
      </w:r>
      <w:r w:rsidR="00576D3A">
        <w:t> </w:t>
      </w:r>
      <w:r w:rsidR="00576D3A" w:rsidRPr="004F66F0">
        <w:t>2007</w:t>
      </w:r>
      <w:r w:rsidR="00576D3A">
        <w:t>)</w:t>
      </w:r>
      <w:r>
        <w:t>.</w:t>
      </w:r>
    </w:p>
    <w:p w:rsidR="00657414" w:rsidRDefault="00EE7B5B" w:rsidP="00A73D31">
      <w:pPr>
        <w:pStyle w:val="BodyText"/>
      </w:pPr>
      <w:r>
        <w:t xml:space="preserve">The PIP eHealth Incentive aims to </w:t>
      </w:r>
      <w:r w:rsidRPr="00EE7B5B">
        <w:t>encourage general practices to keep up</w:t>
      </w:r>
      <w:r>
        <w:t xml:space="preserve"> </w:t>
      </w:r>
      <w:r w:rsidRPr="00EE7B5B">
        <w:t>to</w:t>
      </w:r>
      <w:r>
        <w:t xml:space="preserve"> </w:t>
      </w:r>
      <w:r w:rsidRPr="00EE7B5B">
        <w:t xml:space="preserve">date with the latest developments in </w:t>
      </w:r>
      <w:r w:rsidR="00ED1A4B">
        <w:t>electronic health information systems</w:t>
      </w:r>
      <w:r>
        <w:t xml:space="preserve">. </w:t>
      </w:r>
      <w:bookmarkStart w:id="20" w:name="OLE_LINK49"/>
      <w:r w:rsidR="009A52B9">
        <w:t>Accordingly, n</w:t>
      </w:r>
      <w:r w:rsidR="00657414">
        <w:t xml:space="preserve">ew eligibility requirements </w:t>
      </w:r>
      <w:r w:rsidR="00314EB0">
        <w:t>were introduced from 1 </w:t>
      </w:r>
      <w:r w:rsidR="00657414">
        <w:t>February 2013, requiring practices to:</w:t>
      </w:r>
    </w:p>
    <w:p w:rsidR="00657414" w:rsidRDefault="00657414" w:rsidP="00A73D31">
      <w:pPr>
        <w:pStyle w:val="ListBullet"/>
      </w:pPr>
      <w:r>
        <w:t>integrate healthcare identifiers in</w:t>
      </w:r>
      <w:r w:rsidR="00314EB0">
        <w:t>to electronic practice records</w:t>
      </w:r>
    </w:p>
    <w:p w:rsidR="00657414" w:rsidRDefault="00657414" w:rsidP="00A73D31">
      <w:pPr>
        <w:pStyle w:val="ListBullet"/>
      </w:pPr>
      <w:r>
        <w:t>have</w:t>
      </w:r>
      <w:r w:rsidR="00314EB0">
        <w:t xml:space="preserve"> a secure messaging capability</w:t>
      </w:r>
    </w:p>
    <w:p w:rsidR="00657414" w:rsidRDefault="00657414" w:rsidP="00A73D31">
      <w:pPr>
        <w:pStyle w:val="ListBullet"/>
      </w:pPr>
      <w:r>
        <w:t>use data records a</w:t>
      </w:r>
      <w:r w:rsidR="00314EB0">
        <w:t>nd clinical coding of diagnose</w:t>
      </w:r>
      <w:r w:rsidR="000847B9">
        <w:t>s</w:t>
      </w:r>
    </w:p>
    <w:p w:rsidR="00657414" w:rsidRDefault="00657414" w:rsidP="00A73D31">
      <w:pPr>
        <w:pStyle w:val="ListBullet"/>
      </w:pPr>
      <w:r>
        <w:t>send prescriptions electronically to a pr</w:t>
      </w:r>
      <w:r w:rsidR="00314EB0">
        <w:t>escription exchange service</w:t>
      </w:r>
    </w:p>
    <w:p w:rsidR="00657414" w:rsidRDefault="00657414" w:rsidP="00A73D31">
      <w:pPr>
        <w:pStyle w:val="ListBullet"/>
      </w:pPr>
      <w:r w:rsidRPr="00657414">
        <w:t>participate in the eHealth record system and be capable of creating and uploading Shared Health Summaries and Event Summaries using compliant software</w:t>
      </w:r>
      <w:r>
        <w:t>.</w:t>
      </w:r>
    </w:p>
    <w:bookmarkEnd w:id="20"/>
    <w:p w:rsidR="00A225F6" w:rsidRDefault="00073BB2" w:rsidP="00CC62D8">
      <w:pPr>
        <w:pStyle w:val="BodyText"/>
      </w:pPr>
      <w:r w:rsidRPr="00A73D31">
        <w:t xml:space="preserve">Nationally, the proportion of PIP practices using electronic health systems </w:t>
      </w:r>
      <w:r>
        <w:t>was 86.3 per cent in May 2014, recovering most of the sharp decrease</w:t>
      </w:r>
      <w:r w:rsidR="0033116B">
        <w:t>,</w:t>
      </w:r>
      <w:r>
        <w:t xml:space="preserve"> from 88.3</w:t>
      </w:r>
      <w:r w:rsidRPr="00073BB2">
        <w:t xml:space="preserve"> </w:t>
      </w:r>
      <w:r w:rsidRPr="00A73D31">
        <w:t>per cent</w:t>
      </w:r>
      <w:r w:rsidR="00B704F8">
        <w:t xml:space="preserve"> in May 2012 to</w:t>
      </w:r>
      <w:r>
        <w:t xml:space="preserve"> </w:t>
      </w:r>
      <w:r w:rsidRPr="00A73D31">
        <w:t>72.2 per cent</w:t>
      </w:r>
      <w:r w:rsidR="00B704F8">
        <w:t xml:space="preserve"> in May 2013</w:t>
      </w:r>
      <w:r w:rsidR="00523419">
        <w:t>,</w:t>
      </w:r>
      <w:r w:rsidR="00B704F8">
        <w:t xml:space="preserve"> that was </w:t>
      </w:r>
      <w:r w:rsidR="00B704F8" w:rsidRPr="00431476">
        <w:t xml:space="preserve">associated with </w:t>
      </w:r>
      <w:r w:rsidR="00B5212B" w:rsidRPr="00431476">
        <w:t xml:space="preserve">time </w:t>
      </w:r>
      <w:r w:rsidR="000D0910" w:rsidRPr="00431476">
        <w:t>taken</w:t>
      </w:r>
      <w:r w:rsidR="00B5212B" w:rsidRPr="00431476">
        <w:t xml:space="preserve"> to implement</w:t>
      </w:r>
      <w:r w:rsidR="00B704F8" w:rsidRPr="00431476">
        <w:t xml:space="preserve"> the new eligibility requirements</w:t>
      </w:r>
      <w:r w:rsidR="00B5212B" w:rsidRPr="00431476">
        <w:t xml:space="preserve"> for many practices</w:t>
      </w:r>
      <w:r w:rsidR="00B704F8">
        <w:t xml:space="preserve"> </w:t>
      </w:r>
      <w:r w:rsidR="006B7534" w:rsidRPr="00A73D31">
        <w:t>(</w:t>
      </w:r>
      <w:r w:rsidR="00897589">
        <w:t>figure 10.</w:t>
      </w:r>
      <w:r w:rsidR="00E572C7" w:rsidRPr="00413DA2">
        <w:t>3</w:t>
      </w:r>
      <w:r w:rsidR="00307EC5">
        <w:t>3</w:t>
      </w:r>
      <w:r w:rsidR="00523419">
        <w:t>).</w:t>
      </w:r>
    </w:p>
    <w:p w:rsidR="00BA21DE" w:rsidRPr="00CC62D8" w:rsidRDefault="00BA21DE" w:rsidP="00CC62D8">
      <w:pPr>
        <w:pStyle w:val="BodyText"/>
      </w:pPr>
      <w:r w:rsidRPr="00200C93">
        <w:t xml:space="preserve">The </w:t>
      </w:r>
      <w:r>
        <w:t xml:space="preserve">proportion of PIP practices </w:t>
      </w:r>
      <w:r w:rsidRPr="00200C93">
        <w:t xml:space="preserve">using electronic health systems </w:t>
      </w:r>
      <w:r>
        <w:t xml:space="preserve">increased in all areas between May 2013 and May 2014, remaining lower </w:t>
      </w:r>
      <w:r w:rsidRPr="00200C93">
        <w:t xml:space="preserve">in remote </w:t>
      </w:r>
      <w:r>
        <w:t xml:space="preserve">and very remote </w:t>
      </w:r>
      <w:r w:rsidRPr="00200C93">
        <w:t>areas</w:t>
      </w:r>
      <w:r>
        <w:t xml:space="preserve"> than in other areas </w:t>
      </w:r>
      <w:r w:rsidRPr="005129B2">
        <w:t>(</w:t>
      </w:r>
      <w:r>
        <w:t>figure 10.34</w:t>
      </w:r>
      <w:r w:rsidRPr="005129B2">
        <w:t>).</w:t>
      </w:r>
    </w:p>
    <w:p w:rsidR="00B94CCF" w:rsidRDefault="00B94CCF" w:rsidP="00D61F90">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B94CCF" w:rsidTr="00D61F90">
        <w:tc>
          <w:tcPr>
            <w:tcW w:w="8771" w:type="dxa"/>
            <w:tcBorders>
              <w:top w:val="single" w:sz="6" w:space="0" w:color="78A22F"/>
              <w:left w:val="nil"/>
              <w:bottom w:val="nil"/>
              <w:right w:val="nil"/>
            </w:tcBorders>
            <w:shd w:val="clear" w:color="auto" w:fill="auto"/>
          </w:tcPr>
          <w:p w:rsidR="00B94CCF" w:rsidRPr="00C60184" w:rsidRDefault="00B94CCF" w:rsidP="00B94CCF">
            <w:pPr>
              <w:pStyle w:val="FigureTitle"/>
              <w:rPr>
                <w:rStyle w:val="NoteLabel"/>
              </w:rPr>
            </w:pPr>
            <w:r w:rsidRPr="00784A05">
              <w:rPr>
                <w:b w:val="0"/>
              </w:rPr>
              <w:t xml:space="preserve">Figure </w:t>
            </w:r>
            <w:r w:rsidR="00DF255F">
              <w:rPr>
                <w:b w:val="0"/>
              </w:rPr>
              <w:t>10.</w:t>
            </w:r>
            <w:r w:rsidR="0078724D">
              <w:rPr>
                <w:b w:val="0"/>
                <w:noProof/>
              </w:rPr>
              <w:t>33</w:t>
            </w:r>
            <w:r>
              <w:tab/>
            </w:r>
            <w:r w:rsidRPr="00437A62">
              <w:t xml:space="preserve">PIP practices </w:t>
            </w:r>
            <w:r>
              <w:t>using electronic health systems</w:t>
            </w:r>
            <w:r w:rsidR="00C60184">
              <w:rPr>
                <w:rStyle w:val="NoteLabel"/>
              </w:rPr>
              <w:t>a</w:t>
            </w:r>
          </w:p>
        </w:tc>
      </w:tr>
      <w:tr w:rsidR="00B94CCF" w:rsidTr="00D61F90">
        <w:tc>
          <w:tcPr>
            <w:tcW w:w="8771" w:type="dxa"/>
            <w:tcBorders>
              <w:top w:val="nil"/>
              <w:left w:val="nil"/>
              <w:bottom w:val="nil"/>
              <w:right w:val="nil"/>
            </w:tcBorders>
            <w:shd w:val="clear" w:color="auto" w:fill="auto"/>
            <w:tcMar>
              <w:top w:w="28" w:type="dxa"/>
              <w:bottom w:w="28" w:type="dxa"/>
            </w:tcMar>
          </w:tcPr>
          <w:tbl>
            <w:tblPr>
              <w:tblW w:w="5000" w:type="pct"/>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487"/>
            </w:tblGrid>
            <w:tr w:rsidR="00B94CCF" w:rsidTr="00894323">
              <w:trPr>
                <w:trHeight w:val="160"/>
              </w:trPr>
              <w:tc>
                <w:tcPr>
                  <w:tcW w:w="5000" w:type="pct"/>
                  <w:tcBorders>
                    <w:top w:val="nil"/>
                    <w:bottom w:val="nil"/>
                  </w:tcBorders>
                </w:tcPr>
                <w:p w:rsidR="00B94CCF" w:rsidRDefault="00B94CCF" w:rsidP="003C1AF7">
                  <w:pPr>
                    <w:pStyle w:val="Figure"/>
                    <w:spacing w:before="0" w:after="0" w:line="240" w:lineRule="auto"/>
                    <w:rPr>
                      <w:sz w:val="2"/>
                      <w:szCs w:val="2"/>
                    </w:rPr>
                  </w:pPr>
                </w:p>
                <w:p w:rsidR="00894323" w:rsidRPr="003C1AF7" w:rsidRDefault="007B1994" w:rsidP="003C1AF7">
                  <w:pPr>
                    <w:pStyle w:val="Figure"/>
                    <w:spacing w:before="0" w:after="0" w:line="240" w:lineRule="auto"/>
                    <w:rPr>
                      <w:sz w:val="2"/>
                      <w:szCs w:val="2"/>
                    </w:rPr>
                  </w:pPr>
                  <w:r>
                    <w:rPr>
                      <w:noProof/>
                      <w:sz w:val="2"/>
                      <w:szCs w:val="2"/>
                    </w:rPr>
                    <w:drawing>
                      <wp:inline distT="0" distB="0" distL="0" distR="0">
                        <wp:extent cx="5391150" cy="2724150"/>
                        <wp:effectExtent l="0" t="0" r="0" b="0"/>
                        <wp:docPr id="42" name="Picture 42" descr="Figure 10.33 PIP practices using electronic health systems&#10;&#10;More details can be found within the text surrounding this image.&#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
                                <pic:cNvPicPr>
                                  <a:picLocks noChangeAspect="1" noChangeArrowheads="1"/>
                                </pic:cNvPicPr>
                              </pic:nvPicPr>
                              <pic:blipFill rotWithShape="1">
                                <a:blip r:embed="rId47">
                                  <a:extLst>
                                    <a:ext uri="{28A0092B-C50C-407E-A947-70E740481C1C}">
                                      <a14:useLocalDpi xmlns:a14="http://schemas.microsoft.com/office/drawing/2010/main" val="0"/>
                                    </a:ext>
                                  </a:extLst>
                                </a:blip>
                                <a:srcRect t="1987" b="3311"/>
                                <a:stretch/>
                              </pic:blipFill>
                              <pic:spPr bwMode="auto">
                                <a:xfrm>
                                  <a:off x="0" y="0"/>
                                  <a:ext cx="5391150" cy="2724150"/>
                                </a:xfrm>
                                <a:prstGeom prst="rect">
                                  <a:avLst/>
                                </a:prstGeom>
                                <a:noFill/>
                                <a:ln>
                                  <a:noFill/>
                                </a:ln>
                                <a:extLst>
                                  <a:ext uri="{53640926-AAD7-44D8-BBD7-CCE9431645EC}">
                                    <a14:shadowObscured xmlns:a14="http://schemas.microsoft.com/office/drawing/2010/main"/>
                                  </a:ext>
                                </a:extLst>
                              </pic:spPr>
                            </pic:pic>
                          </a:graphicData>
                        </a:graphic>
                      </wp:inline>
                    </w:drawing>
                  </w:r>
                </w:p>
              </w:tc>
            </w:tr>
          </w:tbl>
          <w:p w:rsidR="00B94CCF" w:rsidRDefault="00B94CCF" w:rsidP="00D61F90">
            <w:pPr>
              <w:pStyle w:val="Figure"/>
            </w:pPr>
          </w:p>
        </w:tc>
      </w:tr>
      <w:tr w:rsidR="00C60184" w:rsidRPr="00176D3F" w:rsidTr="00D61F90">
        <w:tc>
          <w:tcPr>
            <w:tcW w:w="8771" w:type="dxa"/>
            <w:tcBorders>
              <w:top w:val="nil"/>
              <w:left w:val="nil"/>
              <w:bottom w:val="nil"/>
              <w:right w:val="nil"/>
            </w:tcBorders>
            <w:shd w:val="clear" w:color="auto" w:fill="auto"/>
          </w:tcPr>
          <w:p w:rsidR="00C60184" w:rsidRPr="00176D3F" w:rsidRDefault="00C60184" w:rsidP="00AE2987">
            <w:pPr>
              <w:pStyle w:val="Note"/>
              <w:keepNext/>
            </w:pPr>
            <w:r w:rsidRPr="00986F3E">
              <w:rPr>
                <w:rStyle w:val="NoteLabel"/>
              </w:rPr>
              <w:t>a</w:t>
            </w:r>
            <w:r w:rsidRPr="00986F3E">
              <w:sym w:font="Symbol" w:char="F020"/>
            </w:r>
            <w:r>
              <w:t>Not all practices are enrolled in the PIP</w:t>
            </w:r>
            <w:r w:rsidRPr="00D315C4">
              <w:t>, and the</w:t>
            </w:r>
            <w:r>
              <w:t xml:space="preserve"> enrolled</w:t>
            </w:r>
            <w:r w:rsidRPr="00D315C4">
              <w:t xml:space="preserve"> proportion may vary across jurisdictions</w:t>
            </w:r>
            <w:r>
              <w:t xml:space="preserve">. </w:t>
            </w:r>
            <w:r w:rsidRPr="00CC4FB1">
              <w:t>Around 8</w:t>
            </w:r>
            <w:r w:rsidR="00021B4D" w:rsidRPr="00CC4FB1">
              <w:t>5</w:t>
            </w:r>
            <w:r w:rsidRPr="00CC4FB1">
              <w:t xml:space="preserve"> per cent of patient care is provided by practices enrolled in the PIP</w:t>
            </w:r>
            <w:r w:rsidR="00021B4D" w:rsidRPr="00CC4FB1">
              <w:t xml:space="preserve"> (table 10A.5</w:t>
            </w:r>
            <w:r w:rsidR="00AE2987">
              <w:t>2</w:t>
            </w:r>
            <w:r w:rsidR="00021B4D" w:rsidRPr="00CC4FB1">
              <w:t>)</w:t>
            </w:r>
            <w:r w:rsidRPr="00CC4FB1">
              <w:t>.</w:t>
            </w:r>
          </w:p>
        </w:tc>
      </w:tr>
      <w:tr w:rsidR="00B94CCF" w:rsidRPr="00176D3F" w:rsidTr="00D61F90">
        <w:tc>
          <w:tcPr>
            <w:tcW w:w="8771" w:type="dxa"/>
            <w:tcBorders>
              <w:top w:val="nil"/>
              <w:left w:val="nil"/>
              <w:bottom w:val="nil"/>
              <w:right w:val="nil"/>
            </w:tcBorders>
            <w:shd w:val="clear" w:color="auto" w:fill="auto"/>
          </w:tcPr>
          <w:p w:rsidR="00B94CCF" w:rsidRPr="00176D3F" w:rsidRDefault="00B94CCF" w:rsidP="00E5021C">
            <w:pPr>
              <w:pStyle w:val="Source"/>
            </w:pPr>
            <w:r>
              <w:rPr>
                <w:i/>
              </w:rPr>
              <w:t>Source</w:t>
            </w:r>
            <w:r w:rsidRPr="00437A62">
              <w:t>:</w:t>
            </w:r>
            <w:r>
              <w:t xml:space="preserve"> Department of Health</w:t>
            </w:r>
            <w:r w:rsidRPr="00437A62">
              <w:t xml:space="preserve"> (unpublished)</w:t>
            </w:r>
            <w:r>
              <w:t xml:space="preserve"> </w:t>
            </w:r>
            <w:r w:rsidRPr="00B156DD">
              <w:t xml:space="preserve">MBS and PIP data </w:t>
            </w:r>
            <w:r w:rsidRPr="006C74C6">
              <w:t xml:space="preserve">collections; table </w:t>
            </w:r>
            <w:r w:rsidR="00C9076B">
              <w:t>10A.</w:t>
            </w:r>
            <w:r>
              <w:t>6</w:t>
            </w:r>
            <w:r w:rsidR="00E5021C">
              <w:t>9</w:t>
            </w:r>
            <w:r>
              <w:t>.</w:t>
            </w:r>
          </w:p>
        </w:tc>
      </w:tr>
      <w:tr w:rsidR="00B94CCF" w:rsidTr="00D61F90">
        <w:tc>
          <w:tcPr>
            <w:tcW w:w="8771" w:type="dxa"/>
            <w:tcBorders>
              <w:top w:val="nil"/>
              <w:left w:val="nil"/>
              <w:bottom w:val="single" w:sz="6" w:space="0" w:color="78A22F"/>
              <w:right w:val="nil"/>
            </w:tcBorders>
            <w:shd w:val="clear" w:color="auto" w:fill="auto"/>
          </w:tcPr>
          <w:p w:rsidR="00B94CCF" w:rsidRDefault="00B94CCF" w:rsidP="00D61F90">
            <w:pPr>
              <w:pStyle w:val="Figurespace"/>
            </w:pPr>
          </w:p>
        </w:tc>
      </w:tr>
      <w:tr w:rsidR="00B94CCF" w:rsidRPr="000863A5" w:rsidTr="00D61F90">
        <w:tc>
          <w:tcPr>
            <w:tcW w:w="8771" w:type="dxa"/>
            <w:tcBorders>
              <w:top w:val="single" w:sz="6" w:space="0" w:color="78A22F"/>
              <w:left w:val="nil"/>
              <w:bottom w:val="nil"/>
              <w:right w:val="nil"/>
            </w:tcBorders>
          </w:tcPr>
          <w:p w:rsidR="00B94CCF" w:rsidRPr="00626D32" w:rsidRDefault="00B94CCF" w:rsidP="00D61F90">
            <w:pPr>
              <w:pStyle w:val="BoxSpaceBelow"/>
            </w:pPr>
          </w:p>
        </w:tc>
      </w:tr>
    </w:tbl>
    <w:p w:rsidR="00B94CCF" w:rsidRDefault="00B94CCF" w:rsidP="00F07FF9">
      <w:pPr>
        <w:pStyle w:val="BoxSpaceAbove"/>
        <w:keepLines/>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B94CCF" w:rsidTr="00D61F90">
        <w:tc>
          <w:tcPr>
            <w:tcW w:w="8771" w:type="dxa"/>
            <w:tcBorders>
              <w:top w:val="single" w:sz="6" w:space="0" w:color="78A22F"/>
              <w:left w:val="nil"/>
              <w:bottom w:val="nil"/>
              <w:right w:val="nil"/>
            </w:tcBorders>
            <w:shd w:val="clear" w:color="auto" w:fill="auto"/>
          </w:tcPr>
          <w:p w:rsidR="00B94CCF" w:rsidRPr="00176D3F" w:rsidRDefault="00B94CCF" w:rsidP="00F07FF9">
            <w:pPr>
              <w:pStyle w:val="FigureTitle"/>
            </w:pPr>
            <w:r w:rsidRPr="00784A05">
              <w:rPr>
                <w:b w:val="0"/>
              </w:rPr>
              <w:t xml:space="preserve">Figure </w:t>
            </w:r>
            <w:r w:rsidR="00DF255F">
              <w:rPr>
                <w:b w:val="0"/>
              </w:rPr>
              <w:t>10.</w:t>
            </w:r>
            <w:r w:rsidR="0078724D">
              <w:rPr>
                <w:b w:val="0"/>
                <w:noProof/>
              </w:rPr>
              <w:t>34</w:t>
            </w:r>
            <w:r>
              <w:tab/>
            </w:r>
            <w:r w:rsidRPr="00437A62">
              <w:t xml:space="preserve">PIP practices using </w:t>
            </w:r>
            <w:r>
              <w:t>electronic health systems</w:t>
            </w:r>
            <w:r w:rsidRPr="00437A62">
              <w:t xml:space="preserve"> by </w:t>
            </w:r>
            <w:r w:rsidR="00C60184">
              <w:t>area</w:t>
            </w:r>
            <w:r w:rsidR="00C60184" w:rsidRPr="00C60184">
              <w:rPr>
                <w:rStyle w:val="NoteLabel"/>
                <w:b/>
              </w:rPr>
              <w:t>a</w:t>
            </w:r>
            <w:r w:rsidR="00C60184">
              <w:rPr>
                <w:rStyle w:val="NoteLabel"/>
                <w:b/>
              </w:rPr>
              <w:t>, b</w:t>
            </w:r>
          </w:p>
        </w:tc>
      </w:tr>
      <w:tr w:rsidR="00B94CCF" w:rsidTr="00CC4FB1">
        <w:tc>
          <w:tcPr>
            <w:tcW w:w="8771" w:type="dxa"/>
            <w:tcBorders>
              <w:top w:val="nil"/>
              <w:left w:val="nil"/>
              <w:bottom w:val="nil"/>
              <w:right w:val="nil"/>
            </w:tcBorders>
            <w:shd w:val="clear" w:color="auto" w:fill="auto"/>
            <w:tcMar>
              <w:top w:w="28" w:type="dxa"/>
              <w:bottom w:w="28" w:type="dxa"/>
            </w:tcMar>
          </w:tcPr>
          <w:tbl>
            <w:tblPr>
              <w:tblW w:w="5000" w:type="pct"/>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487"/>
            </w:tblGrid>
            <w:tr w:rsidR="00B94CCF" w:rsidTr="00D61F90">
              <w:tc>
                <w:tcPr>
                  <w:tcW w:w="5000" w:type="pct"/>
                  <w:tcBorders>
                    <w:top w:val="nil"/>
                    <w:bottom w:val="nil"/>
                  </w:tcBorders>
                </w:tcPr>
                <w:p w:rsidR="00B94CCF" w:rsidRPr="0079337C" w:rsidRDefault="007B1994" w:rsidP="00F07FF9">
                  <w:pPr>
                    <w:pStyle w:val="Figure"/>
                    <w:keepLines/>
                    <w:spacing w:before="0" w:after="0" w:line="240" w:lineRule="auto"/>
                    <w:rPr>
                      <w:sz w:val="2"/>
                      <w:szCs w:val="2"/>
                    </w:rPr>
                  </w:pPr>
                  <w:r>
                    <w:rPr>
                      <w:noProof/>
                      <w:sz w:val="2"/>
                      <w:szCs w:val="2"/>
                    </w:rPr>
                    <w:drawing>
                      <wp:inline distT="0" distB="0" distL="0" distR="0" wp14:anchorId="5D2DD52C" wp14:editId="4257DB5E">
                        <wp:extent cx="5391150" cy="2724150"/>
                        <wp:effectExtent l="0" t="0" r="0" b="0"/>
                        <wp:docPr id="43" name="Picture 43" descr="Figure 10.34 PIP practices using electronic health systems by area&#10;&#10;More details can be found within the text surrounding this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
                                <pic:cNvPicPr>
                                  <a:picLocks noChangeAspect="1" noChangeArrowheads="1"/>
                                </pic:cNvPicPr>
                              </pic:nvPicPr>
                              <pic:blipFill rotWithShape="1">
                                <a:blip r:embed="rId48">
                                  <a:extLst>
                                    <a:ext uri="{28A0092B-C50C-407E-A947-70E740481C1C}">
                                      <a14:useLocalDpi xmlns:a14="http://schemas.microsoft.com/office/drawing/2010/main" val="0"/>
                                    </a:ext>
                                  </a:extLst>
                                </a:blip>
                                <a:srcRect t="1994" b="2990"/>
                                <a:stretch/>
                              </pic:blipFill>
                              <pic:spPr bwMode="auto">
                                <a:xfrm>
                                  <a:off x="0" y="0"/>
                                  <a:ext cx="5391150" cy="2724150"/>
                                </a:xfrm>
                                <a:prstGeom prst="rect">
                                  <a:avLst/>
                                </a:prstGeom>
                                <a:noFill/>
                                <a:ln>
                                  <a:noFill/>
                                </a:ln>
                                <a:extLst>
                                  <a:ext uri="{53640926-AAD7-44D8-BBD7-CCE9431645EC}">
                                    <a14:shadowObscured xmlns:a14="http://schemas.microsoft.com/office/drawing/2010/main"/>
                                  </a:ext>
                                </a:extLst>
                              </pic:spPr>
                            </pic:pic>
                          </a:graphicData>
                        </a:graphic>
                      </wp:inline>
                    </w:drawing>
                  </w:r>
                </w:p>
              </w:tc>
            </w:tr>
          </w:tbl>
          <w:p w:rsidR="00B94CCF" w:rsidRDefault="00B94CCF" w:rsidP="00F07FF9">
            <w:pPr>
              <w:pStyle w:val="Figure"/>
              <w:keepLines/>
            </w:pPr>
          </w:p>
        </w:tc>
      </w:tr>
      <w:tr w:rsidR="00B94CCF" w:rsidRPr="00176D3F" w:rsidTr="00CC4FB1">
        <w:tc>
          <w:tcPr>
            <w:tcW w:w="8771" w:type="dxa"/>
            <w:tcBorders>
              <w:top w:val="nil"/>
              <w:left w:val="nil"/>
              <w:bottom w:val="nil"/>
              <w:right w:val="nil"/>
            </w:tcBorders>
            <w:shd w:val="clear" w:color="auto" w:fill="auto"/>
          </w:tcPr>
          <w:p w:rsidR="00B94CCF" w:rsidRPr="00176D3F" w:rsidRDefault="00B94CCF" w:rsidP="00021B4D">
            <w:pPr>
              <w:pStyle w:val="Note"/>
              <w:keepNext/>
            </w:pPr>
            <w:r>
              <w:rPr>
                <w:rStyle w:val="NoteLabel"/>
              </w:rPr>
              <w:t>a</w:t>
            </w:r>
            <w:r>
              <w:sym w:font="Symbol" w:char="F020"/>
            </w:r>
            <w:r w:rsidRPr="00126FA6">
              <w:t>Geographical locations are based on the Australian Statistical Geography Standard 2011 (ASGS) classification and are not comparable with data for previous years which were based</w:t>
            </w:r>
            <w:r>
              <w:t xml:space="preserve"> on a different classification.</w:t>
            </w:r>
            <w:r w:rsidR="00A511A6">
              <w:t xml:space="preserve"> </w:t>
            </w:r>
            <w:r w:rsidR="00A511A6">
              <w:rPr>
                <w:rStyle w:val="NoteLabel"/>
              </w:rPr>
              <w:t xml:space="preserve">b </w:t>
            </w:r>
            <w:r w:rsidR="00A511A6">
              <w:t>Not all practices are enrolled in the PIP</w:t>
            </w:r>
            <w:r w:rsidR="00A511A6" w:rsidRPr="00D315C4">
              <w:t>, and the</w:t>
            </w:r>
            <w:r w:rsidR="00A511A6">
              <w:t xml:space="preserve"> enrolled</w:t>
            </w:r>
            <w:r w:rsidR="00A511A6" w:rsidRPr="00D315C4">
              <w:t xml:space="preserve"> proportion may vary across jurisdictions</w:t>
            </w:r>
            <w:r w:rsidR="00A511A6">
              <w:t xml:space="preserve">. </w:t>
            </w:r>
            <w:r w:rsidR="00A511A6" w:rsidRPr="00CC4FB1">
              <w:t>Aroun</w:t>
            </w:r>
            <w:r w:rsidR="00021B4D" w:rsidRPr="00CC4FB1">
              <w:t>d 85</w:t>
            </w:r>
            <w:r w:rsidR="00A511A6" w:rsidRPr="00CC4FB1">
              <w:t xml:space="preserve"> per cent of patient care is provided by practices enrolled in the PIP</w:t>
            </w:r>
            <w:r w:rsidR="00AE2987">
              <w:t xml:space="preserve"> (table 10A.52</w:t>
            </w:r>
            <w:r w:rsidR="00021B4D" w:rsidRPr="00CC4FB1">
              <w:t>)</w:t>
            </w:r>
            <w:r w:rsidR="00A511A6" w:rsidRPr="00CC4FB1">
              <w:t>.</w:t>
            </w:r>
          </w:p>
        </w:tc>
      </w:tr>
      <w:tr w:rsidR="00C60184" w:rsidRPr="00176D3F" w:rsidTr="00D61F90">
        <w:tc>
          <w:tcPr>
            <w:tcW w:w="8771" w:type="dxa"/>
            <w:tcBorders>
              <w:top w:val="nil"/>
              <w:left w:val="nil"/>
              <w:bottom w:val="nil"/>
              <w:right w:val="nil"/>
            </w:tcBorders>
            <w:shd w:val="clear" w:color="auto" w:fill="auto"/>
          </w:tcPr>
          <w:p w:rsidR="00C60184" w:rsidRPr="00176D3F" w:rsidRDefault="00C60184" w:rsidP="00E5021C">
            <w:pPr>
              <w:pStyle w:val="Source"/>
              <w:keepNext/>
            </w:pPr>
            <w:r w:rsidRPr="006C74C6">
              <w:rPr>
                <w:i/>
              </w:rPr>
              <w:t>Source</w:t>
            </w:r>
            <w:r w:rsidRPr="006C74C6">
              <w:t xml:space="preserve">: </w:t>
            </w:r>
            <w:r>
              <w:t>Department of Health</w:t>
            </w:r>
            <w:r w:rsidRPr="006C74C6">
              <w:t xml:space="preserve"> (unpublished) MBS and PIP data collections; table </w:t>
            </w:r>
            <w:r w:rsidR="00E5021C">
              <w:t>10A.70</w:t>
            </w:r>
            <w:r w:rsidRPr="006C74C6">
              <w:t>.</w:t>
            </w:r>
          </w:p>
        </w:tc>
      </w:tr>
      <w:tr w:rsidR="00C60184" w:rsidTr="00D61F90">
        <w:tc>
          <w:tcPr>
            <w:tcW w:w="8771" w:type="dxa"/>
            <w:tcBorders>
              <w:top w:val="nil"/>
              <w:left w:val="nil"/>
              <w:bottom w:val="single" w:sz="6" w:space="0" w:color="78A22F"/>
              <w:right w:val="nil"/>
            </w:tcBorders>
            <w:shd w:val="clear" w:color="auto" w:fill="auto"/>
          </w:tcPr>
          <w:p w:rsidR="00C60184" w:rsidRDefault="00C60184" w:rsidP="00F07FF9">
            <w:pPr>
              <w:pStyle w:val="Figurespace"/>
              <w:keepLines/>
            </w:pPr>
          </w:p>
        </w:tc>
      </w:tr>
    </w:tbl>
    <w:p w:rsidR="00B934AF" w:rsidRDefault="00B934AF" w:rsidP="00B934AF">
      <w:pPr>
        <w:pStyle w:val="Heading4"/>
      </w:pPr>
      <w:r>
        <w:t>Quality — responsiveness</w:t>
      </w:r>
    </w:p>
    <w:p w:rsidR="004E2756" w:rsidRDefault="004E2756" w:rsidP="004E2756">
      <w:pPr>
        <w:pStyle w:val="Heading5"/>
      </w:pPr>
      <w:r>
        <w:t>Patient satisfaction</w:t>
      </w:r>
    </w:p>
    <w:p w:rsidR="005801A1" w:rsidRDefault="004E2756" w:rsidP="001F21DE">
      <w:pPr>
        <w:pStyle w:val="BodyText"/>
      </w:pPr>
      <w:r>
        <w:t xml:space="preserve">‘Patient satisfaction’ </w:t>
      </w:r>
      <w:r w:rsidR="00676048">
        <w:t xml:space="preserve">is </w:t>
      </w:r>
      <w:r>
        <w:t xml:space="preserve">an indicator of governments’ objective to ensure </w:t>
      </w:r>
      <w:r w:rsidR="00AE5D3F">
        <w:t>primary and community health</w:t>
      </w:r>
      <w:r>
        <w:t xml:space="preserve"> services </w:t>
      </w:r>
      <w:r w:rsidRPr="00AE5D3F">
        <w:t xml:space="preserve">are </w:t>
      </w:r>
      <w:r w:rsidR="00F11DA5" w:rsidRPr="00AE5D3F">
        <w:t>high quality and</w:t>
      </w:r>
      <w:r w:rsidR="00F11DA5">
        <w:t xml:space="preserve"> </w:t>
      </w:r>
      <w:r w:rsidR="00AE5D3F">
        <w:t>account for</w:t>
      </w:r>
      <w:r>
        <w:t xml:space="preserve"> </w:t>
      </w:r>
      <w:r w:rsidR="00360A0B" w:rsidRPr="00676048">
        <w:t>individual patient needs</w:t>
      </w:r>
      <w:r w:rsidR="00360A0B">
        <w:t xml:space="preserve"> </w:t>
      </w:r>
      <w:r>
        <w:t>(</w:t>
      </w:r>
      <w:r w:rsidR="0026222B">
        <w:t>box </w:t>
      </w:r>
      <w:r w:rsidR="00897589">
        <w:t>10.</w:t>
      </w:r>
      <w:r w:rsidR="0049553B" w:rsidRPr="0049553B">
        <w:t>16</w:t>
      </w:r>
      <w:r w:rsidR="0078165A">
        <w:t>).</w:t>
      </w:r>
    </w:p>
    <w:p w:rsidR="00095E5A" w:rsidRDefault="00095E5A">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095E5A" w:rsidTr="00867BB6">
        <w:tc>
          <w:tcPr>
            <w:tcW w:w="8771" w:type="dxa"/>
            <w:tcBorders>
              <w:top w:val="single" w:sz="6" w:space="0" w:color="78A22F"/>
              <w:left w:val="nil"/>
              <w:bottom w:val="nil"/>
              <w:right w:val="nil"/>
            </w:tcBorders>
            <w:shd w:val="clear" w:color="auto" w:fill="F2F2F2" w:themeFill="background1" w:themeFillShade="F2"/>
          </w:tcPr>
          <w:p w:rsidR="00095E5A" w:rsidRDefault="00095E5A">
            <w:pPr>
              <w:pStyle w:val="BoxTitle"/>
            </w:pPr>
            <w:r>
              <w:rPr>
                <w:b w:val="0"/>
              </w:rPr>
              <w:t>Box 10.</w:t>
            </w:r>
            <w:r w:rsidR="0078724D">
              <w:rPr>
                <w:b w:val="0"/>
                <w:noProof/>
              </w:rPr>
              <w:t>16</w:t>
            </w:r>
            <w:r>
              <w:tab/>
            </w:r>
            <w:r w:rsidRPr="00B934AF">
              <w:t>Patient satisfaction</w:t>
            </w:r>
          </w:p>
        </w:tc>
      </w:tr>
      <w:tr w:rsidR="00095E5A" w:rsidTr="00867BB6">
        <w:trPr>
          <w:cantSplit/>
        </w:trPr>
        <w:tc>
          <w:tcPr>
            <w:tcW w:w="8771" w:type="dxa"/>
            <w:tcBorders>
              <w:top w:val="nil"/>
              <w:left w:val="nil"/>
              <w:bottom w:val="nil"/>
              <w:right w:val="nil"/>
            </w:tcBorders>
            <w:shd w:val="clear" w:color="auto" w:fill="F2F2F2" w:themeFill="background1" w:themeFillShade="F2"/>
          </w:tcPr>
          <w:p w:rsidR="00095E5A" w:rsidRPr="00DD2794" w:rsidRDefault="00095E5A" w:rsidP="00867BB6">
            <w:pPr>
              <w:pStyle w:val="Box"/>
            </w:pPr>
            <w:r w:rsidRPr="00DD2794">
              <w:t>‘Patient satisfaction’ is defined as the quality of care as perceived by the patient. It is measured as patient experience of and/or satisfaction around ‘key aspects of care’ —that is, aspects of care that are key factors in patient outcomes and can be readily modified. Two measures of patient experience of communication with health professionals — a key aspect of care — are reported:</w:t>
            </w:r>
          </w:p>
          <w:p w:rsidR="00095E5A" w:rsidRPr="00DD2794" w:rsidRDefault="00095E5A" w:rsidP="00867BB6">
            <w:pPr>
              <w:pStyle w:val="BoxListBullet"/>
            </w:pPr>
            <w:r w:rsidRPr="00DD2794">
              <w:t>experience with selected key aspects of GP care, defined as the number of people who saw a GP in the previous 12 months where the GP always or often: listened carefully to them; showed respect; and spent enough time with them, divided by the number of people who saw a GP in the previous 12 months</w:t>
            </w:r>
          </w:p>
          <w:p w:rsidR="00095E5A" w:rsidRPr="00DD2794" w:rsidRDefault="00095E5A" w:rsidP="00867BB6">
            <w:pPr>
              <w:pStyle w:val="BoxListBullet"/>
            </w:pPr>
            <w:r w:rsidRPr="00DD2794">
              <w:t>experience with selected key aspects of dental professional care, defined as the number of people who saw a dental professional in the previous 12 months where the dental practitioner always or often: listened carefully to them; showed respect; and spent enough time with them, divided by the number of people who saw a dental practitioner in the previous 12 months.</w:t>
            </w:r>
          </w:p>
          <w:p w:rsidR="00095E5A" w:rsidRPr="00DD2794" w:rsidRDefault="00095E5A" w:rsidP="00867BB6">
            <w:pPr>
              <w:pStyle w:val="Box"/>
            </w:pPr>
            <w:r w:rsidRPr="00DD2794">
              <w:t>High or increasing proportions can indicate that more patients experienced communication with health professionals as satisfactory.</w:t>
            </w:r>
          </w:p>
          <w:p w:rsidR="00095E5A" w:rsidRDefault="00095E5A" w:rsidP="00867BB6">
            <w:pPr>
              <w:pStyle w:val="Box"/>
            </w:pPr>
            <w:r>
              <w:t>Data reported against this indicator are:</w:t>
            </w:r>
          </w:p>
          <w:p w:rsidR="00095E5A" w:rsidRDefault="00095E5A" w:rsidP="00867BB6">
            <w:pPr>
              <w:pStyle w:val="BoxListBullet"/>
            </w:pPr>
            <w:r>
              <w:t>comparable (subject to caveats) across jurisdictions and over time</w:t>
            </w:r>
          </w:p>
          <w:p w:rsidR="00095E5A" w:rsidRDefault="00095E5A" w:rsidP="00867BB6">
            <w:pPr>
              <w:pStyle w:val="BoxListBullet"/>
            </w:pPr>
            <w:r>
              <w:t xml:space="preserve">complete (subject to caveats) for the current reporting period. All required </w:t>
            </w:r>
            <w:r w:rsidRPr="00A73D31">
              <w:t>201</w:t>
            </w:r>
            <w:r w:rsidR="001362A9">
              <w:t>3-14</w:t>
            </w:r>
            <w:r>
              <w:t xml:space="preserve"> data are available for all jurisdictions.</w:t>
            </w:r>
          </w:p>
          <w:p w:rsidR="00095E5A" w:rsidRPr="00944E91" w:rsidRDefault="00095E5A" w:rsidP="00094B4A">
            <w:pPr>
              <w:pStyle w:val="Box"/>
            </w:pPr>
            <w:r w:rsidRPr="0027351B">
              <w:t xml:space="preserve">Data quality information </w:t>
            </w:r>
            <w:r w:rsidRPr="00944E91">
              <w:t>for this indicator</w:t>
            </w:r>
            <w:r w:rsidR="00786AB7">
              <w:t xml:space="preserve"> is at www.pc.gov.au</w:t>
            </w:r>
            <w:r w:rsidRPr="00944E91">
              <w:t>/</w:t>
            </w:r>
            <w:r>
              <w:t>rogs/201</w:t>
            </w:r>
            <w:r w:rsidR="00094B4A">
              <w:t>5</w:t>
            </w:r>
            <w:r w:rsidRPr="00944E91">
              <w:t>.</w:t>
            </w:r>
          </w:p>
        </w:tc>
      </w:tr>
      <w:tr w:rsidR="00095E5A" w:rsidTr="00867BB6">
        <w:trPr>
          <w:cantSplit/>
        </w:trPr>
        <w:tc>
          <w:tcPr>
            <w:tcW w:w="8771" w:type="dxa"/>
            <w:tcBorders>
              <w:top w:val="nil"/>
              <w:left w:val="nil"/>
              <w:bottom w:val="single" w:sz="6" w:space="0" w:color="78A22F"/>
              <w:right w:val="nil"/>
            </w:tcBorders>
            <w:shd w:val="clear" w:color="auto" w:fill="F2F2F2" w:themeFill="background1" w:themeFillShade="F2"/>
          </w:tcPr>
          <w:p w:rsidR="00095E5A" w:rsidRDefault="00095E5A">
            <w:pPr>
              <w:pStyle w:val="Box"/>
              <w:spacing w:before="0" w:line="120" w:lineRule="exact"/>
            </w:pPr>
          </w:p>
        </w:tc>
      </w:tr>
      <w:tr w:rsidR="00095E5A" w:rsidRPr="000863A5" w:rsidTr="00867BB6">
        <w:tc>
          <w:tcPr>
            <w:tcW w:w="8771" w:type="dxa"/>
            <w:tcBorders>
              <w:top w:val="single" w:sz="6" w:space="0" w:color="78A22F"/>
              <w:left w:val="nil"/>
              <w:bottom w:val="nil"/>
              <w:right w:val="nil"/>
            </w:tcBorders>
          </w:tcPr>
          <w:p w:rsidR="00095E5A" w:rsidRPr="00626D32" w:rsidRDefault="00095E5A" w:rsidP="00867BB6">
            <w:pPr>
              <w:pStyle w:val="BoxSpaceBelow"/>
            </w:pPr>
          </w:p>
        </w:tc>
      </w:tr>
    </w:tbl>
    <w:p w:rsidR="00B25F39" w:rsidRPr="00D06E08" w:rsidRDefault="00B25F39" w:rsidP="00B25F39">
      <w:pPr>
        <w:pStyle w:val="Heading5"/>
      </w:pPr>
      <w:r>
        <w:t xml:space="preserve">Patient </w:t>
      </w:r>
      <w:r w:rsidRPr="00B25F39">
        <w:t xml:space="preserve">satisfaction </w:t>
      </w:r>
      <w:r>
        <w:t xml:space="preserve">— </w:t>
      </w:r>
      <w:r w:rsidR="00D06E08" w:rsidRPr="00D06E08">
        <w:t xml:space="preserve">experience with selected key aspects of </w:t>
      </w:r>
      <w:r w:rsidR="0001182F">
        <w:t xml:space="preserve">GP </w:t>
      </w:r>
      <w:r w:rsidR="00D06E08" w:rsidRPr="00D06E08">
        <w:t>care</w:t>
      </w:r>
    </w:p>
    <w:p w:rsidR="0016425B" w:rsidRPr="00264569" w:rsidRDefault="00A17AC6" w:rsidP="00A73D31">
      <w:pPr>
        <w:pStyle w:val="BodyText"/>
        <w:rPr>
          <w:rStyle w:val="DraftingNote"/>
          <w:b w:val="0"/>
          <w:color w:val="auto"/>
          <w:sz w:val="26"/>
          <w:u w:val="none"/>
        </w:rPr>
      </w:pPr>
      <w:r w:rsidRPr="00DD2794">
        <w:t>Nationally,</w:t>
      </w:r>
      <w:r w:rsidR="00A05A03" w:rsidRPr="00DD2794">
        <w:t xml:space="preserve"> </w:t>
      </w:r>
      <w:r w:rsidR="0016425B" w:rsidRPr="00DD2794">
        <w:t>the majority of respondents reported that</w:t>
      </w:r>
      <w:r w:rsidR="00563A39">
        <w:t xml:space="preserve">, </w:t>
      </w:r>
      <w:r w:rsidR="00563A39" w:rsidRPr="003109EE">
        <w:t>in 2013</w:t>
      </w:r>
      <w:r w:rsidR="00B00D6B" w:rsidRPr="003109EE">
        <w:t>-1</w:t>
      </w:r>
      <w:r w:rsidR="00563A39" w:rsidRPr="003109EE">
        <w:t>4</w:t>
      </w:r>
      <w:r w:rsidR="00B00D6B" w:rsidRPr="003109EE">
        <w:t>,</w:t>
      </w:r>
      <w:r w:rsidR="0016425B" w:rsidRPr="00DD2794">
        <w:t xml:space="preserve"> the </w:t>
      </w:r>
      <w:r w:rsidR="00C3690E">
        <w:t>GP always or often (</w:t>
      </w:r>
      <w:r w:rsidR="00897589">
        <w:t>figure 10.</w:t>
      </w:r>
      <w:r w:rsidR="00C3690E">
        <w:t>3</w:t>
      </w:r>
      <w:r w:rsidR="00555489">
        <w:t>5</w:t>
      </w:r>
      <w:r w:rsidR="00446FA7">
        <w:t>):</w:t>
      </w:r>
    </w:p>
    <w:p w:rsidR="0016425B" w:rsidRPr="00DD2794" w:rsidRDefault="0016425B" w:rsidP="00A73D31">
      <w:pPr>
        <w:pStyle w:val="ListBullet"/>
      </w:pPr>
      <w:r w:rsidRPr="00DD2794">
        <w:t xml:space="preserve">listened carefully to </w:t>
      </w:r>
      <w:r w:rsidRPr="006E5535">
        <w:t xml:space="preserve">them </w:t>
      </w:r>
      <w:r w:rsidRPr="003109EE">
        <w:t>(</w:t>
      </w:r>
      <w:r w:rsidR="00563A39" w:rsidRPr="003109EE">
        <w:t>90.6</w:t>
      </w:r>
      <w:r w:rsidRPr="003109EE">
        <w:t xml:space="preserve"> per cent</w:t>
      </w:r>
      <w:r w:rsidRPr="006E5535">
        <w:t>)</w:t>
      </w:r>
    </w:p>
    <w:p w:rsidR="0016425B" w:rsidRPr="00DD2794" w:rsidRDefault="0016425B" w:rsidP="00563A39">
      <w:pPr>
        <w:pStyle w:val="ListBullet"/>
      </w:pPr>
      <w:r w:rsidRPr="00DD2794">
        <w:t xml:space="preserve">showed </w:t>
      </w:r>
      <w:r w:rsidRPr="003109EE">
        <w:t>respect (</w:t>
      </w:r>
      <w:r w:rsidR="00563A39" w:rsidRPr="003109EE">
        <w:t xml:space="preserve">93.3 </w:t>
      </w:r>
      <w:r w:rsidRPr="003109EE">
        <w:t>per</w:t>
      </w:r>
      <w:r w:rsidRPr="006E5535">
        <w:t xml:space="preserve"> cent)</w:t>
      </w:r>
    </w:p>
    <w:p w:rsidR="0016425B" w:rsidRPr="00DD2794" w:rsidRDefault="0016425B" w:rsidP="00563A39">
      <w:pPr>
        <w:pStyle w:val="ListBullet"/>
      </w:pPr>
      <w:r w:rsidRPr="00DD2794">
        <w:t xml:space="preserve">spent enough time </w:t>
      </w:r>
      <w:r w:rsidRPr="003109EE">
        <w:t>with them (</w:t>
      </w:r>
      <w:r w:rsidR="00563A39" w:rsidRPr="003109EE">
        <w:t xml:space="preserve">89.3 </w:t>
      </w:r>
      <w:r w:rsidRPr="003109EE">
        <w:t>per</w:t>
      </w:r>
      <w:r w:rsidRPr="006E5535">
        <w:t xml:space="preserve"> cent)</w:t>
      </w:r>
      <w:r w:rsidR="0001182F" w:rsidRPr="006E5535">
        <w:t>.</w:t>
      </w:r>
    </w:p>
    <w:p w:rsidR="0001182F" w:rsidRDefault="00125F2C" w:rsidP="00636133">
      <w:pPr>
        <w:pStyle w:val="BodyText"/>
      </w:pPr>
      <w:r>
        <w:t xml:space="preserve">Data are presented by remoteness area in </w:t>
      </w:r>
      <w:r w:rsidRPr="006C74C6">
        <w:t>table</w:t>
      </w:r>
      <w:r w:rsidR="00D24817" w:rsidRPr="006C74C6">
        <w:t>s</w:t>
      </w:r>
      <w:r w:rsidR="00B42303" w:rsidRPr="006C74C6">
        <w:t xml:space="preserve"> </w:t>
      </w:r>
      <w:r w:rsidR="00C9076B">
        <w:t>10A.</w:t>
      </w:r>
      <w:r w:rsidR="00657AE7">
        <w:t>7</w:t>
      </w:r>
      <w:r w:rsidR="00E5021C">
        <w:t>2</w:t>
      </w:r>
      <w:r w:rsidR="00B42303" w:rsidRPr="006C74C6">
        <w:t xml:space="preserve"> and </w:t>
      </w:r>
      <w:r w:rsidR="00C9076B">
        <w:t>10A.</w:t>
      </w:r>
      <w:r w:rsidR="00657AE7">
        <w:t>7</w:t>
      </w:r>
      <w:r w:rsidR="00E5021C">
        <w:t>3</w:t>
      </w:r>
      <w:r w:rsidR="00693701">
        <w:t xml:space="preserve">. </w:t>
      </w:r>
      <w:r w:rsidR="00693701" w:rsidRPr="00636133">
        <w:t xml:space="preserve">Data for </w:t>
      </w:r>
      <w:r w:rsidR="00D16EBA">
        <w:t>Aboriginal and Torres Strait Islander</w:t>
      </w:r>
      <w:r w:rsidR="00693701" w:rsidRPr="00636133">
        <w:t xml:space="preserve"> Australians that are reported in table </w:t>
      </w:r>
      <w:r w:rsidR="00C9076B">
        <w:t>10A.</w:t>
      </w:r>
      <w:r w:rsidR="00657AE7">
        <w:t>7</w:t>
      </w:r>
      <w:r w:rsidR="00E5021C">
        <w:t>4</w:t>
      </w:r>
      <w:r w:rsidR="00693701" w:rsidRPr="00636133">
        <w:t xml:space="preserve"> are not comparable to the data presented here</w:t>
      </w:r>
      <w:r w:rsidR="000B2796">
        <w:t xml:space="preserve"> (see DQI for details)</w:t>
      </w:r>
      <w:r w:rsidR="00693701" w:rsidRPr="00636133">
        <w:t>.</w:t>
      </w:r>
    </w:p>
    <w:p w:rsidR="005A01A0" w:rsidRDefault="005A01A0" w:rsidP="00D61F90">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5A01A0" w:rsidTr="00D61F90">
        <w:tc>
          <w:tcPr>
            <w:tcW w:w="8771" w:type="dxa"/>
            <w:tcBorders>
              <w:top w:val="single" w:sz="6" w:space="0" w:color="78A22F"/>
              <w:left w:val="nil"/>
              <w:bottom w:val="nil"/>
              <w:right w:val="nil"/>
            </w:tcBorders>
            <w:shd w:val="clear" w:color="auto" w:fill="auto"/>
          </w:tcPr>
          <w:p w:rsidR="005A01A0" w:rsidRPr="00176D3F" w:rsidRDefault="005A01A0" w:rsidP="00FE0DB7">
            <w:pPr>
              <w:pStyle w:val="FigureTitle"/>
            </w:pPr>
            <w:r w:rsidRPr="00784A05">
              <w:rPr>
                <w:b w:val="0"/>
              </w:rPr>
              <w:t xml:space="preserve">Figure </w:t>
            </w:r>
            <w:r w:rsidR="00DF255F">
              <w:rPr>
                <w:b w:val="0"/>
              </w:rPr>
              <w:t>10.</w:t>
            </w:r>
            <w:r w:rsidR="0078724D">
              <w:rPr>
                <w:b w:val="0"/>
                <w:noProof/>
              </w:rPr>
              <w:t>35</w:t>
            </w:r>
            <w:r>
              <w:tab/>
              <w:t>Proportion of people whose GP always or often listened carefully, showed respect, spent enough time</w:t>
            </w:r>
            <w:r w:rsidRPr="003109EE">
              <w:t>, 201</w:t>
            </w:r>
            <w:r w:rsidR="00FE0DB7" w:rsidRPr="003109EE">
              <w:t>3</w:t>
            </w:r>
            <w:r w:rsidRPr="003109EE">
              <w:t>-1</w:t>
            </w:r>
            <w:r w:rsidR="00FE0DB7" w:rsidRPr="003109EE">
              <w:t>4</w:t>
            </w:r>
            <w:r w:rsidRPr="003109EE">
              <w:rPr>
                <w:rStyle w:val="NoteLabel"/>
                <w:b/>
              </w:rPr>
              <w:t>a</w:t>
            </w:r>
            <w:r>
              <w:rPr>
                <w:rStyle w:val="NoteLabel"/>
                <w:b/>
              </w:rPr>
              <w:t>, b, c</w:t>
            </w:r>
          </w:p>
        </w:tc>
      </w:tr>
      <w:tr w:rsidR="005A01A0" w:rsidTr="00D61F90">
        <w:tc>
          <w:tcPr>
            <w:tcW w:w="8771" w:type="dxa"/>
            <w:tcBorders>
              <w:top w:val="nil"/>
              <w:left w:val="nil"/>
              <w:bottom w:val="nil"/>
              <w:right w:val="nil"/>
            </w:tcBorders>
            <w:shd w:val="clear" w:color="auto" w:fill="auto"/>
            <w:tcMar>
              <w:top w:w="28" w:type="dxa"/>
              <w:bottom w:w="28" w:type="dxa"/>
            </w:tcMar>
          </w:tcPr>
          <w:tbl>
            <w:tblPr>
              <w:tblW w:w="8625" w:type="dxa"/>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625"/>
            </w:tblGrid>
            <w:tr w:rsidR="005A01A0" w:rsidTr="0026222B">
              <w:tc>
                <w:tcPr>
                  <w:tcW w:w="5000" w:type="pct"/>
                  <w:tcBorders>
                    <w:top w:val="nil"/>
                    <w:bottom w:val="nil"/>
                  </w:tcBorders>
                </w:tcPr>
                <w:p w:rsidR="005A01A0" w:rsidRDefault="007B1994" w:rsidP="00D61F90">
                  <w:pPr>
                    <w:pStyle w:val="Figure"/>
                    <w:spacing w:before="60" w:after="60"/>
                  </w:pPr>
                  <w:r>
                    <w:rPr>
                      <w:noProof/>
                    </w:rPr>
                    <w:drawing>
                      <wp:inline distT="0" distB="0" distL="0" distR="0">
                        <wp:extent cx="5391150" cy="2695575"/>
                        <wp:effectExtent l="0" t="0" r="0" b="9525"/>
                        <wp:docPr id="44" name="Picture 44" descr="Figure 10.35 Proportion of people whose GP always or often listened carefully, showed respect, spent enough time, 2013-14&#10;&#10;More details can be found within the text surrounding this image.&#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5391150" cy="2695575"/>
                                </a:xfrm>
                                <a:prstGeom prst="rect">
                                  <a:avLst/>
                                </a:prstGeom>
                                <a:noFill/>
                                <a:ln>
                                  <a:noFill/>
                                </a:ln>
                              </pic:spPr>
                            </pic:pic>
                          </a:graphicData>
                        </a:graphic>
                      </wp:inline>
                    </w:drawing>
                  </w:r>
                </w:p>
              </w:tc>
            </w:tr>
          </w:tbl>
          <w:p w:rsidR="005A01A0" w:rsidRDefault="005A01A0" w:rsidP="00D61F90">
            <w:pPr>
              <w:pStyle w:val="Figure"/>
            </w:pPr>
          </w:p>
        </w:tc>
      </w:tr>
      <w:tr w:rsidR="005A01A0" w:rsidRPr="00176D3F" w:rsidTr="00D61F90">
        <w:tc>
          <w:tcPr>
            <w:tcW w:w="8771" w:type="dxa"/>
            <w:tcBorders>
              <w:top w:val="nil"/>
              <w:left w:val="nil"/>
              <w:bottom w:val="nil"/>
              <w:right w:val="nil"/>
            </w:tcBorders>
            <w:shd w:val="clear" w:color="auto" w:fill="auto"/>
          </w:tcPr>
          <w:p w:rsidR="005A01A0" w:rsidRPr="00176D3F" w:rsidRDefault="005A01A0" w:rsidP="00F20CA2">
            <w:pPr>
              <w:pStyle w:val="Note"/>
              <w:keepNext/>
            </w:pPr>
            <w:r>
              <w:rPr>
                <w:rStyle w:val="NoteLabel"/>
              </w:rPr>
              <w:t>a</w:t>
            </w:r>
            <w:r w:rsidRPr="00C54E42">
              <w:t xml:space="preserve"> </w:t>
            </w:r>
            <w:r>
              <w:t>People</w:t>
            </w:r>
            <w:r w:rsidRPr="00C54E42">
              <w:t xml:space="preserve"> aged 15 years </w:t>
            </w:r>
            <w:r>
              <w:t>or</w:t>
            </w:r>
            <w:r w:rsidRPr="00C54E42">
              <w:t xml:space="preserve"> over who</w:t>
            </w:r>
            <w:r>
              <w:t xml:space="preserve"> </w:t>
            </w:r>
            <w:r w:rsidRPr="006A4FF7">
              <w:t>saw a GP in the last 12 months</w:t>
            </w:r>
            <w:r>
              <w:t xml:space="preserve">. </w:t>
            </w:r>
            <w:r>
              <w:rPr>
                <w:rStyle w:val="NoteLabel"/>
              </w:rPr>
              <w:t>b</w:t>
            </w:r>
            <w:r w:rsidRPr="00C54E42">
              <w:t xml:space="preserve"> </w:t>
            </w:r>
            <w:r w:rsidR="00F20CA2">
              <w:t>Data are crude rates.</w:t>
            </w:r>
            <w:r w:rsidRPr="00E737F1">
              <w:rPr>
                <w:rStyle w:val="NoteLabel"/>
                <w:shd w:val="clear" w:color="auto" w:fill="FFFFFF" w:themeFill="background1"/>
              </w:rPr>
              <w:t xml:space="preserve"> </w:t>
            </w:r>
            <w:r w:rsidRPr="00636133">
              <w:rPr>
                <w:rStyle w:val="NoteLabel"/>
              </w:rPr>
              <w:t>c</w:t>
            </w:r>
            <w:r w:rsidRPr="00636133">
              <w:t> </w:t>
            </w:r>
            <w:r w:rsidRPr="00C77CE4">
              <w:t xml:space="preserve">Data exclude discrete </w:t>
            </w:r>
            <w:r w:rsidR="00D16EBA" w:rsidRPr="00C77CE4">
              <w:t>Aboriginal and Torres Strait Islander</w:t>
            </w:r>
            <w:r w:rsidRPr="00C77CE4">
              <w:t xml:space="preserve"> communities, which will affect the NT</w:t>
            </w:r>
            <w:r w:rsidRPr="00636133">
              <w:t xml:space="preserve"> more than other jurisdictions.</w:t>
            </w:r>
          </w:p>
        </w:tc>
      </w:tr>
      <w:tr w:rsidR="005A01A0" w:rsidRPr="00176D3F" w:rsidTr="00D61F90">
        <w:tc>
          <w:tcPr>
            <w:tcW w:w="8771" w:type="dxa"/>
            <w:tcBorders>
              <w:top w:val="nil"/>
              <w:left w:val="nil"/>
              <w:bottom w:val="nil"/>
              <w:right w:val="nil"/>
            </w:tcBorders>
            <w:shd w:val="clear" w:color="auto" w:fill="auto"/>
          </w:tcPr>
          <w:p w:rsidR="005A01A0" w:rsidRPr="00176D3F" w:rsidRDefault="005A01A0" w:rsidP="00E5021C">
            <w:pPr>
              <w:pStyle w:val="Source"/>
            </w:pPr>
            <w:r>
              <w:rPr>
                <w:i/>
              </w:rPr>
              <w:t>Source</w:t>
            </w:r>
            <w:r w:rsidRPr="00167F06">
              <w:t xml:space="preserve">: </w:t>
            </w:r>
            <w:r>
              <w:t xml:space="preserve">ABS (unpublished) </w:t>
            </w:r>
            <w:r w:rsidRPr="007164F7">
              <w:rPr>
                <w:i/>
              </w:rPr>
              <w:t xml:space="preserve">Patient Experience </w:t>
            </w:r>
            <w:r w:rsidRPr="003109EE">
              <w:rPr>
                <w:i/>
              </w:rPr>
              <w:t>Survey 201</w:t>
            </w:r>
            <w:r w:rsidR="00FE0DB7" w:rsidRPr="003109EE">
              <w:rPr>
                <w:i/>
              </w:rPr>
              <w:t>3</w:t>
            </w:r>
            <w:r w:rsidRPr="003109EE">
              <w:rPr>
                <w:i/>
              </w:rPr>
              <w:t>-1</w:t>
            </w:r>
            <w:r w:rsidR="00FE0DB7" w:rsidRPr="003109EE">
              <w:rPr>
                <w:i/>
              </w:rPr>
              <w:t>4</w:t>
            </w:r>
            <w:r w:rsidRPr="00E31EAF">
              <w:t>,</w:t>
            </w:r>
            <w:r>
              <w:t xml:space="preserve"> Cat. no. 4839.0; tables </w:t>
            </w:r>
            <w:r w:rsidR="00C9076B">
              <w:t>10A.</w:t>
            </w:r>
            <w:r>
              <w:t>7</w:t>
            </w:r>
            <w:r w:rsidR="00E5021C">
              <w:t>2</w:t>
            </w:r>
            <w:r w:rsidRPr="006C74C6">
              <w:t xml:space="preserve">, </w:t>
            </w:r>
            <w:r w:rsidR="00C9076B">
              <w:t>10A.</w:t>
            </w:r>
            <w:r>
              <w:t>7</w:t>
            </w:r>
            <w:r w:rsidR="00E5021C">
              <w:t>3</w:t>
            </w:r>
            <w:r w:rsidRPr="006C74C6">
              <w:t>.</w:t>
            </w:r>
          </w:p>
        </w:tc>
      </w:tr>
      <w:tr w:rsidR="005A01A0" w:rsidTr="00D61F90">
        <w:tc>
          <w:tcPr>
            <w:tcW w:w="8771" w:type="dxa"/>
            <w:tcBorders>
              <w:top w:val="nil"/>
              <w:left w:val="nil"/>
              <w:bottom w:val="single" w:sz="6" w:space="0" w:color="78A22F"/>
              <w:right w:val="nil"/>
            </w:tcBorders>
            <w:shd w:val="clear" w:color="auto" w:fill="auto"/>
          </w:tcPr>
          <w:p w:rsidR="005A01A0" w:rsidRDefault="005A01A0" w:rsidP="00D61F90">
            <w:pPr>
              <w:pStyle w:val="Figurespace"/>
            </w:pPr>
          </w:p>
        </w:tc>
      </w:tr>
      <w:tr w:rsidR="005A01A0" w:rsidRPr="000863A5" w:rsidTr="00D61F90">
        <w:tc>
          <w:tcPr>
            <w:tcW w:w="8771" w:type="dxa"/>
            <w:tcBorders>
              <w:top w:val="single" w:sz="6" w:space="0" w:color="78A22F"/>
              <w:left w:val="nil"/>
              <w:bottom w:val="nil"/>
              <w:right w:val="nil"/>
            </w:tcBorders>
          </w:tcPr>
          <w:p w:rsidR="005A01A0" w:rsidRPr="00626D32" w:rsidRDefault="005A01A0" w:rsidP="00D61F90">
            <w:pPr>
              <w:pStyle w:val="BoxSpaceBelow"/>
            </w:pPr>
          </w:p>
        </w:tc>
      </w:tr>
    </w:tbl>
    <w:p w:rsidR="00B25F39" w:rsidRDefault="00B25F39" w:rsidP="00B25F39">
      <w:pPr>
        <w:pStyle w:val="Heading5"/>
      </w:pPr>
      <w:r>
        <w:t xml:space="preserve">Patient </w:t>
      </w:r>
      <w:r w:rsidRPr="00B25F39">
        <w:t xml:space="preserve">satisfaction </w:t>
      </w:r>
      <w:r>
        <w:t xml:space="preserve">— </w:t>
      </w:r>
      <w:r w:rsidR="00AB7704" w:rsidRPr="00AB7704">
        <w:t>experience with selected key aspec</w:t>
      </w:r>
      <w:r w:rsidR="00AB7704">
        <w:t xml:space="preserve">ts of dental </w:t>
      </w:r>
      <w:r w:rsidR="00272230">
        <w:t>professional</w:t>
      </w:r>
      <w:r w:rsidR="00272230" w:rsidRPr="0001182F">
        <w:t xml:space="preserve"> </w:t>
      </w:r>
      <w:r w:rsidR="00AB7704">
        <w:t>care</w:t>
      </w:r>
    </w:p>
    <w:p w:rsidR="005C06A3" w:rsidRDefault="005C06A3" w:rsidP="00A73D31">
      <w:pPr>
        <w:pStyle w:val="BodyText"/>
      </w:pPr>
      <w:r>
        <w:t xml:space="preserve">Nationally, the majority of respondents reported </w:t>
      </w:r>
      <w:r w:rsidRPr="00A73D31">
        <w:t>that</w:t>
      </w:r>
      <w:r w:rsidR="002158C5" w:rsidRPr="00A73D31">
        <w:t xml:space="preserve">, </w:t>
      </w:r>
      <w:r w:rsidR="002158C5" w:rsidRPr="003109EE">
        <w:t>in 201</w:t>
      </w:r>
      <w:r w:rsidR="001462C9" w:rsidRPr="003109EE">
        <w:t>3</w:t>
      </w:r>
      <w:r w:rsidR="002158C5" w:rsidRPr="003109EE">
        <w:t>-1</w:t>
      </w:r>
      <w:r w:rsidR="001462C9" w:rsidRPr="003109EE">
        <w:t>4</w:t>
      </w:r>
      <w:r w:rsidR="002158C5" w:rsidRPr="003109EE">
        <w:t>,</w:t>
      </w:r>
      <w:r w:rsidRPr="003109EE">
        <w:t xml:space="preserve"> the dental </w:t>
      </w:r>
      <w:r w:rsidR="00272230">
        <w:t>professional</w:t>
      </w:r>
      <w:r w:rsidR="00272230" w:rsidRPr="0001182F">
        <w:t xml:space="preserve"> </w:t>
      </w:r>
      <w:r w:rsidRPr="001404DB">
        <w:t>always or often</w:t>
      </w:r>
      <w:r>
        <w:t xml:space="preserve"> (</w:t>
      </w:r>
      <w:r w:rsidR="00897589">
        <w:t>figure 10.</w:t>
      </w:r>
      <w:r>
        <w:t>3</w:t>
      </w:r>
      <w:r w:rsidR="00555489">
        <w:t>6</w:t>
      </w:r>
      <w:r w:rsidR="007164F7">
        <w:t>):</w:t>
      </w:r>
    </w:p>
    <w:p w:rsidR="005C06A3" w:rsidRPr="00DD2794" w:rsidRDefault="005C06A3" w:rsidP="001462C9">
      <w:pPr>
        <w:pStyle w:val="ListBullet"/>
      </w:pPr>
      <w:r w:rsidRPr="00DD2794">
        <w:t xml:space="preserve">listened carefully to </w:t>
      </w:r>
      <w:r w:rsidRPr="003109EE">
        <w:t>them (</w:t>
      </w:r>
      <w:r w:rsidR="001462C9" w:rsidRPr="003109EE">
        <w:t xml:space="preserve">94.6 </w:t>
      </w:r>
      <w:r w:rsidRPr="003109EE">
        <w:t>per </w:t>
      </w:r>
      <w:r w:rsidRPr="006E5535">
        <w:t>cent</w:t>
      </w:r>
      <w:r w:rsidRPr="00DD2794">
        <w:t>)</w:t>
      </w:r>
    </w:p>
    <w:p w:rsidR="005C06A3" w:rsidRPr="006E5535" w:rsidRDefault="005C06A3" w:rsidP="001462C9">
      <w:pPr>
        <w:pStyle w:val="ListBullet"/>
      </w:pPr>
      <w:r w:rsidRPr="00DD2794">
        <w:t xml:space="preserve">showed </w:t>
      </w:r>
      <w:r w:rsidRPr="003109EE">
        <w:t>respect (</w:t>
      </w:r>
      <w:r w:rsidR="001462C9" w:rsidRPr="003109EE">
        <w:t xml:space="preserve">95.5 </w:t>
      </w:r>
      <w:r w:rsidRPr="00A73D31">
        <w:t>per</w:t>
      </w:r>
      <w:r w:rsidRPr="006E5535">
        <w:t xml:space="preserve"> cent)</w:t>
      </w:r>
    </w:p>
    <w:p w:rsidR="005C06A3" w:rsidRPr="00DD2794" w:rsidRDefault="005C06A3" w:rsidP="00A73D31">
      <w:pPr>
        <w:pStyle w:val="ListBullet"/>
      </w:pPr>
      <w:r w:rsidRPr="00DD2794">
        <w:t xml:space="preserve">spent enough time with </w:t>
      </w:r>
      <w:r w:rsidRPr="003109EE">
        <w:t>them (</w:t>
      </w:r>
      <w:r w:rsidR="008F1B78" w:rsidRPr="003109EE">
        <w:t>95.</w:t>
      </w:r>
      <w:r w:rsidR="001462C9" w:rsidRPr="003109EE">
        <w:t>7</w:t>
      </w:r>
      <w:r w:rsidR="00CE5028" w:rsidRPr="003109EE">
        <w:t xml:space="preserve"> </w:t>
      </w:r>
      <w:r w:rsidRPr="003109EE">
        <w:t>per c</w:t>
      </w:r>
      <w:r w:rsidRPr="006E5535">
        <w:t>ent).</w:t>
      </w:r>
    </w:p>
    <w:p w:rsidR="005C06A3" w:rsidRDefault="005C06A3" w:rsidP="00944E91">
      <w:pPr>
        <w:pStyle w:val="BodyText"/>
      </w:pPr>
      <w:r>
        <w:t>Data are presented by</w:t>
      </w:r>
      <w:r w:rsidR="00B66544">
        <w:t xml:space="preserve"> remoteness area in table</w:t>
      </w:r>
      <w:r w:rsidR="00D24817">
        <w:t>s</w:t>
      </w:r>
      <w:r w:rsidR="00B66544">
        <w:t xml:space="preserve"> </w:t>
      </w:r>
      <w:r w:rsidR="00C9076B">
        <w:t>10A.</w:t>
      </w:r>
      <w:r w:rsidR="00EC4BB2">
        <w:t>7</w:t>
      </w:r>
      <w:r w:rsidR="00E5021C">
        <w:t>5</w:t>
      </w:r>
      <w:r w:rsidR="00D24817" w:rsidRPr="006C74C6">
        <w:t xml:space="preserve"> and </w:t>
      </w:r>
      <w:r w:rsidR="00C9076B">
        <w:t>10A.</w:t>
      </w:r>
      <w:r w:rsidR="00226EA4">
        <w:t>7</w:t>
      </w:r>
      <w:r w:rsidR="00E5021C">
        <w:t>6</w:t>
      </w:r>
      <w:r w:rsidRPr="006C74C6">
        <w:t>.</w:t>
      </w:r>
      <w:r w:rsidR="005801A1" w:rsidRPr="00200C93">
        <w:rPr>
          <w:b/>
        </w:rPr>
        <w:t xml:space="preserve"> </w:t>
      </w:r>
    </w:p>
    <w:p w:rsidR="005A01A0" w:rsidRDefault="005A01A0" w:rsidP="00D61F90">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5A01A0" w:rsidTr="00D61F90">
        <w:tc>
          <w:tcPr>
            <w:tcW w:w="8771" w:type="dxa"/>
            <w:tcBorders>
              <w:top w:val="single" w:sz="6" w:space="0" w:color="78A22F"/>
              <w:left w:val="nil"/>
              <w:bottom w:val="nil"/>
              <w:right w:val="nil"/>
            </w:tcBorders>
            <w:shd w:val="clear" w:color="auto" w:fill="auto"/>
          </w:tcPr>
          <w:p w:rsidR="005A01A0" w:rsidRPr="00176D3F" w:rsidRDefault="005A01A0" w:rsidP="005A01A0">
            <w:pPr>
              <w:pStyle w:val="FigureTitle"/>
            </w:pPr>
            <w:r w:rsidRPr="00784A05">
              <w:rPr>
                <w:b w:val="0"/>
              </w:rPr>
              <w:t xml:space="preserve">Figure </w:t>
            </w:r>
            <w:r w:rsidR="00DF255F">
              <w:rPr>
                <w:b w:val="0"/>
              </w:rPr>
              <w:t>10.</w:t>
            </w:r>
            <w:r w:rsidR="0078724D">
              <w:rPr>
                <w:b w:val="0"/>
                <w:noProof/>
              </w:rPr>
              <w:t>36</w:t>
            </w:r>
            <w:r>
              <w:tab/>
              <w:t>Proportion of people whose dental professional</w:t>
            </w:r>
            <w:r w:rsidRPr="0001182F">
              <w:t xml:space="preserve"> </w:t>
            </w:r>
            <w:r>
              <w:br/>
              <w:t xml:space="preserve">always or often listened carefully, showed respect, </w:t>
            </w:r>
            <w:r>
              <w:br/>
              <w:t>spent enough time</w:t>
            </w:r>
            <w:r w:rsidRPr="003109EE">
              <w:t xml:space="preserve">, </w:t>
            </w:r>
            <w:r w:rsidR="000866C5" w:rsidRPr="003109EE">
              <w:t>2013-14</w:t>
            </w:r>
            <w:r w:rsidRPr="003109EE">
              <w:rPr>
                <w:rStyle w:val="NoteLabel"/>
                <w:b/>
              </w:rPr>
              <w:t>a, b</w:t>
            </w:r>
            <w:r w:rsidR="00033303" w:rsidRPr="003109EE">
              <w:rPr>
                <w:rStyle w:val="NoteLabel"/>
                <w:b/>
              </w:rPr>
              <w:t>, c</w:t>
            </w:r>
          </w:p>
        </w:tc>
      </w:tr>
      <w:tr w:rsidR="005A01A0" w:rsidTr="00D61F90">
        <w:tc>
          <w:tcPr>
            <w:tcW w:w="8771" w:type="dxa"/>
            <w:tcBorders>
              <w:top w:val="nil"/>
              <w:left w:val="nil"/>
              <w:bottom w:val="nil"/>
              <w:right w:val="nil"/>
            </w:tcBorders>
            <w:shd w:val="clear" w:color="auto" w:fill="auto"/>
            <w:tcMar>
              <w:top w:w="28" w:type="dxa"/>
              <w:bottom w:w="28" w:type="dxa"/>
            </w:tcMar>
          </w:tcPr>
          <w:tbl>
            <w:tblPr>
              <w:tblW w:w="8625" w:type="dxa"/>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625"/>
            </w:tblGrid>
            <w:tr w:rsidR="005A01A0" w:rsidTr="00033303">
              <w:tc>
                <w:tcPr>
                  <w:tcW w:w="5000" w:type="pct"/>
                  <w:tcBorders>
                    <w:top w:val="nil"/>
                    <w:bottom w:val="nil"/>
                  </w:tcBorders>
                </w:tcPr>
                <w:p w:rsidR="005A01A0" w:rsidRDefault="007B1994" w:rsidP="00D61F90">
                  <w:pPr>
                    <w:pStyle w:val="Figure"/>
                    <w:spacing w:before="60" w:after="60"/>
                  </w:pPr>
                  <w:r>
                    <w:rPr>
                      <w:noProof/>
                    </w:rPr>
                    <w:drawing>
                      <wp:inline distT="0" distB="0" distL="0" distR="0">
                        <wp:extent cx="5391150" cy="2695575"/>
                        <wp:effectExtent l="0" t="0" r="0" b="9525"/>
                        <wp:docPr id="45" name="Picture 45" descr="Figure 10.36 Proportion of people whose dental professional &#10;always or often listened carefully, showed respect, spent enough time, 2013-14&#10;&#10;More details can be found within the text surrounding this image.&#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5391150" cy="2695575"/>
                                </a:xfrm>
                                <a:prstGeom prst="rect">
                                  <a:avLst/>
                                </a:prstGeom>
                                <a:noFill/>
                                <a:ln>
                                  <a:noFill/>
                                </a:ln>
                              </pic:spPr>
                            </pic:pic>
                          </a:graphicData>
                        </a:graphic>
                      </wp:inline>
                    </w:drawing>
                  </w:r>
                </w:p>
              </w:tc>
            </w:tr>
          </w:tbl>
          <w:p w:rsidR="005A01A0" w:rsidRDefault="005A01A0" w:rsidP="00D61F90">
            <w:pPr>
              <w:pStyle w:val="Figure"/>
            </w:pPr>
          </w:p>
        </w:tc>
      </w:tr>
      <w:tr w:rsidR="005A01A0" w:rsidRPr="00176D3F" w:rsidTr="00D61F90">
        <w:tc>
          <w:tcPr>
            <w:tcW w:w="8771" w:type="dxa"/>
            <w:tcBorders>
              <w:top w:val="nil"/>
              <w:left w:val="nil"/>
              <w:bottom w:val="nil"/>
              <w:right w:val="nil"/>
            </w:tcBorders>
            <w:shd w:val="clear" w:color="auto" w:fill="auto"/>
          </w:tcPr>
          <w:p w:rsidR="005A01A0" w:rsidRPr="00176D3F" w:rsidRDefault="005A01A0" w:rsidP="00F20CA2">
            <w:pPr>
              <w:pStyle w:val="Note"/>
            </w:pPr>
            <w:r>
              <w:rPr>
                <w:rStyle w:val="NoteLabel"/>
              </w:rPr>
              <w:t>a</w:t>
            </w:r>
            <w:r>
              <w:sym w:font="Symbol" w:char="F020"/>
            </w:r>
            <w:r>
              <w:t>People</w:t>
            </w:r>
            <w:r w:rsidRPr="00045CF4">
              <w:t xml:space="preserve"> aged 15 years </w:t>
            </w:r>
            <w:r>
              <w:t>or</w:t>
            </w:r>
            <w:r w:rsidRPr="00045CF4">
              <w:t xml:space="preserve"> over who</w:t>
            </w:r>
            <w:r w:rsidRPr="00A83F30">
              <w:t xml:space="preserve"> </w:t>
            </w:r>
            <w:r>
              <w:t>saw a dental professional</w:t>
            </w:r>
            <w:r w:rsidRPr="0001182F">
              <w:t xml:space="preserve"> </w:t>
            </w:r>
            <w:r w:rsidRPr="006A4FF7">
              <w:t>in the last 12 months</w:t>
            </w:r>
            <w:r w:rsidRPr="00045CF4">
              <w:t>.</w:t>
            </w:r>
            <w:r w:rsidRPr="00045CF4">
              <w:rPr>
                <w:rStyle w:val="NoteLabel"/>
              </w:rPr>
              <w:t xml:space="preserve"> </w:t>
            </w:r>
            <w:r>
              <w:rPr>
                <w:rStyle w:val="NoteLabel"/>
              </w:rPr>
              <w:t>b</w:t>
            </w:r>
            <w:r>
              <w:sym w:font="Symbol" w:char="F020"/>
            </w:r>
            <w:r w:rsidR="00F20CA2">
              <w:t>Data are crude rates</w:t>
            </w:r>
            <w:r>
              <w:t>.</w:t>
            </w:r>
            <w:r w:rsidRPr="00AD7DDC">
              <w:rPr>
                <w:rStyle w:val="NoteLabel"/>
                <w:shd w:val="clear" w:color="auto" w:fill="FFFFFF" w:themeFill="background1"/>
              </w:rPr>
              <w:t xml:space="preserve"> </w:t>
            </w:r>
            <w:r w:rsidRPr="00636133">
              <w:rPr>
                <w:rStyle w:val="NoteLabel"/>
              </w:rPr>
              <w:t>c</w:t>
            </w:r>
            <w:r w:rsidRPr="00636133">
              <w:t xml:space="preserve"> </w:t>
            </w:r>
            <w:r w:rsidR="000866C5" w:rsidRPr="00C77CE4">
              <w:t>Data exclude discrete Aboriginal and Torres Strait Islander communities,</w:t>
            </w:r>
            <w:r w:rsidR="000866C5" w:rsidRPr="00636133">
              <w:t xml:space="preserve"> which will affect the NT more than other jurisdictions.</w:t>
            </w:r>
          </w:p>
        </w:tc>
      </w:tr>
      <w:tr w:rsidR="005A01A0" w:rsidRPr="00176D3F" w:rsidTr="00D61F90">
        <w:tc>
          <w:tcPr>
            <w:tcW w:w="8771" w:type="dxa"/>
            <w:tcBorders>
              <w:top w:val="nil"/>
              <w:left w:val="nil"/>
              <w:bottom w:val="nil"/>
              <w:right w:val="nil"/>
            </w:tcBorders>
            <w:shd w:val="clear" w:color="auto" w:fill="auto"/>
          </w:tcPr>
          <w:p w:rsidR="005A01A0" w:rsidRPr="00176D3F" w:rsidRDefault="005A01A0" w:rsidP="00E5021C">
            <w:pPr>
              <w:pStyle w:val="Source"/>
            </w:pPr>
            <w:r w:rsidRPr="00425E96">
              <w:rPr>
                <w:i/>
              </w:rPr>
              <w:t>Source</w:t>
            </w:r>
            <w:r w:rsidRPr="00167F06">
              <w:t xml:space="preserve">: </w:t>
            </w:r>
            <w:r w:rsidRPr="00A97F84">
              <w:t xml:space="preserve">ABS (unpublished) </w:t>
            </w:r>
            <w:r w:rsidRPr="00A97F84">
              <w:rPr>
                <w:i/>
              </w:rPr>
              <w:t xml:space="preserve">Patient Experience </w:t>
            </w:r>
            <w:r w:rsidRPr="003109EE">
              <w:rPr>
                <w:i/>
              </w:rPr>
              <w:t>Survey</w:t>
            </w:r>
            <w:r w:rsidRPr="003109EE">
              <w:t xml:space="preserve"> </w:t>
            </w:r>
            <w:r w:rsidRPr="003109EE">
              <w:rPr>
                <w:i/>
              </w:rPr>
              <w:t>201</w:t>
            </w:r>
            <w:r w:rsidR="000866C5" w:rsidRPr="003109EE">
              <w:rPr>
                <w:i/>
              </w:rPr>
              <w:t>3</w:t>
            </w:r>
            <w:r w:rsidRPr="003109EE">
              <w:rPr>
                <w:i/>
              </w:rPr>
              <w:t>-1</w:t>
            </w:r>
            <w:r w:rsidR="000866C5" w:rsidRPr="003109EE">
              <w:rPr>
                <w:i/>
              </w:rPr>
              <w:t>4</w:t>
            </w:r>
            <w:r w:rsidRPr="003109EE">
              <w:t>, Cat</w:t>
            </w:r>
            <w:r w:rsidRPr="000A2E3B">
              <w:t>. no. 4839</w:t>
            </w:r>
            <w:r>
              <w:t xml:space="preserve">.0; </w:t>
            </w:r>
            <w:r w:rsidRPr="006C74C6">
              <w:t xml:space="preserve">tables </w:t>
            </w:r>
            <w:r w:rsidR="00C9076B">
              <w:t>10A.</w:t>
            </w:r>
            <w:r>
              <w:t>7</w:t>
            </w:r>
            <w:r w:rsidR="00E5021C">
              <w:t>5</w:t>
            </w:r>
            <w:r w:rsidRPr="006C74C6">
              <w:t xml:space="preserve">, </w:t>
            </w:r>
            <w:r w:rsidR="00C9076B">
              <w:t>10A.</w:t>
            </w:r>
            <w:r w:rsidR="00E5021C">
              <w:t>76</w:t>
            </w:r>
            <w:r w:rsidRPr="006C74C6">
              <w:t>.</w:t>
            </w:r>
          </w:p>
        </w:tc>
      </w:tr>
      <w:tr w:rsidR="005A01A0" w:rsidTr="00D61F90">
        <w:tc>
          <w:tcPr>
            <w:tcW w:w="8771" w:type="dxa"/>
            <w:tcBorders>
              <w:top w:val="nil"/>
              <w:left w:val="nil"/>
              <w:bottom w:val="single" w:sz="6" w:space="0" w:color="78A22F"/>
              <w:right w:val="nil"/>
            </w:tcBorders>
            <w:shd w:val="clear" w:color="auto" w:fill="auto"/>
          </w:tcPr>
          <w:p w:rsidR="005A01A0" w:rsidRDefault="005A01A0" w:rsidP="00D61F90">
            <w:pPr>
              <w:pStyle w:val="Figurespace"/>
            </w:pPr>
          </w:p>
        </w:tc>
      </w:tr>
      <w:tr w:rsidR="005A01A0" w:rsidRPr="000863A5" w:rsidTr="00D61F90">
        <w:tc>
          <w:tcPr>
            <w:tcW w:w="8771" w:type="dxa"/>
            <w:tcBorders>
              <w:top w:val="single" w:sz="6" w:space="0" w:color="78A22F"/>
              <w:left w:val="nil"/>
              <w:bottom w:val="nil"/>
              <w:right w:val="nil"/>
            </w:tcBorders>
          </w:tcPr>
          <w:p w:rsidR="005A01A0" w:rsidRPr="00626D32" w:rsidRDefault="005A01A0" w:rsidP="00D61F90">
            <w:pPr>
              <w:pStyle w:val="BoxSpaceBelow"/>
            </w:pPr>
          </w:p>
        </w:tc>
      </w:tr>
    </w:tbl>
    <w:p w:rsidR="00085B88" w:rsidRDefault="00085B88" w:rsidP="00085B88">
      <w:pPr>
        <w:pStyle w:val="Heading4"/>
      </w:pPr>
      <w:r>
        <w:t>Quality — continuity</w:t>
      </w:r>
    </w:p>
    <w:p w:rsidR="0001197C" w:rsidRDefault="0001197C" w:rsidP="0001197C">
      <w:pPr>
        <w:pStyle w:val="Heading5"/>
      </w:pPr>
      <w:r w:rsidRPr="0001197C">
        <w:t>Health assessments for older people</w:t>
      </w:r>
    </w:p>
    <w:p w:rsidR="00D370B6" w:rsidRDefault="00D370B6" w:rsidP="00D370B6">
      <w:pPr>
        <w:pStyle w:val="BodyText"/>
      </w:pPr>
      <w:r>
        <w:t>‘</w:t>
      </w:r>
      <w:r w:rsidRPr="00D370B6">
        <w:t>Health assessments for older people</w:t>
      </w:r>
      <w:r>
        <w:t>’ is an indicator of governme</w:t>
      </w:r>
      <w:r w:rsidR="00895D03">
        <w:t>n</w:t>
      </w:r>
      <w:r>
        <w:t>ts’ objective to improve population health outcomes throu</w:t>
      </w:r>
      <w:r w:rsidR="00391F18">
        <w:t xml:space="preserve">gh the provision of prevention as well as </w:t>
      </w:r>
      <w:r>
        <w:t>early detection and treatment services</w:t>
      </w:r>
      <w:r w:rsidR="00391F18">
        <w:t xml:space="preserve"> </w:t>
      </w:r>
      <w:r w:rsidR="0042025F">
        <w:t>(</w:t>
      </w:r>
      <w:r w:rsidR="00897589">
        <w:t>box 10.</w:t>
      </w:r>
      <w:r w:rsidR="00C93335" w:rsidRPr="00C93335">
        <w:t>17</w:t>
      </w:r>
      <w:r w:rsidR="00391F18">
        <w:t>)</w:t>
      </w:r>
      <w:r>
        <w:t>.</w:t>
      </w:r>
    </w:p>
    <w:p w:rsidR="00095E5A" w:rsidRDefault="00095E5A">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095E5A" w:rsidTr="00867BB6">
        <w:tc>
          <w:tcPr>
            <w:tcW w:w="8771" w:type="dxa"/>
            <w:tcBorders>
              <w:top w:val="single" w:sz="6" w:space="0" w:color="78A22F"/>
              <w:left w:val="nil"/>
              <w:bottom w:val="nil"/>
              <w:right w:val="nil"/>
            </w:tcBorders>
            <w:shd w:val="clear" w:color="auto" w:fill="F2F2F2" w:themeFill="background1" w:themeFillShade="F2"/>
          </w:tcPr>
          <w:p w:rsidR="00095E5A" w:rsidRDefault="00095E5A">
            <w:pPr>
              <w:pStyle w:val="BoxTitle"/>
            </w:pPr>
            <w:r>
              <w:rPr>
                <w:b w:val="0"/>
              </w:rPr>
              <w:t>Box 10.</w:t>
            </w:r>
            <w:r w:rsidR="0078724D">
              <w:rPr>
                <w:b w:val="0"/>
                <w:noProof/>
              </w:rPr>
              <w:t>17</w:t>
            </w:r>
            <w:r>
              <w:tab/>
            </w:r>
            <w:r w:rsidRPr="001A1B20">
              <w:t>Health assessments for older people</w:t>
            </w:r>
          </w:p>
        </w:tc>
      </w:tr>
      <w:tr w:rsidR="00095E5A" w:rsidTr="00867BB6">
        <w:trPr>
          <w:cantSplit/>
        </w:trPr>
        <w:tc>
          <w:tcPr>
            <w:tcW w:w="8771" w:type="dxa"/>
            <w:tcBorders>
              <w:top w:val="nil"/>
              <w:left w:val="nil"/>
              <w:bottom w:val="nil"/>
              <w:right w:val="nil"/>
            </w:tcBorders>
            <w:shd w:val="clear" w:color="auto" w:fill="F2F2F2" w:themeFill="background1" w:themeFillShade="F2"/>
          </w:tcPr>
          <w:p w:rsidR="00095E5A" w:rsidRDefault="00095E5A" w:rsidP="00867BB6">
            <w:pPr>
              <w:pStyle w:val="Box"/>
            </w:pPr>
            <w:r>
              <w:t>‘</w:t>
            </w:r>
            <w:r w:rsidRPr="00D370B6">
              <w:t>Health assessments for older people</w:t>
            </w:r>
            <w:r>
              <w:t>’</w:t>
            </w:r>
            <w:r w:rsidRPr="0001197C">
              <w:t xml:space="preserve"> is defined as the proportion of older people who received a health assessment. Older people are defined</w:t>
            </w:r>
            <w:r w:rsidR="00094B4A">
              <w:t xml:space="preserve"> as Aboriginal and Torres Strait Islander Australians</w:t>
            </w:r>
            <w:r w:rsidR="00094B4A" w:rsidRPr="0001197C">
              <w:t xml:space="preserve"> aged 55 years or over</w:t>
            </w:r>
            <w:r w:rsidRPr="0001197C">
              <w:t xml:space="preserve"> </w:t>
            </w:r>
            <w:r w:rsidR="00D16EBA">
              <w:t xml:space="preserve">and </w:t>
            </w:r>
            <w:r w:rsidR="00094B4A">
              <w:t>other</w:t>
            </w:r>
            <w:r>
              <w:t xml:space="preserve"> Australians</w:t>
            </w:r>
            <w:r w:rsidRPr="0001197C">
              <w:t xml:space="preserve"> aged 75 years or over, excluding hospital inpatients and people living in aged care facilitie</w:t>
            </w:r>
            <w:r>
              <w:t xml:space="preserve">s. </w:t>
            </w:r>
            <w:r w:rsidRPr="00F84B38">
              <w:t xml:space="preserve">Annual health assessments for older people are MBS items that allow a GP to undertake an in-depth assessment of a patient’s health. Health assessments cover the patient’s health and physical, psychological and social functioning, and aim to facilitate more timely preventive actions or treatments to enhance the health of the patient (see also </w:t>
            </w:r>
            <w:r w:rsidR="00897589">
              <w:t>box 10.</w:t>
            </w:r>
            <w:r>
              <w:t>5</w:t>
            </w:r>
            <w:r w:rsidRPr="00F84B38">
              <w:t>).</w:t>
            </w:r>
          </w:p>
          <w:p w:rsidR="00095E5A" w:rsidRDefault="00095E5A" w:rsidP="00867BB6">
            <w:pPr>
              <w:pStyle w:val="Box"/>
            </w:pPr>
            <w:r w:rsidRPr="0001197C">
              <w:t>A</w:t>
            </w:r>
            <w:r>
              <w:t xml:space="preserve"> high or</w:t>
            </w:r>
            <w:r w:rsidRPr="0001197C">
              <w:t xml:space="preserve"> increasin</w:t>
            </w:r>
            <w:r>
              <w:t>g</w:t>
            </w:r>
            <w:r w:rsidRPr="0001197C">
              <w:t xml:space="preserve"> proportion of eligible older people who received a health assessment </w:t>
            </w:r>
            <w:r>
              <w:t xml:space="preserve">can </w:t>
            </w:r>
            <w:r w:rsidRPr="0001197C">
              <w:t>indicate a reduction in health risks for older people, through early and timely prevention and intervention measures to improve and maintain health.</w:t>
            </w:r>
          </w:p>
          <w:p w:rsidR="00095E5A" w:rsidRDefault="00095E5A" w:rsidP="00867BB6">
            <w:pPr>
              <w:pStyle w:val="Box"/>
            </w:pPr>
            <w:r>
              <w:t>Data reported against this indicator are:</w:t>
            </w:r>
          </w:p>
          <w:p w:rsidR="00095E5A" w:rsidRDefault="00095E5A" w:rsidP="00867BB6">
            <w:pPr>
              <w:pStyle w:val="BoxListBullet"/>
            </w:pPr>
            <w:r>
              <w:t>comparable (subject to caveats) across jurisdictions and over time</w:t>
            </w:r>
          </w:p>
          <w:p w:rsidR="00095E5A" w:rsidRDefault="00095E5A" w:rsidP="00867BB6">
            <w:pPr>
              <w:pStyle w:val="BoxListBullet"/>
            </w:pPr>
            <w:r>
              <w:t>complete (subject to caveats) for the current reporting period. All required 201</w:t>
            </w:r>
            <w:r w:rsidR="00094B4A">
              <w:t>3</w:t>
            </w:r>
            <w:r>
              <w:noBreakHyphen/>
              <w:t>1</w:t>
            </w:r>
            <w:r w:rsidR="00094B4A">
              <w:t>4</w:t>
            </w:r>
            <w:r>
              <w:t xml:space="preserve"> data are available for all jurisdictions.</w:t>
            </w:r>
          </w:p>
          <w:p w:rsidR="00095E5A" w:rsidRPr="00E52E8A" w:rsidRDefault="00BD6179" w:rsidP="00E52E8A">
            <w:pPr>
              <w:pStyle w:val="Box"/>
              <w:rPr>
                <w:rStyle w:val="DraftingNote"/>
                <w:b w:val="0"/>
                <w:color w:val="auto"/>
                <w:sz w:val="20"/>
                <w:u w:val="none"/>
              </w:rPr>
            </w:pPr>
            <w:r w:rsidRPr="0027351B">
              <w:t xml:space="preserve">Data quality information </w:t>
            </w:r>
            <w:r w:rsidRPr="00B86109">
              <w:t xml:space="preserve">for this </w:t>
            </w:r>
            <w:r>
              <w:t>indicator</w:t>
            </w:r>
            <w:r w:rsidRPr="00B86109">
              <w:t xml:space="preserve"> is at </w:t>
            </w:r>
            <w:r w:rsidR="00786AB7">
              <w:t>www.pc.gov.au</w:t>
            </w:r>
            <w:r w:rsidRPr="004C1535">
              <w:t>/</w:t>
            </w:r>
            <w:r>
              <w:t>rogs/2015</w:t>
            </w:r>
            <w:r w:rsidRPr="004C1535">
              <w:t>.</w:t>
            </w:r>
          </w:p>
        </w:tc>
      </w:tr>
      <w:tr w:rsidR="00095E5A" w:rsidTr="00867BB6">
        <w:trPr>
          <w:cantSplit/>
        </w:trPr>
        <w:tc>
          <w:tcPr>
            <w:tcW w:w="8771" w:type="dxa"/>
            <w:tcBorders>
              <w:top w:val="nil"/>
              <w:left w:val="nil"/>
              <w:bottom w:val="single" w:sz="6" w:space="0" w:color="78A22F"/>
              <w:right w:val="nil"/>
            </w:tcBorders>
            <w:shd w:val="clear" w:color="auto" w:fill="F2F2F2" w:themeFill="background1" w:themeFillShade="F2"/>
          </w:tcPr>
          <w:p w:rsidR="00095E5A" w:rsidRDefault="00095E5A">
            <w:pPr>
              <w:pStyle w:val="Box"/>
              <w:spacing w:before="0" w:line="120" w:lineRule="exact"/>
            </w:pPr>
          </w:p>
        </w:tc>
      </w:tr>
      <w:tr w:rsidR="00095E5A" w:rsidRPr="000863A5" w:rsidTr="00867BB6">
        <w:tc>
          <w:tcPr>
            <w:tcW w:w="8771" w:type="dxa"/>
            <w:tcBorders>
              <w:top w:val="single" w:sz="6" w:space="0" w:color="78A22F"/>
              <w:left w:val="nil"/>
              <w:bottom w:val="nil"/>
              <w:right w:val="nil"/>
            </w:tcBorders>
          </w:tcPr>
          <w:p w:rsidR="00095E5A" w:rsidRPr="00626D32" w:rsidRDefault="00095E5A" w:rsidP="00867BB6">
            <w:pPr>
              <w:pStyle w:val="BoxSpaceBelow"/>
            </w:pPr>
          </w:p>
        </w:tc>
      </w:tr>
    </w:tbl>
    <w:p w:rsidR="00D370B6" w:rsidRDefault="00D370B6" w:rsidP="009821EC">
      <w:pPr>
        <w:pStyle w:val="BodyText"/>
      </w:pPr>
      <w:r w:rsidRPr="00D370B6">
        <w:t xml:space="preserve">The </w:t>
      </w:r>
      <w:r w:rsidR="00830C77">
        <w:t xml:space="preserve">targeted </w:t>
      </w:r>
      <w:r w:rsidRPr="00D370B6">
        <w:t xml:space="preserve">age range for </w:t>
      </w:r>
      <w:r w:rsidR="00D16EBA">
        <w:t>Aboriginal and Torres Strait Islander</w:t>
      </w:r>
      <w:r w:rsidR="006E4E2B">
        <w:t xml:space="preserve"> Australians</w:t>
      </w:r>
      <w:r w:rsidRPr="00D370B6">
        <w:t xml:space="preserve"> </w:t>
      </w:r>
      <w:r w:rsidR="00830C77">
        <w:t xml:space="preserve">of 55 years or over </w:t>
      </w:r>
      <w:r w:rsidRPr="00D370B6">
        <w:t xml:space="preserve">recognises that they typically face increased health risks at younger ages than most other groups in the population. It also broadly reflects the difference in average life expectancy between the </w:t>
      </w:r>
      <w:r w:rsidR="00D16EBA">
        <w:t>Aboriginal and Torres Strait Islander</w:t>
      </w:r>
      <w:r w:rsidRPr="00D370B6">
        <w:t xml:space="preserve"> </w:t>
      </w:r>
      <w:r w:rsidRPr="00DF4691">
        <w:t xml:space="preserve">and </w:t>
      </w:r>
      <w:r w:rsidR="00DF4691" w:rsidRPr="00DF4691">
        <w:t>non-Indigenous</w:t>
      </w:r>
      <w:r w:rsidR="005C42E8">
        <w:t xml:space="preserve"> populations (see the </w:t>
      </w:r>
      <w:r w:rsidRPr="00D370B6">
        <w:t xml:space="preserve">Health </w:t>
      </w:r>
      <w:r w:rsidR="009B644B">
        <w:t xml:space="preserve">sector </w:t>
      </w:r>
      <w:r w:rsidR="004878A5">
        <w:t>overview</w:t>
      </w:r>
      <w:r w:rsidRPr="00D370B6">
        <w:t xml:space="preserve">). Results for </w:t>
      </w:r>
      <w:r w:rsidR="00D16EBA">
        <w:t>Aboriginal and Torres Strait Islander</w:t>
      </w:r>
      <w:r w:rsidR="006E4E2B">
        <w:t xml:space="preserve"> </w:t>
      </w:r>
      <w:r w:rsidR="00DF4691">
        <w:t>people</w:t>
      </w:r>
      <w:r w:rsidRPr="00D370B6">
        <w:t xml:space="preserve"> are reported under equity indicators (</w:t>
      </w:r>
      <w:r w:rsidR="00897589">
        <w:t>box 10.</w:t>
      </w:r>
      <w:r w:rsidR="00C93335">
        <w:t>5</w:t>
      </w:r>
      <w:r w:rsidRPr="00646F6C">
        <w:t>).</w:t>
      </w:r>
    </w:p>
    <w:p w:rsidR="0001197C" w:rsidRPr="00121643" w:rsidRDefault="00121643" w:rsidP="00584945">
      <w:pPr>
        <w:pStyle w:val="BodyText"/>
      </w:pPr>
      <w:r>
        <w:t>T</w:t>
      </w:r>
      <w:r w:rsidR="0001197C" w:rsidRPr="0001197C">
        <w:t>he</w:t>
      </w:r>
      <w:r>
        <w:t xml:space="preserve">re has </w:t>
      </w:r>
      <w:r w:rsidRPr="00D44B6A">
        <w:t>been a</w:t>
      </w:r>
      <w:r w:rsidR="000E51BE" w:rsidRPr="00D44B6A">
        <w:t>n</w:t>
      </w:r>
      <w:r w:rsidRPr="00D44B6A">
        <w:t xml:space="preserve"> </w:t>
      </w:r>
      <w:r w:rsidRPr="005A5416">
        <w:t>increase</w:t>
      </w:r>
      <w:r w:rsidRPr="00D44B6A">
        <w:t xml:space="preserve"> in</w:t>
      </w:r>
      <w:r>
        <w:t xml:space="preserve"> the</w:t>
      </w:r>
      <w:r w:rsidR="0001197C" w:rsidRPr="0001197C">
        <w:t xml:space="preserve"> proportion of older people </w:t>
      </w:r>
      <w:r>
        <w:t>receiving</w:t>
      </w:r>
      <w:r w:rsidR="0001197C" w:rsidRPr="0001197C">
        <w:t xml:space="preserve"> a </w:t>
      </w:r>
      <w:r w:rsidR="0001197C" w:rsidRPr="00C816D9">
        <w:t xml:space="preserve">health </w:t>
      </w:r>
      <w:r w:rsidR="0001197C" w:rsidRPr="00D44B6A">
        <w:t xml:space="preserve">assessment </w:t>
      </w:r>
      <w:r w:rsidRPr="00D44B6A">
        <w:t xml:space="preserve">in </w:t>
      </w:r>
      <w:r w:rsidR="000E51BE" w:rsidRPr="00D44B6A">
        <w:t>all</w:t>
      </w:r>
      <w:r w:rsidRPr="00D44B6A">
        <w:t xml:space="preserve"> jurisdictions in the </w:t>
      </w:r>
      <w:r w:rsidRPr="005A5416">
        <w:t xml:space="preserve">period </w:t>
      </w:r>
      <w:r w:rsidR="00C816D9" w:rsidRPr="005A5416">
        <w:t>200</w:t>
      </w:r>
      <w:r w:rsidR="0034461E">
        <w:t>9</w:t>
      </w:r>
      <w:r w:rsidR="00C816D9" w:rsidRPr="005A5416">
        <w:t>-</w:t>
      </w:r>
      <w:r w:rsidR="0034461E">
        <w:t>1</w:t>
      </w:r>
      <w:r w:rsidR="002D2514" w:rsidRPr="005A5416">
        <w:t>0</w:t>
      </w:r>
      <w:r w:rsidR="00C816D9" w:rsidRPr="005A5416">
        <w:t xml:space="preserve"> </w:t>
      </w:r>
      <w:r w:rsidRPr="005A5416">
        <w:t>to 20</w:t>
      </w:r>
      <w:r w:rsidR="00646F6C" w:rsidRPr="005A5416">
        <w:t>1</w:t>
      </w:r>
      <w:r w:rsidR="0034461E">
        <w:t>3</w:t>
      </w:r>
      <w:r w:rsidRPr="005A5416">
        <w:t>-</w:t>
      </w:r>
      <w:r w:rsidR="002D2514" w:rsidRPr="005A5416">
        <w:t>1</w:t>
      </w:r>
      <w:r w:rsidR="0034461E">
        <w:t>4</w:t>
      </w:r>
      <w:r w:rsidRPr="005A5416">
        <w:t>. Nation</w:t>
      </w:r>
      <w:r w:rsidR="00835561" w:rsidRPr="005A5416">
        <w:t>ally</w:t>
      </w:r>
      <w:r w:rsidRPr="005A5416">
        <w:t>, this</w:t>
      </w:r>
      <w:r w:rsidRPr="00D44B6A">
        <w:t xml:space="preserve"> proportion </w:t>
      </w:r>
      <w:r w:rsidR="0001197C" w:rsidRPr="00D44B6A">
        <w:t>increased from</w:t>
      </w:r>
      <w:r w:rsidR="005A5416">
        <w:t xml:space="preserve"> 2</w:t>
      </w:r>
      <w:r w:rsidR="0034461E">
        <w:t>3</w:t>
      </w:r>
      <w:r w:rsidR="005A5416">
        <w:t>.</w:t>
      </w:r>
      <w:r w:rsidR="0034461E">
        <w:t>5</w:t>
      </w:r>
      <w:r w:rsidR="0001197C" w:rsidRPr="00D44B6A">
        <w:t xml:space="preserve"> </w:t>
      </w:r>
      <w:r w:rsidRPr="005A5416">
        <w:t>per</w:t>
      </w:r>
      <w:r w:rsidR="002F43AC" w:rsidRPr="005A5416">
        <w:t> </w:t>
      </w:r>
      <w:r w:rsidRPr="005A5416">
        <w:t>cent</w:t>
      </w:r>
      <w:r w:rsidR="000C6E81" w:rsidRPr="005A5416">
        <w:t xml:space="preserve"> </w:t>
      </w:r>
      <w:r w:rsidRPr="005A5416">
        <w:t xml:space="preserve">in </w:t>
      </w:r>
      <w:r w:rsidR="0034461E" w:rsidRPr="005A5416">
        <w:t>200</w:t>
      </w:r>
      <w:r w:rsidR="0034461E">
        <w:t>9</w:t>
      </w:r>
      <w:r w:rsidR="0034461E" w:rsidRPr="005A5416">
        <w:t>-</w:t>
      </w:r>
      <w:r w:rsidR="0034461E">
        <w:t>1</w:t>
      </w:r>
      <w:r w:rsidR="0034461E" w:rsidRPr="005A5416">
        <w:t xml:space="preserve">0 </w:t>
      </w:r>
      <w:r w:rsidR="00646F6C" w:rsidRPr="005A5416">
        <w:t xml:space="preserve">to </w:t>
      </w:r>
      <w:r w:rsidR="0034461E">
        <w:t>31.1</w:t>
      </w:r>
      <w:r w:rsidR="00174D43" w:rsidRPr="005A5416">
        <w:t> </w:t>
      </w:r>
      <w:r w:rsidR="000A258A" w:rsidRPr="005A5416">
        <w:t>per </w:t>
      </w:r>
      <w:r w:rsidR="0001197C" w:rsidRPr="005A5416">
        <w:t xml:space="preserve">cent in </w:t>
      </w:r>
      <w:r w:rsidR="0034461E" w:rsidRPr="005A5416">
        <w:t>201</w:t>
      </w:r>
      <w:r w:rsidR="0034461E">
        <w:t>3</w:t>
      </w:r>
      <w:r w:rsidR="0034461E" w:rsidRPr="005A5416">
        <w:t>-1</w:t>
      </w:r>
      <w:r w:rsidR="0034461E">
        <w:t>4</w:t>
      </w:r>
      <w:r w:rsidR="0034461E" w:rsidRPr="00D44B6A">
        <w:t xml:space="preserve"> </w:t>
      </w:r>
      <w:r w:rsidR="0001197C" w:rsidRPr="00D44B6A">
        <w:t>(</w:t>
      </w:r>
      <w:r w:rsidR="00897589">
        <w:t>figure 10.</w:t>
      </w:r>
      <w:r w:rsidR="00515C23" w:rsidRPr="00D44B6A">
        <w:t>3</w:t>
      </w:r>
      <w:r w:rsidR="00555489">
        <w:t>7</w:t>
      </w:r>
      <w:r w:rsidR="0001197C" w:rsidRPr="00D44B6A">
        <w:t>).</w:t>
      </w:r>
      <w:r w:rsidR="00CB3F80">
        <w:t xml:space="preserve"> Data are presented for an 8 year time series in table 10A.7</w:t>
      </w:r>
      <w:r w:rsidR="00F622DA">
        <w:t>7</w:t>
      </w:r>
      <w:r w:rsidR="008D6A30">
        <w:t>.</w:t>
      </w:r>
    </w:p>
    <w:p w:rsidR="005A01A0" w:rsidRDefault="005A01A0" w:rsidP="00D61F90">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5A01A0" w:rsidTr="00D61F90">
        <w:tc>
          <w:tcPr>
            <w:tcW w:w="8771" w:type="dxa"/>
            <w:tcBorders>
              <w:top w:val="single" w:sz="6" w:space="0" w:color="78A22F"/>
              <w:left w:val="nil"/>
              <w:bottom w:val="nil"/>
              <w:right w:val="nil"/>
            </w:tcBorders>
            <w:shd w:val="clear" w:color="auto" w:fill="auto"/>
          </w:tcPr>
          <w:p w:rsidR="005A01A0" w:rsidRPr="008B1F24" w:rsidRDefault="005A01A0" w:rsidP="008B1F24">
            <w:pPr>
              <w:pStyle w:val="FigureTitle"/>
              <w:rPr>
                <w:rStyle w:val="NoteLabel"/>
              </w:rPr>
            </w:pPr>
            <w:r w:rsidRPr="00784A05">
              <w:rPr>
                <w:b w:val="0"/>
              </w:rPr>
              <w:t xml:space="preserve">Figure </w:t>
            </w:r>
            <w:r w:rsidR="00DF255F">
              <w:rPr>
                <w:b w:val="0"/>
              </w:rPr>
              <w:t>10.</w:t>
            </w:r>
            <w:r w:rsidR="0078724D">
              <w:rPr>
                <w:b w:val="0"/>
                <w:noProof/>
              </w:rPr>
              <w:t>37</w:t>
            </w:r>
            <w:r w:rsidR="007F6071">
              <w:tab/>
            </w:r>
            <w:r w:rsidR="008B1F24">
              <w:t>O</w:t>
            </w:r>
            <w:r w:rsidR="008B1F24" w:rsidRPr="007F6071">
              <w:t>lder people</w:t>
            </w:r>
            <w:r w:rsidR="008B1F24">
              <w:t xml:space="preserve"> </w:t>
            </w:r>
            <w:r w:rsidR="008B1F24" w:rsidRPr="008B1F24">
              <w:t xml:space="preserve">who received an annual health </w:t>
            </w:r>
            <w:r w:rsidR="008B1F24">
              <w:t>assessment</w:t>
            </w:r>
            <w:r w:rsidR="008B1F24" w:rsidRPr="008B1F24">
              <w:rPr>
                <w:rStyle w:val="NoteLabel"/>
                <w:b/>
              </w:rPr>
              <w:t>a, b</w:t>
            </w:r>
          </w:p>
        </w:tc>
      </w:tr>
      <w:tr w:rsidR="005A01A0" w:rsidTr="00D61F90">
        <w:tc>
          <w:tcPr>
            <w:tcW w:w="8771" w:type="dxa"/>
            <w:tcBorders>
              <w:top w:val="nil"/>
              <w:left w:val="nil"/>
              <w:bottom w:val="nil"/>
              <w:right w:val="nil"/>
            </w:tcBorders>
            <w:shd w:val="clear" w:color="auto" w:fill="auto"/>
            <w:tcMar>
              <w:top w:w="28" w:type="dxa"/>
              <w:bottom w:w="28" w:type="dxa"/>
            </w:tcMar>
          </w:tcPr>
          <w:tbl>
            <w:tblPr>
              <w:tblW w:w="8625" w:type="dxa"/>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625"/>
            </w:tblGrid>
            <w:tr w:rsidR="005A01A0" w:rsidTr="005A1022">
              <w:tc>
                <w:tcPr>
                  <w:tcW w:w="5000" w:type="pct"/>
                  <w:tcBorders>
                    <w:top w:val="nil"/>
                    <w:bottom w:val="nil"/>
                  </w:tcBorders>
                </w:tcPr>
                <w:p w:rsidR="005A01A0" w:rsidRDefault="007B1994" w:rsidP="00D61F90">
                  <w:pPr>
                    <w:pStyle w:val="Figure"/>
                    <w:spacing w:before="60" w:after="60"/>
                  </w:pPr>
                  <w:r>
                    <w:rPr>
                      <w:noProof/>
                    </w:rPr>
                    <w:drawing>
                      <wp:inline distT="0" distB="0" distL="0" distR="0">
                        <wp:extent cx="5391150" cy="2867025"/>
                        <wp:effectExtent l="0" t="0" r="0" b="9525"/>
                        <wp:docPr id="46" name="Picture 46" descr="Figure 10.37 Older people who received an annual health assessment&#10;&#10;More details can be found within the text surrounding this image.&#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5391150" cy="2867025"/>
                                </a:xfrm>
                                <a:prstGeom prst="rect">
                                  <a:avLst/>
                                </a:prstGeom>
                                <a:noFill/>
                                <a:ln>
                                  <a:noFill/>
                                </a:ln>
                              </pic:spPr>
                            </pic:pic>
                          </a:graphicData>
                        </a:graphic>
                      </wp:inline>
                    </w:drawing>
                  </w:r>
                </w:p>
              </w:tc>
            </w:tr>
          </w:tbl>
          <w:p w:rsidR="005A01A0" w:rsidRDefault="005A01A0" w:rsidP="00D61F90">
            <w:pPr>
              <w:pStyle w:val="Figure"/>
            </w:pPr>
          </w:p>
        </w:tc>
      </w:tr>
      <w:tr w:rsidR="005A01A0" w:rsidRPr="00176D3F" w:rsidTr="00D61F90">
        <w:tc>
          <w:tcPr>
            <w:tcW w:w="8771" w:type="dxa"/>
            <w:tcBorders>
              <w:top w:val="nil"/>
              <w:left w:val="nil"/>
              <w:bottom w:val="nil"/>
              <w:right w:val="nil"/>
            </w:tcBorders>
            <w:shd w:val="clear" w:color="auto" w:fill="auto"/>
          </w:tcPr>
          <w:p w:rsidR="005A01A0" w:rsidRPr="00176D3F" w:rsidRDefault="005A01A0" w:rsidP="000157E6">
            <w:pPr>
              <w:pStyle w:val="Note"/>
            </w:pPr>
            <w:r>
              <w:rPr>
                <w:rStyle w:val="NoteLabel"/>
              </w:rPr>
              <w:t>a</w:t>
            </w:r>
            <w:r>
              <w:sym w:font="Symbol" w:char="F020"/>
            </w:r>
            <w:r>
              <w:t>Older people are defined as non-</w:t>
            </w:r>
            <w:r w:rsidR="000157E6">
              <w:t>Indigenous</w:t>
            </w:r>
            <w:r>
              <w:t xml:space="preserve"> Australians aged 75 years or over and </w:t>
            </w:r>
            <w:r w:rsidR="00D16EBA">
              <w:t>Aboriginal and Torres Strait Islander</w:t>
            </w:r>
            <w:r w:rsidR="00A40B60">
              <w:t xml:space="preserve"> </w:t>
            </w:r>
            <w:r>
              <w:t xml:space="preserve">Australians aged 55 years or over, excluding hospital inpatients and people living in aged care facilities. </w:t>
            </w:r>
            <w:r>
              <w:rPr>
                <w:rStyle w:val="NoteLabel"/>
              </w:rPr>
              <w:t>b</w:t>
            </w:r>
            <w:r>
              <w:sym w:font="Symbol" w:char="F020"/>
            </w:r>
            <w:r w:rsidR="007B18A2" w:rsidRPr="007B18A2">
              <w:t>Rates are revised to the ABS’ final 2011 Census rebased estimates and projections and may differ from previous reports. See chapter 2 (tables 2A.2 and 2A.1</w:t>
            </w:r>
            <w:r w:rsidR="00033303">
              <w:t>3</w:t>
            </w:r>
            <w:r w:rsidR="00033303">
              <w:noBreakHyphen/>
            </w:r>
            <w:r w:rsidR="007B18A2" w:rsidRPr="007B18A2">
              <w:t>1</w:t>
            </w:r>
            <w:r w:rsidR="00033303">
              <w:t>4</w:t>
            </w:r>
            <w:r w:rsidR="007B18A2" w:rsidRPr="007B18A2">
              <w:t>) for details.</w:t>
            </w:r>
          </w:p>
        </w:tc>
      </w:tr>
      <w:tr w:rsidR="005A01A0" w:rsidRPr="00176D3F" w:rsidTr="00D61F90">
        <w:tc>
          <w:tcPr>
            <w:tcW w:w="8771" w:type="dxa"/>
            <w:tcBorders>
              <w:top w:val="nil"/>
              <w:left w:val="nil"/>
              <w:bottom w:val="nil"/>
              <w:right w:val="nil"/>
            </w:tcBorders>
            <w:shd w:val="clear" w:color="auto" w:fill="auto"/>
          </w:tcPr>
          <w:p w:rsidR="005A01A0" w:rsidRPr="00176D3F" w:rsidRDefault="005A01A0" w:rsidP="009010CA">
            <w:pPr>
              <w:pStyle w:val="Source"/>
            </w:pPr>
            <w:r>
              <w:rPr>
                <w:i/>
              </w:rPr>
              <w:t>Source</w:t>
            </w:r>
            <w:r>
              <w:t>: Department of Health</w:t>
            </w:r>
            <w:r w:rsidRPr="0001197C">
              <w:t xml:space="preserve"> (unpublished)</w:t>
            </w:r>
            <w:r>
              <w:t xml:space="preserve"> </w:t>
            </w:r>
            <w:r w:rsidRPr="0004129E">
              <w:t xml:space="preserve">MBS </w:t>
            </w:r>
            <w:r>
              <w:t>Statistics</w:t>
            </w:r>
            <w:r w:rsidRPr="0001197C">
              <w:t xml:space="preserve">; </w:t>
            </w:r>
            <w:r>
              <w:t xml:space="preserve">ABS </w:t>
            </w:r>
            <w:r w:rsidR="009010CA">
              <w:t>(</w:t>
            </w:r>
            <w:r w:rsidRPr="00424A4E">
              <w:t>20</w:t>
            </w:r>
            <w:r w:rsidR="00F10707">
              <w:t>14</w:t>
            </w:r>
            <w:r w:rsidR="009010CA">
              <w:t>)</w:t>
            </w:r>
            <w:r w:rsidRPr="00424A4E">
              <w:t xml:space="preserve"> </w:t>
            </w:r>
            <w:r w:rsidRPr="00424A4E">
              <w:rPr>
                <w:i/>
              </w:rPr>
              <w:t xml:space="preserve">Experimental estimates and projections, Aboriginal and Torres Strait Islander Australians </w:t>
            </w:r>
            <w:r w:rsidR="00F10707">
              <w:rPr>
                <w:i/>
              </w:rPr>
              <w:t>2001 to 2026</w:t>
            </w:r>
            <w:r w:rsidRPr="00424A4E">
              <w:t>, Cat. no. 3238.0</w:t>
            </w:r>
            <w:r>
              <w:t xml:space="preserve">; </w:t>
            </w:r>
            <w:r w:rsidR="00B80444" w:rsidRPr="00B80444">
              <w:t xml:space="preserve">ABS (unpublished) </w:t>
            </w:r>
            <w:r w:rsidR="00B80444" w:rsidRPr="00B80444">
              <w:rPr>
                <w:i/>
              </w:rPr>
              <w:t>Australian Demographic Statistics</w:t>
            </w:r>
            <w:r w:rsidR="00B80444" w:rsidRPr="00B80444">
              <w:t>, Cat. no. 3101.0</w:t>
            </w:r>
            <w:r w:rsidRPr="006C74C6">
              <w:t>; table </w:t>
            </w:r>
            <w:r w:rsidR="00C9076B">
              <w:t>10A.</w:t>
            </w:r>
            <w:r>
              <w:t>7</w:t>
            </w:r>
            <w:r w:rsidR="00F622DA">
              <w:t>7</w:t>
            </w:r>
            <w:r w:rsidRPr="006C74C6">
              <w:t>.</w:t>
            </w:r>
          </w:p>
        </w:tc>
      </w:tr>
      <w:tr w:rsidR="005A01A0" w:rsidTr="00D61F90">
        <w:tc>
          <w:tcPr>
            <w:tcW w:w="8771" w:type="dxa"/>
            <w:tcBorders>
              <w:top w:val="nil"/>
              <w:left w:val="nil"/>
              <w:bottom w:val="single" w:sz="6" w:space="0" w:color="78A22F"/>
              <w:right w:val="nil"/>
            </w:tcBorders>
            <w:shd w:val="clear" w:color="auto" w:fill="auto"/>
          </w:tcPr>
          <w:p w:rsidR="005A01A0" w:rsidRDefault="005A01A0" w:rsidP="00D61F90">
            <w:pPr>
              <w:pStyle w:val="Figurespace"/>
            </w:pPr>
          </w:p>
        </w:tc>
      </w:tr>
      <w:tr w:rsidR="005A01A0" w:rsidRPr="000863A5" w:rsidTr="00D61F90">
        <w:tc>
          <w:tcPr>
            <w:tcW w:w="8771" w:type="dxa"/>
            <w:tcBorders>
              <w:top w:val="single" w:sz="6" w:space="0" w:color="78A22F"/>
              <w:left w:val="nil"/>
              <w:bottom w:val="nil"/>
              <w:right w:val="nil"/>
            </w:tcBorders>
          </w:tcPr>
          <w:p w:rsidR="005A01A0" w:rsidRPr="00626D32" w:rsidRDefault="005A01A0" w:rsidP="00D61F90">
            <w:pPr>
              <w:pStyle w:val="BoxSpaceBelow"/>
            </w:pPr>
          </w:p>
        </w:tc>
      </w:tr>
    </w:tbl>
    <w:p w:rsidR="0001197C" w:rsidRDefault="0001197C" w:rsidP="0001197C">
      <w:pPr>
        <w:pStyle w:val="Heading4"/>
      </w:pPr>
      <w:r w:rsidRPr="0001197C">
        <w:t>Sustainability</w:t>
      </w:r>
    </w:p>
    <w:p w:rsidR="009967B8" w:rsidRPr="009967B8" w:rsidRDefault="0001197C" w:rsidP="009967B8">
      <w:pPr>
        <w:pStyle w:val="BodyText"/>
      </w:pPr>
      <w:r w:rsidRPr="0001197C">
        <w:t>The Steering Committee has identified the sustainability of primary and community health as a key area for development in future reports.</w:t>
      </w:r>
    </w:p>
    <w:p w:rsidR="0001197C" w:rsidRDefault="0001197C" w:rsidP="0001197C">
      <w:pPr>
        <w:pStyle w:val="Heading3"/>
      </w:pPr>
      <w:r w:rsidRPr="0001197C">
        <w:t>Efficiency</w:t>
      </w:r>
    </w:p>
    <w:p w:rsidR="0001197C" w:rsidRDefault="0001197C" w:rsidP="0001197C">
      <w:pPr>
        <w:pStyle w:val="Heading4"/>
      </w:pPr>
      <w:r w:rsidRPr="0001197C">
        <w:t>Cost to government of general practice per person</w:t>
      </w:r>
    </w:p>
    <w:p w:rsidR="0001197C" w:rsidRDefault="005C42E8" w:rsidP="0001197C">
      <w:pPr>
        <w:pStyle w:val="BodyText"/>
      </w:pPr>
      <w:r>
        <w:t>‘C</w:t>
      </w:r>
      <w:r w:rsidR="0001197C" w:rsidRPr="0001197C">
        <w:t xml:space="preserve">ost to government of general practice per person’ is </w:t>
      </w:r>
      <w:r w:rsidR="004D6520">
        <w:t>an</w:t>
      </w:r>
      <w:r w:rsidR="0001197C" w:rsidRPr="0001197C">
        <w:t xml:space="preserve"> indicator of </w:t>
      </w:r>
      <w:r w:rsidR="004D6520">
        <w:t>governments’ objective to provide primary healthcare services in an</w:t>
      </w:r>
      <w:r w:rsidR="0001197C" w:rsidRPr="0001197C">
        <w:t xml:space="preserve"> efficien</w:t>
      </w:r>
      <w:r w:rsidR="004D6520">
        <w:t>t manner</w:t>
      </w:r>
      <w:r w:rsidR="0001197C" w:rsidRPr="0001197C">
        <w:t xml:space="preserve"> (</w:t>
      </w:r>
      <w:r w:rsidR="00897589">
        <w:t>box 10.</w:t>
      </w:r>
      <w:r w:rsidR="000C6FFD" w:rsidRPr="000C6FFD">
        <w:t>18</w:t>
      </w:r>
      <w:r w:rsidR="004D6520">
        <w:t>).</w:t>
      </w:r>
    </w:p>
    <w:p w:rsidR="00095E5A" w:rsidRDefault="00095E5A">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095E5A" w:rsidTr="00867BB6">
        <w:tc>
          <w:tcPr>
            <w:tcW w:w="8771" w:type="dxa"/>
            <w:tcBorders>
              <w:top w:val="single" w:sz="6" w:space="0" w:color="78A22F"/>
              <w:left w:val="nil"/>
              <w:bottom w:val="nil"/>
              <w:right w:val="nil"/>
            </w:tcBorders>
            <w:shd w:val="clear" w:color="auto" w:fill="F2F2F2" w:themeFill="background1" w:themeFillShade="F2"/>
          </w:tcPr>
          <w:p w:rsidR="00095E5A" w:rsidRDefault="00095E5A">
            <w:pPr>
              <w:pStyle w:val="BoxTitle"/>
            </w:pPr>
            <w:r>
              <w:rPr>
                <w:b w:val="0"/>
              </w:rPr>
              <w:t>Box 10.</w:t>
            </w:r>
            <w:r w:rsidR="0078724D">
              <w:rPr>
                <w:b w:val="0"/>
                <w:noProof/>
              </w:rPr>
              <w:t>18</w:t>
            </w:r>
            <w:r>
              <w:tab/>
            </w:r>
            <w:r w:rsidRPr="0001197C">
              <w:t>Cost to government of general practice per person</w:t>
            </w:r>
          </w:p>
        </w:tc>
      </w:tr>
      <w:tr w:rsidR="00095E5A" w:rsidTr="00867BB6">
        <w:trPr>
          <w:cantSplit/>
        </w:trPr>
        <w:tc>
          <w:tcPr>
            <w:tcW w:w="8771" w:type="dxa"/>
            <w:tcBorders>
              <w:top w:val="nil"/>
              <w:left w:val="nil"/>
              <w:bottom w:val="nil"/>
              <w:right w:val="nil"/>
            </w:tcBorders>
            <w:shd w:val="clear" w:color="auto" w:fill="F2F2F2" w:themeFill="background1" w:themeFillShade="F2"/>
          </w:tcPr>
          <w:p w:rsidR="00095E5A" w:rsidRDefault="00095E5A" w:rsidP="00867BB6">
            <w:pPr>
              <w:pStyle w:val="Box"/>
            </w:pPr>
            <w:r>
              <w:t>‘Cost to government of general practice per person’ is defined as the cost to government of general practice per person in the population.</w:t>
            </w:r>
          </w:p>
          <w:p w:rsidR="00095E5A" w:rsidRDefault="00095E5A" w:rsidP="00867BB6">
            <w:pPr>
              <w:pStyle w:val="Box"/>
            </w:pPr>
            <w:r w:rsidRPr="00A73D31">
              <w:t>This indicator needs to be interpreted with care. A low or decreasing cost per person can indicate higher efficiency, provided services are equally or more effective.</w:t>
            </w:r>
            <w:r>
              <w:t xml:space="preserve"> It can also reflect service substitution between primary healthcare and hospital or specialist services — potentially at greater expense.</w:t>
            </w:r>
          </w:p>
          <w:p w:rsidR="00095E5A" w:rsidRDefault="00095E5A" w:rsidP="00867BB6">
            <w:pPr>
              <w:pStyle w:val="Box"/>
            </w:pPr>
            <w:r>
              <w:t xml:space="preserve">Cost to government of general practice </w:t>
            </w:r>
            <w:r w:rsidRPr="00222501">
              <w:t xml:space="preserve">does not </w:t>
            </w:r>
            <w:r>
              <w:t>capture</w:t>
            </w:r>
            <w:r w:rsidRPr="00222501">
              <w:t xml:space="preserve"> costs </w:t>
            </w:r>
            <w:r>
              <w:t xml:space="preserve">of salaried GP service delivery models, used </w:t>
            </w:r>
            <w:r w:rsidRPr="00222501">
              <w:t>particularly in rural and remote areas</w:t>
            </w:r>
            <w:r>
              <w:t xml:space="preserve">, where </w:t>
            </w:r>
            <w:r w:rsidRPr="00222501">
              <w:t xml:space="preserve">primary healthcare </w:t>
            </w:r>
            <w:r>
              <w:t xml:space="preserve">services are provided </w:t>
            </w:r>
            <w:r w:rsidRPr="00222501">
              <w:t xml:space="preserve">by salaried GPs in community health settings, </w:t>
            </w:r>
            <w:r>
              <w:t xml:space="preserve">through </w:t>
            </w:r>
            <w:r w:rsidRPr="00222501">
              <w:t>emergency d</w:t>
            </w:r>
            <w:r>
              <w:t xml:space="preserve">epartments, and </w:t>
            </w:r>
            <w:r w:rsidR="00D16EBA">
              <w:t>Aboriginal and Torres Strait Islander</w:t>
            </w:r>
            <w:r w:rsidRPr="00222501">
              <w:t xml:space="preserve"> primary healthcare services. Consequently, costs for primary care </w:t>
            </w:r>
            <w:r>
              <w:t>are understated for</w:t>
            </w:r>
            <w:r w:rsidRPr="00222501">
              <w:t xml:space="preserve"> jurisdictions </w:t>
            </w:r>
            <w:r>
              <w:t>where a</w:t>
            </w:r>
            <w:r w:rsidRPr="00222501">
              <w:t xml:space="preserve"> large proportion of </w:t>
            </w:r>
            <w:r>
              <w:t xml:space="preserve">the </w:t>
            </w:r>
            <w:r w:rsidRPr="00222501">
              <w:t>population</w:t>
            </w:r>
            <w:r>
              <w:t xml:space="preserve"> live in</w:t>
            </w:r>
            <w:r w:rsidRPr="00222501">
              <w:t xml:space="preserve"> rural and remote</w:t>
            </w:r>
            <w:r>
              <w:t xml:space="preserve"> areas.</w:t>
            </w:r>
          </w:p>
          <w:p w:rsidR="00095E5A" w:rsidRDefault="00095E5A" w:rsidP="00867BB6">
            <w:pPr>
              <w:pStyle w:val="Box"/>
            </w:pPr>
            <w:r>
              <w:t>Data reported for this indicator are:</w:t>
            </w:r>
          </w:p>
          <w:p w:rsidR="00095E5A" w:rsidRPr="001720C4" w:rsidRDefault="00095E5A" w:rsidP="001720C4">
            <w:pPr>
              <w:pStyle w:val="BoxListBullet"/>
              <w:rPr>
                <w:b/>
              </w:rPr>
            </w:pPr>
            <w:r w:rsidRPr="001720C4">
              <w:t>comparable</w:t>
            </w:r>
            <w:r>
              <w:t xml:space="preserve"> (subject to caveats) </w:t>
            </w:r>
            <w:r w:rsidR="004D6E41" w:rsidRPr="00065D58">
              <w:t>across jurisdictions and over time</w:t>
            </w:r>
            <w:r w:rsidR="004D6E41">
              <w:t xml:space="preserve"> </w:t>
            </w:r>
            <w:r w:rsidR="004D6E41" w:rsidRPr="00706BB0">
              <w:t>but a break in time series means that data from 2012-13 are not compar</w:t>
            </w:r>
            <w:r w:rsidR="004D6E41">
              <w:t>able to data for previous years</w:t>
            </w:r>
          </w:p>
          <w:p w:rsidR="00095E5A" w:rsidRDefault="00095E5A" w:rsidP="00867BB6">
            <w:pPr>
              <w:pStyle w:val="BoxListBullet"/>
            </w:pPr>
            <w:r>
              <w:t>complete (subject to caveats) for the current reporting period. All required 201</w:t>
            </w:r>
            <w:r w:rsidR="00AB58A9">
              <w:t>3</w:t>
            </w:r>
            <w:r>
              <w:t>-1</w:t>
            </w:r>
            <w:r w:rsidR="00AB58A9">
              <w:t>4</w:t>
            </w:r>
            <w:r>
              <w:t xml:space="preserve"> data are available for all jurisdictions.</w:t>
            </w:r>
          </w:p>
          <w:p w:rsidR="00095E5A" w:rsidRDefault="00095E5A" w:rsidP="00AB58A9">
            <w:pPr>
              <w:pStyle w:val="Box"/>
            </w:pPr>
            <w:r w:rsidRPr="0027351B">
              <w:t xml:space="preserve">Data quality information </w:t>
            </w:r>
            <w:r>
              <w:t>for this indicator</w:t>
            </w:r>
            <w:r w:rsidR="00786AB7">
              <w:t xml:space="preserve"> is at www.pc.gov.au</w:t>
            </w:r>
            <w:r>
              <w:t>/rogs/201</w:t>
            </w:r>
            <w:r w:rsidR="00AB58A9">
              <w:t>5</w:t>
            </w:r>
            <w:r>
              <w:t>.</w:t>
            </w:r>
          </w:p>
        </w:tc>
      </w:tr>
      <w:tr w:rsidR="00095E5A" w:rsidTr="00867BB6">
        <w:trPr>
          <w:cantSplit/>
        </w:trPr>
        <w:tc>
          <w:tcPr>
            <w:tcW w:w="8771" w:type="dxa"/>
            <w:tcBorders>
              <w:top w:val="nil"/>
              <w:left w:val="nil"/>
              <w:bottom w:val="single" w:sz="6" w:space="0" w:color="78A22F"/>
              <w:right w:val="nil"/>
            </w:tcBorders>
            <w:shd w:val="clear" w:color="auto" w:fill="F2F2F2" w:themeFill="background1" w:themeFillShade="F2"/>
          </w:tcPr>
          <w:p w:rsidR="00095E5A" w:rsidRDefault="00095E5A">
            <w:pPr>
              <w:pStyle w:val="Box"/>
              <w:spacing w:before="0" w:line="120" w:lineRule="exact"/>
            </w:pPr>
          </w:p>
        </w:tc>
      </w:tr>
      <w:tr w:rsidR="00095E5A" w:rsidRPr="000863A5" w:rsidTr="00867BB6">
        <w:tc>
          <w:tcPr>
            <w:tcW w:w="8771" w:type="dxa"/>
            <w:tcBorders>
              <w:top w:val="single" w:sz="6" w:space="0" w:color="78A22F"/>
              <w:left w:val="nil"/>
              <w:bottom w:val="nil"/>
              <w:right w:val="nil"/>
            </w:tcBorders>
          </w:tcPr>
          <w:p w:rsidR="00095E5A" w:rsidRPr="00626D32" w:rsidRDefault="00095E5A" w:rsidP="00867BB6">
            <w:pPr>
              <w:pStyle w:val="BoxSpaceBelow"/>
            </w:pPr>
          </w:p>
        </w:tc>
      </w:tr>
    </w:tbl>
    <w:p w:rsidR="00A217B4" w:rsidRDefault="00A217B4" w:rsidP="00944E91">
      <w:pPr>
        <w:pStyle w:val="BodyText"/>
      </w:pPr>
      <w:r>
        <w:t xml:space="preserve">Data for </w:t>
      </w:r>
      <w:r w:rsidR="007A4C3D">
        <w:t xml:space="preserve">this indicator </w:t>
      </w:r>
      <w:r w:rsidR="00763B09">
        <w:t xml:space="preserve">have improved with the introduction of age-standardisation </w:t>
      </w:r>
      <w:r w:rsidR="007A4C3D">
        <w:t xml:space="preserve">for </w:t>
      </w:r>
      <w:r w:rsidR="007B18A3">
        <w:t xml:space="preserve">fee-for-service expenditure </w:t>
      </w:r>
      <w:r w:rsidR="009F5DD1">
        <w:t xml:space="preserve">data </w:t>
      </w:r>
      <w:r w:rsidR="00F80C35" w:rsidRPr="00F80C35">
        <w:t>through DHS Medicare and the DVA</w:t>
      </w:r>
      <w:r w:rsidR="00F80C35">
        <w:t xml:space="preserve"> </w:t>
      </w:r>
      <w:r w:rsidR="009F5DD1">
        <w:t xml:space="preserve">from </w:t>
      </w:r>
      <w:r>
        <w:t>2012-13</w:t>
      </w:r>
      <w:r w:rsidR="00763B09">
        <w:t>. These data are</w:t>
      </w:r>
      <w:r>
        <w:t xml:space="preserve"> not comparable with data for previous years</w:t>
      </w:r>
      <w:r w:rsidR="007A4C3D">
        <w:t xml:space="preserve"> that </w:t>
      </w:r>
      <w:r w:rsidR="00763B09">
        <w:t>are</w:t>
      </w:r>
      <w:r w:rsidR="00891CE5">
        <w:t xml:space="preserve"> not age</w:t>
      </w:r>
      <w:r w:rsidR="00891CE5">
        <w:noBreakHyphen/>
      </w:r>
      <w:r>
        <w:t>standardised</w:t>
      </w:r>
      <w:r w:rsidR="009F5DD1">
        <w:t xml:space="preserve"> </w:t>
      </w:r>
      <w:r w:rsidR="009F5DD1" w:rsidRPr="007B18A3">
        <w:t xml:space="preserve">and include expenditure on </w:t>
      </w:r>
      <w:r w:rsidR="007B18A3">
        <w:t xml:space="preserve">GP </w:t>
      </w:r>
      <w:r w:rsidR="009F5DD1" w:rsidRPr="007B18A3">
        <w:t>programs</w:t>
      </w:r>
      <w:r w:rsidR="007A4C3D" w:rsidRPr="007B18A3">
        <w:t xml:space="preserve">. </w:t>
      </w:r>
      <w:r w:rsidR="007A4C3D">
        <w:t xml:space="preserve">Historical data are provided in table </w:t>
      </w:r>
      <w:r w:rsidR="00C9076B">
        <w:t>10A.</w:t>
      </w:r>
      <w:r w:rsidR="00514F14">
        <w:t>3</w:t>
      </w:r>
      <w:r w:rsidR="007A4C3D">
        <w:t>.</w:t>
      </w:r>
    </w:p>
    <w:p w:rsidR="00240163" w:rsidRDefault="004D6520" w:rsidP="00944E91">
      <w:pPr>
        <w:pStyle w:val="BodyText"/>
      </w:pPr>
      <w:r w:rsidRPr="004D6520">
        <w:t xml:space="preserve">Nationally, </w:t>
      </w:r>
      <w:r w:rsidR="00F80C35" w:rsidRPr="004D6520">
        <w:t xml:space="preserve">Australian Government </w:t>
      </w:r>
      <w:r w:rsidR="00F80C35">
        <w:t xml:space="preserve">fee-for-service expenditure on </w:t>
      </w:r>
      <w:r w:rsidRPr="004D6520">
        <w:t xml:space="preserve">general practice was </w:t>
      </w:r>
      <w:r w:rsidR="00F80C35">
        <w:t xml:space="preserve">$7.3 billion — </w:t>
      </w:r>
      <w:r w:rsidRPr="00A217B4">
        <w:t>$2</w:t>
      </w:r>
      <w:r w:rsidR="00982852">
        <w:t>99</w:t>
      </w:r>
      <w:r w:rsidR="00EA4368" w:rsidRPr="00A217B4">
        <w:t> </w:t>
      </w:r>
      <w:r w:rsidRPr="00A217B4">
        <w:t>per</w:t>
      </w:r>
      <w:r w:rsidR="00EA4368" w:rsidRPr="00A217B4">
        <w:t> </w:t>
      </w:r>
      <w:r w:rsidRPr="00A217B4">
        <w:t xml:space="preserve">person </w:t>
      </w:r>
      <w:r w:rsidR="00F80C35">
        <w:t xml:space="preserve">— </w:t>
      </w:r>
      <w:r w:rsidRPr="00A217B4">
        <w:t>in 20</w:t>
      </w:r>
      <w:r w:rsidR="000C6FFD" w:rsidRPr="00A217B4">
        <w:t>1</w:t>
      </w:r>
      <w:r w:rsidR="00982852">
        <w:t>3</w:t>
      </w:r>
      <w:r w:rsidRPr="00A217B4">
        <w:t>-</w:t>
      </w:r>
      <w:r w:rsidR="0087499A" w:rsidRPr="00A217B4">
        <w:t>1</w:t>
      </w:r>
      <w:r w:rsidR="00982852">
        <w:t>4</w:t>
      </w:r>
      <w:r w:rsidR="00F80C35">
        <w:t xml:space="preserve"> </w:t>
      </w:r>
      <w:r w:rsidRPr="00B11940">
        <w:t>(</w:t>
      </w:r>
      <w:r w:rsidR="00897589">
        <w:t>figure 10.</w:t>
      </w:r>
      <w:r w:rsidR="00222388" w:rsidRPr="00B11940">
        <w:t>3</w:t>
      </w:r>
      <w:r w:rsidR="00555489">
        <w:t>8</w:t>
      </w:r>
      <w:r w:rsidR="000C6FFD" w:rsidRPr="00B11940">
        <w:t>).</w:t>
      </w:r>
      <w:r w:rsidR="00F80C35">
        <w:t xml:space="preserve"> </w:t>
      </w:r>
      <w:r w:rsidR="00EA6999">
        <w:t>Total</w:t>
      </w:r>
      <w:r w:rsidR="00EA6999" w:rsidRPr="00EA6999">
        <w:t xml:space="preserve"> </w:t>
      </w:r>
      <w:r w:rsidR="00EA6999" w:rsidRPr="004D6520">
        <w:t>Australian Government</w:t>
      </w:r>
      <w:r w:rsidR="00EA6999">
        <w:t xml:space="preserve"> expenditure on </w:t>
      </w:r>
      <w:r w:rsidR="00EA6999" w:rsidRPr="004D6520">
        <w:t xml:space="preserve">general practice </w:t>
      </w:r>
      <w:r w:rsidR="00EA6999">
        <w:t xml:space="preserve">included </w:t>
      </w:r>
      <w:r w:rsidR="00EA6999" w:rsidRPr="00F80C35">
        <w:t>PIP and Medicare Locals</w:t>
      </w:r>
      <w:r w:rsidR="00EA6999">
        <w:t xml:space="preserve"> funding of a</w:t>
      </w:r>
      <w:r w:rsidR="00F80C35">
        <w:t xml:space="preserve"> further </w:t>
      </w:r>
      <w:r w:rsidR="00F80C35" w:rsidRPr="00F80C35">
        <w:t>$</w:t>
      </w:r>
      <w:r w:rsidR="004D5677">
        <w:t>600 m</w:t>
      </w:r>
      <w:r w:rsidR="00F80C35" w:rsidRPr="00F80C35">
        <w:t>illion</w:t>
      </w:r>
      <w:r w:rsidR="00EA6999">
        <w:t xml:space="preserve"> (table 10A.3).</w:t>
      </w:r>
    </w:p>
    <w:p w:rsidR="00816D3D" w:rsidRDefault="00816D3D" w:rsidP="00D61F90">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816D3D" w:rsidTr="00D61F90">
        <w:tc>
          <w:tcPr>
            <w:tcW w:w="8771" w:type="dxa"/>
            <w:tcBorders>
              <w:top w:val="single" w:sz="6" w:space="0" w:color="78A22F"/>
              <w:left w:val="nil"/>
              <w:bottom w:val="nil"/>
              <w:right w:val="nil"/>
            </w:tcBorders>
            <w:shd w:val="clear" w:color="auto" w:fill="auto"/>
          </w:tcPr>
          <w:p w:rsidR="00816D3D" w:rsidRPr="00176D3F" w:rsidRDefault="00816D3D" w:rsidP="009514DC">
            <w:pPr>
              <w:pStyle w:val="FigureTitle"/>
            </w:pPr>
            <w:r w:rsidRPr="00784A05">
              <w:rPr>
                <w:b w:val="0"/>
              </w:rPr>
              <w:t xml:space="preserve">Figure </w:t>
            </w:r>
            <w:r w:rsidR="00DF255F">
              <w:rPr>
                <w:b w:val="0"/>
              </w:rPr>
              <w:t>10.</w:t>
            </w:r>
            <w:r w:rsidR="0078724D">
              <w:rPr>
                <w:b w:val="0"/>
                <w:noProof/>
              </w:rPr>
              <w:t>38</w:t>
            </w:r>
            <w:r>
              <w:tab/>
            </w:r>
            <w:r w:rsidRPr="0001197C">
              <w:t xml:space="preserve">Australian Government </w:t>
            </w:r>
            <w:r w:rsidR="00982852">
              <w:t>fee-for-service expenditure per </w:t>
            </w:r>
            <w:r w:rsidRPr="0001197C">
              <w:t xml:space="preserve">person on </w:t>
            </w:r>
            <w:r w:rsidRPr="00D842D1">
              <w:t>GPs</w:t>
            </w:r>
            <w:r w:rsidR="009514DC">
              <w:t xml:space="preserve"> </w:t>
            </w:r>
            <w:r w:rsidR="009514DC" w:rsidRPr="009514DC">
              <w:t>(201</w:t>
            </w:r>
            <w:r w:rsidR="009514DC">
              <w:t>3-</w:t>
            </w:r>
            <w:r w:rsidR="009514DC" w:rsidRPr="009514DC">
              <w:t>1</w:t>
            </w:r>
            <w:r w:rsidR="009514DC">
              <w:t>4</w:t>
            </w:r>
            <w:r w:rsidR="009514DC" w:rsidRPr="009514DC">
              <w:t xml:space="preserve"> dollars)</w:t>
            </w:r>
            <w:r w:rsidRPr="00711A02">
              <w:rPr>
                <w:rStyle w:val="NoteLabel"/>
                <w:b/>
              </w:rPr>
              <w:t>a</w:t>
            </w:r>
            <w:r w:rsidR="00AB58A9">
              <w:rPr>
                <w:rStyle w:val="NoteLabel"/>
                <w:b/>
              </w:rPr>
              <w:t>, b, c</w:t>
            </w:r>
          </w:p>
        </w:tc>
      </w:tr>
      <w:tr w:rsidR="00816D3D" w:rsidTr="00D61F90">
        <w:tc>
          <w:tcPr>
            <w:tcW w:w="8771" w:type="dxa"/>
            <w:tcBorders>
              <w:top w:val="nil"/>
              <w:left w:val="nil"/>
              <w:bottom w:val="nil"/>
              <w:right w:val="nil"/>
            </w:tcBorders>
            <w:shd w:val="clear" w:color="auto" w:fill="auto"/>
            <w:tcMar>
              <w:top w:w="28" w:type="dxa"/>
              <w:bottom w:w="28" w:type="dxa"/>
            </w:tcMar>
          </w:tcPr>
          <w:tbl>
            <w:tblPr>
              <w:tblW w:w="8625" w:type="dxa"/>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625"/>
            </w:tblGrid>
            <w:tr w:rsidR="00816D3D" w:rsidTr="00982852">
              <w:tc>
                <w:tcPr>
                  <w:tcW w:w="5000" w:type="pct"/>
                  <w:tcBorders>
                    <w:top w:val="nil"/>
                    <w:bottom w:val="nil"/>
                  </w:tcBorders>
                </w:tcPr>
                <w:p w:rsidR="00816D3D" w:rsidRDefault="007B1994" w:rsidP="00D61F90">
                  <w:pPr>
                    <w:pStyle w:val="Figure"/>
                    <w:spacing w:before="60" w:after="60"/>
                  </w:pPr>
                  <w:r>
                    <w:rPr>
                      <w:noProof/>
                    </w:rPr>
                    <w:drawing>
                      <wp:inline distT="0" distB="0" distL="0" distR="0">
                        <wp:extent cx="5391150" cy="2886075"/>
                        <wp:effectExtent l="0" t="0" r="0" b="9525"/>
                        <wp:docPr id="47" name="Picture 47" descr="Figure 10.38 Australian Government fee-for-service expenditure per person on GPs (2013-14 dollars)&#10;&#10;More details can be found within the text surrounding this image.&#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5391150" cy="2886075"/>
                                </a:xfrm>
                                <a:prstGeom prst="rect">
                                  <a:avLst/>
                                </a:prstGeom>
                                <a:noFill/>
                                <a:ln>
                                  <a:noFill/>
                                </a:ln>
                              </pic:spPr>
                            </pic:pic>
                          </a:graphicData>
                        </a:graphic>
                      </wp:inline>
                    </w:drawing>
                  </w:r>
                </w:p>
              </w:tc>
            </w:tr>
          </w:tbl>
          <w:p w:rsidR="00816D3D" w:rsidRDefault="00816D3D" w:rsidP="00D61F90">
            <w:pPr>
              <w:pStyle w:val="Figure"/>
            </w:pPr>
          </w:p>
        </w:tc>
      </w:tr>
      <w:tr w:rsidR="00816D3D" w:rsidRPr="00176D3F" w:rsidTr="00D61F90">
        <w:tc>
          <w:tcPr>
            <w:tcW w:w="8771" w:type="dxa"/>
            <w:tcBorders>
              <w:top w:val="nil"/>
              <w:left w:val="nil"/>
              <w:bottom w:val="nil"/>
              <w:right w:val="nil"/>
            </w:tcBorders>
            <w:shd w:val="clear" w:color="auto" w:fill="auto"/>
          </w:tcPr>
          <w:p w:rsidR="00816D3D" w:rsidRPr="00176D3F" w:rsidRDefault="00816D3D" w:rsidP="00C01C39">
            <w:pPr>
              <w:pStyle w:val="Note"/>
              <w:keepNext/>
            </w:pPr>
            <w:r>
              <w:rPr>
                <w:rStyle w:val="NoteLabel"/>
              </w:rPr>
              <w:t>a</w:t>
            </w:r>
            <w:r w:rsidR="00C01C39" w:rsidRPr="00364183">
              <w:t xml:space="preserve"> Time series financial data are adjusted to 2013-14 dollars using the General Government Final Consumption Expenditure (GGFCE) chain price deflator (201</w:t>
            </w:r>
            <w:r w:rsidR="00C01C39">
              <w:t>3-14 = 100) (table 2A.51). See c</w:t>
            </w:r>
            <w:r w:rsidR="00C01C39" w:rsidRPr="00364183">
              <w:t>hapter 2 (sections 2.5-6) for details</w:t>
            </w:r>
            <w:r w:rsidR="00C01C39" w:rsidRPr="001C6EF4">
              <w:t>.</w:t>
            </w:r>
            <w:r w:rsidR="00C01C39">
              <w:t xml:space="preserve"> </w:t>
            </w:r>
            <w:r w:rsidR="00C01C39">
              <w:rPr>
                <w:rStyle w:val="NoteLabel"/>
              </w:rPr>
              <w:t>b</w:t>
            </w:r>
            <w:r w:rsidR="00C01C39">
              <w:t> </w:t>
            </w:r>
            <w:r>
              <w:t xml:space="preserve">Data are directly age-standardised to the 2001 Australian standard population. </w:t>
            </w:r>
            <w:r w:rsidR="00C01C39">
              <w:rPr>
                <w:rStyle w:val="NoteLabel"/>
              </w:rPr>
              <w:t>c</w:t>
            </w:r>
            <w:r w:rsidRPr="0001197C">
              <w:t xml:space="preserve"> </w:t>
            </w:r>
            <w:r>
              <w:t>D</w:t>
            </w:r>
            <w:r w:rsidRPr="0001197C">
              <w:t xml:space="preserve">ata include </w:t>
            </w:r>
            <w:r>
              <w:t>DHS M</w:t>
            </w:r>
            <w:r w:rsidRPr="0001197C">
              <w:t>edicare</w:t>
            </w:r>
            <w:r>
              <w:t xml:space="preserve"> and</w:t>
            </w:r>
            <w:r w:rsidRPr="00B065DD">
              <w:t xml:space="preserve"> DVA</w:t>
            </w:r>
            <w:r>
              <w:t xml:space="preserve"> </w:t>
            </w:r>
            <w:r w:rsidRPr="00B065DD">
              <w:t>payments</w:t>
            </w:r>
            <w:r w:rsidRPr="00325A76">
              <w:t>.</w:t>
            </w:r>
          </w:p>
        </w:tc>
      </w:tr>
      <w:tr w:rsidR="00816D3D" w:rsidRPr="00176D3F" w:rsidTr="00D61F90">
        <w:tc>
          <w:tcPr>
            <w:tcW w:w="8771" w:type="dxa"/>
            <w:tcBorders>
              <w:top w:val="nil"/>
              <w:left w:val="nil"/>
              <w:bottom w:val="nil"/>
              <w:right w:val="nil"/>
            </w:tcBorders>
            <w:shd w:val="clear" w:color="auto" w:fill="auto"/>
          </w:tcPr>
          <w:p w:rsidR="00816D3D" w:rsidRPr="00176D3F" w:rsidRDefault="00816D3D" w:rsidP="009010CA">
            <w:pPr>
              <w:pStyle w:val="Source"/>
            </w:pPr>
            <w:r w:rsidRPr="00D842D1">
              <w:rPr>
                <w:i/>
              </w:rPr>
              <w:t>Source</w:t>
            </w:r>
            <w:r w:rsidRPr="00D842D1">
              <w:t xml:space="preserve">: </w:t>
            </w:r>
            <w:r>
              <w:t>Department of Health</w:t>
            </w:r>
            <w:r w:rsidRPr="00352597">
              <w:t xml:space="preserve"> (unpublished) MBS Statistics</w:t>
            </w:r>
            <w:r>
              <w:t xml:space="preserve">; </w:t>
            </w:r>
            <w:r w:rsidRPr="00D842D1">
              <w:t xml:space="preserve">DVA </w:t>
            </w:r>
            <w:r>
              <w:t>(</w:t>
            </w:r>
            <w:r w:rsidRPr="00325A76">
              <w:t>unpublished)</w:t>
            </w:r>
            <w:r w:rsidR="009010CA" w:rsidRPr="009010CA">
              <w:t>, DVA data collection</w:t>
            </w:r>
            <w:r w:rsidRPr="00325A76">
              <w:t>;</w:t>
            </w:r>
            <w:r w:rsidRPr="00D842D1">
              <w:t xml:space="preserve"> table</w:t>
            </w:r>
            <w:r>
              <w:t> </w:t>
            </w:r>
            <w:r w:rsidR="00C9076B">
              <w:t>10A.</w:t>
            </w:r>
            <w:r w:rsidRPr="00C01C39">
              <w:t>2</w:t>
            </w:r>
            <w:r>
              <w:rPr>
                <w:b/>
              </w:rPr>
              <w:t>.</w:t>
            </w:r>
          </w:p>
        </w:tc>
      </w:tr>
      <w:tr w:rsidR="00816D3D" w:rsidTr="00D61F90">
        <w:tc>
          <w:tcPr>
            <w:tcW w:w="8771" w:type="dxa"/>
            <w:tcBorders>
              <w:top w:val="nil"/>
              <w:left w:val="nil"/>
              <w:bottom w:val="single" w:sz="6" w:space="0" w:color="78A22F"/>
              <w:right w:val="nil"/>
            </w:tcBorders>
            <w:shd w:val="clear" w:color="auto" w:fill="auto"/>
          </w:tcPr>
          <w:p w:rsidR="00816D3D" w:rsidRDefault="00816D3D" w:rsidP="00D61F90">
            <w:pPr>
              <w:pStyle w:val="Figurespace"/>
            </w:pPr>
          </w:p>
        </w:tc>
      </w:tr>
      <w:tr w:rsidR="00816D3D" w:rsidRPr="000863A5" w:rsidTr="00D61F90">
        <w:tc>
          <w:tcPr>
            <w:tcW w:w="8771" w:type="dxa"/>
            <w:tcBorders>
              <w:top w:val="single" w:sz="6" w:space="0" w:color="78A22F"/>
              <w:left w:val="nil"/>
              <w:bottom w:val="nil"/>
              <w:right w:val="nil"/>
            </w:tcBorders>
          </w:tcPr>
          <w:p w:rsidR="00816D3D" w:rsidRPr="00626D32" w:rsidRDefault="00816D3D" w:rsidP="00D61F90">
            <w:pPr>
              <w:pStyle w:val="BoxSpaceBelow"/>
            </w:pPr>
          </w:p>
        </w:tc>
      </w:tr>
    </w:tbl>
    <w:p w:rsidR="0001197C" w:rsidRPr="00944E91" w:rsidRDefault="00CD66BC" w:rsidP="000373F7">
      <w:pPr>
        <w:pStyle w:val="Heading3"/>
      </w:pPr>
      <w:r w:rsidRPr="00CD66BC">
        <w:t>Outcomes</w:t>
      </w:r>
    </w:p>
    <w:p w:rsidR="0053394C" w:rsidRPr="00200C93" w:rsidRDefault="00CD66BC" w:rsidP="00944E91">
      <w:pPr>
        <w:pStyle w:val="BodyText"/>
      </w:pPr>
      <w:r>
        <w:t>Outcomes are the impact of services on the status of an individual or group (while outputs are the services delivered) (see chapter 1, section 1.5).</w:t>
      </w:r>
      <w:r w:rsidR="00646516">
        <w:t xml:space="preserve"> </w:t>
      </w:r>
      <w:r w:rsidR="006A4402">
        <w:t>Intermediate outcomes (such as vaccination coverage within a target group) moderate final outcomes (such as the incidence of vaccine preventable diseases). Both i</w:t>
      </w:r>
      <w:r>
        <w:t xml:space="preserve">ntermediate and final primary and community health outcome </w:t>
      </w:r>
      <w:r w:rsidR="0028737A">
        <w:t>indicators a</w:t>
      </w:r>
      <w:r w:rsidR="006A4402">
        <w:t>re reported.</w:t>
      </w:r>
    </w:p>
    <w:p w:rsidR="00CD66BC" w:rsidRPr="00944E91" w:rsidRDefault="00CD66BC" w:rsidP="007644A0">
      <w:pPr>
        <w:pStyle w:val="Heading5"/>
      </w:pPr>
      <w:r w:rsidRPr="00CD66BC">
        <w:t>Child immunisation coverage</w:t>
      </w:r>
    </w:p>
    <w:p w:rsidR="004D6520" w:rsidRDefault="004D6520" w:rsidP="00C14146">
      <w:pPr>
        <w:pStyle w:val="BodyText"/>
      </w:pPr>
      <w:r w:rsidRPr="004D6520">
        <w:t xml:space="preserve">‘Child immunisation coverage’ is an indicator of </w:t>
      </w:r>
      <w:r>
        <w:t xml:space="preserve">governments’ objective to </w:t>
      </w:r>
      <w:r w:rsidR="00F43A55">
        <w:t xml:space="preserve">achieve high </w:t>
      </w:r>
      <w:r w:rsidR="00F43A55" w:rsidRPr="004D6520">
        <w:t>immunisati</w:t>
      </w:r>
      <w:r w:rsidR="00F43A55">
        <w:t xml:space="preserve">on coverage levels for children to prevent selected </w:t>
      </w:r>
      <w:r w:rsidR="00457F21">
        <w:t>vaccine preventable</w:t>
      </w:r>
      <w:r w:rsidR="00F43A55">
        <w:t xml:space="preserve"> diseases</w:t>
      </w:r>
      <w:r w:rsidR="00F43A55" w:rsidRPr="004D6520">
        <w:t xml:space="preserve"> </w:t>
      </w:r>
      <w:r>
        <w:t>(</w:t>
      </w:r>
      <w:r w:rsidR="00897589">
        <w:t>box 10.</w:t>
      </w:r>
      <w:r w:rsidR="000C6FFD" w:rsidRPr="000C6FFD">
        <w:t>19</w:t>
      </w:r>
      <w:r w:rsidR="00391C44">
        <w:t>).</w:t>
      </w:r>
    </w:p>
    <w:p w:rsidR="00095E5A" w:rsidRDefault="00095E5A">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095E5A" w:rsidTr="00867BB6">
        <w:tc>
          <w:tcPr>
            <w:tcW w:w="8771" w:type="dxa"/>
            <w:tcBorders>
              <w:top w:val="single" w:sz="6" w:space="0" w:color="78A22F"/>
              <w:left w:val="nil"/>
              <w:bottom w:val="nil"/>
              <w:right w:val="nil"/>
            </w:tcBorders>
            <w:shd w:val="clear" w:color="auto" w:fill="F2F2F2" w:themeFill="background1" w:themeFillShade="F2"/>
          </w:tcPr>
          <w:p w:rsidR="00095E5A" w:rsidRDefault="00095E5A">
            <w:pPr>
              <w:pStyle w:val="BoxTitle"/>
            </w:pPr>
            <w:r>
              <w:rPr>
                <w:b w:val="0"/>
              </w:rPr>
              <w:t>Box 10.</w:t>
            </w:r>
            <w:r w:rsidR="0078724D">
              <w:rPr>
                <w:b w:val="0"/>
                <w:noProof/>
              </w:rPr>
              <w:t>19</w:t>
            </w:r>
            <w:r>
              <w:tab/>
            </w:r>
            <w:r w:rsidRPr="00CD66BC">
              <w:t>Child immunisation coverage</w:t>
            </w:r>
          </w:p>
        </w:tc>
      </w:tr>
      <w:tr w:rsidR="00095E5A" w:rsidTr="00867BB6">
        <w:trPr>
          <w:cantSplit/>
        </w:trPr>
        <w:tc>
          <w:tcPr>
            <w:tcW w:w="8771" w:type="dxa"/>
            <w:tcBorders>
              <w:top w:val="nil"/>
              <w:left w:val="nil"/>
              <w:bottom w:val="nil"/>
              <w:right w:val="nil"/>
            </w:tcBorders>
            <w:shd w:val="clear" w:color="auto" w:fill="F2F2F2" w:themeFill="background1" w:themeFillShade="F2"/>
          </w:tcPr>
          <w:p w:rsidR="00095E5A" w:rsidRDefault="00095E5A" w:rsidP="00867BB6">
            <w:pPr>
              <w:pStyle w:val="Box"/>
            </w:pPr>
            <w:r>
              <w:t>‘Child immunisation coverage’ is defined by three measures:</w:t>
            </w:r>
          </w:p>
          <w:p w:rsidR="00095E5A" w:rsidRDefault="00095E5A" w:rsidP="007937C1">
            <w:pPr>
              <w:pStyle w:val="BoxListBullet"/>
            </w:pPr>
            <w:r>
              <w:t xml:space="preserve">the proportion of children aged 12 months to less than 15 months who are fully immunised, where children assessed as fully immunised at 12 months are immunised </w:t>
            </w:r>
            <w:r w:rsidR="007937C1" w:rsidRPr="007937C1">
              <w:t xml:space="preserve">against diphtheria, tetanus, pertussis (whooping cough), polio, hepatitis b, Haemophilus influenzae type b and, </w:t>
            </w:r>
            <w:r w:rsidR="007937C1" w:rsidRPr="003B0E34">
              <w:t xml:space="preserve">from </w:t>
            </w:r>
            <w:r w:rsidR="00545C2D" w:rsidRPr="003B0E34">
              <w:t>the quarter ending 31 December 2013</w:t>
            </w:r>
            <w:r w:rsidR="00924FF7" w:rsidRPr="003B0E34">
              <w:t>,</w:t>
            </w:r>
            <w:r w:rsidR="00924FF7">
              <w:t xml:space="preserve"> pneumococcal</w:t>
            </w:r>
          </w:p>
          <w:p w:rsidR="00095E5A" w:rsidRDefault="00095E5A" w:rsidP="00867BB6">
            <w:pPr>
              <w:pStyle w:val="BoxListBullet"/>
            </w:pPr>
            <w:r>
              <w:t xml:space="preserve">the proportion of children aged 24 months to less than 27 months who are fully immunised, where children assessed as fully immunised at 24 months are immunised against diphtheria, tetanus, whooping cough, polio, </w:t>
            </w:r>
            <w:r w:rsidRPr="00B1273C">
              <w:rPr>
                <w:i/>
              </w:rPr>
              <w:t>Haemophilus influenzae</w:t>
            </w:r>
            <w:r>
              <w:t xml:space="preserve"> type b, hepatitis B, and measles, mumps and rubella</w:t>
            </w:r>
          </w:p>
          <w:p w:rsidR="00095E5A" w:rsidRDefault="00095E5A" w:rsidP="00867BB6">
            <w:pPr>
              <w:pStyle w:val="BoxListBullet"/>
            </w:pPr>
            <w:r>
              <w:t xml:space="preserve">the proportion of children aged 60 months to less than 63 months who are fully immunised, where children assessed as fully immunised at 60 months are immunised against diphtheria, tetanus, whooping cough, </w:t>
            </w:r>
            <w:r w:rsidRPr="002856CE">
              <w:t>polio, and</w:t>
            </w:r>
            <w:r>
              <w:t xml:space="preserve"> measles, mumps and rubella</w:t>
            </w:r>
            <w:r w:rsidRPr="00743531">
              <w:t>.</w:t>
            </w:r>
          </w:p>
          <w:p w:rsidR="00095E5A" w:rsidRDefault="00095E5A" w:rsidP="00867BB6">
            <w:pPr>
              <w:pStyle w:val="Box"/>
            </w:pPr>
            <w:r w:rsidRPr="00CD66BC">
              <w:t>A</w:t>
            </w:r>
            <w:r>
              <w:t xml:space="preserve"> high or</w:t>
            </w:r>
            <w:r w:rsidRPr="00CD66BC">
              <w:t xml:space="preserve"> increas</w:t>
            </w:r>
            <w:r>
              <w:t>ing</w:t>
            </w:r>
            <w:r w:rsidRPr="00CD66BC">
              <w:t xml:space="preserve"> proportion of children who are fully immunised indicates a reduction in the risk of children contracting a range of </w:t>
            </w:r>
            <w:r>
              <w:t xml:space="preserve">vaccine preventable </w:t>
            </w:r>
            <w:r w:rsidRPr="00CD66BC">
              <w:t xml:space="preserve">diseases, including measles, whooping cough and </w:t>
            </w:r>
            <w:r w:rsidRPr="00B1273C">
              <w:rPr>
                <w:i/>
              </w:rPr>
              <w:t>Haemophilus influenzae</w:t>
            </w:r>
            <w:r w:rsidRPr="00CD66BC">
              <w:t xml:space="preserve"> type b.</w:t>
            </w:r>
          </w:p>
          <w:p w:rsidR="00095E5A" w:rsidRDefault="00095E5A" w:rsidP="00867BB6">
            <w:pPr>
              <w:pStyle w:val="Box"/>
            </w:pPr>
            <w:r>
              <w:t>Data reported against this indicator are:</w:t>
            </w:r>
          </w:p>
          <w:p w:rsidR="00095E5A" w:rsidRDefault="00095E5A" w:rsidP="00867BB6">
            <w:pPr>
              <w:pStyle w:val="BoxListBullet"/>
            </w:pPr>
            <w:r>
              <w:t>comparable (subject to caveats) across jurisdictions and over time</w:t>
            </w:r>
          </w:p>
          <w:p w:rsidR="00095E5A" w:rsidRDefault="00095E5A" w:rsidP="00867BB6">
            <w:pPr>
              <w:pStyle w:val="BoxListBullet"/>
            </w:pPr>
            <w:r>
              <w:t>complete (subject to caveats) for the current reporting period. All required 201</w:t>
            </w:r>
            <w:r w:rsidR="004E4798">
              <w:t>3</w:t>
            </w:r>
            <w:r>
              <w:noBreakHyphen/>
              <w:t>1</w:t>
            </w:r>
            <w:r w:rsidR="004E4798">
              <w:t>4</w:t>
            </w:r>
            <w:r>
              <w:t xml:space="preserve"> data are available for all jurisdictions.</w:t>
            </w:r>
          </w:p>
          <w:p w:rsidR="00095E5A" w:rsidRPr="002706CE" w:rsidRDefault="00095E5A" w:rsidP="00867BB6">
            <w:pPr>
              <w:pStyle w:val="Box"/>
            </w:pPr>
            <w:r>
              <w:t xml:space="preserve">Data quality information </w:t>
            </w:r>
            <w:r w:rsidRPr="00617D21">
              <w:t xml:space="preserve">for </w:t>
            </w:r>
            <w:r>
              <w:t xml:space="preserve">this indicator </w:t>
            </w:r>
            <w:r w:rsidRPr="00617D21">
              <w:t xml:space="preserve">is at </w:t>
            </w:r>
            <w:r w:rsidR="00786AB7">
              <w:t>www.pc.gov.au</w:t>
            </w:r>
            <w:r w:rsidR="004E4798">
              <w:t>/rogs/2015</w:t>
            </w:r>
            <w:r>
              <w:t>.</w:t>
            </w:r>
          </w:p>
        </w:tc>
      </w:tr>
      <w:tr w:rsidR="00095E5A" w:rsidTr="00867BB6">
        <w:trPr>
          <w:cantSplit/>
        </w:trPr>
        <w:tc>
          <w:tcPr>
            <w:tcW w:w="8771" w:type="dxa"/>
            <w:tcBorders>
              <w:top w:val="nil"/>
              <w:left w:val="nil"/>
              <w:bottom w:val="single" w:sz="6" w:space="0" w:color="78A22F"/>
              <w:right w:val="nil"/>
            </w:tcBorders>
            <w:shd w:val="clear" w:color="auto" w:fill="F2F2F2" w:themeFill="background1" w:themeFillShade="F2"/>
          </w:tcPr>
          <w:p w:rsidR="00095E5A" w:rsidRDefault="00095E5A">
            <w:pPr>
              <w:pStyle w:val="Box"/>
              <w:spacing w:before="0" w:line="120" w:lineRule="exact"/>
            </w:pPr>
          </w:p>
        </w:tc>
      </w:tr>
      <w:tr w:rsidR="00095E5A" w:rsidRPr="000863A5" w:rsidTr="00867BB6">
        <w:tc>
          <w:tcPr>
            <w:tcW w:w="8771" w:type="dxa"/>
            <w:tcBorders>
              <w:top w:val="single" w:sz="6" w:space="0" w:color="78A22F"/>
              <w:left w:val="nil"/>
              <w:bottom w:val="nil"/>
              <w:right w:val="nil"/>
            </w:tcBorders>
          </w:tcPr>
          <w:p w:rsidR="00095E5A" w:rsidRPr="00626D32" w:rsidRDefault="00095E5A" w:rsidP="00867BB6">
            <w:pPr>
              <w:pStyle w:val="BoxSpaceBelow"/>
            </w:pPr>
          </w:p>
        </w:tc>
      </w:tr>
    </w:tbl>
    <w:p w:rsidR="004D6520" w:rsidRDefault="004D6520" w:rsidP="00A73D31">
      <w:pPr>
        <w:pStyle w:val="BodyText"/>
      </w:pPr>
      <w:r w:rsidRPr="004D6520">
        <w:t>Many providers deliver child immunisation services (</w:t>
      </w:r>
      <w:r w:rsidR="00897589">
        <w:t>table 10.</w:t>
      </w:r>
      <w:r w:rsidR="009821C3">
        <w:t>7</w:t>
      </w:r>
      <w:r w:rsidRPr="00EA089E">
        <w:t>).</w:t>
      </w:r>
      <w:r w:rsidRPr="004D6520">
        <w:t xml:space="preserve"> </w:t>
      </w:r>
      <w:r w:rsidR="0033308B">
        <w:t xml:space="preserve">High </w:t>
      </w:r>
      <w:r w:rsidR="0033308B" w:rsidRPr="004D6520">
        <w:t xml:space="preserve">immunisation coverage levels </w:t>
      </w:r>
      <w:r w:rsidR="00EF4D24">
        <w:t>are</w:t>
      </w:r>
      <w:r w:rsidR="0033308B">
        <w:t xml:space="preserve"> </w:t>
      </w:r>
      <w:r w:rsidR="0033308B" w:rsidRPr="004D6520">
        <w:t xml:space="preserve">encouraged </w:t>
      </w:r>
      <w:r w:rsidR="00EF4D24">
        <w:t>through a range of measures, including incentives for parents that link immunisation to tax and childcare benefits and rebates. Incentives</w:t>
      </w:r>
      <w:r w:rsidR="00E14CFA">
        <w:t xml:space="preserve"> for providers were in place under the</w:t>
      </w:r>
      <w:r w:rsidR="00EF4D24">
        <w:t xml:space="preserve"> </w:t>
      </w:r>
      <w:r w:rsidRPr="004D6520">
        <w:t>General Practice Immunisation Incentive</w:t>
      </w:r>
      <w:r w:rsidR="00BD4D26">
        <w:t>s</w:t>
      </w:r>
      <w:r w:rsidR="002F765B">
        <w:t xml:space="preserve"> Scheme</w:t>
      </w:r>
      <w:r w:rsidR="0033308B">
        <w:t xml:space="preserve"> </w:t>
      </w:r>
      <w:r w:rsidR="00E14CFA">
        <w:t>to 30 </w:t>
      </w:r>
      <w:r w:rsidR="0033308B">
        <w:t>June 2013</w:t>
      </w:r>
      <w:r w:rsidR="008C2D9D">
        <w:t>.</w:t>
      </w:r>
    </w:p>
    <w:p w:rsidR="003019F8" w:rsidRDefault="003019F8" w:rsidP="003019F8">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909"/>
      </w:tblGrid>
      <w:tr w:rsidR="003019F8" w:rsidTr="003019F8">
        <w:tc>
          <w:tcPr>
            <w:tcW w:w="8771" w:type="dxa"/>
            <w:tcBorders>
              <w:top w:val="single" w:sz="6" w:space="0" w:color="78A22F" w:themeColor="accent1"/>
              <w:left w:val="nil"/>
              <w:bottom w:val="nil"/>
              <w:right w:val="nil"/>
            </w:tcBorders>
            <w:shd w:val="clear" w:color="auto" w:fill="auto"/>
          </w:tcPr>
          <w:p w:rsidR="003019F8" w:rsidRPr="00784A05" w:rsidRDefault="003019F8" w:rsidP="004E4798">
            <w:pPr>
              <w:pStyle w:val="TableTitle"/>
            </w:pPr>
            <w:r>
              <w:rPr>
                <w:b w:val="0"/>
              </w:rPr>
              <w:t>Table 10.</w:t>
            </w:r>
            <w:r w:rsidR="0078724D">
              <w:rPr>
                <w:b w:val="0"/>
                <w:noProof/>
              </w:rPr>
              <w:t>7</w:t>
            </w:r>
            <w:r>
              <w:tab/>
            </w:r>
            <w:r w:rsidRPr="00834AD4">
              <w:t>Valid vaccinations supplied to children under 7</w:t>
            </w:r>
            <w:r>
              <w:t> </w:t>
            </w:r>
            <w:r w:rsidRPr="00834AD4">
              <w:t xml:space="preserve">years of age, by </w:t>
            </w:r>
            <w:r w:rsidRPr="003A4357">
              <w:t>provider type</w:t>
            </w:r>
            <w:r w:rsidRPr="001A6892">
              <w:t>, 200</w:t>
            </w:r>
            <w:r w:rsidR="004E4798">
              <w:t>9</w:t>
            </w:r>
            <w:r w:rsidRPr="001A6892">
              <w:t>–201</w:t>
            </w:r>
            <w:r w:rsidR="004E4798">
              <w:t>4</w:t>
            </w:r>
            <w:r w:rsidRPr="003A4357">
              <w:t xml:space="preserve"> (per cent)</w:t>
            </w:r>
            <w:r w:rsidRPr="003A4357">
              <w:rPr>
                <w:rStyle w:val="NoteLabel"/>
                <w:b/>
              </w:rPr>
              <w:t>a, b, c</w:t>
            </w:r>
          </w:p>
        </w:tc>
      </w:tr>
      <w:tr w:rsidR="003019F8" w:rsidTr="003019F8">
        <w:trPr>
          <w:cantSplit/>
        </w:trPr>
        <w:tc>
          <w:tcPr>
            <w:tcW w:w="8771" w:type="dxa"/>
            <w:tcBorders>
              <w:top w:val="nil"/>
              <w:left w:val="nil"/>
              <w:bottom w:val="nil"/>
              <w:right w:val="nil"/>
            </w:tcBorders>
            <w:shd w:val="clear" w:color="auto" w:fill="auto"/>
          </w:tcPr>
          <w:tbl>
            <w:tblPr>
              <w:tblW w:w="8625" w:type="dxa"/>
              <w:tblCellMar>
                <w:left w:w="0" w:type="dxa"/>
                <w:right w:w="0" w:type="dxa"/>
              </w:tblCellMar>
              <w:tblLook w:val="01E0" w:firstRow="1" w:lastRow="1" w:firstColumn="1" w:lastColumn="1" w:noHBand="0" w:noVBand="0"/>
            </w:tblPr>
            <w:tblGrid>
              <w:gridCol w:w="2342"/>
              <w:gridCol w:w="760"/>
              <w:gridCol w:w="695"/>
              <w:gridCol w:w="694"/>
              <w:gridCol w:w="694"/>
              <w:gridCol w:w="694"/>
              <w:gridCol w:w="694"/>
              <w:gridCol w:w="685"/>
              <w:gridCol w:w="682"/>
              <w:gridCol w:w="685"/>
            </w:tblGrid>
            <w:tr w:rsidR="003019F8" w:rsidRPr="00E51597" w:rsidTr="001B0C3A">
              <w:trPr>
                <w:trHeight w:val="270"/>
              </w:trPr>
              <w:tc>
                <w:tcPr>
                  <w:tcW w:w="2342" w:type="dxa"/>
                  <w:tcBorders>
                    <w:top w:val="single" w:sz="4" w:space="0" w:color="BFBFBF"/>
                    <w:left w:val="nil"/>
                    <w:bottom w:val="single" w:sz="4" w:space="0" w:color="BFBFBF"/>
                    <w:right w:val="nil"/>
                  </w:tcBorders>
                  <w:shd w:val="clear" w:color="auto" w:fill="auto"/>
                </w:tcPr>
                <w:p w:rsidR="003019F8" w:rsidRPr="00903853" w:rsidRDefault="003019F8" w:rsidP="003019F8">
                  <w:pPr>
                    <w:pStyle w:val="TableColumnHeading"/>
                    <w:ind w:right="57"/>
                    <w:jc w:val="left"/>
                    <w:rPr>
                      <w:b/>
                      <w:i w:val="0"/>
                    </w:rPr>
                  </w:pPr>
                  <w:r w:rsidRPr="00903853">
                    <w:rPr>
                      <w:b/>
                      <w:i w:val="0"/>
                    </w:rPr>
                    <w:t>Provider</w:t>
                  </w:r>
                </w:p>
              </w:tc>
              <w:tc>
                <w:tcPr>
                  <w:tcW w:w="760" w:type="dxa"/>
                  <w:tcBorders>
                    <w:top w:val="single" w:sz="4" w:space="0" w:color="BFBFBF"/>
                    <w:left w:val="nil"/>
                    <w:bottom w:val="single" w:sz="4" w:space="0" w:color="BFBFBF"/>
                    <w:right w:val="nil"/>
                  </w:tcBorders>
                  <w:shd w:val="clear" w:color="auto" w:fill="auto"/>
                </w:tcPr>
                <w:p w:rsidR="003019F8" w:rsidRPr="00834AD4" w:rsidRDefault="003019F8" w:rsidP="003019F8">
                  <w:pPr>
                    <w:pStyle w:val="TableColumnHeading"/>
                  </w:pPr>
                  <w:r w:rsidRPr="00834AD4">
                    <w:t>NSW</w:t>
                  </w:r>
                </w:p>
              </w:tc>
              <w:tc>
                <w:tcPr>
                  <w:tcW w:w="695" w:type="dxa"/>
                  <w:tcBorders>
                    <w:top w:val="single" w:sz="4" w:space="0" w:color="BFBFBF"/>
                    <w:left w:val="nil"/>
                    <w:bottom w:val="single" w:sz="4" w:space="0" w:color="BFBFBF"/>
                    <w:right w:val="nil"/>
                  </w:tcBorders>
                  <w:shd w:val="clear" w:color="auto" w:fill="auto"/>
                </w:tcPr>
                <w:p w:rsidR="003019F8" w:rsidRPr="00834AD4" w:rsidRDefault="003019F8" w:rsidP="003019F8">
                  <w:pPr>
                    <w:pStyle w:val="TableColumnHeading"/>
                  </w:pPr>
                  <w:r w:rsidRPr="00834AD4">
                    <w:t>Vic</w:t>
                  </w:r>
                </w:p>
              </w:tc>
              <w:tc>
                <w:tcPr>
                  <w:tcW w:w="694" w:type="dxa"/>
                  <w:tcBorders>
                    <w:top w:val="single" w:sz="4" w:space="0" w:color="BFBFBF"/>
                    <w:left w:val="nil"/>
                    <w:bottom w:val="single" w:sz="4" w:space="0" w:color="BFBFBF"/>
                    <w:right w:val="nil"/>
                  </w:tcBorders>
                  <w:shd w:val="clear" w:color="auto" w:fill="auto"/>
                </w:tcPr>
                <w:p w:rsidR="003019F8" w:rsidRPr="00834AD4" w:rsidRDefault="003019F8" w:rsidP="003019F8">
                  <w:pPr>
                    <w:pStyle w:val="TableColumnHeading"/>
                  </w:pPr>
                  <w:r w:rsidRPr="00834AD4">
                    <w:t>Qld</w:t>
                  </w:r>
                </w:p>
              </w:tc>
              <w:tc>
                <w:tcPr>
                  <w:tcW w:w="694" w:type="dxa"/>
                  <w:tcBorders>
                    <w:top w:val="single" w:sz="4" w:space="0" w:color="BFBFBF"/>
                    <w:left w:val="nil"/>
                    <w:bottom w:val="single" w:sz="4" w:space="0" w:color="BFBFBF"/>
                    <w:right w:val="nil"/>
                  </w:tcBorders>
                  <w:shd w:val="clear" w:color="auto" w:fill="auto"/>
                </w:tcPr>
                <w:p w:rsidR="003019F8" w:rsidRPr="00834AD4" w:rsidRDefault="003019F8" w:rsidP="003019F8">
                  <w:pPr>
                    <w:pStyle w:val="TableColumnHeading"/>
                  </w:pPr>
                  <w:r w:rsidRPr="00834AD4">
                    <w:t>WA</w:t>
                  </w:r>
                </w:p>
              </w:tc>
              <w:tc>
                <w:tcPr>
                  <w:tcW w:w="694" w:type="dxa"/>
                  <w:tcBorders>
                    <w:top w:val="single" w:sz="4" w:space="0" w:color="BFBFBF"/>
                    <w:left w:val="nil"/>
                    <w:bottom w:val="single" w:sz="4" w:space="0" w:color="BFBFBF"/>
                    <w:right w:val="nil"/>
                  </w:tcBorders>
                  <w:shd w:val="clear" w:color="auto" w:fill="auto"/>
                </w:tcPr>
                <w:p w:rsidR="003019F8" w:rsidRPr="00834AD4" w:rsidRDefault="003019F8" w:rsidP="003019F8">
                  <w:pPr>
                    <w:pStyle w:val="TableColumnHeading"/>
                  </w:pPr>
                  <w:r w:rsidRPr="00834AD4">
                    <w:t>SA</w:t>
                  </w:r>
                </w:p>
              </w:tc>
              <w:tc>
                <w:tcPr>
                  <w:tcW w:w="694" w:type="dxa"/>
                  <w:tcBorders>
                    <w:top w:val="single" w:sz="4" w:space="0" w:color="BFBFBF"/>
                    <w:left w:val="nil"/>
                    <w:bottom w:val="single" w:sz="4" w:space="0" w:color="BFBFBF"/>
                    <w:right w:val="nil"/>
                  </w:tcBorders>
                  <w:shd w:val="clear" w:color="auto" w:fill="auto"/>
                </w:tcPr>
                <w:p w:rsidR="003019F8" w:rsidRPr="00834AD4" w:rsidRDefault="003019F8" w:rsidP="003019F8">
                  <w:pPr>
                    <w:pStyle w:val="TableColumnHeading"/>
                  </w:pPr>
                  <w:r w:rsidRPr="00834AD4">
                    <w:t>Tas</w:t>
                  </w:r>
                </w:p>
              </w:tc>
              <w:tc>
                <w:tcPr>
                  <w:tcW w:w="685" w:type="dxa"/>
                  <w:tcBorders>
                    <w:top w:val="single" w:sz="4" w:space="0" w:color="BFBFBF"/>
                    <w:left w:val="nil"/>
                    <w:bottom w:val="single" w:sz="4" w:space="0" w:color="BFBFBF"/>
                    <w:right w:val="nil"/>
                  </w:tcBorders>
                  <w:shd w:val="clear" w:color="auto" w:fill="auto"/>
                </w:tcPr>
                <w:p w:rsidR="003019F8" w:rsidRPr="00834AD4" w:rsidRDefault="003019F8" w:rsidP="003019F8">
                  <w:pPr>
                    <w:pStyle w:val="TableColumnHeading"/>
                  </w:pPr>
                  <w:r w:rsidRPr="00834AD4">
                    <w:t>ACT</w:t>
                  </w:r>
                </w:p>
              </w:tc>
              <w:tc>
                <w:tcPr>
                  <w:tcW w:w="682" w:type="dxa"/>
                  <w:tcBorders>
                    <w:top w:val="single" w:sz="4" w:space="0" w:color="BFBFBF"/>
                    <w:left w:val="nil"/>
                    <w:bottom w:val="single" w:sz="4" w:space="0" w:color="BFBFBF"/>
                    <w:right w:val="nil"/>
                  </w:tcBorders>
                  <w:shd w:val="clear" w:color="auto" w:fill="auto"/>
                </w:tcPr>
                <w:p w:rsidR="003019F8" w:rsidRPr="00834AD4" w:rsidRDefault="003019F8" w:rsidP="003019F8">
                  <w:pPr>
                    <w:pStyle w:val="TableColumnHeading"/>
                  </w:pPr>
                  <w:r w:rsidRPr="00834AD4">
                    <w:t>NT</w:t>
                  </w:r>
                </w:p>
              </w:tc>
              <w:tc>
                <w:tcPr>
                  <w:tcW w:w="685" w:type="dxa"/>
                  <w:tcBorders>
                    <w:top w:val="single" w:sz="4" w:space="0" w:color="BFBFBF"/>
                    <w:left w:val="nil"/>
                    <w:bottom w:val="single" w:sz="4" w:space="0" w:color="BFBFBF"/>
                    <w:right w:val="nil"/>
                  </w:tcBorders>
                  <w:shd w:val="clear" w:color="auto" w:fill="auto"/>
                </w:tcPr>
                <w:p w:rsidR="003019F8" w:rsidRPr="00834AD4" w:rsidRDefault="003019F8" w:rsidP="003019F8">
                  <w:pPr>
                    <w:pStyle w:val="TableColumnHeading"/>
                  </w:pPr>
                  <w:r w:rsidRPr="002461CB">
                    <w:t>Aust</w:t>
                  </w:r>
                </w:p>
              </w:tc>
            </w:tr>
            <w:tr w:rsidR="001B0C3A" w:rsidRPr="003A4357" w:rsidTr="00F41167">
              <w:trPr>
                <w:trHeight w:val="255"/>
              </w:trPr>
              <w:tc>
                <w:tcPr>
                  <w:tcW w:w="2342" w:type="dxa"/>
                  <w:tcBorders>
                    <w:top w:val="single" w:sz="4" w:space="0" w:color="BFBFBF"/>
                    <w:left w:val="nil"/>
                    <w:bottom w:val="nil"/>
                    <w:right w:val="nil"/>
                  </w:tcBorders>
                  <w:shd w:val="clear" w:color="auto" w:fill="auto"/>
                </w:tcPr>
                <w:p w:rsidR="001B0C3A" w:rsidRPr="003A4357" w:rsidRDefault="001B0C3A" w:rsidP="00903853">
                  <w:pPr>
                    <w:pStyle w:val="TableBodyText"/>
                    <w:ind w:left="120"/>
                    <w:jc w:val="left"/>
                  </w:pPr>
                  <w:r w:rsidRPr="00D321C7">
                    <w:t>GP</w:t>
                  </w:r>
                </w:p>
              </w:tc>
              <w:tc>
                <w:tcPr>
                  <w:tcW w:w="760" w:type="dxa"/>
                  <w:tcBorders>
                    <w:top w:val="single" w:sz="4" w:space="0" w:color="BFBFBF"/>
                    <w:left w:val="nil"/>
                    <w:bottom w:val="nil"/>
                    <w:right w:val="nil"/>
                  </w:tcBorders>
                  <w:shd w:val="clear" w:color="auto" w:fill="auto"/>
                  <w:vAlign w:val="bottom"/>
                </w:tcPr>
                <w:p w:rsidR="001B0C3A" w:rsidRPr="00D321C7" w:rsidRDefault="001B0C3A" w:rsidP="00D321C7">
                  <w:pPr>
                    <w:pStyle w:val="TableBodyText"/>
                  </w:pPr>
                  <w:r w:rsidRPr="00D321C7">
                    <w:t xml:space="preserve">  88.8</w:t>
                  </w:r>
                </w:p>
              </w:tc>
              <w:tc>
                <w:tcPr>
                  <w:tcW w:w="695" w:type="dxa"/>
                  <w:tcBorders>
                    <w:top w:val="single" w:sz="4" w:space="0" w:color="BFBFBF"/>
                    <w:left w:val="nil"/>
                    <w:bottom w:val="nil"/>
                    <w:right w:val="nil"/>
                  </w:tcBorders>
                  <w:shd w:val="clear" w:color="auto" w:fill="auto"/>
                  <w:vAlign w:val="bottom"/>
                </w:tcPr>
                <w:p w:rsidR="001B0C3A" w:rsidRPr="00D321C7" w:rsidRDefault="001B0C3A" w:rsidP="00D321C7">
                  <w:pPr>
                    <w:pStyle w:val="TableBodyText"/>
                  </w:pPr>
                  <w:r w:rsidRPr="00D321C7">
                    <w:t xml:space="preserve">  59.5</w:t>
                  </w:r>
                </w:p>
              </w:tc>
              <w:tc>
                <w:tcPr>
                  <w:tcW w:w="694" w:type="dxa"/>
                  <w:tcBorders>
                    <w:top w:val="single" w:sz="4" w:space="0" w:color="BFBFBF"/>
                    <w:left w:val="nil"/>
                    <w:bottom w:val="nil"/>
                    <w:right w:val="nil"/>
                  </w:tcBorders>
                  <w:shd w:val="clear" w:color="auto" w:fill="auto"/>
                  <w:vAlign w:val="bottom"/>
                </w:tcPr>
                <w:p w:rsidR="001B0C3A" w:rsidRPr="00D321C7" w:rsidRDefault="001B0C3A" w:rsidP="00D321C7">
                  <w:pPr>
                    <w:pStyle w:val="TableBodyText"/>
                  </w:pPr>
                  <w:r w:rsidRPr="00D321C7">
                    <w:t xml:space="preserve">  84.6</w:t>
                  </w:r>
                </w:p>
              </w:tc>
              <w:tc>
                <w:tcPr>
                  <w:tcW w:w="694" w:type="dxa"/>
                  <w:tcBorders>
                    <w:top w:val="single" w:sz="4" w:space="0" w:color="BFBFBF"/>
                    <w:left w:val="nil"/>
                    <w:bottom w:val="nil"/>
                    <w:right w:val="nil"/>
                  </w:tcBorders>
                  <w:shd w:val="clear" w:color="auto" w:fill="auto"/>
                  <w:vAlign w:val="bottom"/>
                </w:tcPr>
                <w:p w:rsidR="001B0C3A" w:rsidRPr="00D321C7" w:rsidRDefault="001B0C3A" w:rsidP="00D321C7">
                  <w:pPr>
                    <w:pStyle w:val="TableBodyText"/>
                  </w:pPr>
                  <w:r w:rsidRPr="00D321C7">
                    <w:t xml:space="preserve">  69.2</w:t>
                  </w:r>
                </w:p>
              </w:tc>
              <w:tc>
                <w:tcPr>
                  <w:tcW w:w="694" w:type="dxa"/>
                  <w:tcBorders>
                    <w:top w:val="single" w:sz="4" w:space="0" w:color="BFBFBF"/>
                    <w:left w:val="nil"/>
                    <w:bottom w:val="nil"/>
                    <w:right w:val="nil"/>
                  </w:tcBorders>
                  <w:shd w:val="clear" w:color="auto" w:fill="auto"/>
                  <w:vAlign w:val="bottom"/>
                </w:tcPr>
                <w:p w:rsidR="001B0C3A" w:rsidRPr="00D321C7" w:rsidRDefault="001B0C3A" w:rsidP="00D321C7">
                  <w:pPr>
                    <w:pStyle w:val="TableBodyText"/>
                  </w:pPr>
                  <w:r w:rsidRPr="00D321C7">
                    <w:t xml:space="preserve">  73.0</w:t>
                  </w:r>
                </w:p>
              </w:tc>
              <w:tc>
                <w:tcPr>
                  <w:tcW w:w="694" w:type="dxa"/>
                  <w:tcBorders>
                    <w:top w:val="single" w:sz="4" w:space="0" w:color="BFBFBF"/>
                    <w:left w:val="nil"/>
                    <w:bottom w:val="nil"/>
                    <w:right w:val="nil"/>
                  </w:tcBorders>
                  <w:shd w:val="clear" w:color="auto" w:fill="auto"/>
                  <w:vAlign w:val="bottom"/>
                </w:tcPr>
                <w:p w:rsidR="001B0C3A" w:rsidRPr="00D321C7" w:rsidRDefault="001B0C3A" w:rsidP="00D321C7">
                  <w:pPr>
                    <w:pStyle w:val="TableBodyText"/>
                  </w:pPr>
                  <w:r w:rsidRPr="00D321C7">
                    <w:t xml:space="preserve">  93.1</w:t>
                  </w:r>
                </w:p>
              </w:tc>
              <w:tc>
                <w:tcPr>
                  <w:tcW w:w="685" w:type="dxa"/>
                  <w:tcBorders>
                    <w:top w:val="single" w:sz="4" w:space="0" w:color="BFBFBF"/>
                    <w:left w:val="nil"/>
                    <w:bottom w:val="nil"/>
                    <w:right w:val="nil"/>
                  </w:tcBorders>
                  <w:shd w:val="clear" w:color="auto" w:fill="auto"/>
                  <w:vAlign w:val="bottom"/>
                </w:tcPr>
                <w:p w:rsidR="001B0C3A" w:rsidRPr="00D321C7" w:rsidRDefault="001B0C3A" w:rsidP="00D321C7">
                  <w:pPr>
                    <w:pStyle w:val="TableBodyText"/>
                  </w:pPr>
                  <w:r w:rsidRPr="00D321C7">
                    <w:t xml:space="preserve">  59.6</w:t>
                  </w:r>
                </w:p>
              </w:tc>
              <w:tc>
                <w:tcPr>
                  <w:tcW w:w="682" w:type="dxa"/>
                  <w:tcBorders>
                    <w:top w:val="single" w:sz="4" w:space="0" w:color="BFBFBF"/>
                    <w:left w:val="nil"/>
                    <w:bottom w:val="nil"/>
                    <w:right w:val="nil"/>
                  </w:tcBorders>
                  <w:shd w:val="clear" w:color="auto" w:fill="auto"/>
                  <w:vAlign w:val="bottom"/>
                </w:tcPr>
                <w:p w:rsidR="001B0C3A" w:rsidRPr="00D321C7" w:rsidRDefault="001B0C3A" w:rsidP="00D321C7">
                  <w:pPr>
                    <w:pStyle w:val="TableBodyText"/>
                  </w:pPr>
                  <w:r w:rsidRPr="00D321C7">
                    <w:t xml:space="preserve">  71.8</w:t>
                  </w:r>
                </w:p>
              </w:tc>
              <w:tc>
                <w:tcPr>
                  <w:tcW w:w="685" w:type="dxa"/>
                  <w:tcBorders>
                    <w:top w:val="single" w:sz="4" w:space="0" w:color="BFBFBF"/>
                    <w:left w:val="nil"/>
                    <w:bottom w:val="nil"/>
                    <w:right w:val="nil"/>
                  </w:tcBorders>
                  <w:shd w:val="clear" w:color="auto" w:fill="auto"/>
                  <w:vAlign w:val="bottom"/>
                </w:tcPr>
                <w:p w:rsidR="001B0C3A" w:rsidRPr="00D321C7" w:rsidRDefault="001B0C3A" w:rsidP="00D321C7">
                  <w:pPr>
                    <w:pStyle w:val="TableBodyText"/>
                  </w:pPr>
                  <w:r w:rsidRPr="00D321C7">
                    <w:t xml:space="preserve">  75.9</w:t>
                  </w:r>
                </w:p>
              </w:tc>
            </w:tr>
            <w:tr w:rsidR="001B0C3A" w:rsidRPr="003A4357" w:rsidTr="00F41167">
              <w:trPr>
                <w:trHeight w:val="255"/>
              </w:trPr>
              <w:tc>
                <w:tcPr>
                  <w:tcW w:w="2342" w:type="dxa"/>
                  <w:tcBorders>
                    <w:top w:val="nil"/>
                    <w:left w:val="nil"/>
                    <w:bottom w:val="nil"/>
                    <w:right w:val="nil"/>
                  </w:tcBorders>
                  <w:shd w:val="clear" w:color="auto" w:fill="auto"/>
                </w:tcPr>
                <w:p w:rsidR="001B0C3A" w:rsidRPr="003A4357" w:rsidRDefault="001B0C3A" w:rsidP="00903853">
                  <w:pPr>
                    <w:pStyle w:val="TableBodyText"/>
                    <w:ind w:left="120"/>
                    <w:jc w:val="left"/>
                  </w:pPr>
                  <w:r w:rsidRPr="00D321C7">
                    <w:t>Council</w:t>
                  </w:r>
                </w:p>
              </w:tc>
              <w:tc>
                <w:tcPr>
                  <w:tcW w:w="760" w:type="dxa"/>
                  <w:tcBorders>
                    <w:top w:val="nil"/>
                    <w:left w:val="nil"/>
                    <w:bottom w:val="nil"/>
                    <w:right w:val="nil"/>
                  </w:tcBorders>
                  <w:shd w:val="clear" w:color="auto" w:fill="auto"/>
                  <w:vAlign w:val="bottom"/>
                </w:tcPr>
                <w:p w:rsidR="001B0C3A" w:rsidRPr="00D321C7" w:rsidRDefault="001B0C3A" w:rsidP="00D321C7">
                  <w:pPr>
                    <w:pStyle w:val="TableBodyText"/>
                  </w:pPr>
                  <w:r w:rsidRPr="00D321C7">
                    <w:t xml:space="preserve">  3.2</w:t>
                  </w:r>
                </w:p>
              </w:tc>
              <w:tc>
                <w:tcPr>
                  <w:tcW w:w="695" w:type="dxa"/>
                  <w:tcBorders>
                    <w:top w:val="nil"/>
                    <w:left w:val="nil"/>
                    <w:bottom w:val="nil"/>
                    <w:right w:val="nil"/>
                  </w:tcBorders>
                  <w:shd w:val="clear" w:color="auto" w:fill="auto"/>
                  <w:vAlign w:val="bottom"/>
                </w:tcPr>
                <w:p w:rsidR="001B0C3A" w:rsidRPr="00D321C7" w:rsidRDefault="001B0C3A" w:rsidP="00D321C7">
                  <w:pPr>
                    <w:pStyle w:val="TableBodyText"/>
                  </w:pPr>
                  <w:r w:rsidRPr="00D321C7">
                    <w:t xml:space="preserve">  38.8</w:t>
                  </w:r>
                </w:p>
              </w:tc>
              <w:tc>
                <w:tcPr>
                  <w:tcW w:w="694" w:type="dxa"/>
                  <w:tcBorders>
                    <w:top w:val="nil"/>
                    <w:left w:val="nil"/>
                    <w:bottom w:val="nil"/>
                    <w:right w:val="nil"/>
                  </w:tcBorders>
                  <w:shd w:val="clear" w:color="auto" w:fill="auto"/>
                  <w:vAlign w:val="bottom"/>
                </w:tcPr>
                <w:p w:rsidR="001B0C3A" w:rsidRPr="00D321C7" w:rsidRDefault="001B0C3A" w:rsidP="00D321C7">
                  <w:pPr>
                    <w:pStyle w:val="TableBodyText"/>
                  </w:pPr>
                  <w:r w:rsidRPr="00D321C7">
                    <w:t xml:space="preserve">  5.8</w:t>
                  </w:r>
                </w:p>
              </w:tc>
              <w:tc>
                <w:tcPr>
                  <w:tcW w:w="694" w:type="dxa"/>
                  <w:tcBorders>
                    <w:top w:val="nil"/>
                    <w:left w:val="nil"/>
                    <w:bottom w:val="nil"/>
                    <w:right w:val="nil"/>
                  </w:tcBorders>
                  <w:shd w:val="clear" w:color="auto" w:fill="auto"/>
                  <w:vAlign w:val="bottom"/>
                </w:tcPr>
                <w:p w:rsidR="001B0C3A" w:rsidRPr="00D321C7" w:rsidRDefault="001B0C3A" w:rsidP="00D321C7">
                  <w:pPr>
                    <w:pStyle w:val="TableBodyText"/>
                  </w:pPr>
                  <w:r w:rsidRPr="00D321C7">
                    <w:t xml:space="preserve">  3.6</w:t>
                  </w:r>
                </w:p>
              </w:tc>
              <w:tc>
                <w:tcPr>
                  <w:tcW w:w="694" w:type="dxa"/>
                  <w:tcBorders>
                    <w:top w:val="nil"/>
                    <w:left w:val="nil"/>
                    <w:bottom w:val="nil"/>
                    <w:right w:val="nil"/>
                  </w:tcBorders>
                  <w:shd w:val="clear" w:color="auto" w:fill="auto"/>
                  <w:vAlign w:val="bottom"/>
                </w:tcPr>
                <w:p w:rsidR="001B0C3A" w:rsidRPr="00D321C7" w:rsidRDefault="001B0C3A" w:rsidP="00D321C7">
                  <w:pPr>
                    <w:pStyle w:val="TableBodyText"/>
                  </w:pPr>
                  <w:r w:rsidRPr="00D321C7">
                    <w:t xml:space="preserve">  18.5</w:t>
                  </w:r>
                </w:p>
              </w:tc>
              <w:tc>
                <w:tcPr>
                  <w:tcW w:w="694" w:type="dxa"/>
                  <w:tcBorders>
                    <w:top w:val="nil"/>
                    <w:left w:val="nil"/>
                    <w:bottom w:val="nil"/>
                    <w:right w:val="nil"/>
                  </w:tcBorders>
                  <w:shd w:val="clear" w:color="auto" w:fill="auto"/>
                  <w:vAlign w:val="bottom"/>
                </w:tcPr>
                <w:p w:rsidR="001B0C3A" w:rsidRPr="00D321C7" w:rsidRDefault="001B0C3A" w:rsidP="00D321C7">
                  <w:pPr>
                    <w:pStyle w:val="TableBodyText"/>
                  </w:pPr>
                  <w:r w:rsidRPr="00D321C7">
                    <w:t xml:space="preserve">  6.4</w:t>
                  </w:r>
                </w:p>
              </w:tc>
              <w:tc>
                <w:tcPr>
                  <w:tcW w:w="685" w:type="dxa"/>
                  <w:tcBorders>
                    <w:top w:val="nil"/>
                    <w:left w:val="nil"/>
                    <w:bottom w:val="nil"/>
                    <w:right w:val="nil"/>
                  </w:tcBorders>
                  <w:shd w:val="clear" w:color="auto" w:fill="auto"/>
                  <w:vAlign w:val="bottom"/>
                </w:tcPr>
                <w:p w:rsidR="001B0C3A" w:rsidRPr="00D321C7" w:rsidRDefault="001B0C3A" w:rsidP="00D321C7">
                  <w:pPr>
                    <w:pStyle w:val="TableBodyText"/>
                  </w:pPr>
                  <w:r w:rsidRPr="00D321C7">
                    <w:t>–</w:t>
                  </w:r>
                </w:p>
              </w:tc>
              <w:tc>
                <w:tcPr>
                  <w:tcW w:w="682" w:type="dxa"/>
                  <w:tcBorders>
                    <w:top w:val="nil"/>
                    <w:left w:val="nil"/>
                    <w:bottom w:val="nil"/>
                    <w:right w:val="nil"/>
                  </w:tcBorders>
                  <w:shd w:val="clear" w:color="auto" w:fill="auto"/>
                  <w:vAlign w:val="bottom"/>
                </w:tcPr>
                <w:p w:rsidR="001B0C3A" w:rsidRPr="00D321C7" w:rsidRDefault="001B0C3A" w:rsidP="00D321C7">
                  <w:pPr>
                    <w:pStyle w:val="TableBodyText"/>
                  </w:pPr>
                  <w:r w:rsidRPr="00D321C7">
                    <w:t>–</w:t>
                  </w:r>
                </w:p>
              </w:tc>
              <w:tc>
                <w:tcPr>
                  <w:tcW w:w="685" w:type="dxa"/>
                  <w:tcBorders>
                    <w:top w:val="nil"/>
                    <w:left w:val="nil"/>
                    <w:bottom w:val="nil"/>
                    <w:right w:val="nil"/>
                  </w:tcBorders>
                  <w:shd w:val="clear" w:color="auto" w:fill="auto"/>
                  <w:vAlign w:val="bottom"/>
                </w:tcPr>
                <w:p w:rsidR="001B0C3A" w:rsidRPr="00D321C7" w:rsidRDefault="001B0C3A" w:rsidP="00D321C7">
                  <w:pPr>
                    <w:pStyle w:val="TableBodyText"/>
                  </w:pPr>
                  <w:r w:rsidRPr="00D321C7">
                    <w:t xml:space="preserve">  13.5</w:t>
                  </w:r>
                </w:p>
              </w:tc>
            </w:tr>
            <w:tr w:rsidR="001B0C3A" w:rsidRPr="003A4357" w:rsidTr="00F41167">
              <w:trPr>
                <w:trHeight w:val="382"/>
              </w:trPr>
              <w:tc>
                <w:tcPr>
                  <w:tcW w:w="2342" w:type="dxa"/>
                  <w:tcBorders>
                    <w:top w:val="nil"/>
                    <w:left w:val="nil"/>
                    <w:bottom w:val="nil"/>
                    <w:right w:val="nil"/>
                  </w:tcBorders>
                  <w:shd w:val="clear" w:color="auto" w:fill="auto"/>
                </w:tcPr>
                <w:p w:rsidR="001B0C3A" w:rsidRPr="003A4357" w:rsidRDefault="001B0C3A" w:rsidP="00903853">
                  <w:pPr>
                    <w:pStyle w:val="TableBodyText"/>
                    <w:ind w:left="120"/>
                    <w:jc w:val="left"/>
                  </w:pPr>
                  <w:r w:rsidRPr="00D321C7">
                    <w:t>State or Territory health department</w:t>
                  </w:r>
                </w:p>
              </w:tc>
              <w:tc>
                <w:tcPr>
                  <w:tcW w:w="760" w:type="dxa"/>
                  <w:tcBorders>
                    <w:top w:val="nil"/>
                    <w:left w:val="nil"/>
                    <w:bottom w:val="nil"/>
                    <w:right w:val="nil"/>
                  </w:tcBorders>
                  <w:shd w:val="clear" w:color="auto" w:fill="auto"/>
                  <w:vAlign w:val="bottom"/>
                </w:tcPr>
                <w:p w:rsidR="001B0C3A" w:rsidRPr="00D321C7" w:rsidRDefault="001B0C3A" w:rsidP="00D321C7">
                  <w:pPr>
                    <w:pStyle w:val="TableBodyText"/>
                  </w:pPr>
                  <w:r w:rsidRPr="00D321C7">
                    <w:t>–</w:t>
                  </w:r>
                </w:p>
              </w:tc>
              <w:tc>
                <w:tcPr>
                  <w:tcW w:w="695" w:type="dxa"/>
                  <w:tcBorders>
                    <w:top w:val="nil"/>
                    <w:left w:val="nil"/>
                    <w:bottom w:val="nil"/>
                    <w:right w:val="nil"/>
                  </w:tcBorders>
                  <w:shd w:val="clear" w:color="auto" w:fill="auto"/>
                  <w:vAlign w:val="bottom"/>
                </w:tcPr>
                <w:p w:rsidR="001B0C3A" w:rsidRPr="00D321C7" w:rsidRDefault="001B0C3A" w:rsidP="00D321C7">
                  <w:pPr>
                    <w:pStyle w:val="TableBodyText"/>
                  </w:pPr>
                  <w:r w:rsidRPr="00D321C7">
                    <w:t>–</w:t>
                  </w:r>
                </w:p>
              </w:tc>
              <w:tc>
                <w:tcPr>
                  <w:tcW w:w="694" w:type="dxa"/>
                  <w:tcBorders>
                    <w:top w:val="nil"/>
                    <w:left w:val="nil"/>
                    <w:bottom w:val="nil"/>
                    <w:right w:val="nil"/>
                  </w:tcBorders>
                  <w:shd w:val="clear" w:color="auto" w:fill="auto"/>
                  <w:vAlign w:val="bottom"/>
                </w:tcPr>
                <w:p w:rsidR="001B0C3A" w:rsidRPr="00D321C7" w:rsidRDefault="001B0C3A" w:rsidP="00D321C7">
                  <w:pPr>
                    <w:pStyle w:val="TableBodyText"/>
                  </w:pPr>
                  <w:r w:rsidRPr="00D321C7">
                    <w:t>–</w:t>
                  </w:r>
                </w:p>
              </w:tc>
              <w:tc>
                <w:tcPr>
                  <w:tcW w:w="694" w:type="dxa"/>
                  <w:tcBorders>
                    <w:top w:val="nil"/>
                    <w:left w:val="nil"/>
                    <w:bottom w:val="nil"/>
                    <w:right w:val="nil"/>
                  </w:tcBorders>
                  <w:shd w:val="clear" w:color="auto" w:fill="auto"/>
                  <w:vAlign w:val="bottom"/>
                </w:tcPr>
                <w:p w:rsidR="001B0C3A" w:rsidRPr="00D321C7" w:rsidRDefault="001B0C3A" w:rsidP="00D321C7">
                  <w:pPr>
                    <w:pStyle w:val="TableBodyText"/>
                  </w:pPr>
                  <w:r w:rsidRPr="00D321C7">
                    <w:t xml:space="preserve">  4.9</w:t>
                  </w:r>
                </w:p>
              </w:tc>
              <w:tc>
                <w:tcPr>
                  <w:tcW w:w="694" w:type="dxa"/>
                  <w:tcBorders>
                    <w:top w:val="nil"/>
                    <w:left w:val="nil"/>
                    <w:bottom w:val="nil"/>
                    <w:right w:val="nil"/>
                  </w:tcBorders>
                  <w:shd w:val="clear" w:color="auto" w:fill="auto"/>
                  <w:vAlign w:val="bottom"/>
                </w:tcPr>
                <w:p w:rsidR="001B0C3A" w:rsidRPr="00D321C7" w:rsidRDefault="001B0C3A" w:rsidP="00D321C7">
                  <w:pPr>
                    <w:pStyle w:val="TableBodyText"/>
                  </w:pPr>
                  <w:r w:rsidRPr="00D321C7">
                    <w:t>–</w:t>
                  </w:r>
                </w:p>
              </w:tc>
              <w:tc>
                <w:tcPr>
                  <w:tcW w:w="694" w:type="dxa"/>
                  <w:tcBorders>
                    <w:top w:val="nil"/>
                    <w:left w:val="nil"/>
                    <w:bottom w:val="nil"/>
                    <w:right w:val="nil"/>
                  </w:tcBorders>
                  <w:shd w:val="clear" w:color="auto" w:fill="auto"/>
                  <w:vAlign w:val="bottom"/>
                </w:tcPr>
                <w:p w:rsidR="001B0C3A" w:rsidRPr="00D321C7" w:rsidRDefault="001B0C3A" w:rsidP="00D321C7">
                  <w:pPr>
                    <w:pStyle w:val="TableBodyText"/>
                  </w:pPr>
                  <w:r w:rsidRPr="00D321C7">
                    <w:t>–</w:t>
                  </w:r>
                </w:p>
              </w:tc>
              <w:tc>
                <w:tcPr>
                  <w:tcW w:w="685" w:type="dxa"/>
                  <w:tcBorders>
                    <w:top w:val="nil"/>
                    <w:left w:val="nil"/>
                    <w:bottom w:val="nil"/>
                    <w:right w:val="nil"/>
                  </w:tcBorders>
                  <w:shd w:val="clear" w:color="auto" w:fill="auto"/>
                  <w:vAlign w:val="bottom"/>
                </w:tcPr>
                <w:p w:rsidR="001B0C3A" w:rsidRPr="00D321C7" w:rsidRDefault="001B0C3A" w:rsidP="00D321C7">
                  <w:pPr>
                    <w:pStyle w:val="TableBodyText"/>
                  </w:pPr>
                  <w:r w:rsidRPr="00D321C7">
                    <w:t xml:space="preserve">  1.2</w:t>
                  </w:r>
                </w:p>
              </w:tc>
              <w:tc>
                <w:tcPr>
                  <w:tcW w:w="682" w:type="dxa"/>
                  <w:tcBorders>
                    <w:top w:val="nil"/>
                    <w:left w:val="nil"/>
                    <w:bottom w:val="nil"/>
                    <w:right w:val="nil"/>
                  </w:tcBorders>
                  <w:shd w:val="clear" w:color="auto" w:fill="auto"/>
                  <w:vAlign w:val="bottom"/>
                </w:tcPr>
                <w:p w:rsidR="001B0C3A" w:rsidRPr="00D321C7" w:rsidRDefault="001B0C3A" w:rsidP="00D321C7">
                  <w:pPr>
                    <w:pStyle w:val="TableBodyText"/>
                  </w:pPr>
                  <w:r w:rsidRPr="00D321C7">
                    <w:t xml:space="preserve">  0.1</w:t>
                  </w:r>
                </w:p>
              </w:tc>
              <w:tc>
                <w:tcPr>
                  <w:tcW w:w="685" w:type="dxa"/>
                  <w:tcBorders>
                    <w:top w:val="nil"/>
                    <w:left w:val="nil"/>
                    <w:bottom w:val="nil"/>
                    <w:right w:val="nil"/>
                  </w:tcBorders>
                  <w:shd w:val="clear" w:color="auto" w:fill="auto"/>
                  <w:vAlign w:val="bottom"/>
                </w:tcPr>
                <w:p w:rsidR="001B0C3A" w:rsidRPr="00D321C7" w:rsidRDefault="001B0C3A" w:rsidP="00D321C7">
                  <w:pPr>
                    <w:pStyle w:val="TableBodyText"/>
                  </w:pPr>
                  <w:r w:rsidRPr="00D321C7">
                    <w:t xml:space="preserve">  0.6</w:t>
                  </w:r>
                </w:p>
              </w:tc>
            </w:tr>
            <w:tr w:rsidR="001B0C3A" w:rsidRPr="003A4357" w:rsidTr="00F41167">
              <w:trPr>
                <w:trHeight w:val="77"/>
              </w:trPr>
              <w:tc>
                <w:tcPr>
                  <w:tcW w:w="2342" w:type="dxa"/>
                  <w:tcBorders>
                    <w:top w:val="nil"/>
                    <w:left w:val="nil"/>
                    <w:bottom w:val="nil"/>
                    <w:right w:val="nil"/>
                  </w:tcBorders>
                  <w:shd w:val="clear" w:color="auto" w:fill="auto"/>
                </w:tcPr>
                <w:p w:rsidR="001B0C3A" w:rsidRPr="003A4357" w:rsidRDefault="001B0C3A" w:rsidP="00903853">
                  <w:pPr>
                    <w:pStyle w:val="TableBodyText"/>
                    <w:ind w:left="120"/>
                    <w:jc w:val="left"/>
                  </w:pPr>
                  <w:r w:rsidRPr="00D321C7">
                    <w:t xml:space="preserve">Public hospital </w:t>
                  </w:r>
                </w:p>
              </w:tc>
              <w:tc>
                <w:tcPr>
                  <w:tcW w:w="760" w:type="dxa"/>
                  <w:tcBorders>
                    <w:top w:val="nil"/>
                    <w:left w:val="nil"/>
                    <w:bottom w:val="nil"/>
                    <w:right w:val="nil"/>
                  </w:tcBorders>
                  <w:shd w:val="clear" w:color="auto" w:fill="auto"/>
                  <w:vAlign w:val="bottom"/>
                </w:tcPr>
                <w:p w:rsidR="001B0C3A" w:rsidRPr="00D321C7" w:rsidRDefault="001B0C3A" w:rsidP="00D321C7">
                  <w:pPr>
                    <w:pStyle w:val="TableBodyText"/>
                  </w:pPr>
                  <w:r w:rsidRPr="00D321C7">
                    <w:t xml:space="preserve">  0.9</w:t>
                  </w:r>
                </w:p>
              </w:tc>
              <w:tc>
                <w:tcPr>
                  <w:tcW w:w="695" w:type="dxa"/>
                  <w:tcBorders>
                    <w:top w:val="nil"/>
                    <w:left w:val="nil"/>
                    <w:bottom w:val="nil"/>
                    <w:right w:val="nil"/>
                  </w:tcBorders>
                  <w:shd w:val="clear" w:color="auto" w:fill="auto"/>
                  <w:vAlign w:val="bottom"/>
                </w:tcPr>
                <w:p w:rsidR="001B0C3A" w:rsidRPr="00D321C7" w:rsidRDefault="001B0C3A" w:rsidP="00D321C7">
                  <w:pPr>
                    <w:pStyle w:val="TableBodyText"/>
                  </w:pPr>
                  <w:r w:rsidRPr="00D321C7">
                    <w:t xml:space="preserve">  1.2</w:t>
                  </w:r>
                </w:p>
              </w:tc>
              <w:tc>
                <w:tcPr>
                  <w:tcW w:w="694" w:type="dxa"/>
                  <w:tcBorders>
                    <w:top w:val="nil"/>
                    <w:left w:val="nil"/>
                    <w:bottom w:val="nil"/>
                    <w:right w:val="nil"/>
                  </w:tcBorders>
                  <w:shd w:val="clear" w:color="auto" w:fill="auto"/>
                  <w:vAlign w:val="bottom"/>
                </w:tcPr>
                <w:p w:rsidR="001B0C3A" w:rsidRPr="00D321C7" w:rsidRDefault="001B0C3A" w:rsidP="00D321C7">
                  <w:pPr>
                    <w:pStyle w:val="TableBodyText"/>
                  </w:pPr>
                  <w:r w:rsidRPr="00D321C7">
                    <w:t xml:space="preserve">  2.8</w:t>
                  </w:r>
                </w:p>
              </w:tc>
              <w:tc>
                <w:tcPr>
                  <w:tcW w:w="694" w:type="dxa"/>
                  <w:tcBorders>
                    <w:top w:val="nil"/>
                    <w:left w:val="nil"/>
                    <w:bottom w:val="nil"/>
                    <w:right w:val="nil"/>
                  </w:tcBorders>
                  <w:shd w:val="clear" w:color="auto" w:fill="auto"/>
                  <w:vAlign w:val="bottom"/>
                </w:tcPr>
                <w:p w:rsidR="001B0C3A" w:rsidRPr="00D321C7" w:rsidRDefault="001B0C3A" w:rsidP="00D321C7">
                  <w:pPr>
                    <w:pStyle w:val="TableBodyText"/>
                  </w:pPr>
                  <w:r w:rsidRPr="00D321C7">
                    <w:t xml:space="preserve">  1.3</w:t>
                  </w:r>
                </w:p>
              </w:tc>
              <w:tc>
                <w:tcPr>
                  <w:tcW w:w="694" w:type="dxa"/>
                  <w:tcBorders>
                    <w:top w:val="nil"/>
                    <w:left w:val="nil"/>
                    <w:bottom w:val="nil"/>
                    <w:right w:val="nil"/>
                  </w:tcBorders>
                  <w:shd w:val="clear" w:color="auto" w:fill="auto"/>
                  <w:vAlign w:val="bottom"/>
                </w:tcPr>
                <w:p w:rsidR="001B0C3A" w:rsidRPr="00D321C7" w:rsidRDefault="001B0C3A" w:rsidP="00D321C7">
                  <w:pPr>
                    <w:pStyle w:val="TableBodyText"/>
                  </w:pPr>
                  <w:r w:rsidRPr="00D321C7">
                    <w:t xml:space="preserve">  0.7</w:t>
                  </w:r>
                </w:p>
              </w:tc>
              <w:tc>
                <w:tcPr>
                  <w:tcW w:w="694" w:type="dxa"/>
                  <w:tcBorders>
                    <w:top w:val="nil"/>
                    <w:left w:val="nil"/>
                    <w:bottom w:val="nil"/>
                    <w:right w:val="nil"/>
                  </w:tcBorders>
                  <w:shd w:val="clear" w:color="auto" w:fill="auto"/>
                  <w:vAlign w:val="bottom"/>
                </w:tcPr>
                <w:p w:rsidR="001B0C3A" w:rsidRPr="00D321C7" w:rsidRDefault="001B0C3A" w:rsidP="00D321C7">
                  <w:pPr>
                    <w:pStyle w:val="TableBodyText"/>
                  </w:pPr>
                  <w:r w:rsidRPr="00D321C7">
                    <w:t xml:space="preserve">  0.4</w:t>
                  </w:r>
                </w:p>
              </w:tc>
              <w:tc>
                <w:tcPr>
                  <w:tcW w:w="685" w:type="dxa"/>
                  <w:tcBorders>
                    <w:top w:val="nil"/>
                    <w:left w:val="nil"/>
                    <w:bottom w:val="nil"/>
                    <w:right w:val="nil"/>
                  </w:tcBorders>
                  <w:shd w:val="clear" w:color="auto" w:fill="auto"/>
                  <w:vAlign w:val="bottom"/>
                </w:tcPr>
                <w:p w:rsidR="001B0C3A" w:rsidRPr="00D321C7" w:rsidRDefault="001B0C3A" w:rsidP="00D321C7">
                  <w:pPr>
                    <w:pStyle w:val="TableBodyText"/>
                  </w:pPr>
                  <w:r w:rsidRPr="00D321C7">
                    <w:t xml:space="preserve">  0.3</w:t>
                  </w:r>
                </w:p>
              </w:tc>
              <w:tc>
                <w:tcPr>
                  <w:tcW w:w="682" w:type="dxa"/>
                  <w:tcBorders>
                    <w:top w:val="nil"/>
                    <w:left w:val="nil"/>
                    <w:bottom w:val="nil"/>
                    <w:right w:val="nil"/>
                  </w:tcBorders>
                  <w:shd w:val="clear" w:color="auto" w:fill="auto"/>
                  <w:vAlign w:val="bottom"/>
                </w:tcPr>
                <w:p w:rsidR="001B0C3A" w:rsidRPr="00D321C7" w:rsidRDefault="001B0C3A" w:rsidP="00D321C7">
                  <w:pPr>
                    <w:pStyle w:val="TableBodyText"/>
                  </w:pPr>
                  <w:r w:rsidRPr="00D321C7">
                    <w:t xml:space="preserve">  2.4</w:t>
                  </w:r>
                </w:p>
              </w:tc>
              <w:tc>
                <w:tcPr>
                  <w:tcW w:w="685" w:type="dxa"/>
                  <w:tcBorders>
                    <w:top w:val="nil"/>
                    <w:left w:val="nil"/>
                    <w:bottom w:val="nil"/>
                    <w:right w:val="nil"/>
                  </w:tcBorders>
                  <w:shd w:val="clear" w:color="auto" w:fill="auto"/>
                  <w:vAlign w:val="bottom"/>
                </w:tcPr>
                <w:p w:rsidR="001B0C3A" w:rsidRPr="00D321C7" w:rsidRDefault="001B0C3A" w:rsidP="00D321C7">
                  <w:pPr>
                    <w:pStyle w:val="TableBodyText"/>
                  </w:pPr>
                  <w:r w:rsidRPr="00D321C7">
                    <w:t xml:space="preserve">  1.5</w:t>
                  </w:r>
                </w:p>
              </w:tc>
            </w:tr>
            <w:tr w:rsidR="001B0C3A" w:rsidRPr="003A4357" w:rsidTr="00F41167">
              <w:trPr>
                <w:trHeight w:val="224"/>
              </w:trPr>
              <w:tc>
                <w:tcPr>
                  <w:tcW w:w="2342" w:type="dxa"/>
                  <w:tcBorders>
                    <w:top w:val="nil"/>
                    <w:left w:val="nil"/>
                    <w:bottom w:val="nil"/>
                    <w:right w:val="nil"/>
                  </w:tcBorders>
                  <w:shd w:val="clear" w:color="auto" w:fill="auto"/>
                </w:tcPr>
                <w:p w:rsidR="001B0C3A" w:rsidRPr="003A4357" w:rsidRDefault="001B0C3A" w:rsidP="00903853">
                  <w:pPr>
                    <w:pStyle w:val="TableBodyText"/>
                    <w:ind w:left="120"/>
                    <w:jc w:val="left"/>
                  </w:pPr>
                  <w:r w:rsidRPr="00D321C7">
                    <w:t>Aboriginal and Torres Strait Islander health service / worker</w:t>
                  </w:r>
                </w:p>
              </w:tc>
              <w:tc>
                <w:tcPr>
                  <w:tcW w:w="760" w:type="dxa"/>
                  <w:tcBorders>
                    <w:top w:val="nil"/>
                    <w:left w:val="nil"/>
                    <w:bottom w:val="nil"/>
                    <w:right w:val="nil"/>
                  </w:tcBorders>
                  <w:shd w:val="clear" w:color="auto" w:fill="auto"/>
                  <w:vAlign w:val="bottom"/>
                </w:tcPr>
                <w:p w:rsidR="001B0C3A" w:rsidRPr="00D321C7" w:rsidRDefault="001B0C3A" w:rsidP="00D321C7">
                  <w:pPr>
                    <w:pStyle w:val="TableBodyText"/>
                  </w:pPr>
                  <w:r w:rsidRPr="00D321C7">
                    <w:t xml:space="preserve">  0.5</w:t>
                  </w:r>
                </w:p>
              </w:tc>
              <w:tc>
                <w:tcPr>
                  <w:tcW w:w="695" w:type="dxa"/>
                  <w:tcBorders>
                    <w:top w:val="nil"/>
                    <w:left w:val="nil"/>
                    <w:bottom w:val="nil"/>
                    <w:right w:val="nil"/>
                  </w:tcBorders>
                  <w:shd w:val="clear" w:color="auto" w:fill="auto"/>
                  <w:vAlign w:val="bottom"/>
                </w:tcPr>
                <w:p w:rsidR="001B0C3A" w:rsidRPr="00D321C7" w:rsidRDefault="001B0C3A" w:rsidP="00D321C7">
                  <w:pPr>
                    <w:pStyle w:val="TableBodyText"/>
                  </w:pPr>
                  <w:r w:rsidRPr="00D321C7">
                    <w:t xml:space="preserve">  0.2</w:t>
                  </w:r>
                </w:p>
              </w:tc>
              <w:tc>
                <w:tcPr>
                  <w:tcW w:w="694" w:type="dxa"/>
                  <w:tcBorders>
                    <w:top w:val="nil"/>
                    <w:left w:val="nil"/>
                    <w:bottom w:val="nil"/>
                    <w:right w:val="nil"/>
                  </w:tcBorders>
                  <w:shd w:val="clear" w:color="auto" w:fill="auto"/>
                  <w:vAlign w:val="bottom"/>
                </w:tcPr>
                <w:p w:rsidR="001B0C3A" w:rsidRPr="00D321C7" w:rsidRDefault="001B0C3A" w:rsidP="00D321C7">
                  <w:pPr>
                    <w:pStyle w:val="TableBodyText"/>
                  </w:pPr>
                  <w:r w:rsidRPr="00D321C7">
                    <w:t xml:space="preserve">  0.3</w:t>
                  </w:r>
                </w:p>
              </w:tc>
              <w:tc>
                <w:tcPr>
                  <w:tcW w:w="694" w:type="dxa"/>
                  <w:tcBorders>
                    <w:top w:val="nil"/>
                    <w:left w:val="nil"/>
                    <w:bottom w:val="nil"/>
                    <w:right w:val="nil"/>
                  </w:tcBorders>
                  <w:shd w:val="clear" w:color="auto" w:fill="auto"/>
                  <w:vAlign w:val="bottom"/>
                </w:tcPr>
                <w:p w:rsidR="001B0C3A" w:rsidRPr="00D321C7" w:rsidRDefault="001B0C3A" w:rsidP="00D321C7">
                  <w:pPr>
                    <w:pStyle w:val="TableBodyText"/>
                  </w:pPr>
                  <w:r w:rsidRPr="00D321C7">
                    <w:t xml:space="preserve">  0.4</w:t>
                  </w:r>
                </w:p>
              </w:tc>
              <w:tc>
                <w:tcPr>
                  <w:tcW w:w="694" w:type="dxa"/>
                  <w:tcBorders>
                    <w:top w:val="nil"/>
                    <w:left w:val="nil"/>
                    <w:bottom w:val="nil"/>
                    <w:right w:val="nil"/>
                  </w:tcBorders>
                  <w:shd w:val="clear" w:color="auto" w:fill="auto"/>
                  <w:vAlign w:val="bottom"/>
                </w:tcPr>
                <w:p w:rsidR="001B0C3A" w:rsidRPr="00D321C7" w:rsidRDefault="001B0C3A" w:rsidP="00D321C7">
                  <w:pPr>
                    <w:pStyle w:val="TableBodyText"/>
                  </w:pPr>
                  <w:r w:rsidRPr="00D321C7">
                    <w:t xml:space="preserve">  0.7</w:t>
                  </w:r>
                </w:p>
              </w:tc>
              <w:tc>
                <w:tcPr>
                  <w:tcW w:w="694" w:type="dxa"/>
                  <w:tcBorders>
                    <w:top w:val="nil"/>
                    <w:left w:val="nil"/>
                    <w:bottom w:val="nil"/>
                    <w:right w:val="nil"/>
                  </w:tcBorders>
                  <w:shd w:val="clear" w:color="auto" w:fill="auto"/>
                  <w:vAlign w:val="bottom"/>
                </w:tcPr>
                <w:p w:rsidR="001B0C3A" w:rsidRPr="00D321C7" w:rsidRDefault="001B0C3A" w:rsidP="00D321C7">
                  <w:pPr>
                    <w:pStyle w:val="TableBodyText"/>
                  </w:pPr>
                  <w:r w:rsidRPr="00D321C7">
                    <w:t>–</w:t>
                  </w:r>
                </w:p>
              </w:tc>
              <w:tc>
                <w:tcPr>
                  <w:tcW w:w="685" w:type="dxa"/>
                  <w:tcBorders>
                    <w:top w:val="nil"/>
                    <w:left w:val="nil"/>
                    <w:bottom w:val="nil"/>
                    <w:right w:val="nil"/>
                  </w:tcBorders>
                  <w:shd w:val="clear" w:color="auto" w:fill="auto"/>
                  <w:vAlign w:val="bottom"/>
                </w:tcPr>
                <w:p w:rsidR="001B0C3A" w:rsidRPr="00D321C7" w:rsidRDefault="001B0C3A" w:rsidP="00D321C7">
                  <w:pPr>
                    <w:pStyle w:val="TableBodyText"/>
                  </w:pPr>
                  <w:r w:rsidRPr="00D321C7">
                    <w:t>–</w:t>
                  </w:r>
                </w:p>
              </w:tc>
              <w:tc>
                <w:tcPr>
                  <w:tcW w:w="682" w:type="dxa"/>
                  <w:tcBorders>
                    <w:top w:val="nil"/>
                    <w:left w:val="nil"/>
                    <w:bottom w:val="nil"/>
                    <w:right w:val="nil"/>
                  </w:tcBorders>
                  <w:shd w:val="clear" w:color="auto" w:fill="auto"/>
                  <w:vAlign w:val="bottom"/>
                </w:tcPr>
                <w:p w:rsidR="001B0C3A" w:rsidRPr="00D321C7" w:rsidRDefault="001B0C3A" w:rsidP="00D321C7">
                  <w:pPr>
                    <w:pStyle w:val="TableBodyText"/>
                  </w:pPr>
                  <w:r w:rsidRPr="00D321C7">
                    <w:t xml:space="preserve">  6.8</w:t>
                  </w:r>
                </w:p>
              </w:tc>
              <w:tc>
                <w:tcPr>
                  <w:tcW w:w="685" w:type="dxa"/>
                  <w:tcBorders>
                    <w:top w:val="nil"/>
                    <w:left w:val="nil"/>
                    <w:bottom w:val="nil"/>
                    <w:right w:val="nil"/>
                  </w:tcBorders>
                  <w:shd w:val="clear" w:color="auto" w:fill="auto"/>
                  <w:vAlign w:val="bottom"/>
                </w:tcPr>
                <w:p w:rsidR="001B0C3A" w:rsidRPr="00D321C7" w:rsidRDefault="001B0C3A" w:rsidP="00D321C7">
                  <w:pPr>
                    <w:pStyle w:val="TableBodyText"/>
                  </w:pPr>
                  <w:r w:rsidRPr="00D321C7">
                    <w:t xml:space="preserve">  0.7</w:t>
                  </w:r>
                </w:p>
              </w:tc>
            </w:tr>
            <w:tr w:rsidR="001B0C3A" w:rsidRPr="003A4357" w:rsidTr="00F41167">
              <w:trPr>
                <w:trHeight w:val="77"/>
              </w:trPr>
              <w:tc>
                <w:tcPr>
                  <w:tcW w:w="2342" w:type="dxa"/>
                  <w:tcBorders>
                    <w:top w:val="nil"/>
                    <w:left w:val="nil"/>
                    <w:bottom w:val="nil"/>
                    <w:right w:val="nil"/>
                  </w:tcBorders>
                  <w:shd w:val="clear" w:color="auto" w:fill="auto"/>
                </w:tcPr>
                <w:p w:rsidR="001B0C3A" w:rsidRPr="003A4357" w:rsidRDefault="001B0C3A" w:rsidP="00903853">
                  <w:pPr>
                    <w:pStyle w:val="TableBodyText"/>
                    <w:ind w:left="120"/>
                    <w:jc w:val="left"/>
                  </w:pPr>
                  <w:r w:rsidRPr="00D321C7">
                    <w:t>Community health centre</w:t>
                  </w:r>
                </w:p>
              </w:tc>
              <w:tc>
                <w:tcPr>
                  <w:tcW w:w="760" w:type="dxa"/>
                  <w:tcBorders>
                    <w:top w:val="nil"/>
                    <w:left w:val="nil"/>
                    <w:bottom w:val="nil"/>
                    <w:right w:val="nil"/>
                  </w:tcBorders>
                  <w:shd w:val="clear" w:color="auto" w:fill="auto"/>
                  <w:vAlign w:val="bottom"/>
                </w:tcPr>
                <w:p w:rsidR="001B0C3A" w:rsidRPr="00D321C7" w:rsidRDefault="001B0C3A" w:rsidP="00D321C7">
                  <w:pPr>
                    <w:pStyle w:val="TableBodyText"/>
                  </w:pPr>
                  <w:r w:rsidRPr="00D321C7">
                    <w:t xml:space="preserve">  6.5</w:t>
                  </w:r>
                </w:p>
              </w:tc>
              <w:tc>
                <w:tcPr>
                  <w:tcW w:w="695" w:type="dxa"/>
                  <w:tcBorders>
                    <w:top w:val="nil"/>
                    <w:left w:val="nil"/>
                    <w:bottom w:val="nil"/>
                    <w:right w:val="nil"/>
                  </w:tcBorders>
                  <w:shd w:val="clear" w:color="auto" w:fill="auto"/>
                  <w:vAlign w:val="bottom"/>
                </w:tcPr>
                <w:p w:rsidR="001B0C3A" w:rsidRPr="00D321C7" w:rsidRDefault="001B0C3A" w:rsidP="00D321C7">
                  <w:pPr>
                    <w:pStyle w:val="TableBodyText"/>
                  </w:pPr>
                  <w:r w:rsidRPr="00D321C7">
                    <w:t xml:space="preserve">  0.3</w:t>
                  </w:r>
                </w:p>
              </w:tc>
              <w:tc>
                <w:tcPr>
                  <w:tcW w:w="694" w:type="dxa"/>
                  <w:tcBorders>
                    <w:top w:val="nil"/>
                    <w:left w:val="nil"/>
                    <w:bottom w:val="nil"/>
                    <w:right w:val="nil"/>
                  </w:tcBorders>
                  <w:shd w:val="clear" w:color="auto" w:fill="auto"/>
                  <w:vAlign w:val="bottom"/>
                </w:tcPr>
                <w:p w:rsidR="001B0C3A" w:rsidRPr="00D321C7" w:rsidRDefault="001B0C3A" w:rsidP="00D321C7">
                  <w:pPr>
                    <w:pStyle w:val="TableBodyText"/>
                  </w:pPr>
                  <w:r w:rsidRPr="00D321C7">
                    <w:t xml:space="preserve">  6.0</w:t>
                  </w:r>
                </w:p>
              </w:tc>
              <w:tc>
                <w:tcPr>
                  <w:tcW w:w="694" w:type="dxa"/>
                  <w:tcBorders>
                    <w:top w:val="nil"/>
                    <w:left w:val="nil"/>
                    <w:bottom w:val="nil"/>
                    <w:right w:val="nil"/>
                  </w:tcBorders>
                  <w:shd w:val="clear" w:color="auto" w:fill="auto"/>
                  <w:vAlign w:val="bottom"/>
                </w:tcPr>
                <w:p w:rsidR="001B0C3A" w:rsidRPr="00D321C7" w:rsidRDefault="001B0C3A" w:rsidP="00D321C7">
                  <w:pPr>
                    <w:pStyle w:val="TableBodyText"/>
                  </w:pPr>
                  <w:r w:rsidRPr="00D321C7">
                    <w:t xml:space="preserve">  20.5</w:t>
                  </w:r>
                </w:p>
              </w:tc>
              <w:tc>
                <w:tcPr>
                  <w:tcW w:w="694" w:type="dxa"/>
                  <w:tcBorders>
                    <w:top w:val="nil"/>
                    <w:left w:val="nil"/>
                    <w:bottom w:val="nil"/>
                    <w:right w:val="nil"/>
                  </w:tcBorders>
                  <w:shd w:val="clear" w:color="auto" w:fill="auto"/>
                  <w:vAlign w:val="bottom"/>
                </w:tcPr>
                <w:p w:rsidR="001B0C3A" w:rsidRPr="00D321C7" w:rsidRDefault="001B0C3A" w:rsidP="00D321C7">
                  <w:pPr>
                    <w:pStyle w:val="TableBodyText"/>
                  </w:pPr>
                  <w:r w:rsidRPr="00D321C7">
                    <w:t xml:space="preserve">  7.0</w:t>
                  </w:r>
                </w:p>
              </w:tc>
              <w:tc>
                <w:tcPr>
                  <w:tcW w:w="694" w:type="dxa"/>
                  <w:tcBorders>
                    <w:top w:val="nil"/>
                    <w:left w:val="nil"/>
                    <w:bottom w:val="nil"/>
                    <w:right w:val="nil"/>
                  </w:tcBorders>
                  <w:shd w:val="clear" w:color="auto" w:fill="auto"/>
                  <w:vAlign w:val="bottom"/>
                </w:tcPr>
                <w:p w:rsidR="001B0C3A" w:rsidRPr="00D321C7" w:rsidRDefault="001B0C3A" w:rsidP="00D321C7">
                  <w:pPr>
                    <w:pStyle w:val="TableBodyText"/>
                  </w:pPr>
                  <w:r w:rsidRPr="00D321C7">
                    <w:t xml:space="preserve">  0.1</w:t>
                  </w:r>
                </w:p>
              </w:tc>
              <w:tc>
                <w:tcPr>
                  <w:tcW w:w="685" w:type="dxa"/>
                  <w:tcBorders>
                    <w:top w:val="nil"/>
                    <w:left w:val="nil"/>
                    <w:bottom w:val="nil"/>
                    <w:right w:val="nil"/>
                  </w:tcBorders>
                  <w:shd w:val="clear" w:color="auto" w:fill="auto"/>
                  <w:vAlign w:val="bottom"/>
                </w:tcPr>
                <w:p w:rsidR="001B0C3A" w:rsidRPr="00D321C7" w:rsidRDefault="001B0C3A" w:rsidP="00D321C7">
                  <w:pPr>
                    <w:pStyle w:val="TableBodyText"/>
                  </w:pPr>
                  <w:r w:rsidRPr="00D321C7">
                    <w:t xml:space="preserve">  38.9</w:t>
                  </w:r>
                </w:p>
              </w:tc>
              <w:tc>
                <w:tcPr>
                  <w:tcW w:w="682" w:type="dxa"/>
                  <w:tcBorders>
                    <w:top w:val="nil"/>
                    <w:left w:val="nil"/>
                    <w:bottom w:val="nil"/>
                    <w:right w:val="nil"/>
                  </w:tcBorders>
                  <w:shd w:val="clear" w:color="auto" w:fill="auto"/>
                  <w:vAlign w:val="bottom"/>
                </w:tcPr>
                <w:p w:rsidR="001B0C3A" w:rsidRPr="00D321C7" w:rsidRDefault="001B0C3A" w:rsidP="00D321C7">
                  <w:pPr>
                    <w:pStyle w:val="TableBodyText"/>
                  </w:pPr>
                  <w:r w:rsidRPr="00D321C7">
                    <w:t xml:space="preserve">  18.8</w:t>
                  </w:r>
                </w:p>
              </w:tc>
              <w:tc>
                <w:tcPr>
                  <w:tcW w:w="685" w:type="dxa"/>
                  <w:tcBorders>
                    <w:top w:val="nil"/>
                    <w:left w:val="nil"/>
                    <w:bottom w:val="nil"/>
                    <w:right w:val="nil"/>
                  </w:tcBorders>
                  <w:shd w:val="clear" w:color="auto" w:fill="auto"/>
                  <w:vAlign w:val="bottom"/>
                </w:tcPr>
                <w:p w:rsidR="001B0C3A" w:rsidRPr="00D321C7" w:rsidRDefault="001B0C3A" w:rsidP="00D321C7">
                  <w:pPr>
                    <w:pStyle w:val="TableBodyText"/>
                  </w:pPr>
                  <w:r w:rsidRPr="00D321C7">
                    <w:t xml:space="preserve">  7.7</w:t>
                  </w:r>
                </w:p>
              </w:tc>
            </w:tr>
            <w:tr w:rsidR="001B0C3A" w:rsidRPr="003A4357" w:rsidTr="00F41167">
              <w:trPr>
                <w:trHeight w:val="77"/>
              </w:trPr>
              <w:tc>
                <w:tcPr>
                  <w:tcW w:w="2342" w:type="dxa"/>
                  <w:tcBorders>
                    <w:top w:val="nil"/>
                    <w:left w:val="nil"/>
                    <w:right w:val="nil"/>
                  </w:tcBorders>
                  <w:shd w:val="clear" w:color="auto" w:fill="auto"/>
                </w:tcPr>
                <w:p w:rsidR="001B0C3A" w:rsidRPr="003A4357" w:rsidRDefault="001B0C3A" w:rsidP="00903853">
                  <w:pPr>
                    <w:pStyle w:val="TableBodyText"/>
                    <w:spacing w:afterLines="40" w:after="96"/>
                    <w:ind w:left="120" w:right="57"/>
                    <w:jc w:val="left"/>
                    <w:rPr>
                      <w:rStyle w:val="NoteLabel"/>
                    </w:rPr>
                  </w:pPr>
                  <w:r w:rsidRPr="003A4357">
                    <w:rPr>
                      <w:snapToGrid w:val="0"/>
                      <w:lang w:val="en-GB"/>
                    </w:rPr>
                    <w:t>Other</w:t>
                  </w:r>
                  <w:r w:rsidRPr="003A4357">
                    <w:rPr>
                      <w:rStyle w:val="NoteLabel"/>
                    </w:rPr>
                    <w:t>d</w:t>
                  </w:r>
                </w:p>
              </w:tc>
              <w:tc>
                <w:tcPr>
                  <w:tcW w:w="760" w:type="dxa"/>
                  <w:tcBorders>
                    <w:top w:val="nil"/>
                    <w:left w:val="nil"/>
                    <w:right w:val="nil"/>
                  </w:tcBorders>
                  <w:shd w:val="clear" w:color="auto" w:fill="auto"/>
                  <w:vAlign w:val="bottom"/>
                </w:tcPr>
                <w:p w:rsidR="001B0C3A" w:rsidRPr="00D321C7" w:rsidRDefault="001B0C3A" w:rsidP="00D321C7">
                  <w:pPr>
                    <w:pStyle w:val="TableBodyText"/>
                  </w:pPr>
                  <w:r w:rsidRPr="00D321C7">
                    <w:t xml:space="preserve">  0.1</w:t>
                  </w:r>
                </w:p>
              </w:tc>
              <w:tc>
                <w:tcPr>
                  <w:tcW w:w="695" w:type="dxa"/>
                  <w:tcBorders>
                    <w:top w:val="nil"/>
                    <w:left w:val="nil"/>
                    <w:right w:val="nil"/>
                  </w:tcBorders>
                  <w:shd w:val="clear" w:color="auto" w:fill="auto"/>
                  <w:vAlign w:val="bottom"/>
                </w:tcPr>
                <w:p w:rsidR="001B0C3A" w:rsidRPr="00D321C7" w:rsidRDefault="001B0C3A" w:rsidP="00D321C7">
                  <w:pPr>
                    <w:pStyle w:val="TableBodyText"/>
                  </w:pPr>
                  <w:r w:rsidRPr="00D321C7">
                    <w:t>–</w:t>
                  </w:r>
                </w:p>
              </w:tc>
              <w:tc>
                <w:tcPr>
                  <w:tcW w:w="694" w:type="dxa"/>
                  <w:tcBorders>
                    <w:top w:val="nil"/>
                    <w:left w:val="nil"/>
                    <w:right w:val="nil"/>
                  </w:tcBorders>
                  <w:shd w:val="clear" w:color="auto" w:fill="auto"/>
                  <w:vAlign w:val="bottom"/>
                </w:tcPr>
                <w:p w:rsidR="001B0C3A" w:rsidRPr="00D321C7" w:rsidRDefault="001B0C3A" w:rsidP="00D321C7">
                  <w:pPr>
                    <w:pStyle w:val="TableBodyText"/>
                  </w:pPr>
                  <w:r w:rsidRPr="00D321C7">
                    <w:t xml:space="preserve">  0.5</w:t>
                  </w:r>
                </w:p>
              </w:tc>
              <w:tc>
                <w:tcPr>
                  <w:tcW w:w="694" w:type="dxa"/>
                  <w:tcBorders>
                    <w:top w:val="nil"/>
                    <w:left w:val="nil"/>
                    <w:right w:val="nil"/>
                  </w:tcBorders>
                  <w:shd w:val="clear" w:color="auto" w:fill="auto"/>
                  <w:vAlign w:val="bottom"/>
                </w:tcPr>
                <w:p w:rsidR="001B0C3A" w:rsidRPr="00D321C7" w:rsidRDefault="001B0C3A" w:rsidP="00D321C7">
                  <w:pPr>
                    <w:pStyle w:val="TableBodyText"/>
                  </w:pPr>
                  <w:r w:rsidRPr="00D321C7">
                    <w:t xml:space="preserve">  0.1</w:t>
                  </w:r>
                </w:p>
              </w:tc>
              <w:tc>
                <w:tcPr>
                  <w:tcW w:w="694" w:type="dxa"/>
                  <w:tcBorders>
                    <w:top w:val="nil"/>
                    <w:left w:val="nil"/>
                    <w:right w:val="nil"/>
                  </w:tcBorders>
                  <w:shd w:val="clear" w:color="auto" w:fill="auto"/>
                  <w:vAlign w:val="bottom"/>
                </w:tcPr>
                <w:p w:rsidR="001B0C3A" w:rsidRPr="00D321C7" w:rsidRDefault="001B0C3A" w:rsidP="00D321C7">
                  <w:pPr>
                    <w:pStyle w:val="TableBodyText"/>
                  </w:pPr>
                  <w:r w:rsidRPr="00D321C7">
                    <w:t xml:space="preserve">  0.1</w:t>
                  </w:r>
                </w:p>
              </w:tc>
              <w:tc>
                <w:tcPr>
                  <w:tcW w:w="694" w:type="dxa"/>
                  <w:tcBorders>
                    <w:top w:val="nil"/>
                    <w:left w:val="nil"/>
                    <w:right w:val="nil"/>
                  </w:tcBorders>
                  <w:shd w:val="clear" w:color="auto" w:fill="auto"/>
                  <w:vAlign w:val="bottom"/>
                </w:tcPr>
                <w:p w:rsidR="001B0C3A" w:rsidRPr="00D321C7" w:rsidRDefault="001B0C3A" w:rsidP="00D321C7">
                  <w:pPr>
                    <w:pStyle w:val="TableBodyText"/>
                  </w:pPr>
                  <w:r w:rsidRPr="00D321C7">
                    <w:t>–</w:t>
                  </w:r>
                </w:p>
              </w:tc>
              <w:tc>
                <w:tcPr>
                  <w:tcW w:w="685" w:type="dxa"/>
                  <w:tcBorders>
                    <w:top w:val="nil"/>
                    <w:left w:val="nil"/>
                    <w:right w:val="nil"/>
                  </w:tcBorders>
                  <w:shd w:val="clear" w:color="auto" w:fill="auto"/>
                  <w:vAlign w:val="bottom"/>
                </w:tcPr>
                <w:p w:rsidR="001B0C3A" w:rsidRPr="00D321C7" w:rsidRDefault="001B0C3A" w:rsidP="00D321C7">
                  <w:pPr>
                    <w:pStyle w:val="TableBodyText"/>
                  </w:pPr>
                  <w:r w:rsidRPr="00D321C7">
                    <w:t>–</w:t>
                  </w:r>
                </w:p>
              </w:tc>
              <w:tc>
                <w:tcPr>
                  <w:tcW w:w="682" w:type="dxa"/>
                  <w:tcBorders>
                    <w:top w:val="nil"/>
                    <w:left w:val="nil"/>
                    <w:right w:val="nil"/>
                  </w:tcBorders>
                  <w:shd w:val="clear" w:color="auto" w:fill="auto"/>
                  <w:vAlign w:val="bottom"/>
                </w:tcPr>
                <w:p w:rsidR="001B0C3A" w:rsidRPr="00D321C7" w:rsidRDefault="001B0C3A" w:rsidP="00D321C7">
                  <w:pPr>
                    <w:pStyle w:val="TableBodyText"/>
                  </w:pPr>
                  <w:r w:rsidRPr="00D321C7">
                    <w:t xml:space="preserve">  0.1</w:t>
                  </w:r>
                </w:p>
              </w:tc>
              <w:tc>
                <w:tcPr>
                  <w:tcW w:w="685" w:type="dxa"/>
                  <w:tcBorders>
                    <w:top w:val="nil"/>
                    <w:left w:val="nil"/>
                    <w:right w:val="nil"/>
                  </w:tcBorders>
                  <w:shd w:val="clear" w:color="auto" w:fill="auto"/>
                  <w:vAlign w:val="bottom"/>
                </w:tcPr>
                <w:p w:rsidR="001B0C3A" w:rsidRPr="00D321C7" w:rsidRDefault="001B0C3A" w:rsidP="00D321C7">
                  <w:pPr>
                    <w:pStyle w:val="TableBodyText"/>
                  </w:pPr>
                  <w:r w:rsidRPr="00D321C7">
                    <w:t xml:space="preserve">  0.2</w:t>
                  </w:r>
                </w:p>
              </w:tc>
            </w:tr>
            <w:tr w:rsidR="001B0C3A" w:rsidRPr="00E51597" w:rsidTr="00F41167">
              <w:trPr>
                <w:trHeight w:val="270"/>
              </w:trPr>
              <w:tc>
                <w:tcPr>
                  <w:tcW w:w="2342" w:type="dxa"/>
                  <w:tcBorders>
                    <w:left w:val="nil"/>
                    <w:bottom w:val="single" w:sz="4" w:space="0" w:color="BFBFBF"/>
                    <w:right w:val="nil"/>
                  </w:tcBorders>
                  <w:shd w:val="clear" w:color="auto" w:fill="auto"/>
                </w:tcPr>
                <w:p w:rsidR="001B0C3A" w:rsidRPr="003A4357" w:rsidRDefault="001B0C3A" w:rsidP="00903853">
                  <w:pPr>
                    <w:pStyle w:val="TableBodyText"/>
                    <w:spacing w:afterLines="40" w:after="96"/>
                    <w:ind w:left="120" w:right="57"/>
                    <w:jc w:val="left"/>
                    <w:rPr>
                      <w:b/>
                      <w:bCs/>
                    </w:rPr>
                  </w:pPr>
                  <w:r w:rsidRPr="003A4357">
                    <w:rPr>
                      <w:b/>
                      <w:bCs/>
                    </w:rPr>
                    <w:t>Total</w:t>
                  </w:r>
                </w:p>
              </w:tc>
              <w:tc>
                <w:tcPr>
                  <w:tcW w:w="760" w:type="dxa"/>
                  <w:tcBorders>
                    <w:left w:val="nil"/>
                    <w:bottom w:val="single" w:sz="4" w:space="0" w:color="BFBFBF"/>
                    <w:right w:val="nil"/>
                  </w:tcBorders>
                  <w:shd w:val="clear" w:color="auto" w:fill="auto"/>
                  <w:vAlign w:val="bottom"/>
                </w:tcPr>
                <w:p w:rsidR="001B0C3A" w:rsidRPr="00D321C7" w:rsidRDefault="001B0C3A" w:rsidP="00D321C7">
                  <w:pPr>
                    <w:pStyle w:val="TableBodyText"/>
                    <w:rPr>
                      <w:b/>
                    </w:rPr>
                  </w:pPr>
                  <w:r w:rsidRPr="00D321C7">
                    <w:rPr>
                      <w:b/>
                    </w:rPr>
                    <w:t xml:space="preserve">  100.0</w:t>
                  </w:r>
                </w:p>
              </w:tc>
              <w:tc>
                <w:tcPr>
                  <w:tcW w:w="695" w:type="dxa"/>
                  <w:tcBorders>
                    <w:left w:val="nil"/>
                    <w:bottom w:val="single" w:sz="4" w:space="0" w:color="BFBFBF"/>
                    <w:right w:val="nil"/>
                  </w:tcBorders>
                  <w:shd w:val="clear" w:color="auto" w:fill="auto"/>
                  <w:vAlign w:val="bottom"/>
                </w:tcPr>
                <w:p w:rsidR="001B0C3A" w:rsidRPr="00D321C7" w:rsidRDefault="001B0C3A" w:rsidP="00D321C7">
                  <w:pPr>
                    <w:pStyle w:val="TableBodyText"/>
                    <w:rPr>
                      <w:b/>
                    </w:rPr>
                  </w:pPr>
                  <w:r w:rsidRPr="00D321C7">
                    <w:rPr>
                      <w:b/>
                    </w:rPr>
                    <w:t xml:space="preserve">  100.0</w:t>
                  </w:r>
                </w:p>
              </w:tc>
              <w:tc>
                <w:tcPr>
                  <w:tcW w:w="694" w:type="dxa"/>
                  <w:tcBorders>
                    <w:left w:val="nil"/>
                    <w:bottom w:val="single" w:sz="4" w:space="0" w:color="BFBFBF"/>
                    <w:right w:val="nil"/>
                  </w:tcBorders>
                  <w:shd w:val="clear" w:color="auto" w:fill="auto"/>
                  <w:vAlign w:val="bottom"/>
                </w:tcPr>
                <w:p w:rsidR="001B0C3A" w:rsidRPr="00D321C7" w:rsidRDefault="001B0C3A" w:rsidP="00D321C7">
                  <w:pPr>
                    <w:pStyle w:val="TableBodyText"/>
                    <w:rPr>
                      <w:b/>
                    </w:rPr>
                  </w:pPr>
                  <w:r w:rsidRPr="00D321C7">
                    <w:rPr>
                      <w:b/>
                    </w:rPr>
                    <w:t xml:space="preserve">  100.0</w:t>
                  </w:r>
                </w:p>
              </w:tc>
              <w:tc>
                <w:tcPr>
                  <w:tcW w:w="694" w:type="dxa"/>
                  <w:tcBorders>
                    <w:left w:val="nil"/>
                    <w:bottom w:val="single" w:sz="4" w:space="0" w:color="BFBFBF"/>
                    <w:right w:val="nil"/>
                  </w:tcBorders>
                  <w:shd w:val="clear" w:color="auto" w:fill="auto"/>
                  <w:vAlign w:val="bottom"/>
                </w:tcPr>
                <w:p w:rsidR="001B0C3A" w:rsidRPr="00D321C7" w:rsidRDefault="001B0C3A" w:rsidP="00D321C7">
                  <w:pPr>
                    <w:pStyle w:val="TableBodyText"/>
                    <w:rPr>
                      <w:b/>
                    </w:rPr>
                  </w:pPr>
                  <w:r w:rsidRPr="00D321C7">
                    <w:rPr>
                      <w:b/>
                    </w:rPr>
                    <w:t xml:space="preserve">  100.0</w:t>
                  </w:r>
                </w:p>
              </w:tc>
              <w:tc>
                <w:tcPr>
                  <w:tcW w:w="694" w:type="dxa"/>
                  <w:tcBorders>
                    <w:left w:val="nil"/>
                    <w:bottom w:val="single" w:sz="4" w:space="0" w:color="BFBFBF"/>
                    <w:right w:val="nil"/>
                  </w:tcBorders>
                  <w:shd w:val="clear" w:color="auto" w:fill="auto"/>
                  <w:vAlign w:val="bottom"/>
                </w:tcPr>
                <w:p w:rsidR="001B0C3A" w:rsidRPr="00D321C7" w:rsidRDefault="001B0C3A" w:rsidP="00D321C7">
                  <w:pPr>
                    <w:pStyle w:val="TableBodyText"/>
                    <w:rPr>
                      <w:b/>
                    </w:rPr>
                  </w:pPr>
                  <w:r w:rsidRPr="00D321C7">
                    <w:rPr>
                      <w:b/>
                    </w:rPr>
                    <w:t xml:space="preserve">  100.0</w:t>
                  </w:r>
                </w:p>
              </w:tc>
              <w:tc>
                <w:tcPr>
                  <w:tcW w:w="694" w:type="dxa"/>
                  <w:tcBorders>
                    <w:left w:val="nil"/>
                    <w:bottom w:val="single" w:sz="4" w:space="0" w:color="BFBFBF"/>
                    <w:right w:val="nil"/>
                  </w:tcBorders>
                  <w:shd w:val="clear" w:color="auto" w:fill="auto"/>
                  <w:vAlign w:val="bottom"/>
                </w:tcPr>
                <w:p w:rsidR="001B0C3A" w:rsidRPr="00D321C7" w:rsidRDefault="001B0C3A" w:rsidP="00D321C7">
                  <w:pPr>
                    <w:pStyle w:val="TableBodyText"/>
                    <w:rPr>
                      <w:b/>
                    </w:rPr>
                  </w:pPr>
                  <w:r w:rsidRPr="00D321C7">
                    <w:rPr>
                      <w:b/>
                    </w:rPr>
                    <w:t xml:space="preserve">  100.0</w:t>
                  </w:r>
                </w:p>
              </w:tc>
              <w:tc>
                <w:tcPr>
                  <w:tcW w:w="685" w:type="dxa"/>
                  <w:tcBorders>
                    <w:left w:val="nil"/>
                    <w:bottom w:val="single" w:sz="4" w:space="0" w:color="BFBFBF"/>
                    <w:right w:val="nil"/>
                  </w:tcBorders>
                  <w:shd w:val="clear" w:color="auto" w:fill="auto"/>
                  <w:vAlign w:val="bottom"/>
                </w:tcPr>
                <w:p w:rsidR="001B0C3A" w:rsidRPr="00D321C7" w:rsidRDefault="001B0C3A" w:rsidP="00D321C7">
                  <w:pPr>
                    <w:pStyle w:val="TableBodyText"/>
                    <w:rPr>
                      <w:b/>
                    </w:rPr>
                  </w:pPr>
                  <w:r w:rsidRPr="00D321C7">
                    <w:rPr>
                      <w:b/>
                    </w:rPr>
                    <w:t xml:space="preserve">  100.0</w:t>
                  </w:r>
                </w:p>
              </w:tc>
              <w:tc>
                <w:tcPr>
                  <w:tcW w:w="682" w:type="dxa"/>
                  <w:tcBorders>
                    <w:left w:val="nil"/>
                    <w:bottom w:val="single" w:sz="4" w:space="0" w:color="BFBFBF"/>
                    <w:right w:val="nil"/>
                  </w:tcBorders>
                  <w:shd w:val="clear" w:color="auto" w:fill="auto"/>
                  <w:vAlign w:val="bottom"/>
                </w:tcPr>
                <w:p w:rsidR="001B0C3A" w:rsidRPr="00D321C7" w:rsidRDefault="001B0C3A" w:rsidP="00D321C7">
                  <w:pPr>
                    <w:pStyle w:val="TableBodyText"/>
                    <w:rPr>
                      <w:b/>
                    </w:rPr>
                  </w:pPr>
                  <w:r w:rsidRPr="00D321C7">
                    <w:rPr>
                      <w:b/>
                    </w:rPr>
                    <w:t xml:space="preserve">  100.0</w:t>
                  </w:r>
                </w:p>
              </w:tc>
              <w:tc>
                <w:tcPr>
                  <w:tcW w:w="685" w:type="dxa"/>
                  <w:tcBorders>
                    <w:left w:val="nil"/>
                    <w:bottom w:val="single" w:sz="4" w:space="0" w:color="BFBFBF"/>
                    <w:right w:val="nil"/>
                  </w:tcBorders>
                  <w:shd w:val="clear" w:color="auto" w:fill="auto"/>
                  <w:tcMar>
                    <w:right w:w="0" w:type="dxa"/>
                  </w:tcMar>
                  <w:vAlign w:val="bottom"/>
                </w:tcPr>
                <w:p w:rsidR="001B0C3A" w:rsidRPr="00D321C7" w:rsidRDefault="001B0C3A" w:rsidP="00D321C7">
                  <w:pPr>
                    <w:pStyle w:val="TableBodyText"/>
                    <w:rPr>
                      <w:b/>
                    </w:rPr>
                  </w:pPr>
                  <w:r w:rsidRPr="00D321C7">
                    <w:rPr>
                      <w:b/>
                    </w:rPr>
                    <w:t xml:space="preserve">  100.0</w:t>
                  </w:r>
                </w:p>
              </w:tc>
            </w:tr>
          </w:tbl>
          <w:p w:rsidR="003019F8" w:rsidRDefault="003019F8" w:rsidP="003019F8">
            <w:pPr>
              <w:pStyle w:val="Box"/>
            </w:pPr>
          </w:p>
        </w:tc>
      </w:tr>
      <w:tr w:rsidR="003019F8" w:rsidTr="003019F8">
        <w:trPr>
          <w:cantSplit/>
        </w:trPr>
        <w:tc>
          <w:tcPr>
            <w:tcW w:w="8771" w:type="dxa"/>
            <w:tcBorders>
              <w:top w:val="nil"/>
              <w:left w:val="nil"/>
              <w:bottom w:val="nil"/>
              <w:right w:val="nil"/>
            </w:tcBorders>
            <w:shd w:val="clear" w:color="auto" w:fill="auto"/>
          </w:tcPr>
          <w:p w:rsidR="003019F8" w:rsidRPr="003019F8" w:rsidRDefault="003019F8" w:rsidP="00A34E9A">
            <w:pPr>
              <w:pStyle w:val="Note"/>
            </w:pPr>
            <w:r w:rsidRPr="00834AD4">
              <w:rPr>
                <w:rStyle w:val="NoteLabel"/>
              </w:rPr>
              <w:t>a</w:t>
            </w:r>
            <w:r>
              <w:rPr>
                <w:rFonts w:cs="Arial"/>
              </w:rPr>
              <w:t xml:space="preserve"> Data are for the period </w:t>
            </w:r>
            <w:r>
              <w:t>1 July 200</w:t>
            </w:r>
            <w:r w:rsidR="00A34E9A">
              <w:t>9</w:t>
            </w:r>
            <w:r>
              <w:t xml:space="preserve"> to 30 June </w:t>
            </w:r>
            <w:r w:rsidRPr="0001631C">
              <w:t>20</w:t>
            </w:r>
            <w:r>
              <w:t>1</w:t>
            </w:r>
            <w:r w:rsidR="00A34E9A">
              <w:t>4</w:t>
            </w:r>
            <w:r w:rsidRPr="00F65E6E">
              <w:t xml:space="preserve">. </w:t>
            </w:r>
            <w:r w:rsidRPr="00834AD4">
              <w:rPr>
                <w:rStyle w:val="NoteLabel"/>
              </w:rPr>
              <w:t>b</w:t>
            </w:r>
            <w:r>
              <w:t xml:space="preserve"> </w:t>
            </w:r>
            <w:r w:rsidRPr="00F65E6E">
              <w:t>Data</w:t>
            </w:r>
            <w:r w:rsidRPr="00834AD4">
              <w:t xml:space="preserve"> </w:t>
            </w:r>
            <w:r>
              <w:t>are based on State/Territory</w:t>
            </w:r>
            <w:r w:rsidRPr="00816B58">
              <w:t xml:space="preserve"> </w:t>
            </w:r>
            <w:r w:rsidRPr="00834AD4">
              <w:t xml:space="preserve">in which the immunisation provider was located. </w:t>
            </w:r>
            <w:r>
              <w:rPr>
                <w:rStyle w:val="NoteLabel"/>
              </w:rPr>
              <w:t>c</w:t>
            </w:r>
            <w:r w:rsidRPr="00834AD4">
              <w:t xml:space="preserve"> A valid vaccination is a National Health and Medical Research Council’s Australian Standard Vaccination Schedule vaccination administere</w:t>
            </w:r>
            <w:r>
              <w:t>d to a child under the age of 7 </w:t>
            </w:r>
            <w:r w:rsidRPr="00834AD4">
              <w:t>years.</w:t>
            </w:r>
            <w:r>
              <w:t xml:space="preserve"> </w:t>
            </w:r>
            <w:r>
              <w:rPr>
                <w:rStyle w:val="NoteLabel"/>
              </w:rPr>
              <w:t>d </w:t>
            </w:r>
            <w:r w:rsidRPr="008B6F4C">
              <w:t>Other includes Division</w:t>
            </w:r>
            <w:r>
              <w:t>s</w:t>
            </w:r>
            <w:r w:rsidRPr="008B6F4C">
              <w:t xml:space="preserve"> of GP</w:t>
            </w:r>
            <w:r>
              <w:t xml:space="preserve">, </w:t>
            </w:r>
            <w:r w:rsidRPr="008B6F4C">
              <w:t>Flying Doctors Service</w:t>
            </w:r>
            <w:r>
              <w:t xml:space="preserve">s, </w:t>
            </w:r>
            <w:r w:rsidR="00D16EBA">
              <w:t>Aboriginal and Torres Strait Islander</w:t>
            </w:r>
            <w:r w:rsidRPr="008B6F4C">
              <w:t xml:space="preserve"> Health Worker</w:t>
            </w:r>
            <w:r>
              <w:t>s</w:t>
            </w:r>
            <w:r w:rsidRPr="008B6F4C">
              <w:t xml:space="preserve">, </w:t>
            </w:r>
            <w:r w:rsidR="003E3718">
              <w:t>c</w:t>
            </w:r>
            <w:r w:rsidRPr="008B6F4C">
              <w:t xml:space="preserve">ommunity </w:t>
            </w:r>
            <w:r>
              <w:t>n</w:t>
            </w:r>
            <w:r w:rsidRPr="008B6F4C">
              <w:t>urse</w:t>
            </w:r>
            <w:r>
              <w:t>s</w:t>
            </w:r>
            <w:r w:rsidR="003E3718">
              <w:t>, private hospitals</w:t>
            </w:r>
            <w:r w:rsidRPr="008B6F4C">
              <w:t xml:space="preserve"> and unknown.</w:t>
            </w:r>
            <w:r>
              <w:t xml:space="preserve"> – </w:t>
            </w:r>
            <w:r w:rsidRPr="00834AD4">
              <w:t>Nil or rounded to zero</w:t>
            </w:r>
            <w:r w:rsidR="003E3718">
              <w:t>.</w:t>
            </w:r>
          </w:p>
        </w:tc>
      </w:tr>
      <w:tr w:rsidR="003019F8" w:rsidTr="003019F8">
        <w:trPr>
          <w:cantSplit/>
        </w:trPr>
        <w:tc>
          <w:tcPr>
            <w:tcW w:w="8771" w:type="dxa"/>
            <w:tcBorders>
              <w:top w:val="nil"/>
              <w:left w:val="nil"/>
              <w:bottom w:val="nil"/>
              <w:right w:val="nil"/>
            </w:tcBorders>
            <w:shd w:val="clear" w:color="auto" w:fill="auto"/>
          </w:tcPr>
          <w:p w:rsidR="003019F8" w:rsidRDefault="003019F8" w:rsidP="00F622DA">
            <w:pPr>
              <w:pStyle w:val="Source"/>
              <w:tabs>
                <w:tab w:val="left" w:pos="3119"/>
              </w:tabs>
              <w:spacing w:after="80"/>
            </w:pPr>
            <w:r w:rsidRPr="00834AD4">
              <w:rPr>
                <w:i/>
              </w:rPr>
              <w:t>Source</w:t>
            </w:r>
            <w:r w:rsidRPr="00834AD4">
              <w:t xml:space="preserve">: </w:t>
            </w:r>
            <w:r>
              <w:t>Department of Health</w:t>
            </w:r>
            <w:r w:rsidRPr="00834AD4">
              <w:t xml:space="preserve"> (unpublished)</w:t>
            </w:r>
            <w:r>
              <w:t xml:space="preserve"> </w:t>
            </w:r>
            <w:r w:rsidRPr="00E91C91">
              <w:t>Australian Childhood Immunisation Register (ACIR)</w:t>
            </w:r>
            <w:r>
              <w:t xml:space="preserve"> data collection; table </w:t>
            </w:r>
            <w:r w:rsidR="00C9076B">
              <w:t>10A.</w:t>
            </w:r>
            <w:r>
              <w:t>7</w:t>
            </w:r>
            <w:r w:rsidR="00F622DA">
              <w:t>8</w:t>
            </w:r>
            <w:r w:rsidRPr="002D197F">
              <w:t>.</w:t>
            </w:r>
          </w:p>
        </w:tc>
      </w:tr>
      <w:tr w:rsidR="003019F8" w:rsidTr="003019F8">
        <w:trPr>
          <w:cantSplit/>
        </w:trPr>
        <w:tc>
          <w:tcPr>
            <w:tcW w:w="8771" w:type="dxa"/>
            <w:tcBorders>
              <w:top w:val="nil"/>
              <w:left w:val="nil"/>
              <w:bottom w:val="single" w:sz="6" w:space="0" w:color="78A22F" w:themeColor="accent1"/>
              <w:right w:val="nil"/>
            </w:tcBorders>
            <w:shd w:val="clear" w:color="auto" w:fill="auto"/>
          </w:tcPr>
          <w:p w:rsidR="003019F8" w:rsidRDefault="003019F8" w:rsidP="003019F8">
            <w:pPr>
              <w:pStyle w:val="Box"/>
              <w:spacing w:before="0" w:line="120" w:lineRule="exact"/>
            </w:pPr>
          </w:p>
        </w:tc>
      </w:tr>
      <w:tr w:rsidR="003019F8" w:rsidRPr="000863A5" w:rsidTr="003019F8">
        <w:tc>
          <w:tcPr>
            <w:tcW w:w="8771" w:type="dxa"/>
            <w:tcBorders>
              <w:top w:val="single" w:sz="6" w:space="0" w:color="78A22F" w:themeColor="accent1"/>
              <w:left w:val="nil"/>
              <w:bottom w:val="nil"/>
              <w:right w:val="nil"/>
            </w:tcBorders>
          </w:tcPr>
          <w:p w:rsidR="003019F8" w:rsidRPr="00626D32" w:rsidRDefault="003019F8" w:rsidP="003019F8">
            <w:pPr>
              <w:pStyle w:val="BoxSpaceBelow"/>
            </w:pPr>
          </w:p>
        </w:tc>
      </w:tr>
    </w:tbl>
    <w:p w:rsidR="00D321C7" w:rsidRDefault="00C33EF2" w:rsidP="00416D72">
      <w:pPr>
        <w:pStyle w:val="BodyText"/>
      </w:pPr>
      <w:r>
        <w:t>Nationally,</w:t>
      </w:r>
      <w:r w:rsidRPr="000E5F9F">
        <w:t xml:space="preserve"> </w:t>
      </w:r>
      <w:r>
        <w:t xml:space="preserve">the proportion of </w:t>
      </w:r>
      <w:r w:rsidRPr="000E5F9F">
        <w:t xml:space="preserve">Australian children aged 12 months to less than 15 months </w:t>
      </w:r>
      <w:r>
        <w:t>who were assessed as fully immunised in 2013-</w:t>
      </w:r>
      <w:r w:rsidRPr="00B8039E">
        <w:t>1</w:t>
      </w:r>
      <w:r>
        <w:t xml:space="preserve">4 — </w:t>
      </w:r>
      <w:r w:rsidRPr="00D14160">
        <w:t>9</w:t>
      </w:r>
      <w:r>
        <w:t>0</w:t>
      </w:r>
      <w:r w:rsidRPr="00D14160">
        <w:t>.</w:t>
      </w:r>
      <w:r>
        <w:t>4</w:t>
      </w:r>
      <w:r w:rsidRPr="00D14160">
        <w:t> per</w:t>
      </w:r>
      <w:r w:rsidRPr="000E5F9F">
        <w:t xml:space="preserve"> cent </w:t>
      </w:r>
      <w:r>
        <w:t xml:space="preserve">— fell below 91 per cent for the first time in the </w:t>
      </w:r>
      <w:r w:rsidR="004A00A3">
        <w:t>5 year period</w:t>
      </w:r>
      <w:r>
        <w:t xml:space="preserve"> </w:t>
      </w:r>
      <w:r w:rsidR="004A00A3">
        <w:t xml:space="preserve">from </w:t>
      </w:r>
      <w:r>
        <w:t xml:space="preserve">2009-10 </w:t>
      </w:r>
      <w:r w:rsidRPr="000E5F9F">
        <w:t>(</w:t>
      </w:r>
      <w:r w:rsidR="00C74C1B">
        <w:t>figure 10.39</w:t>
      </w:r>
      <w:r w:rsidRPr="000E5F9F">
        <w:t>).</w:t>
      </w:r>
    </w:p>
    <w:p w:rsidR="00816D3D" w:rsidRDefault="00816D3D" w:rsidP="00D61F90">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816D3D" w:rsidTr="00D61F90">
        <w:tc>
          <w:tcPr>
            <w:tcW w:w="8771" w:type="dxa"/>
            <w:tcBorders>
              <w:top w:val="single" w:sz="6" w:space="0" w:color="78A22F"/>
              <w:left w:val="nil"/>
              <w:bottom w:val="nil"/>
              <w:right w:val="nil"/>
            </w:tcBorders>
            <w:shd w:val="clear" w:color="auto" w:fill="auto"/>
          </w:tcPr>
          <w:p w:rsidR="00816D3D" w:rsidRPr="00176D3F" w:rsidRDefault="00816D3D" w:rsidP="00816D3D">
            <w:pPr>
              <w:pStyle w:val="FigureTitle"/>
            </w:pPr>
            <w:r w:rsidRPr="00784A05">
              <w:rPr>
                <w:b w:val="0"/>
              </w:rPr>
              <w:t xml:space="preserve">Figure </w:t>
            </w:r>
            <w:r w:rsidR="00DF255F">
              <w:rPr>
                <w:b w:val="0"/>
              </w:rPr>
              <w:t>10.</w:t>
            </w:r>
            <w:r w:rsidR="0078724D">
              <w:rPr>
                <w:b w:val="0"/>
                <w:noProof/>
              </w:rPr>
              <w:t>39</w:t>
            </w:r>
            <w:r>
              <w:tab/>
            </w:r>
            <w:r w:rsidRPr="00834AD4">
              <w:t>Children aged 12 months to less than 15 months who were fully immunised</w:t>
            </w:r>
            <w:r w:rsidR="00D67F74">
              <w:rPr>
                <w:rStyle w:val="NoteLabel"/>
                <w:b/>
              </w:rPr>
              <w:t>a, b</w:t>
            </w:r>
            <w:r w:rsidR="00637C2C">
              <w:rPr>
                <w:rStyle w:val="NoteLabel"/>
                <w:b/>
              </w:rPr>
              <w:t>, c</w:t>
            </w:r>
          </w:p>
        </w:tc>
      </w:tr>
      <w:tr w:rsidR="00816D3D" w:rsidTr="00D61F90">
        <w:tc>
          <w:tcPr>
            <w:tcW w:w="8771" w:type="dxa"/>
            <w:tcBorders>
              <w:top w:val="nil"/>
              <w:left w:val="nil"/>
              <w:bottom w:val="nil"/>
              <w:right w:val="nil"/>
            </w:tcBorders>
            <w:shd w:val="clear" w:color="auto" w:fill="auto"/>
            <w:tcMar>
              <w:top w:w="28" w:type="dxa"/>
              <w:bottom w:w="28" w:type="dxa"/>
            </w:tcMar>
          </w:tcPr>
          <w:tbl>
            <w:tblPr>
              <w:tblW w:w="8625" w:type="dxa"/>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625"/>
            </w:tblGrid>
            <w:tr w:rsidR="00816D3D" w:rsidTr="00AF3F72">
              <w:tc>
                <w:tcPr>
                  <w:tcW w:w="5000" w:type="pct"/>
                  <w:tcBorders>
                    <w:top w:val="nil"/>
                    <w:bottom w:val="nil"/>
                  </w:tcBorders>
                </w:tcPr>
                <w:p w:rsidR="00816D3D" w:rsidRDefault="007B1994" w:rsidP="00D61F90">
                  <w:pPr>
                    <w:pStyle w:val="Figure"/>
                    <w:spacing w:before="60" w:after="60"/>
                  </w:pPr>
                  <w:r>
                    <w:rPr>
                      <w:noProof/>
                    </w:rPr>
                    <w:drawing>
                      <wp:inline distT="0" distB="0" distL="0" distR="0">
                        <wp:extent cx="5391150" cy="2705100"/>
                        <wp:effectExtent l="0" t="0" r="0" b="0"/>
                        <wp:docPr id="48" name="Picture 48" descr="Figure 10.39 Children aged 12 months to less than 15 months who were fully immunised&#10;&#10;More details can be found within the text surrounding this image.&#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5391150" cy="2705100"/>
                                </a:xfrm>
                                <a:prstGeom prst="rect">
                                  <a:avLst/>
                                </a:prstGeom>
                                <a:noFill/>
                                <a:ln>
                                  <a:noFill/>
                                </a:ln>
                              </pic:spPr>
                            </pic:pic>
                          </a:graphicData>
                        </a:graphic>
                      </wp:inline>
                    </w:drawing>
                  </w:r>
                </w:p>
              </w:tc>
            </w:tr>
          </w:tbl>
          <w:p w:rsidR="00816D3D" w:rsidRDefault="00816D3D" w:rsidP="00D61F90">
            <w:pPr>
              <w:pStyle w:val="Figure"/>
            </w:pPr>
          </w:p>
        </w:tc>
      </w:tr>
      <w:tr w:rsidR="00816D3D" w:rsidRPr="00176D3F" w:rsidTr="00D61F90">
        <w:tc>
          <w:tcPr>
            <w:tcW w:w="8771" w:type="dxa"/>
            <w:tcBorders>
              <w:top w:val="nil"/>
              <w:left w:val="nil"/>
              <w:bottom w:val="nil"/>
              <w:right w:val="nil"/>
            </w:tcBorders>
            <w:shd w:val="clear" w:color="auto" w:fill="auto"/>
          </w:tcPr>
          <w:p w:rsidR="00816D3D" w:rsidRPr="00176D3F" w:rsidRDefault="00816D3D" w:rsidP="00637C2C">
            <w:pPr>
              <w:pStyle w:val="Note"/>
              <w:keepNext/>
            </w:pPr>
            <w:r>
              <w:rPr>
                <w:rStyle w:val="NoteLabel"/>
              </w:rPr>
              <w:t>a</w:t>
            </w:r>
            <w:r>
              <w:sym w:font="Symbol" w:char="F020"/>
            </w:r>
            <w:r w:rsidRPr="00834AD4">
              <w:t xml:space="preserve"> The </w:t>
            </w:r>
            <w:r w:rsidRPr="00106ECB">
              <w:t xml:space="preserve">Australian Childhood Immunisation Register </w:t>
            </w:r>
            <w:r>
              <w:t>(</w:t>
            </w:r>
            <w:r w:rsidRPr="00834AD4">
              <w:t>ACIR</w:t>
            </w:r>
            <w:r>
              <w:t>)</w:t>
            </w:r>
            <w:r w:rsidRPr="00834AD4">
              <w:t xml:space="preserve"> includes all children under</w:t>
            </w:r>
            <w:r>
              <w:t xml:space="preserve"> 7 </w:t>
            </w:r>
            <w:r w:rsidRPr="00834AD4">
              <w:t xml:space="preserve">years of age who are registered with </w:t>
            </w:r>
            <w:r w:rsidRPr="002D7882">
              <w:t>DHS Medicare</w:t>
            </w:r>
            <w:r w:rsidRPr="00834AD4">
              <w:t>. By the age of 12 months, over 98</w:t>
            </w:r>
            <w:r>
              <w:t> </w:t>
            </w:r>
            <w:r w:rsidRPr="00834AD4">
              <w:t>per</w:t>
            </w:r>
            <w:r>
              <w:t> </w:t>
            </w:r>
            <w:r w:rsidRPr="00834AD4">
              <w:t xml:space="preserve">cent of Australian children have been registered with </w:t>
            </w:r>
            <w:r w:rsidRPr="002D7882">
              <w:t>DHS Medicare</w:t>
            </w:r>
            <w:r>
              <w:t>.</w:t>
            </w:r>
            <w:r w:rsidRPr="00834AD4">
              <w:t xml:space="preserve"> </w:t>
            </w:r>
            <w:r w:rsidR="00D67F74">
              <w:rPr>
                <w:rStyle w:val="NoteLabel"/>
              </w:rPr>
              <w:t>b</w:t>
            </w:r>
            <w:r>
              <w:t xml:space="preserve"> </w:t>
            </w:r>
            <w:r w:rsidRPr="00834AD4">
              <w:t xml:space="preserve">There </w:t>
            </w:r>
            <w:r>
              <w:t>can</w:t>
            </w:r>
            <w:r w:rsidRPr="00834AD4">
              <w:t xml:space="preserve"> be some under-reporting by providers, so vaccination coverage estimate</w:t>
            </w:r>
            <w:r>
              <w:t>s</w:t>
            </w:r>
            <w:r w:rsidRPr="00834AD4">
              <w:t xml:space="preserve"> </w:t>
            </w:r>
            <w:r>
              <w:t xml:space="preserve">based on </w:t>
            </w:r>
            <w:r w:rsidRPr="00834AD4">
              <w:t>ACIR data are cons</w:t>
            </w:r>
            <w:r>
              <w:t>idered minimum estimates (NCIRS </w:t>
            </w:r>
            <w:r w:rsidRPr="00834AD4">
              <w:t>2000).</w:t>
            </w:r>
            <w:r w:rsidR="00637C2C">
              <w:rPr>
                <w:rStyle w:val="NoteLabel"/>
              </w:rPr>
              <w:t xml:space="preserve"> c</w:t>
            </w:r>
            <w:r w:rsidR="00637C2C">
              <w:t xml:space="preserve"> Data are for financial years and may differ from previous reports which presented data for the June quarter.</w:t>
            </w:r>
          </w:p>
        </w:tc>
      </w:tr>
      <w:tr w:rsidR="00816D3D" w:rsidRPr="00176D3F" w:rsidTr="00D61F90">
        <w:tc>
          <w:tcPr>
            <w:tcW w:w="8771" w:type="dxa"/>
            <w:tcBorders>
              <w:top w:val="nil"/>
              <w:left w:val="nil"/>
              <w:bottom w:val="nil"/>
              <w:right w:val="nil"/>
            </w:tcBorders>
            <w:shd w:val="clear" w:color="auto" w:fill="auto"/>
          </w:tcPr>
          <w:p w:rsidR="00816D3D" w:rsidRPr="00176D3F" w:rsidRDefault="00816D3D" w:rsidP="00F622DA">
            <w:pPr>
              <w:pStyle w:val="Source"/>
              <w:spacing w:after="20"/>
            </w:pPr>
            <w:r w:rsidRPr="00834AD4">
              <w:rPr>
                <w:i/>
              </w:rPr>
              <w:t>Source</w:t>
            </w:r>
            <w:r w:rsidRPr="00834AD4">
              <w:t xml:space="preserve">: </w:t>
            </w:r>
            <w:r>
              <w:t>Department of Health</w:t>
            </w:r>
            <w:r w:rsidRPr="00834AD4">
              <w:t xml:space="preserve"> (unpublished)</w:t>
            </w:r>
            <w:r>
              <w:t xml:space="preserve"> </w:t>
            </w:r>
            <w:r w:rsidRPr="00E91C91">
              <w:t>ACIR</w:t>
            </w:r>
            <w:r w:rsidRPr="00295C56">
              <w:t xml:space="preserve"> </w:t>
            </w:r>
            <w:r>
              <w:t xml:space="preserve">data collection; </w:t>
            </w:r>
            <w:r w:rsidRPr="006C74C6">
              <w:t>table </w:t>
            </w:r>
            <w:r w:rsidR="00C9076B">
              <w:t>10A.</w:t>
            </w:r>
            <w:r>
              <w:t>7</w:t>
            </w:r>
            <w:r w:rsidR="00F622DA">
              <w:t>9</w:t>
            </w:r>
            <w:r w:rsidRPr="006C74C6">
              <w:t>.</w:t>
            </w:r>
          </w:p>
        </w:tc>
      </w:tr>
      <w:tr w:rsidR="00816D3D" w:rsidTr="00D61F90">
        <w:tc>
          <w:tcPr>
            <w:tcW w:w="8771" w:type="dxa"/>
            <w:tcBorders>
              <w:top w:val="nil"/>
              <w:left w:val="nil"/>
              <w:bottom w:val="single" w:sz="6" w:space="0" w:color="78A22F"/>
              <w:right w:val="nil"/>
            </w:tcBorders>
            <w:shd w:val="clear" w:color="auto" w:fill="auto"/>
          </w:tcPr>
          <w:p w:rsidR="00816D3D" w:rsidRDefault="00816D3D" w:rsidP="00D61F90">
            <w:pPr>
              <w:pStyle w:val="Figurespace"/>
            </w:pPr>
          </w:p>
        </w:tc>
      </w:tr>
      <w:tr w:rsidR="00816D3D" w:rsidRPr="000863A5" w:rsidTr="00D61F90">
        <w:tc>
          <w:tcPr>
            <w:tcW w:w="8771" w:type="dxa"/>
            <w:tcBorders>
              <w:top w:val="single" w:sz="6" w:space="0" w:color="78A22F"/>
              <w:left w:val="nil"/>
              <w:bottom w:val="nil"/>
              <w:right w:val="nil"/>
            </w:tcBorders>
          </w:tcPr>
          <w:p w:rsidR="00816D3D" w:rsidRPr="00626D32" w:rsidRDefault="00816D3D" w:rsidP="00D61F90">
            <w:pPr>
              <w:pStyle w:val="BoxSpaceBelow"/>
            </w:pPr>
          </w:p>
        </w:tc>
      </w:tr>
    </w:tbl>
    <w:p w:rsidR="002F579B" w:rsidRDefault="002F579B" w:rsidP="002F579B">
      <w:pPr>
        <w:pStyle w:val="BodyText"/>
      </w:pPr>
      <w:r w:rsidRPr="00506EA3">
        <w:t xml:space="preserve">Nationally, </w:t>
      </w:r>
      <w:r w:rsidRPr="00D14160">
        <w:t>92.</w:t>
      </w:r>
      <w:r w:rsidR="00D14160" w:rsidRPr="00D14160">
        <w:t>4</w:t>
      </w:r>
      <w:r w:rsidR="006022D9" w:rsidRPr="00D14160">
        <w:t> </w:t>
      </w:r>
      <w:r w:rsidRPr="00D14160">
        <w:t>per</w:t>
      </w:r>
      <w:r w:rsidR="006022D9" w:rsidRPr="00506EA3">
        <w:t> </w:t>
      </w:r>
      <w:r w:rsidRPr="00506EA3">
        <w:t>cent of children aged 24</w:t>
      </w:r>
      <w:r w:rsidR="006022D9" w:rsidRPr="00506EA3">
        <w:t> </w:t>
      </w:r>
      <w:r w:rsidRPr="00506EA3">
        <w:t>mont</w:t>
      </w:r>
      <w:r w:rsidR="00F43A55" w:rsidRPr="00506EA3">
        <w:t>hs to less than 27</w:t>
      </w:r>
      <w:r w:rsidR="006022D9" w:rsidRPr="00506EA3">
        <w:t> </w:t>
      </w:r>
      <w:r w:rsidR="00F43A55" w:rsidRPr="00506EA3">
        <w:t xml:space="preserve">months </w:t>
      </w:r>
      <w:r w:rsidR="00A343A2">
        <w:t>were assessed as fully immunised in 201</w:t>
      </w:r>
      <w:r w:rsidR="00D67F74">
        <w:t>3</w:t>
      </w:r>
      <w:r w:rsidR="00A343A2">
        <w:t>-</w:t>
      </w:r>
      <w:r w:rsidR="00A343A2" w:rsidRPr="00B8039E">
        <w:t>1</w:t>
      </w:r>
      <w:r w:rsidR="00D67F74">
        <w:t>4</w:t>
      </w:r>
      <w:r w:rsidRPr="00506EA3">
        <w:t xml:space="preserve"> (</w:t>
      </w:r>
      <w:r w:rsidR="00897589">
        <w:t>figure 10.</w:t>
      </w:r>
      <w:r w:rsidR="00CA25A8">
        <w:t>4</w:t>
      </w:r>
      <w:r w:rsidR="00B91C77">
        <w:t>0</w:t>
      </w:r>
      <w:r w:rsidRPr="00506EA3">
        <w:t>).</w:t>
      </w:r>
    </w:p>
    <w:p w:rsidR="00C60AAA" w:rsidRDefault="00C60AAA" w:rsidP="003019F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C60AAA" w:rsidTr="003019F8">
        <w:tc>
          <w:tcPr>
            <w:tcW w:w="8771" w:type="dxa"/>
            <w:tcBorders>
              <w:top w:val="single" w:sz="6" w:space="0" w:color="78A22F"/>
              <w:left w:val="nil"/>
              <w:bottom w:val="nil"/>
              <w:right w:val="nil"/>
            </w:tcBorders>
            <w:shd w:val="clear" w:color="auto" w:fill="auto"/>
          </w:tcPr>
          <w:p w:rsidR="00C60AAA" w:rsidRPr="00176D3F" w:rsidRDefault="00C60AAA" w:rsidP="00C60AAA">
            <w:pPr>
              <w:pStyle w:val="FigureTitle"/>
            </w:pPr>
            <w:r w:rsidRPr="00784A05">
              <w:rPr>
                <w:b w:val="0"/>
              </w:rPr>
              <w:t xml:space="preserve">Figure </w:t>
            </w:r>
            <w:r w:rsidR="00DF255F">
              <w:rPr>
                <w:b w:val="0"/>
              </w:rPr>
              <w:t>10.</w:t>
            </w:r>
            <w:r w:rsidR="0078724D">
              <w:rPr>
                <w:b w:val="0"/>
                <w:noProof/>
              </w:rPr>
              <w:t>40</w:t>
            </w:r>
            <w:r>
              <w:tab/>
            </w:r>
            <w:r w:rsidRPr="002F579B">
              <w:t>Children aged 24 months to less than 27 months who were fully immunised</w:t>
            </w:r>
            <w:r w:rsidR="001534AC">
              <w:rPr>
                <w:rStyle w:val="NoteLabel"/>
                <w:b/>
              </w:rPr>
              <w:t>a, b</w:t>
            </w:r>
            <w:r w:rsidR="00637C2C">
              <w:rPr>
                <w:rStyle w:val="NoteLabel"/>
                <w:b/>
              </w:rPr>
              <w:t>, c</w:t>
            </w:r>
          </w:p>
        </w:tc>
      </w:tr>
      <w:tr w:rsidR="00C60AAA" w:rsidTr="003019F8">
        <w:tc>
          <w:tcPr>
            <w:tcW w:w="8771" w:type="dxa"/>
            <w:tcBorders>
              <w:top w:val="nil"/>
              <w:left w:val="nil"/>
              <w:bottom w:val="nil"/>
              <w:right w:val="nil"/>
            </w:tcBorders>
            <w:shd w:val="clear" w:color="auto" w:fill="auto"/>
            <w:tcMar>
              <w:top w:w="28" w:type="dxa"/>
              <w:bottom w:w="28" w:type="dxa"/>
            </w:tcMar>
          </w:tcPr>
          <w:tbl>
            <w:tblPr>
              <w:tblW w:w="8625" w:type="dxa"/>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625"/>
            </w:tblGrid>
            <w:tr w:rsidR="00C60AAA" w:rsidTr="001534AC">
              <w:tc>
                <w:tcPr>
                  <w:tcW w:w="5000" w:type="pct"/>
                  <w:tcBorders>
                    <w:top w:val="nil"/>
                    <w:bottom w:val="nil"/>
                  </w:tcBorders>
                </w:tcPr>
                <w:p w:rsidR="00C60AAA" w:rsidRDefault="007B1994" w:rsidP="003019F8">
                  <w:pPr>
                    <w:pStyle w:val="Figure"/>
                    <w:spacing w:before="60" w:after="60"/>
                  </w:pPr>
                  <w:r>
                    <w:rPr>
                      <w:noProof/>
                    </w:rPr>
                    <w:drawing>
                      <wp:inline distT="0" distB="0" distL="0" distR="0" wp14:anchorId="087C0E48" wp14:editId="1A3C906A">
                        <wp:extent cx="5391150" cy="2705100"/>
                        <wp:effectExtent l="0" t="0" r="0" b="0"/>
                        <wp:docPr id="49" name="Picture 49" descr="Figure 10.40 Children aged 24 months to less than 27 months who were fully immunised&#10;&#10;More details can be found within the text surrounding this image.&#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5391150" cy="2705100"/>
                                </a:xfrm>
                                <a:prstGeom prst="rect">
                                  <a:avLst/>
                                </a:prstGeom>
                                <a:noFill/>
                                <a:ln>
                                  <a:noFill/>
                                </a:ln>
                              </pic:spPr>
                            </pic:pic>
                          </a:graphicData>
                        </a:graphic>
                      </wp:inline>
                    </w:drawing>
                  </w:r>
                </w:p>
              </w:tc>
            </w:tr>
          </w:tbl>
          <w:p w:rsidR="00C60AAA" w:rsidRDefault="00C60AAA" w:rsidP="003019F8">
            <w:pPr>
              <w:pStyle w:val="Figure"/>
            </w:pPr>
          </w:p>
        </w:tc>
      </w:tr>
      <w:tr w:rsidR="00C60AAA" w:rsidRPr="00176D3F" w:rsidTr="003019F8">
        <w:tc>
          <w:tcPr>
            <w:tcW w:w="8771" w:type="dxa"/>
            <w:tcBorders>
              <w:top w:val="nil"/>
              <w:left w:val="nil"/>
              <w:bottom w:val="nil"/>
              <w:right w:val="nil"/>
            </w:tcBorders>
            <w:shd w:val="clear" w:color="auto" w:fill="auto"/>
          </w:tcPr>
          <w:p w:rsidR="00C60AAA" w:rsidRPr="00176D3F" w:rsidRDefault="00C60AAA" w:rsidP="001534AC">
            <w:pPr>
              <w:pStyle w:val="Note"/>
            </w:pPr>
            <w:r>
              <w:rPr>
                <w:rStyle w:val="NoteLabel"/>
              </w:rPr>
              <w:t>a</w:t>
            </w:r>
            <w:r>
              <w:sym w:font="Symbol" w:char="F020"/>
            </w:r>
            <w:r w:rsidRPr="002F579B">
              <w:t>The ACIR includes all children under 7</w:t>
            </w:r>
            <w:r>
              <w:t> </w:t>
            </w:r>
            <w:r w:rsidRPr="002F579B">
              <w:t xml:space="preserve">years of age who are registered with </w:t>
            </w:r>
            <w:r>
              <w:t>DHS</w:t>
            </w:r>
            <w:r w:rsidRPr="002D7882">
              <w:t xml:space="preserve"> Medicare</w:t>
            </w:r>
            <w:r>
              <w:t>. By the age of 12 </w:t>
            </w:r>
            <w:r w:rsidRPr="002F579B">
              <w:t xml:space="preserve">months, over </w:t>
            </w:r>
            <w:r w:rsidRPr="00DB448C">
              <w:t>98</w:t>
            </w:r>
            <w:r>
              <w:t> </w:t>
            </w:r>
            <w:r w:rsidRPr="00DB448C">
              <w:t>per</w:t>
            </w:r>
            <w:r>
              <w:t> </w:t>
            </w:r>
            <w:r w:rsidRPr="00DB448C">
              <w:t>cent</w:t>
            </w:r>
            <w:r w:rsidRPr="002F579B">
              <w:t xml:space="preserve"> of Australian children have been registered with </w:t>
            </w:r>
            <w:r>
              <w:t>DHS</w:t>
            </w:r>
            <w:r w:rsidRPr="002D7882">
              <w:t xml:space="preserve"> Medicare </w:t>
            </w:r>
            <w:r w:rsidRPr="002F579B">
              <w:t>(NCIRS</w:t>
            </w:r>
            <w:r>
              <w:t> </w:t>
            </w:r>
            <w:r w:rsidRPr="002F579B">
              <w:t xml:space="preserve">2000). </w:t>
            </w:r>
            <w:r w:rsidR="001534AC">
              <w:rPr>
                <w:rStyle w:val="NoteLabel"/>
              </w:rPr>
              <w:t>b</w:t>
            </w:r>
            <w:r w:rsidRPr="002F579B">
              <w:t xml:space="preserve"> There may be some under-reporting by providers, so vaccination coverage estimates calculated using ACIR data are </w:t>
            </w:r>
            <w:r w:rsidRPr="00523930">
              <w:t>considered minimum estimates (NCIRS</w:t>
            </w:r>
            <w:r>
              <w:t> </w:t>
            </w:r>
            <w:r w:rsidRPr="00523930">
              <w:t>2000).</w:t>
            </w:r>
            <w:r w:rsidR="00637C2C">
              <w:rPr>
                <w:rStyle w:val="NoteLabel"/>
              </w:rPr>
              <w:t xml:space="preserve"> c</w:t>
            </w:r>
            <w:r w:rsidR="00637C2C">
              <w:t xml:space="preserve"> Data are for financial years and may differ from previous reports which presented data for the June quarter</w:t>
            </w:r>
            <w:r w:rsidR="009F609A">
              <w:t>.</w:t>
            </w:r>
          </w:p>
        </w:tc>
      </w:tr>
      <w:tr w:rsidR="00C60AAA" w:rsidRPr="00176D3F" w:rsidTr="003019F8">
        <w:tc>
          <w:tcPr>
            <w:tcW w:w="8771" w:type="dxa"/>
            <w:tcBorders>
              <w:top w:val="nil"/>
              <w:left w:val="nil"/>
              <w:bottom w:val="nil"/>
              <w:right w:val="nil"/>
            </w:tcBorders>
            <w:shd w:val="clear" w:color="auto" w:fill="auto"/>
          </w:tcPr>
          <w:p w:rsidR="00C60AAA" w:rsidRPr="00176D3F" w:rsidRDefault="00C60AAA" w:rsidP="008D6A30">
            <w:pPr>
              <w:pStyle w:val="Source"/>
            </w:pPr>
            <w:r w:rsidRPr="00523930">
              <w:rPr>
                <w:i/>
              </w:rPr>
              <w:t>Source</w:t>
            </w:r>
            <w:r w:rsidRPr="00523930">
              <w:t xml:space="preserve">: </w:t>
            </w:r>
            <w:r>
              <w:t>Department of Health</w:t>
            </w:r>
            <w:r w:rsidRPr="00523930">
              <w:t xml:space="preserve"> (unpublished) ACIR</w:t>
            </w:r>
            <w:r>
              <w:t xml:space="preserve"> data </w:t>
            </w:r>
            <w:r w:rsidRPr="006C74C6">
              <w:t>collection; table </w:t>
            </w:r>
            <w:r w:rsidR="00C9076B">
              <w:t>10A.</w:t>
            </w:r>
            <w:r w:rsidR="00F622DA">
              <w:t>80</w:t>
            </w:r>
            <w:r w:rsidRPr="006C74C6">
              <w:t>.</w:t>
            </w:r>
          </w:p>
        </w:tc>
      </w:tr>
      <w:tr w:rsidR="00C60AAA" w:rsidTr="003019F8">
        <w:tc>
          <w:tcPr>
            <w:tcW w:w="8771" w:type="dxa"/>
            <w:tcBorders>
              <w:top w:val="nil"/>
              <w:left w:val="nil"/>
              <w:bottom w:val="single" w:sz="6" w:space="0" w:color="78A22F"/>
              <w:right w:val="nil"/>
            </w:tcBorders>
            <w:shd w:val="clear" w:color="auto" w:fill="auto"/>
          </w:tcPr>
          <w:p w:rsidR="00C60AAA" w:rsidRDefault="00C60AAA" w:rsidP="003019F8">
            <w:pPr>
              <w:pStyle w:val="Figurespace"/>
            </w:pPr>
          </w:p>
        </w:tc>
      </w:tr>
      <w:tr w:rsidR="00C60AAA" w:rsidRPr="000863A5" w:rsidTr="003019F8">
        <w:tc>
          <w:tcPr>
            <w:tcW w:w="8771" w:type="dxa"/>
            <w:tcBorders>
              <w:top w:val="single" w:sz="6" w:space="0" w:color="78A22F"/>
              <w:left w:val="nil"/>
              <w:bottom w:val="nil"/>
              <w:right w:val="nil"/>
            </w:tcBorders>
          </w:tcPr>
          <w:p w:rsidR="00C60AAA" w:rsidRPr="00626D32" w:rsidRDefault="00C60AAA" w:rsidP="003019F8">
            <w:pPr>
              <w:pStyle w:val="BoxSpaceBelow"/>
            </w:pPr>
          </w:p>
        </w:tc>
      </w:tr>
    </w:tbl>
    <w:p w:rsidR="00D52968" w:rsidRPr="00200C93" w:rsidRDefault="00BF5961" w:rsidP="00944E91">
      <w:pPr>
        <w:pStyle w:val="BodyText"/>
      </w:pPr>
      <w:r w:rsidRPr="00B8039E">
        <w:t>Nationally</w:t>
      </w:r>
      <w:r w:rsidRPr="001F33E7">
        <w:t xml:space="preserve">, </w:t>
      </w:r>
      <w:r w:rsidR="00C65708">
        <w:t xml:space="preserve">the proportion of </w:t>
      </w:r>
      <w:r w:rsidR="00466C72" w:rsidRPr="00466C72">
        <w:t>children</w:t>
      </w:r>
      <w:r w:rsidR="00466C72">
        <w:t xml:space="preserve"> </w:t>
      </w:r>
      <w:r w:rsidR="00A343A2">
        <w:t>aged</w:t>
      </w:r>
      <w:r w:rsidR="00466C72">
        <w:t xml:space="preserve"> 60 months to less than 63 </w:t>
      </w:r>
      <w:r w:rsidR="00466C72" w:rsidRPr="00466C72">
        <w:t>months</w:t>
      </w:r>
      <w:r w:rsidR="00466C72">
        <w:t xml:space="preserve"> </w:t>
      </w:r>
      <w:r w:rsidR="00C65708">
        <w:t>who were</w:t>
      </w:r>
      <w:r w:rsidR="00A343A2">
        <w:t xml:space="preserve"> </w:t>
      </w:r>
      <w:r w:rsidR="00466C72">
        <w:t xml:space="preserve">assessed as fully immunised </w:t>
      </w:r>
      <w:r w:rsidR="00C65708">
        <w:t>rose from 84.6 to 92.0 per cent</w:t>
      </w:r>
      <w:r w:rsidR="00A343A2">
        <w:t xml:space="preserve"> </w:t>
      </w:r>
      <w:r w:rsidR="00C65708">
        <w:t>in the period 2009-10 to 2013</w:t>
      </w:r>
      <w:r w:rsidR="00C65708">
        <w:noBreakHyphen/>
        <w:t xml:space="preserve">14 </w:t>
      </w:r>
      <w:r w:rsidR="00D52968" w:rsidRPr="00B8039E">
        <w:t>(</w:t>
      </w:r>
      <w:r w:rsidR="00897589">
        <w:t>figure 10.</w:t>
      </w:r>
      <w:r w:rsidR="00C3690E">
        <w:t>4</w:t>
      </w:r>
      <w:r w:rsidR="00B91C77">
        <w:t>1</w:t>
      </w:r>
      <w:r w:rsidR="00B8039E" w:rsidRPr="00B8039E">
        <w:t>).</w:t>
      </w:r>
    </w:p>
    <w:p w:rsidR="00DA6F7D" w:rsidRDefault="00DA6F7D" w:rsidP="003019F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DA6F7D" w:rsidTr="003019F8">
        <w:tc>
          <w:tcPr>
            <w:tcW w:w="8771" w:type="dxa"/>
            <w:tcBorders>
              <w:top w:val="single" w:sz="6" w:space="0" w:color="78A22F"/>
              <w:left w:val="nil"/>
              <w:bottom w:val="nil"/>
              <w:right w:val="nil"/>
            </w:tcBorders>
            <w:shd w:val="clear" w:color="auto" w:fill="auto"/>
          </w:tcPr>
          <w:p w:rsidR="00DA6F7D" w:rsidRPr="00176D3F" w:rsidRDefault="00DA6F7D" w:rsidP="00DA6F7D">
            <w:pPr>
              <w:pStyle w:val="FigureTitle"/>
            </w:pPr>
            <w:r w:rsidRPr="00784A05">
              <w:rPr>
                <w:b w:val="0"/>
              </w:rPr>
              <w:t xml:space="preserve">Figure </w:t>
            </w:r>
            <w:r w:rsidR="00DF255F">
              <w:rPr>
                <w:b w:val="0"/>
              </w:rPr>
              <w:t>10.</w:t>
            </w:r>
            <w:r w:rsidR="0078724D">
              <w:rPr>
                <w:b w:val="0"/>
                <w:noProof/>
              </w:rPr>
              <w:t>41</w:t>
            </w:r>
            <w:r>
              <w:tab/>
            </w:r>
            <w:r w:rsidRPr="00D52968">
              <w:t xml:space="preserve">Children aged </w:t>
            </w:r>
            <w:r>
              <w:t>60</w:t>
            </w:r>
            <w:r w:rsidRPr="00D52968">
              <w:t xml:space="preserve"> months to less than </w:t>
            </w:r>
            <w:r>
              <w:t>63</w:t>
            </w:r>
            <w:r w:rsidRPr="00D52968">
              <w:t xml:space="preserve"> months who were</w:t>
            </w:r>
            <w:r>
              <w:br/>
            </w:r>
            <w:r w:rsidRPr="00D52968">
              <w:t>fully immunised</w:t>
            </w:r>
            <w:r w:rsidRPr="00D52968">
              <w:rPr>
                <w:rStyle w:val="NoteLabel"/>
                <w:b/>
              </w:rPr>
              <w:t>a</w:t>
            </w:r>
            <w:r w:rsidR="00C65708">
              <w:rPr>
                <w:rStyle w:val="NoteLabel"/>
                <w:b/>
              </w:rPr>
              <w:t>, b</w:t>
            </w:r>
            <w:r w:rsidR="00637C2C">
              <w:rPr>
                <w:rStyle w:val="NoteLabel"/>
                <w:b/>
              </w:rPr>
              <w:t>, c</w:t>
            </w:r>
          </w:p>
        </w:tc>
      </w:tr>
      <w:tr w:rsidR="00DA6F7D" w:rsidTr="003019F8">
        <w:tc>
          <w:tcPr>
            <w:tcW w:w="8771" w:type="dxa"/>
            <w:tcBorders>
              <w:top w:val="nil"/>
              <w:left w:val="nil"/>
              <w:bottom w:val="nil"/>
              <w:right w:val="nil"/>
            </w:tcBorders>
            <w:shd w:val="clear" w:color="auto" w:fill="auto"/>
            <w:tcMar>
              <w:top w:w="28" w:type="dxa"/>
              <w:bottom w:w="28" w:type="dxa"/>
            </w:tcMar>
          </w:tcPr>
          <w:tbl>
            <w:tblPr>
              <w:tblpPr w:leftFromText="180" w:rightFromText="180" w:vertAnchor="text" w:horzAnchor="margin" w:tblpY="-271"/>
              <w:tblOverlap w:val="never"/>
              <w:tblW w:w="8625" w:type="dxa"/>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625"/>
            </w:tblGrid>
            <w:tr w:rsidR="00CF469E" w:rsidTr="00CF469E">
              <w:tc>
                <w:tcPr>
                  <w:tcW w:w="5000" w:type="pct"/>
                  <w:tcBorders>
                    <w:top w:val="nil"/>
                    <w:bottom w:val="nil"/>
                  </w:tcBorders>
                </w:tcPr>
                <w:p w:rsidR="00CF469E" w:rsidRDefault="007B1994" w:rsidP="00F41167">
                  <w:pPr>
                    <w:pStyle w:val="Figure"/>
                    <w:spacing w:before="60" w:after="60"/>
                  </w:pPr>
                  <w:r>
                    <w:rPr>
                      <w:noProof/>
                    </w:rPr>
                    <w:drawing>
                      <wp:inline distT="0" distB="0" distL="0" distR="0">
                        <wp:extent cx="5391150" cy="2705100"/>
                        <wp:effectExtent l="0" t="0" r="0" b="0"/>
                        <wp:docPr id="50" name="Picture 50" descr="Figure 10.41 Children aged 60 months to less than 63 months who were fully immunised&#10;&#10;More details can be found within the text surrounding this image.&#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5391150" cy="2705100"/>
                                </a:xfrm>
                                <a:prstGeom prst="rect">
                                  <a:avLst/>
                                </a:prstGeom>
                                <a:noFill/>
                                <a:ln>
                                  <a:noFill/>
                                </a:ln>
                              </pic:spPr>
                            </pic:pic>
                          </a:graphicData>
                        </a:graphic>
                      </wp:inline>
                    </w:drawing>
                  </w:r>
                </w:p>
              </w:tc>
            </w:tr>
          </w:tbl>
          <w:p w:rsidR="00DA6F7D" w:rsidRDefault="00DA6F7D" w:rsidP="003019F8">
            <w:pPr>
              <w:pStyle w:val="Figure"/>
            </w:pPr>
          </w:p>
        </w:tc>
      </w:tr>
      <w:tr w:rsidR="00DA6F7D" w:rsidRPr="00176D3F" w:rsidTr="003019F8">
        <w:tc>
          <w:tcPr>
            <w:tcW w:w="8771" w:type="dxa"/>
            <w:tcBorders>
              <w:top w:val="nil"/>
              <w:left w:val="nil"/>
              <w:bottom w:val="nil"/>
              <w:right w:val="nil"/>
            </w:tcBorders>
            <w:shd w:val="clear" w:color="auto" w:fill="auto"/>
          </w:tcPr>
          <w:p w:rsidR="00DA6F7D" w:rsidRPr="00176D3F" w:rsidRDefault="00DA6F7D" w:rsidP="003F6D22">
            <w:pPr>
              <w:pStyle w:val="Note"/>
            </w:pPr>
            <w:r>
              <w:rPr>
                <w:rStyle w:val="NoteLabel"/>
              </w:rPr>
              <w:t>a</w:t>
            </w:r>
            <w:r w:rsidRPr="002F579B">
              <w:t xml:space="preserve"> The ACIR includes all children under 7</w:t>
            </w:r>
            <w:r>
              <w:t> </w:t>
            </w:r>
            <w:r w:rsidRPr="002F579B">
              <w:t xml:space="preserve">years of age who are registered with </w:t>
            </w:r>
            <w:r>
              <w:t>DHS</w:t>
            </w:r>
            <w:r w:rsidRPr="002D7882">
              <w:t xml:space="preserve"> Medicare</w:t>
            </w:r>
            <w:r>
              <w:t>. By the age of 12 </w:t>
            </w:r>
            <w:r w:rsidRPr="002F579B">
              <w:t xml:space="preserve">months, over </w:t>
            </w:r>
            <w:r w:rsidRPr="00DB448C">
              <w:t>98</w:t>
            </w:r>
            <w:r>
              <w:t> </w:t>
            </w:r>
            <w:r w:rsidRPr="00DB448C">
              <w:t>per</w:t>
            </w:r>
            <w:r>
              <w:t> </w:t>
            </w:r>
            <w:r w:rsidRPr="00DB448C">
              <w:t>cent</w:t>
            </w:r>
            <w:r w:rsidRPr="002F579B">
              <w:t xml:space="preserve"> of Australian children have been registered with </w:t>
            </w:r>
            <w:r w:rsidRPr="002D7882">
              <w:t xml:space="preserve">DHS Medicare </w:t>
            </w:r>
            <w:r w:rsidRPr="002F579B">
              <w:t>(NCIRS</w:t>
            </w:r>
            <w:r>
              <w:t> </w:t>
            </w:r>
            <w:r w:rsidRPr="002F579B">
              <w:t xml:space="preserve">2000). </w:t>
            </w:r>
            <w:r w:rsidR="00C65708">
              <w:rPr>
                <w:rStyle w:val="NoteLabel"/>
              </w:rPr>
              <w:t>b</w:t>
            </w:r>
            <w:r w:rsidRPr="002F579B">
              <w:t xml:space="preserve"> There may be some under-reporting by providers, so vaccination coverage estimates calculated using ACIR data are </w:t>
            </w:r>
            <w:r w:rsidRPr="00523930">
              <w:t>considered minimum estimates (NCIRS</w:t>
            </w:r>
            <w:r>
              <w:t> </w:t>
            </w:r>
            <w:r w:rsidRPr="00177168">
              <w:t>2000).</w:t>
            </w:r>
            <w:r w:rsidR="00637C2C">
              <w:rPr>
                <w:rStyle w:val="NoteLabel"/>
              </w:rPr>
              <w:t xml:space="preserve"> c</w:t>
            </w:r>
            <w:r w:rsidR="00637C2C">
              <w:t xml:space="preserve"> Data are for financial years and may differ from previous reports which presented data for the June quarter</w:t>
            </w:r>
            <w:r w:rsidR="009B512E">
              <w:t>.</w:t>
            </w:r>
          </w:p>
        </w:tc>
      </w:tr>
      <w:tr w:rsidR="00DA6F7D" w:rsidRPr="00176D3F" w:rsidTr="003019F8">
        <w:tc>
          <w:tcPr>
            <w:tcW w:w="8771" w:type="dxa"/>
            <w:tcBorders>
              <w:top w:val="nil"/>
              <w:left w:val="nil"/>
              <w:bottom w:val="nil"/>
              <w:right w:val="nil"/>
            </w:tcBorders>
            <w:shd w:val="clear" w:color="auto" w:fill="auto"/>
          </w:tcPr>
          <w:p w:rsidR="00DA6F7D" w:rsidRPr="00176D3F" w:rsidRDefault="00DA6F7D" w:rsidP="00F622DA">
            <w:pPr>
              <w:pStyle w:val="Note"/>
              <w:keepNext/>
            </w:pPr>
            <w:r w:rsidRPr="00BF5961">
              <w:rPr>
                <w:i/>
              </w:rPr>
              <w:t>Source</w:t>
            </w:r>
            <w:r w:rsidRPr="00523930">
              <w:t xml:space="preserve">: </w:t>
            </w:r>
            <w:r>
              <w:t>Department of Health</w:t>
            </w:r>
            <w:r w:rsidRPr="00523930">
              <w:t xml:space="preserve"> (unpublished) ACIR</w:t>
            </w:r>
            <w:r>
              <w:t xml:space="preserve"> data collection; table </w:t>
            </w:r>
            <w:r w:rsidR="00C9076B">
              <w:t>10A.</w:t>
            </w:r>
            <w:r w:rsidR="008D6A30">
              <w:t>8</w:t>
            </w:r>
            <w:r w:rsidR="00F622DA">
              <w:t>1</w:t>
            </w:r>
            <w:r w:rsidRPr="006C74C6">
              <w:t>.</w:t>
            </w:r>
          </w:p>
        </w:tc>
      </w:tr>
      <w:tr w:rsidR="00DA6F7D" w:rsidTr="003019F8">
        <w:tc>
          <w:tcPr>
            <w:tcW w:w="8771" w:type="dxa"/>
            <w:tcBorders>
              <w:top w:val="nil"/>
              <w:left w:val="nil"/>
              <w:bottom w:val="single" w:sz="6" w:space="0" w:color="78A22F"/>
              <w:right w:val="nil"/>
            </w:tcBorders>
            <w:shd w:val="clear" w:color="auto" w:fill="auto"/>
          </w:tcPr>
          <w:p w:rsidR="00DA6F7D" w:rsidRDefault="00DA6F7D" w:rsidP="003019F8">
            <w:pPr>
              <w:pStyle w:val="Figurespace"/>
            </w:pPr>
          </w:p>
        </w:tc>
      </w:tr>
      <w:tr w:rsidR="00DA6F7D" w:rsidRPr="000863A5" w:rsidTr="003019F8">
        <w:tc>
          <w:tcPr>
            <w:tcW w:w="8771" w:type="dxa"/>
            <w:tcBorders>
              <w:top w:val="single" w:sz="6" w:space="0" w:color="78A22F"/>
              <w:left w:val="nil"/>
              <w:bottom w:val="nil"/>
              <w:right w:val="nil"/>
            </w:tcBorders>
          </w:tcPr>
          <w:p w:rsidR="00DA6F7D" w:rsidRPr="00626D32" w:rsidRDefault="00DA6F7D" w:rsidP="003019F8">
            <w:pPr>
              <w:pStyle w:val="BoxSpaceBelow"/>
            </w:pPr>
          </w:p>
        </w:tc>
      </w:tr>
    </w:tbl>
    <w:p w:rsidR="002F579B" w:rsidRDefault="002F579B" w:rsidP="00A87DEE">
      <w:pPr>
        <w:pStyle w:val="Heading5"/>
        <w:spacing w:before="400"/>
      </w:pPr>
      <w:r w:rsidRPr="002F579B">
        <w:t>Notifications of selected childhood diseases</w:t>
      </w:r>
    </w:p>
    <w:p w:rsidR="00B161DC" w:rsidRPr="00200C93" w:rsidRDefault="00F43A55" w:rsidP="00944E91">
      <w:pPr>
        <w:pStyle w:val="BodyText"/>
      </w:pPr>
      <w:r>
        <w:t>‘</w:t>
      </w:r>
      <w:r w:rsidRPr="00F43A55">
        <w:t>Notifications of selected childhood diseases</w:t>
      </w:r>
      <w:r>
        <w:t>’ is an indicator of governments’ objective to improve population health outcomes through the prevention</w:t>
      </w:r>
      <w:r w:rsidR="007042C3">
        <w:t xml:space="preserve"> of</w:t>
      </w:r>
      <w:r>
        <w:t xml:space="preserve"> </w:t>
      </w:r>
      <w:r w:rsidR="007042C3" w:rsidRPr="007042C3">
        <w:t xml:space="preserve">selected </w:t>
      </w:r>
      <w:r w:rsidR="00222223" w:rsidRPr="007042C3">
        <w:t xml:space="preserve">vaccine preventable </w:t>
      </w:r>
      <w:r w:rsidR="007042C3" w:rsidRPr="007042C3">
        <w:t>childhood diseases</w:t>
      </w:r>
      <w:r w:rsidR="006304E0">
        <w:t xml:space="preserve"> (</w:t>
      </w:r>
      <w:r w:rsidR="00897589">
        <w:t>box 10.</w:t>
      </w:r>
      <w:r w:rsidR="00445562" w:rsidRPr="00F61EC4">
        <w:t>2</w:t>
      </w:r>
      <w:r w:rsidR="00F61EC4" w:rsidRPr="00F61EC4">
        <w:t>0</w:t>
      </w:r>
      <w:r w:rsidR="006304E0" w:rsidRPr="008E4541">
        <w:t>)</w:t>
      </w:r>
      <w:r w:rsidRPr="008E4541">
        <w:t>.</w:t>
      </w:r>
    </w:p>
    <w:p w:rsidR="00095E5A" w:rsidRDefault="00095E5A">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095E5A" w:rsidTr="00867BB6">
        <w:tc>
          <w:tcPr>
            <w:tcW w:w="8771" w:type="dxa"/>
            <w:tcBorders>
              <w:top w:val="single" w:sz="6" w:space="0" w:color="78A22F"/>
              <w:left w:val="nil"/>
              <w:bottom w:val="nil"/>
              <w:right w:val="nil"/>
            </w:tcBorders>
            <w:shd w:val="clear" w:color="auto" w:fill="F2F2F2" w:themeFill="background1" w:themeFillShade="F2"/>
          </w:tcPr>
          <w:p w:rsidR="00095E5A" w:rsidRDefault="00095E5A">
            <w:pPr>
              <w:pStyle w:val="BoxTitle"/>
            </w:pPr>
            <w:r>
              <w:rPr>
                <w:b w:val="0"/>
              </w:rPr>
              <w:t>Box 10.</w:t>
            </w:r>
            <w:bookmarkStart w:id="21" w:name="OLE_LINK5"/>
            <w:r w:rsidR="0078724D">
              <w:rPr>
                <w:b w:val="0"/>
                <w:noProof/>
              </w:rPr>
              <w:t>20</w:t>
            </w:r>
            <w:bookmarkEnd w:id="21"/>
            <w:r>
              <w:tab/>
            </w:r>
            <w:r w:rsidRPr="002F579B">
              <w:t>Notifications of selected childhood diseases</w:t>
            </w:r>
          </w:p>
        </w:tc>
      </w:tr>
      <w:tr w:rsidR="00095E5A" w:rsidTr="00867BB6">
        <w:trPr>
          <w:cantSplit/>
        </w:trPr>
        <w:tc>
          <w:tcPr>
            <w:tcW w:w="8771" w:type="dxa"/>
            <w:tcBorders>
              <w:top w:val="nil"/>
              <w:left w:val="nil"/>
              <w:bottom w:val="nil"/>
              <w:right w:val="nil"/>
            </w:tcBorders>
            <w:shd w:val="clear" w:color="auto" w:fill="F2F2F2" w:themeFill="background1" w:themeFillShade="F2"/>
          </w:tcPr>
          <w:p w:rsidR="00095E5A" w:rsidRDefault="00095E5A" w:rsidP="00867BB6">
            <w:pPr>
              <w:pStyle w:val="Box"/>
            </w:pPr>
            <w:r w:rsidRPr="00F2021D">
              <w:t xml:space="preserve">‘Notifications of selected childhood diseases’ </w:t>
            </w:r>
            <w:r>
              <w:t xml:space="preserve">is defined as the number of notifications </w:t>
            </w:r>
            <w:r w:rsidRPr="008A1890">
              <w:t>of measles, pertussis and</w:t>
            </w:r>
            <w:r>
              <w:t xml:space="preserve"> </w:t>
            </w:r>
            <w:r w:rsidRPr="006E5535">
              <w:t>invasive</w:t>
            </w:r>
            <w:r w:rsidRPr="008A1890">
              <w:t xml:space="preserve"> </w:t>
            </w:r>
            <w:r w:rsidRPr="008A1890">
              <w:rPr>
                <w:i/>
              </w:rPr>
              <w:t>Haemophilus influenzae</w:t>
            </w:r>
            <w:r w:rsidRPr="008A1890">
              <w:t xml:space="preserve"> type b reported to the National Notifiable Diseases Surveillance System </w:t>
            </w:r>
            <w:r>
              <w:t xml:space="preserve">(NNDSS) </w:t>
            </w:r>
            <w:r w:rsidRPr="008A1890">
              <w:t xml:space="preserve">by </w:t>
            </w:r>
            <w:r>
              <w:t>S</w:t>
            </w:r>
            <w:r w:rsidRPr="008A1890">
              <w:t xml:space="preserve">tate and </w:t>
            </w:r>
            <w:r>
              <w:t>T</w:t>
            </w:r>
            <w:r w:rsidRPr="008A1890">
              <w:t>erritory health authorities</w:t>
            </w:r>
            <w:r>
              <w:t xml:space="preserve"> for children aged 0–14 years, per 100 000 children in that age group.</w:t>
            </w:r>
          </w:p>
          <w:p w:rsidR="00095E5A" w:rsidRDefault="00095E5A" w:rsidP="00867BB6">
            <w:pPr>
              <w:pStyle w:val="Continued"/>
            </w:pPr>
            <w:r>
              <w:t>(Continued next page)</w:t>
            </w:r>
          </w:p>
        </w:tc>
      </w:tr>
      <w:tr w:rsidR="00095E5A" w:rsidTr="00867BB6">
        <w:trPr>
          <w:cantSplit/>
        </w:trPr>
        <w:tc>
          <w:tcPr>
            <w:tcW w:w="8771" w:type="dxa"/>
            <w:tcBorders>
              <w:top w:val="nil"/>
              <w:left w:val="nil"/>
              <w:bottom w:val="single" w:sz="6" w:space="0" w:color="78A22F"/>
              <w:right w:val="nil"/>
            </w:tcBorders>
            <w:shd w:val="clear" w:color="auto" w:fill="F2F2F2" w:themeFill="background1" w:themeFillShade="F2"/>
          </w:tcPr>
          <w:p w:rsidR="00095E5A" w:rsidRDefault="00095E5A">
            <w:pPr>
              <w:pStyle w:val="Box"/>
              <w:spacing w:before="0" w:line="120" w:lineRule="exact"/>
            </w:pPr>
          </w:p>
        </w:tc>
      </w:tr>
      <w:tr w:rsidR="00095E5A" w:rsidRPr="000863A5" w:rsidTr="00867BB6">
        <w:tc>
          <w:tcPr>
            <w:tcW w:w="8771" w:type="dxa"/>
            <w:tcBorders>
              <w:top w:val="single" w:sz="6" w:space="0" w:color="78A22F"/>
              <w:left w:val="nil"/>
              <w:bottom w:val="nil"/>
              <w:right w:val="nil"/>
            </w:tcBorders>
          </w:tcPr>
          <w:p w:rsidR="00095E5A" w:rsidRPr="00626D32" w:rsidRDefault="00095E5A" w:rsidP="00867BB6">
            <w:pPr>
              <w:pStyle w:val="BoxSpaceBelow"/>
            </w:pPr>
          </w:p>
        </w:tc>
      </w:tr>
    </w:tbl>
    <w:p w:rsidR="00095E5A" w:rsidRDefault="00095E5A">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095E5A" w:rsidTr="00867BB6">
        <w:tc>
          <w:tcPr>
            <w:tcW w:w="8771" w:type="dxa"/>
            <w:tcBorders>
              <w:top w:val="single" w:sz="6" w:space="0" w:color="78A22F"/>
              <w:left w:val="nil"/>
              <w:bottom w:val="nil"/>
              <w:right w:val="nil"/>
            </w:tcBorders>
            <w:shd w:val="clear" w:color="auto" w:fill="F2F2F2" w:themeFill="background1" w:themeFillShade="F2"/>
          </w:tcPr>
          <w:p w:rsidR="00095E5A" w:rsidRDefault="00095E5A" w:rsidP="000A5518">
            <w:pPr>
              <w:pStyle w:val="BoxTitle"/>
            </w:pPr>
            <w:r>
              <w:rPr>
                <w:b w:val="0"/>
              </w:rPr>
              <w:t>Box 10.</w:t>
            </w:r>
            <w:r w:rsidR="000A5518" w:rsidRPr="000A5518">
              <w:rPr>
                <w:b w:val="0"/>
              </w:rPr>
              <w:t>20</w:t>
            </w:r>
            <w:r>
              <w:tab/>
            </w:r>
            <w:r w:rsidRPr="002006A3">
              <w:rPr>
                <w:sz w:val="18"/>
                <w:szCs w:val="18"/>
              </w:rPr>
              <w:t>(Continued)</w:t>
            </w:r>
          </w:p>
        </w:tc>
      </w:tr>
      <w:tr w:rsidR="00095E5A" w:rsidTr="00867BB6">
        <w:trPr>
          <w:cantSplit/>
        </w:trPr>
        <w:tc>
          <w:tcPr>
            <w:tcW w:w="8771" w:type="dxa"/>
            <w:tcBorders>
              <w:top w:val="nil"/>
              <w:left w:val="nil"/>
              <w:bottom w:val="nil"/>
              <w:right w:val="nil"/>
            </w:tcBorders>
            <w:shd w:val="clear" w:color="auto" w:fill="F2F2F2" w:themeFill="background1" w:themeFillShade="F2"/>
          </w:tcPr>
          <w:p w:rsidR="00095E5A" w:rsidRDefault="00095E5A" w:rsidP="00867BB6">
            <w:pPr>
              <w:pStyle w:val="Box"/>
            </w:pPr>
            <w:r>
              <w:t xml:space="preserve">A low or reducing notification rate for the selected diseases indicates that the immunisation program is more effective. </w:t>
            </w:r>
            <w:r w:rsidRPr="0089594F">
              <w:t xml:space="preserve">Measles, pertussis (whooping cough) and </w:t>
            </w:r>
            <w:r w:rsidRPr="006E5535">
              <w:t>invasive</w:t>
            </w:r>
            <w:r w:rsidRPr="008A1890">
              <w:t xml:space="preserve"> </w:t>
            </w:r>
            <w:r w:rsidRPr="0089594F">
              <w:rPr>
                <w:i/>
              </w:rPr>
              <w:t>Haemophilus influenzae</w:t>
            </w:r>
            <w:r w:rsidRPr="0089594F">
              <w:t xml:space="preserve"> type b are nationally notifiable vaccine preventable diseases</w:t>
            </w:r>
            <w:r>
              <w:t>.</w:t>
            </w:r>
            <w:r w:rsidRPr="0089594F">
              <w:t xml:space="preserve"> </w:t>
            </w:r>
            <w:r>
              <w:t>Notification of</w:t>
            </w:r>
            <w:r w:rsidRPr="0089594F">
              <w:t xml:space="preserve"> the relevant State or Territory authority </w:t>
            </w:r>
            <w:r>
              <w:t xml:space="preserve">is required when </w:t>
            </w:r>
            <w:r w:rsidRPr="0089594F">
              <w:t>a nationally notifiable disease</w:t>
            </w:r>
            <w:r>
              <w:t xml:space="preserve"> is diagnosed</w:t>
            </w:r>
            <w:r w:rsidRPr="0089594F">
              <w:t xml:space="preserve">. </w:t>
            </w:r>
            <w:r w:rsidRPr="000B3C32">
              <w:t>The debilitating effects of these diseases can be long term or even life threatening. The complications from measles, for example, can include pneum</w:t>
            </w:r>
            <w:r>
              <w:t>onia, which occurs in 1 in 25 </w:t>
            </w:r>
            <w:r w:rsidRPr="000B3C32">
              <w:t>cases. The activities of GPs and community health services can reduce the prevalence of these diseases (and conseq</w:t>
            </w:r>
            <w:r>
              <w:t xml:space="preserve">uently the notification rates) </w:t>
            </w:r>
            <w:r w:rsidRPr="000B3C32">
              <w:t>through immunisation</w:t>
            </w:r>
            <w:r>
              <w:t>.</w:t>
            </w:r>
          </w:p>
          <w:p w:rsidR="00095E5A" w:rsidRDefault="00095E5A" w:rsidP="00867BB6">
            <w:pPr>
              <w:pStyle w:val="Box"/>
            </w:pPr>
            <w:r>
              <w:t>Data reported against this indicator are:</w:t>
            </w:r>
          </w:p>
          <w:p w:rsidR="00095E5A" w:rsidRDefault="00095E5A" w:rsidP="00867BB6">
            <w:pPr>
              <w:pStyle w:val="BoxListBullet"/>
            </w:pPr>
            <w:r>
              <w:t>comparable (subject to caveats) across jurisdictions and over time</w:t>
            </w:r>
          </w:p>
          <w:p w:rsidR="00095E5A" w:rsidRDefault="00095E5A" w:rsidP="00867BB6">
            <w:pPr>
              <w:pStyle w:val="BoxListBullet"/>
            </w:pPr>
            <w:r>
              <w:t>complete (subject to caveats) for the current reporting period. All required 201</w:t>
            </w:r>
            <w:r w:rsidR="002D1DC2">
              <w:t>3</w:t>
            </w:r>
            <w:r>
              <w:noBreakHyphen/>
              <w:t>1</w:t>
            </w:r>
            <w:r w:rsidR="002D1DC2">
              <w:t>4</w:t>
            </w:r>
            <w:r>
              <w:t xml:space="preserve"> data are available for all jurisdictions.</w:t>
            </w:r>
          </w:p>
          <w:p w:rsidR="00095E5A" w:rsidRDefault="00095E5A" w:rsidP="00867BB6">
            <w:pPr>
              <w:pStyle w:val="Box"/>
            </w:pPr>
            <w:r w:rsidRPr="0027351B">
              <w:t>Data quality information for this indicator is under deve</w:t>
            </w:r>
            <w:r>
              <w:t>lopment.</w:t>
            </w:r>
          </w:p>
        </w:tc>
      </w:tr>
      <w:tr w:rsidR="00095E5A" w:rsidTr="00867BB6">
        <w:trPr>
          <w:cantSplit/>
        </w:trPr>
        <w:tc>
          <w:tcPr>
            <w:tcW w:w="8771" w:type="dxa"/>
            <w:tcBorders>
              <w:top w:val="nil"/>
              <w:left w:val="nil"/>
              <w:bottom w:val="single" w:sz="6" w:space="0" w:color="78A22F"/>
              <w:right w:val="nil"/>
            </w:tcBorders>
            <w:shd w:val="clear" w:color="auto" w:fill="F2F2F2" w:themeFill="background1" w:themeFillShade="F2"/>
          </w:tcPr>
          <w:p w:rsidR="00095E5A" w:rsidRDefault="00095E5A">
            <w:pPr>
              <w:pStyle w:val="Box"/>
              <w:spacing w:before="0" w:line="120" w:lineRule="exact"/>
            </w:pPr>
          </w:p>
        </w:tc>
      </w:tr>
      <w:tr w:rsidR="00095E5A" w:rsidRPr="000863A5" w:rsidTr="00867BB6">
        <w:tc>
          <w:tcPr>
            <w:tcW w:w="8771" w:type="dxa"/>
            <w:tcBorders>
              <w:top w:val="single" w:sz="6" w:space="0" w:color="78A22F"/>
              <w:left w:val="nil"/>
              <w:bottom w:val="nil"/>
              <w:right w:val="nil"/>
            </w:tcBorders>
          </w:tcPr>
          <w:p w:rsidR="00095E5A" w:rsidRPr="00626D32" w:rsidRDefault="00095E5A" w:rsidP="00867BB6">
            <w:pPr>
              <w:pStyle w:val="BoxSpaceBelow"/>
            </w:pPr>
          </w:p>
        </w:tc>
      </w:tr>
    </w:tbl>
    <w:p w:rsidR="00E323B8" w:rsidRDefault="00D626EA" w:rsidP="00E52E8A">
      <w:pPr>
        <w:pStyle w:val="BodyText"/>
      </w:pPr>
      <w:r w:rsidRPr="00E54676">
        <w:t xml:space="preserve">Nationally, there were </w:t>
      </w:r>
      <w:r w:rsidR="00866D35">
        <w:t>113</w:t>
      </w:r>
      <w:r w:rsidRPr="00E54676">
        <w:t xml:space="preserve"> notifications </w:t>
      </w:r>
      <w:r w:rsidR="005C6F9D" w:rsidRPr="00E54676">
        <w:t>for measles for children aged 0–14 years in  201</w:t>
      </w:r>
      <w:r w:rsidR="00866D35">
        <w:t>3</w:t>
      </w:r>
      <w:r w:rsidR="00866D35">
        <w:noBreakHyphen/>
      </w:r>
      <w:r w:rsidR="005C6F9D" w:rsidRPr="00E54676">
        <w:t>1</w:t>
      </w:r>
      <w:r w:rsidR="00866D35">
        <w:t>4</w:t>
      </w:r>
      <w:r w:rsidR="00E54676">
        <w:t xml:space="preserve"> </w:t>
      </w:r>
      <w:r w:rsidR="00E54676" w:rsidRPr="00E54676">
        <w:t>—</w:t>
      </w:r>
      <w:r w:rsidR="00E54676">
        <w:t xml:space="preserve"> a rate of </w:t>
      </w:r>
      <w:r w:rsidR="00E54676" w:rsidRPr="00E54676">
        <w:t>2.</w:t>
      </w:r>
      <w:r w:rsidR="00866D35">
        <w:t>6</w:t>
      </w:r>
      <w:r w:rsidR="00E54676" w:rsidRPr="00E54676">
        <w:t> notifications per 100 000 children</w:t>
      </w:r>
      <w:r w:rsidR="00E54676">
        <w:t xml:space="preserve"> </w:t>
      </w:r>
      <w:r w:rsidR="00E54676" w:rsidRPr="00E54676">
        <w:t xml:space="preserve">aged 0–14 years </w:t>
      </w:r>
      <w:r w:rsidR="00C3690E">
        <w:t>(</w:t>
      </w:r>
      <w:r w:rsidR="00897589">
        <w:t>figure 10.</w:t>
      </w:r>
      <w:r w:rsidR="00C3690E">
        <w:t>4</w:t>
      </w:r>
      <w:r w:rsidR="00B91C77">
        <w:t>2</w:t>
      </w:r>
      <w:r w:rsidR="005C6F9D" w:rsidRPr="00E54676">
        <w:t xml:space="preserve">). </w:t>
      </w:r>
      <w:r w:rsidRPr="00E54676">
        <w:t>Th</w:t>
      </w:r>
      <w:r w:rsidR="00E54676">
        <w:t>is was higher than for any other year</w:t>
      </w:r>
      <w:r w:rsidRPr="00E54676">
        <w:t xml:space="preserve"> in the period 200</w:t>
      </w:r>
      <w:r w:rsidR="00866D35">
        <w:t>9-10</w:t>
      </w:r>
      <w:r w:rsidR="00E54676">
        <w:t xml:space="preserve"> to 201</w:t>
      </w:r>
      <w:r w:rsidR="00866D35">
        <w:t>3</w:t>
      </w:r>
      <w:r w:rsidR="00E54676">
        <w:noBreakHyphen/>
        <w:t>1</w:t>
      </w:r>
      <w:r w:rsidR="00866D35">
        <w:t>4</w:t>
      </w:r>
      <w:r w:rsidR="00E54676">
        <w:t xml:space="preserve"> (table </w:t>
      </w:r>
      <w:r w:rsidR="00C9076B">
        <w:t>10A.</w:t>
      </w:r>
      <w:r w:rsidR="00F622DA">
        <w:t>82</w:t>
      </w:r>
      <w:r w:rsidR="00E54676">
        <w:t>).</w:t>
      </w:r>
      <w:r w:rsidR="00A47333">
        <w:t xml:space="preserve"> Data are presented for an eight year time series in table 10</w:t>
      </w:r>
      <w:r w:rsidR="00EB2BF6">
        <w:t>A</w:t>
      </w:r>
      <w:r w:rsidR="008D6A30">
        <w:t>.8</w:t>
      </w:r>
      <w:r w:rsidR="00F622DA">
        <w:t>2</w:t>
      </w:r>
      <w:r w:rsidR="00A47333">
        <w:t>.</w:t>
      </w:r>
    </w:p>
    <w:p w:rsidR="008D06AE" w:rsidRDefault="008D06AE" w:rsidP="00E52E8A">
      <w:pPr>
        <w:pStyle w:val="BodyText"/>
      </w:pPr>
      <w:r w:rsidRPr="00DE5AA9">
        <w:t xml:space="preserve">Nationally, </w:t>
      </w:r>
      <w:r>
        <w:t xml:space="preserve">notifications for </w:t>
      </w:r>
      <w:r w:rsidRPr="00DE5AA9">
        <w:t>pertussis (whooping cough)</w:t>
      </w:r>
      <w:r>
        <w:t xml:space="preserve"> for children aged </w:t>
      </w:r>
      <w:r w:rsidRPr="00DE5AA9">
        <w:t>0–14 year</w:t>
      </w:r>
      <w:r>
        <w:t xml:space="preserve">s declined steadily from a peak of 18 200 (433 per 100 000 children </w:t>
      </w:r>
      <w:r w:rsidRPr="00DE5AA9">
        <w:t>0–14 year</w:t>
      </w:r>
      <w:r>
        <w:t>s)  to less than 4000 (90 per 100 000</w:t>
      </w:r>
      <w:r w:rsidRPr="004D0488">
        <w:t xml:space="preserve"> </w:t>
      </w:r>
      <w:r>
        <w:t xml:space="preserve">children </w:t>
      </w:r>
      <w:r w:rsidRPr="00DE5AA9">
        <w:t>0–14 year</w:t>
      </w:r>
      <w:r>
        <w:t>s) in the period 2010-11 to 2013-14 (figure 10.43). Data are presented for an eight year time series in table 10A.83.</w:t>
      </w:r>
    </w:p>
    <w:p w:rsidR="008D06AE" w:rsidRPr="00E52E8A" w:rsidRDefault="008D06AE" w:rsidP="00E52E8A">
      <w:pPr>
        <w:pStyle w:val="BodyText"/>
        <w:rPr>
          <w:rStyle w:val="DraftingNote"/>
          <w:b w:val="0"/>
          <w:color w:val="auto"/>
          <w:u w:val="none"/>
        </w:rPr>
      </w:pPr>
      <w:r w:rsidRPr="00E968C9">
        <w:t>In</w:t>
      </w:r>
      <w:r>
        <w:t xml:space="preserve"> 2013-14, the national</w:t>
      </w:r>
      <w:r w:rsidRPr="00E968C9">
        <w:t xml:space="preserve"> </w:t>
      </w:r>
      <w:r>
        <w:t xml:space="preserve">notification rate for </w:t>
      </w:r>
      <w:r w:rsidRPr="006E5535">
        <w:t>invasive</w:t>
      </w:r>
      <w:r w:rsidRPr="008A1890">
        <w:t xml:space="preserve"> </w:t>
      </w:r>
      <w:r w:rsidRPr="00E968C9">
        <w:rPr>
          <w:i/>
        </w:rPr>
        <w:t>Haemophilus influenzae</w:t>
      </w:r>
      <w:r>
        <w:t xml:space="preserve"> type </w:t>
      </w:r>
      <w:r w:rsidRPr="00E968C9">
        <w:t xml:space="preserve">b </w:t>
      </w:r>
      <w:r>
        <w:t xml:space="preserve">— </w:t>
      </w:r>
      <w:r w:rsidRPr="005419B5">
        <w:t>0.2</w:t>
      </w:r>
      <w:r>
        <w:t>7</w:t>
      </w:r>
      <w:r w:rsidRPr="00E968C9">
        <w:t> per 100 000 children aged 0–14 years</w:t>
      </w:r>
      <w:r>
        <w:t xml:space="preserve"> </w:t>
      </w:r>
      <w:r w:rsidRPr="005419B5">
        <w:t>— remained low, consistent</w:t>
      </w:r>
      <w:r>
        <w:t xml:space="preserve"> with recent years</w:t>
      </w:r>
      <w:r w:rsidRPr="00E968C9">
        <w:t xml:space="preserve"> (</w:t>
      </w:r>
      <w:r>
        <w:t>figure 10.44</w:t>
      </w:r>
      <w:r w:rsidRPr="00E968C9">
        <w:t>).</w:t>
      </w:r>
      <w:r>
        <w:t xml:space="preserve"> Data are presented for an eight year time series in table 10A.84.</w:t>
      </w:r>
    </w:p>
    <w:p w:rsidR="00DA6F7D" w:rsidRDefault="00DA6F7D" w:rsidP="00F07FF9">
      <w:pPr>
        <w:pStyle w:val="BoxSpaceAbove"/>
        <w:keepLines/>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DA6F7D" w:rsidTr="003019F8">
        <w:tc>
          <w:tcPr>
            <w:tcW w:w="8771" w:type="dxa"/>
            <w:tcBorders>
              <w:top w:val="single" w:sz="6" w:space="0" w:color="78A22F"/>
              <w:left w:val="nil"/>
              <w:bottom w:val="nil"/>
              <w:right w:val="nil"/>
            </w:tcBorders>
            <w:shd w:val="clear" w:color="auto" w:fill="auto"/>
          </w:tcPr>
          <w:p w:rsidR="00DA6F7D" w:rsidRPr="00176D3F" w:rsidRDefault="00DA6F7D" w:rsidP="00F07FF9">
            <w:pPr>
              <w:pStyle w:val="FigureTitle"/>
            </w:pPr>
            <w:r w:rsidRPr="00784A05">
              <w:rPr>
                <w:b w:val="0"/>
              </w:rPr>
              <w:t xml:space="preserve">Figure </w:t>
            </w:r>
            <w:r w:rsidR="00DF255F">
              <w:rPr>
                <w:b w:val="0"/>
              </w:rPr>
              <w:t>10.</w:t>
            </w:r>
            <w:r w:rsidR="0078724D">
              <w:rPr>
                <w:b w:val="0"/>
                <w:noProof/>
              </w:rPr>
              <w:t>42</w:t>
            </w:r>
            <w:r>
              <w:tab/>
              <w:t xml:space="preserve">Notifications of measles per 100 000 children aged </w:t>
            </w:r>
            <w:r>
              <w:br/>
              <w:t>0–14 years</w:t>
            </w:r>
            <w:r>
              <w:rPr>
                <w:rStyle w:val="NoteLabel"/>
                <w:b/>
              </w:rPr>
              <w:t>a</w:t>
            </w:r>
          </w:p>
        </w:tc>
      </w:tr>
      <w:tr w:rsidR="00DA6F7D" w:rsidTr="003019F8">
        <w:tc>
          <w:tcPr>
            <w:tcW w:w="8771" w:type="dxa"/>
            <w:tcBorders>
              <w:top w:val="nil"/>
              <w:left w:val="nil"/>
              <w:bottom w:val="nil"/>
              <w:right w:val="nil"/>
            </w:tcBorders>
            <w:shd w:val="clear" w:color="auto" w:fill="auto"/>
            <w:tcMar>
              <w:top w:w="28" w:type="dxa"/>
              <w:bottom w:w="28" w:type="dxa"/>
            </w:tcMar>
          </w:tcPr>
          <w:tbl>
            <w:tblPr>
              <w:tblW w:w="8625" w:type="dxa"/>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625"/>
            </w:tblGrid>
            <w:tr w:rsidR="00DA6F7D" w:rsidTr="00F07FF9">
              <w:tc>
                <w:tcPr>
                  <w:tcW w:w="5000" w:type="pct"/>
                  <w:tcBorders>
                    <w:top w:val="nil"/>
                    <w:bottom w:val="nil"/>
                  </w:tcBorders>
                </w:tcPr>
                <w:p w:rsidR="00DA6F7D" w:rsidRDefault="007B1994" w:rsidP="00F07FF9">
                  <w:pPr>
                    <w:pStyle w:val="Figure"/>
                    <w:keepLines/>
                    <w:spacing w:before="60" w:after="60"/>
                    <w:rPr>
                      <w:noProof/>
                    </w:rPr>
                  </w:pPr>
                  <w:r>
                    <w:rPr>
                      <w:noProof/>
                    </w:rPr>
                    <w:drawing>
                      <wp:inline distT="0" distB="0" distL="0" distR="0">
                        <wp:extent cx="5391150" cy="2695575"/>
                        <wp:effectExtent l="0" t="0" r="0" b="9525"/>
                        <wp:docPr id="51" name="Picture 51" descr="Figure 10.42 Notifications of measles per 100 000 children aged &#10;0–14 years&#10;&#10;More details can be found within the text surrounding this image.&#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5391150" cy="2695575"/>
                                </a:xfrm>
                                <a:prstGeom prst="rect">
                                  <a:avLst/>
                                </a:prstGeom>
                                <a:noFill/>
                                <a:ln>
                                  <a:noFill/>
                                </a:ln>
                              </pic:spPr>
                            </pic:pic>
                          </a:graphicData>
                        </a:graphic>
                      </wp:inline>
                    </w:drawing>
                  </w:r>
                </w:p>
              </w:tc>
            </w:tr>
          </w:tbl>
          <w:p w:rsidR="00DA6F7D" w:rsidRDefault="00DA6F7D" w:rsidP="00F07FF9">
            <w:pPr>
              <w:pStyle w:val="Figure"/>
              <w:keepLines/>
            </w:pPr>
          </w:p>
        </w:tc>
      </w:tr>
      <w:tr w:rsidR="00DA6F7D" w:rsidRPr="00176D3F" w:rsidTr="003019F8">
        <w:tc>
          <w:tcPr>
            <w:tcW w:w="8771" w:type="dxa"/>
            <w:tcBorders>
              <w:top w:val="nil"/>
              <w:left w:val="nil"/>
              <w:bottom w:val="nil"/>
              <w:right w:val="nil"/>
            </w:tcBorders>
            <w:shd w:val="clear" w:color="auto" w:fill="auto"/>
          </w:tcPr>
          <w:p w:rsidR="00DA6F7D" w:rsidRPr="00176D3F" w:rsidRDefault="00DA6F7D" w:rsidP="00F07FF9">
            <w:pPr>
              <w:pStyle w:val="Note"/>
              <w:keepNext/>
            </w:pPr>
            <w:r>
              <w:rPr>
                <w:rStyle w:val="NoteLabel"/>
              </w:rPr>
              <w:t>a</w:t>
            </w:r>
            <w:r>
              <w:sym w:font="Symbol" w:char="F020"/>
            </w:r>
            <w:r>
              <w:t>Data are suppressed w</w:t>
            </w:r>
            <w:r w:rsidRPr="00596D47">
              <w:t>here</w:t>
            </w:r>
            <w:r>
              <w:t xml:space="preserve"> the number of</w:t>
            </w:r>
            <w:r w:rsidRPr="00596D47">
              <w:t xml:space="preserve"> notification</w:t>
            </w:r>
            <w:r>
              <w:t>s reported for a jurisdiction is fewer than 5.</w:t>
            </w:r>
          </w:p>
        </w:tc>
      </w:tr>
      <w:tr w:rsidR="00DA6F7D" w:rsidRPr="00176D3F" w:rsidTr="003019F8">
        <w:tc>
          <w:tcPr>
            <w:tcW w:w="8771" w:type="dxa"/>
            <w:tcBorders>
              <w:top w:val="nil"/>
              <w:left w:val="nil"/>
              <w:bottom w:val="nil"/>
              <w:right w:val="nil"/>
            </w:tcBorders>
            <w:shd w:val="clear" w:color="auto" w:fill="auto"/>
          </w:tcPr>
          <w:p w:rsidR="00DA6F7D" w:rsidRPr="00176D3F" w:rsidRDefault="00DA6F7D" w:rsidP="009010CA">
            <w:pPr>
              <w:pStyle w:val="Source"/>
              <w:keepNext/>
              <w:spacing w:before="60"/>
            </w:pPr>
            <w:r w:rsidRPr="00596D47">
              <w:rPr>
                <w:i/>
              </w:rPr>
              <w:t>Source</w:t>
            </w:r>
            <w:r w:rsidRPr="00596D47">
              <w:t xml:space="preserve">: </w:t>
            </w:r>
            <w:r>
              <w:t>Department of Health</w:t>
            </w:r>
            <w:r w:rsidRPr="00480CFE">
              <w:t xml:space="preserve"> (unpublished</w:t>
            </w:r>
            <w:r w:rsidRPr="00A73D31">
              <w:t xml:space="preserve">) </w:t>
            </w:r>
            <w:r w:rsidR="009010CA" w:rsidRPr="008A1890">
              <w:t xml:space="preserve">National Notifiable Diseases Surveillance System </w:t>
            </w:r>
            <w:r w:rsidR="009010CA">
              <w:t>(NNDSS);</w:t>
            </w:r>
            <w:r w:rsidRPr="00A73D31">
              <w:t xml:space="preserve"> ABS</w:t>
            </w:r>
            <w:r w:rsidR="009010CA">
              <w:t xml:space="preserve"> </w:t>
            </w:r>
            <w:r w:rsidR="009010CA" w:rsidRPr="00A73D31">
              <w:t>(various years)</w:t>
            </w:r>
            <w:r w:rsidRPr="00A73D31">
              <w:t xml:space="preserve"> </w:t>
            </w:r>
            <w:r w:rsidRPr="00A73D31">
              <w:rPr>
                <w:i/>
              </w:rPr>
              <w:t>Population by Age and Sex, Australian States and Territories</w:t>
            </w:r>
            <w:r w:rsidRPr="00A73D31">
              <w:t>, Cat. </w:t>
            </w:r>
            <w:r w:rsidR="009010CA">
              <w:t>n</w:t>
            </w:r>
            <w:r w:rsidRPr="00A73D31">
              <w:t>o. 3201.0; table </w:t>
            </w:r>
            <w:r w:rsidR="00C9076B">
              <w:t>10A.</w:t>
            </w:r>
            <w:r>
              <w:t>8</w:t>
            </w:r>
            <w:r w:rsidR="00F622DA">
              <w:t>2</w:t>
            </w:r>
            <w:r w:rsidRPr="006C74C6">
              <w:t>.</w:t>
            </w:r>
          </w:p>
        </w:tc>
      </w:tr>
      <w:tr w:rsidR="00DA6F7D" w:rsidTr="003019F8">
        <w:tc>
          <w:tcPr>
            <w:tcW w:w="8771" w:type="dxa"/>
            <w:tcBorders>
              <w:top w:val="nil"/>
              <w:left w:val="nil"/>
              <w:bottom w:val="single" w:sz="6" w:space="0" w:color="78A22F"/>
              <w:right w:val="nil"/>
            </w:tcBorders>
            <w:shd w:val="clear" w:color="auto" w:fill="auto"/>
          </w:tcPr>
          <w:p w:rsidR="00DA6F7D" w:rsidRDefault="00DA6F7D" w:rsidP="00F07FF9">
            <w:pPr>
              <w:pStyle w:val="Figurespace"/>
              <w:keepLines/>
            </w:pPr>
          </w:p>
        </w:tc>
      </w:tr>
      <w:tr w:rsidR="00DA6F7D" w:rsidRPr="000863A5" w:rsidTr="003019F8">
        <w:tc>
          <w:tcPr>
            <w:tcW w:w="8771" w:type="dxa"/>
            <w:tcBorders>
              <w:top w:val="single" w:sz="6" w:space="0" w:color="78A22F"/>
              <w:left w:val="nil"/>
              <w:bottom w:val="nil"/>
              <w:right w:val="nil"/>
            </w:tcBorders>
          </w:tcPr>
          <w:p w:rsidR="00DA6F7D" w:rsidRPr="00626D32" w:rsidRDefault="00DA6F7D" w:rsidP="00F07FF9">
            <w:pPr>
              <w:pStyle w:val="BoxSpaceBelow"/>
              <w:keepNext/>
              <w:keepLines/>
            </w:pPr>
          </w:p>
        </w:tc>
      </w:tr>
    </w:tbl>
    <w:p w:rsidR="00DA6F7D" w:rsidRDefault="00DA6F7D" w:rsidP="003019F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DA6F7D" w:rsidTr="003019F8">
        <w:tc>
          <w:tcPr>
            <w:tcW w:w="8771" w:type="dxa"/>
            <w:tcBorders>
              <w:top w:val="single" w:sz="6" w:space="0" w:color="78A22F"/>
              <w:left w:val="nil"/>
              <w:bottom w:val="nil"/>
              <w:right w:val="nil"/>
            </w:tcBorders>
            <w:shd w:val="clear" w:color="auto" w:fill="auto"/>
          </w:tcPr>
          <w:p w:rsidR="00DA6F7D" w:rsidRPr="00176D3F" w:rsidRDefault="00DA6F7D" w:rsidP="00DA6F7D">
            <w:pPr>
              <w:pStyle w:val="FigureTitle"/>
            </w:pPr>
            <w:r w:rsidRPr="00784A05">
              <w:rPr>
                <w:b w:val="0"/>
              </w:rPr>
              <w:t xml:space="preserve">Figure </w:t>
            </w:r>
            <w:r w:rsidR="00DF255F">
              <w:rPr>
                <w:b w:val="0"/>
              </w:rPr>
              <w:t>10.</w:t>
            </w:r>
            <w:r w:rsidR="0078724D">
              <w:rPr>
                <w:b w:val="0"/>
                <w:noProof/>
              </w:rPr>
              <w:t>43</w:t>
            </w:r>
            <w:r>
              <w:tab/>
              <w:t>Notifications of pertussis (whooping cough) per 100 000 children aged 0–14 years</w:t>
            </w:r>
          </w:p>
        </w:tc>
      </w:tr>
      <w:tr w:rsidR="00DA6F7D" w:rsidTr="003019F8">
        <w:tc>
          <w:tcPr>
            <w:tcW w:w="8771" w:type="dxa"/>
            <w:tcBorders>
              <w:top w:val="nil"/>
              <w:left w:val="nil"/>
              <w:bottom w:val="nil"/>
              <w:right w:val="nil"/>
            </w:tcBorders>
            <w:shd w:val="clear" w:color="auto" w:fill="auto"/>
            <w:tcMar>
              <w:top w:w="28" w:type="dxa"/>
              <w:bottom w:w="28" w:type="dxa"/>
            </w:tcMar>
          </w:tcPr>
          <w:p w:rsidR="00DA6F7D" w:rsidRDefault="007B1994" w:rsidP="003019F8">
            <w:pPr>
              <w:pStyle w:val="Figure"/>
            </w:pPr>
            <w:r>
              <w:rPr>
                <w:noProof/>
              </w:rPr>
              <w:drawing>
                <wp:inline distT="0" distB="0" distL="0" distR="0">
                  <wp:extent cx="5391150" cy="2695575"/>
                  <wp:effectExtent l="0" t="0" r="0" b="9525"/>
                  <wp:docPr id="52" name="Picture 52" descr="Figure 10.43 Notifications of pertussis (whooping cough) per 100 000 children aged 0–14 years &#10;&#10;More details can be found within the text surrounding this image.&#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5391150" cy="2695575"/>
                          </a:xfrm>
                          <a:prstGeom prst="rect">
                            <a:avLst/>
                          </a:prstGeom>
                          <a:noFill/>
                          <a:ln>
                            <a:noFill/>
                          </a:ln>
                        </pic:spPr>
                      </pic:pic>
                    </a:graphicData>
                  </a:graphic>
                </wp:inline>
              </w:drawing>
            </w:r>
          </w:p>
        </w:tc>
      </w:tr>
      <w:tr w:rsidR="00DA6F7D" w:rsidRPr="00176D3F" w:rsidTr="003019F8">
        <w:tc>
          <w:tcPr>
            <w:tcW w:w="8771" w:type="dxa"/>
            <w:tcBorders>
              <w:top w:val="nil"/>
              <w:left w:val="nil"/>
              <w:bottom w:val="nil"/>
              <w:right w:val="nil"/>
            </w:tcBorders>
            <w:shd w:val="clear" w:color="auto" w:fill="auto"/>
          </w:tcPr>
          <w:p w:rsidR="00DA6F7D" w:rsidRPr="00176D3F" w:rsidRDefault="00DA6F7D" w:rsidP="008D6A30">
            <w:pPr>
              <w:pStyle w:val="Source"/>
            </w:pPr>
            <w:r w:rsidRPr="00480CFE">
              <w:rPr>
                <w:i/>
              </w:rPr>
              <w:t>Source</w:t>
            </w:r>
            <w:r w:rsidRPr="00480CFE">
              <w:t xml:space="preserve">: </w:t>
            </w:r>
            <w:r>
              <w:t>Department of Health</w:t>
            </w:r>
            <w:r w:rsidRPr="00480CFE">
              <w:t xml:space="preserve"> (unpublished)</w:t>
            </w:r>
            <w:r>
              <w:t xml:space="preserve"> </w:t>
            </w:r>
            <w:r w:rsidRPr="00E969C8">
              <w:t>NNDSS</w:t>
            </w:r>
            <w:r>
              <w:t xml:space="preserve">, </w:t>
            </w:r>
            <w:r w:rsidR="009010CA" w:rsidRPr="00A73D31">
              <w:t>ABS</w:t>
            </w:r>
            <w:r w:rsidR="009010CA">
              <w:t xml:space="preserve"> </w:t>
            </w:r>
            <w:r w:rsidR="009010CA" w:rsidRPr="00A73D31">
              <w:t xml:space="preserve">(various years) </w:t>
            </w:r>
            <w:r w:rsidR="009010CA" w:rsidRPr="00A73D31">
              <w:rPr>
                <w:i/>
              </w:rPr>
              <w:t>Population by Age and Sex, Australian States and Territories</w:t>
            </w:r>
            <w:r w:rsidR="009010CA" w:rsidRPr="00A73D31">
              <w:t>, Cat. </w:t>
            </w:r>
            <w:r w:rsidR="009010CA">
              <w:t>n</w:t>
            </w:r>
            <w:r w:rsidR="009010CA" w:rsidRPr="00A73D31">
              <w:t>o. 3201.0</w:t>
            </w:r>
            <w:r w:rsidRPr="00480CFE">
              <w:t>;</w:t>
            </w:r>
            <w:r>
              <w:t xml:space="preserve"> table</w:t>
            </w:r>
            <w:r w:rsidRPr="006C74C6">
              <w:t> </w:t>
            </w:r>
            <w:r w:rsidR="00C9076B">
              <w:t>10A.</w:t>
            </w:r>
            <w:r>
              <w:t>8</w:t>
            </w:r>
            <w:r w:rsidR="00F622DA">
              <w:t>3</w:t>
            </w:r>
            <w:r w:rsidRPr="006C74C6">
              <w:t>.</w:t>
            </w:r>
          </w:p>
        </w:tc>
      </w:tr>
      <w:tr w:rsidR="00DA6F7D" w:rsidTr="003019F8">
        <w:tc>
          <w:tcPr>
            <w:tcW w:w="8771" w:type="dxa"/>
            <w:tcBorders>
              <w:top w:val="nil"/>
              <w:left w:val="nil"/>
              <w:bottom w:val="single" w:sz="6" w:space="0" w:color="78A22F"/>
              <w:right w:val="nil"/>
            </w:tcBorders>
            <w:shd w:val="clear" w:color="auto" w:fill="auto"/>
          </w:tcPr>
          <w:p w:rsidR="00DA6F7D" w:rsidRDefault="00DA6F7D" w:rsidP="003019F8">
            <w:pPr>
              <w:pStyle w:val="Figurespace"/>
            </w:pPr>
          </w:p>
        </w:tc>
      </w:tr>
      <w:tr w:rsidR="00DA6F7D" w:rsidRPr="000863A5" w:rsidTr="003019F8">
        <w:tc>
          <w:tcPr>
            <w:tcW w:w="8771" w:type="dxa"/>
            <w:tcBorders>
              <w:top w:val="single" w:sz="6" w:space="0" w:color="78A22F"/>
              <w:left w:val="nil"/>
              <w:bottom w:val="nil"/>
              <w:right w:val="nil"/>
            </w:tcBorders>
          </w:tcPr>
          <w:p w:rsidR="00DA6F7D" w:rsidRPr="00626D32" w:rsidRDefault="00DA6F7D" w:rsidP="003019F8">
            <w:pPr>
              <w:pStyle w:val="BoxSpaceBelow"/>
            </w:pPr>
          </w:p>
        </w:tc>
      </w:tr>
    </w:tbl>
    <w:p w:rsidR="00DA6F7D" w:rsidRDefault="00DA6F7D" w:rsidP="003019F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DA6F7D" w:rsidTr="003019F8">
        <w:tc>
          <w:tcPr>
            <w:tcW w:w="8771" w:type="dxa"/>
            <w:tcBorders>
              <w:top w:val="single" w:sz="6" w:space="0" w:color="78A22F"/>
              <w:left w:val="nil"/>
              <w:bottom w:val="nil"/>
              <w:right w:val="nil"/>
            </w:tcBorders>
            <w:shd w:val="clear" w:color="auto" w:fill="auto"/>
          </w:tcPr>
          <w:p w:rsidR="00DA6F7D" w:rsidRPr="00176D3F" w:rsidRDefault="00DA6F7D" w:rsidP="00925E87">
            <w:pPr>
              <w:pStyle w:val="FigureTitle"/>
            </w:pPr>
            <w:r w:rsidRPr="00784A05">
              <w:rPr>
                <w:b w:val="0"/>
              </w:rPr>
              <w:t xml:space="preserve">Figure </w:t>
            </w:r>
            <w:r w:rsidR="00DF255F">
              <w:rPr>
                <w:b w:val="0"/>
              </w:rPr>
              <w:t>10.</w:t>
            </w:r>
            <w:r w:rsidR="0078724D">
              <w:rPr>
                <w:b w:val="0"/>
                <w:noProof/>
              </w:rPr>
              <w:t>44</w:t>
            </w:r>
            <w:r>
              <w:tab/>
            </w:r>
            <w:r w:rsidRPr="002C36C7">
              <w:t>Notifications of</w:t>
            </w:r>
            <w:r w:rsidRPr="006E5535">
              <w:t xml:space="preserve"> invasive</w:t>
            </w:r>
            <w:r w:rsidRPr="002C36C7">
              <w:t xml:space="preserve"> </w:t>
            </w:r>
            <w:r w:rsidRPr="00B41177">
              <w:rPr>
                <w:i/>
              </w:rPr>
              <w:t>Haemophilus influenzae</w:t>
            </w:r>
            <w:r w:rsidRPr="002C36C7">
              <w:t xml:space="preserve"> type b </w:t>
            </w:r>
            <w:r>
              <w:br/>
            </w:r>
            <w:r w:rsidR="007F185F">
              <w:t>per 100 </w:t>
            </w:r>
            <w:r w:rsidRPr="002C36C7">
              <w:t>000 children aged 0–14 years</w:t>
            </w:r>
            <w:r>
              <w:t>, Australia</w:t>
            </w:r>
          </w:p>
        </w:tc>
      </w:tr>
      <w:tr w:rsidR="00DA6F7D" w:rsidTr="003019F8">
        <w:tc>
          <w:tcPr>
            <w:tcW w:w="8771" w:type="dxa"/>
            <w:tcBorders>
              <w:top w:val="nil"/>
              <w:left w:val="nil"/>
              <w:bottom w:val="nil"/>
              <w:right w:val="nil"/>
            </w:tcBorders>
            <w:shd w:val="clear" w:color="auto" w:fill="auto"/>
            <w:tcMar>
              <w:top w:w="28" w:type="dxa"/>
              <w:bottom w:w="28" w:type="dxa"/>
            </w:tcMar>
          </w:tcPr>
          <w:tbl>
            <w:tblPr>
              <w:tblW w:w="8625" w:type="dxa"/>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625"/>
            </w:tblGrid>
            <w:tr w:rsidR="00DA6F7D" w:rsidTr="00967C90">
              <w:tc>
                <w:tcPr>
                  <w:tcW w:w="5000" w:type="pct"/>
                  <w:tcBorders>
                    <w:top w:val="nil"/>
                    <w:bottom w:val="nil"/>
                  </w:tcBorders>
                </w:tcPr>
                <w:p w:rsidR="00DA6F7D" w:rsidRDefault="007B1994" w:rsidP="00925E87">
                  <w:pPr>
                    <w:pStyle w:val="Figure"/>
                    <w:keepLines/>
                    <w:spacing w:before="60" w:after="60"/>
                  </w:pPr>
                  <w:r>
                    <w:rPr>
                      <w:noProof/>
                    </w:rPr>
                    <w:drawing>
                      <wp:inline distT="0" distB="0" distL="0" distR="0">
                        <wp:extent cx="5391150" cy="2695575"/>
                        <wp:effectExtent l="0" t="0" r="0" b="9525"/>
                        <wp:docPr id="53" name="Picture 53" descr="Figure 10.44 Notifications of invasive Haemophilus influenzae type b per 100 000 children aged 0–14 years, Australia &#10;&#10;More details can be found within the text surrounding this image.&#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5391150" cy="2695575"/>
                                </a:xfrm>
                                <a:prstGeom prst="rect">
                                  <a:avLst/>
                                </a:prstGeom>
                                <a:noFill/>
                                <a:ln>
                                  <a:noFill/>
                                </a:ln>
                              </pic:spPr>
                            </pic:pic>
                          </a:graphicData>
                        </a:graphic>
                      </wp:inline>
                    </w:drawing>
                  </w:r>
                </w:p>
              </w:tc>
            </w:tr>
          </w:tbl>
          <w:p w:rsidR="00DA6F7D" w:rsidRDefault="00DA6F7D" w:rsidP="00925E87">
            <w:pPr>
              <w:pStyle w:val="Figure"/>
              <w:keepLines/>
            </w:pPr>
          </w:p>
        </w:tc>
      </w:tr>
      <w:tr w:rsidR="00DA6F7D" w:rsidRPr="00176D3F" w:rsidTr="003019F8">
        <w:tc>
          <w:tcPr>
            <w:tcW w:w="8771" w:type="dxa"/>
            <w:tcBorders>
              <w:top w:val="nil"/>
              <w:left w:val="nil"/>
              <w:bottom w:val="nil"/>
              <w:right w:val="nil"/>
            </w:tcBorders>
            <w:shd w:val="clear" w:color="auto" w:fill="auto"/>
          </w:tcPr>
          <w:p w:rsidR="00DA6F7D" w:rsidRPr="00176D3F" w:rsidRDefault="00DA6F7D" w:rsidP="00925E87">
            <w:pPr>
              <w:pStyle w:val="Source"/>
              <w:keepNext/>
              <w:spacing w:before="60"/>
            </w:pPr>
            <w:r w:rsidRPr="00787A85">
              <w:rPr>
                <w:i/>
              </w:rPr>
              <w:t>Source</w:t>
            </w:r>
            <w:r w:rsidRPr="00825C6D">
              <w:t xml:space="preserve">: </w:t>
            </w:r>
            <w:r>
              <w:t>Department of Health</w:t>
            </w:r>
            <w:r w:rsidRPr="00825C6D">
              <w:t xml:space="preserve"> (unpublished) NNDSS, </w:t>
            </w:r>
            <w:r w:rsidR="009010CA" w:rsidRPr="00A73D31">
              <w:t>ABS</w:t>
            </w:r>
            <w:r w:rsidR="009010CA">
              <w:t xml:space="preserve"> </w:t>
            </w:r>
            <w:r w:rsidR="009010CA" w:rsidRPr="00A73D31">
              <w:t xml:space="preserve">(various years) </w:t>
            </w:r>
            <w:r w:rsidR="009010CA" w:rsidRPr="00A73D31">
              <w:rPr>
                <w:i/>
              </w:rPr>
              <w:t>Population by Age and Sex, Australian States and Territories</w:t>
            </w:r>
            <w:r w:rsidR="009010CA" w:rsidRPr="00A73D31">
              <w:t>, Cat. </w:t>
            </w:r>
            <w:r w:rsidR="009010CA">
              <w:t>n</w:t>
            </w:r>
            <w:r w:rsidR="009010CA" w:rsidRPr="00A73D31">
              <w:t>o. 3201.0</w:t>
            </w:r>
            <w:r w:rsidRPr="006C74C6">
              <w:t>; table </w:t>
            </w:r>
            <w:r w:rsidR="00C9076B">
              <w:t>10A.</w:t>
            </w:r>
            <w:r w:rsidR="00B77C23">
              <w:t>8</w:t>
            </w:r>
            <w:r w:rsidR="00F622DA">
              <w:t>4</w:t>
            </w:r>
            <w:r>
              <w:t>.</w:t>
            </w:r>
          </w:p>
        </w:tc>
      </w:tr>
      <w:tr w:rsidR="00DA6F7D" w:rsidTr="003019F8">
        <w:tc>
          <w:tcPr>
            <w:tcW w:w="8771" w:type="dxa"/>
            <w:tcBorders>
              <w:top w:val="nil"/>
              <w:left w:val="nil"/>
              <w:bottom w:val="single" w:sz="6" w:space="0" w:color="78A22F"/>
              <w:right w:val="nil"/>
            </w:tcBorders>
            <w:shd w:val="clear" w:color="auto" w:fill="auto"/>
          </w:tcPr>
          <w:p w:rsidR="00DA6F7D" w:rsidRDefault="00DA6F7D" w:rsidP="00925E87">
            <w:pPr>
              <w:pStyle w:val="Figurespace"/>
              <w:keepLines/>
            </w:pPr>
          </w:p>
        </w:tc>
      </w:tr>
      <w:tr w:rsidR="00DA6F7D" w:rsidRPr="000863A5" w:rsidTr="003019F8">
        <w:tc>
          <w:tcPr>
            <w:tcW w:w="8771" w:type="dxa"/>
            <w:tcBorders>
              <w:top w:val="single" w:sz="6" w:space="0" w:color="78A22F"/>
              <w:left w:val="nil"/>
              <w:bottom w:val="nil"/>
              <w:right w:val="nil"/>
            </w:tcBorders>
          </w:tcPr>
          <w:p w:rsidR="00DA6F7D" w:rsidRPr="00626D32" w:rsidRDefault="00DA6F7D" w:rsidP="00925E87">
            <w:pPr>
              <w:pStyle w:val="BoxSpaceBelow"/>
              <w:keepNext/>
              <w:keepLines/>
            </w:pPr>
          </w:p>
        </w:tc>
      </w:tr>
    </w:tbl>
    <w:p w:rsidR="00105402" w:rsidRDefault="00105402" w:rsidP="00105402">
      <w:pPr>
        <w:pStyle w:val="Heading5"/>
      </w:pPr>
      <w:r w:rsidRPr="006C74C6">
        <w:t xml:space="preserve">Participation for women in breast cancer </w:t>
      </w:r>
      <w:r w:rsidRPr="00701FDC">
        <w:t>screening</w:t>
      </w:r>
    </w:p>
    <w:p w:rsidR="00105402" w:rsidRDefault="00105402" w:rsidP="00105402">
      <w:pPr>
        <w:pStyle w:val="BodyText"/>
      </w:pPr>
      <w:r>
        <w:t>‘</w:t>
      </w:r>
      <w:r w:rsidRPr="00701FDC">
        <w:t xml:space="preserve">Participation for women in </w:t>
      </w:r>
      <w:r>
        <w:t>breast</w:t>
      </w:r>
      <w:r w:rsidRPr="00701FDC">
        <w:t xml:space="preserve"> </w:t>
      </w:r>
      <w:r>
        <w:t xml:space="preserve">cancer </w:t>
      </w:r>
      <w:r w:rsidRPr="00701FDC">
        <w:t xml:space="preserve">screening’ is an indicator of </w:t>
      </w:r>
      <w:r>
        <w:t>governments’ objective to reduce morbidity and mortality attributable to breast cancer through the provision of early detection services (box 10.</w:t>
      </w:r>
      <w:r w:rsidRPr="00E52050">
        <w:t>21</w:t>
      </w:r>
      <w:r>
        <w:t>).</w:t>
      </w:r>
    </w:p>
    <w:p w:rsidR="00105402" w:rsidRDefault="00105402" w:rsidP="00105402">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105402" w:rsidTr="00105402">
        <w:tc>
          <w:tcPr>
            <w:tcW w:w="8771" w:type="dxa"/>
            <w:tcBorders>
              <w:top w:val="single" w:sz="6" w:space="0" w:color="78A22F"/>
              <w:left w:val="nil"/>
              <w:bottom w:val="nil"/>
              <w:right w:val="nil"/>
            </w:tcBorders>
            <w:shd w:val="clear" w:color="auto" w:fill="F2F2F2" w:themeFill="background1" w:themeFillShade="F2"/>
          </w:tcPr>
          <w:p w:rsidR="00105402" w:rsidRDefault="00105402" w:rsidP="00105402">
            <w:pPr>
              <w:pStyle w:val="BoxTitle"/>
            </w:pPr>
            <w:r>
              <w:rPr>
                <w:b w:val="0"/>
              </w:rPr>
              <w:t>Box 10.</w:t>
            </w:r>
            <w:r w:rsidR="0078724D">
              <w:rPr>
                <w:b w:val="0"/>
                <w:noProof/>
              </w:rPr>
              <w:t>21</w:t>
            </w:r>
            <w:r>
              <w:tab/>
            </w:r>
            <w:r w:rsidRPr="00E52050">
              <w:t>Participation for women in breast cancer screening</w:t>
            </w:r>
          </w:p>
        </w:tc>
      </w:tr>
      <w:tr w:rsidR="00105402" w:rsidTr="00105402">
        <w:trPr>
          <w:cantSplit/>
        </w:trPr>
        <w:tc>
          <w:tcPr>
            <w:tcW w:w="8771" w:type="dxa"/>
            <w:tcBorders>
              <w:top w:val="nil"/>
              <w:left w:val="nil"/>
              <w:bottom w:val="nil"/>
              <w:right w:val="nil"/>
            </w:tcBorders>
            <w:shd w:val="clear" w:color="auto" w:fill="F2F2F2" w:themeFill="background1" w:themeFillShade="F2"/>
          </w:tcPr>
          <w:p w:rsidR="00105402" w:rsidRDefault="00105402" w:rsidP="00105402">
            <w:pPr>
              <w:pStyle w:val="Box"/>
            </w:pPr>
            <w:r w:rsidRPr="00C84FAD">
              <w:t>‘</w:t>
            </w:r>
            <w:r w:rsidRPr="002A3114">
              <w:t xml:space="preserve">Participation for women in breast cancer screening’ is defined as the number of women aged 50–69 years </w:t>
            </w:r>
            <w:r>
              <w:t xml:space="preserve">who are screened in the </w:t>
            </w:r>
            <w:r w:rsidRPr="00C84FAD">
              <w:t xml:space="preserve">BreastScreen Australia Program </w:t>
            </w:r>
            <w:r>
              <w:t xml:space="preserve">over a </w:t>
            </w:r>
            <w:r w:rsidRPr="002A3114">
              <w:t>24 month period, divided by the estimated population of women aged 50–69 years</w:t>
            </w:r>
            <w:r>
              <w:t xml:space="preserve"> and reported as a rate</w:t>
            </w:r>
            <w:r w:rsidRPr="002A3114">
              <w:t>.</w:t>
            </w:r>
          </w:p>
          <w:p w:rsidR="00105402" w:rsidRPr="00C84FAD" w:rsidRDefault="00105402" w:rsidP="00105402">
            <w:pPr>
              <w:pStyle w:val="Box"/>
            </w:pPr>
            <w:r w:rsidRPr="00C84FAD">
              <w:t>A high or increasing participation rate is desirable.</w:t>
            </w:r>
          </w:p>
          <w:p w:rsidR="00105402" w:rsidRDefault="00105402" w:rsidP="00105402">
            <w:pPr>
              <w:pStyle w:val="Box"/>
            </w:pPr>
            <w:r>
              <w:t>Data reported against this indicator are:</w:t>
            </w:r>
          </w:p>
          <w:p w:rsidR="00105402" w:rsidRDefault="00105402" w:rsidP="00105402">
            <w:pPr>
              <w:pStyle w:val="BoxListBullet"/>
            </w:pPr>
            <w:r>
              <w:t>comparable (subject to caveats) across jurisdictions and over time</w:t>
            </w:r>
          </w:p>
          <w:p w:rsidR="00105402" w:rsidRPr="00C84FAD" w:rsidRDefault="00105402" w:rsidP="00105402">
            <w:pPr>
              <w:pStyle w:val="BoxListBullet"/>
            </w:pPr>
            <w:r>
              <w:t>complete (subject to caveats) for the current reporting period. All required data</w:t>
            </w:r>
            <w:r w:rsidR="009539BB">
              <w:t xml:space="preserve"> for the 24 </w:t>
            </w:r>
            <w:r>
              <w:t>month period 2012 and 2013 are available for all jurisdictions.</w:t>
            </w:r>
          </w:p>
          <w:p w:rsidR="00105402" w:rsidRDefault="00105402" w:rsidP="00105402">
            <w:pPr>
              <w:pStyle w:val="Box"/>
            </w:pPr>
            <w:r w:rsidRPr="0027351B">
              <w:t xml:space="preserve">Data quality information </w:t>
            </w:r>
            <w:r>
              <w:t>for this indicator</w:t>
            </w:r>
            <w:r w:rsidR="00786AB7">
              <w:t xml:space="preserve"> is at www.pc.gov.au</w:t>
            </w:r>
            <w:r w:rsidRPr="00743531">
              <w:t>/</w:t>
            </w:r>
            <w:r>
              <w:t>rogs/2015</w:t>
            </w:r>
            <w:r w:rsidRPr="00743531">
              <w:t>.</w:t>
            </w:r>
          </w:p>
        </w:tc>
      </w:tr>
      <w:tr w:rsidR="00105402" w:rsidTr="00105402">
        <w:trPr>
          <w:cantSplit/>
        </w:trPr>
        <w:tc>
          <w:tcPr>
            <w:tcW w:w="8771" w:type="dxa"/>
            <w:tcBorders>
              <w:top w:val="nil"/>
              <w:left w:val="nil"/>
              <w:bottom w:val="single" w:sz="6" w:space="0" w:color="78A22F"/>
              <w:right w:val="nil"/>
            </w:tcBorders>
            <w:shd w:val="clear" w:color="auto" w:fill="F2F2F2" w:themeFill="background1" w:themeFillShade="F2"/>
          </w:tcPr>
          <w:p w:rsidR="00105402" w:rsidRDefault="00105402" w:rsidP="00105402">
            <w:pPr>
              <w:pStyle w:val="Box"/>
              <w:spacing w:before="0" w:line="120" w:lineRule="exact"/>
            </w:pPr>
          </w:p>
        </w:tc>
      </w:tr>
      <w:tr w:rsidR="00105402" w:rsidRPr="000863A5" w:rsidTr="00105402">
        <w:tc>
          <w:tcPr>
            <w:tcW w:w="8771" w:type="dxa"/>
            <w:tcBorders>
              <w:top w:val="single" w:sz="6" w:space="0" w:color="78A22F"/>
              <w:left w:val="nil"/>
              <w:bottom w:val="nil"/>
              <w:right w:val="nil"/>
            </w:tcBorders>
          </w:tcPr>
          <w:p w:rsidR="00105402" w:rsidRPr="00626D32" w:rsidRDefault="00105402" w:rsidP="00105402">
            <w:pPr>
              <w:pStyle w:val="BoxSpaceBelow"/>
            </w:pPr>
          </w:p>
        </w:tc>
      </w:tr>
    </w:tbl>
    <w:p w:rsidR="001D07E2" w:rsidRPr="00E52E8A" w:rsidRDefault="00105402" w:rsidP="00E52E8A">
      <w:pPr>
        <w:pStyle w:val="BodyText"/>
      </w:pPr>
      <w:r>
        <w:t>Early detection of breast cancer is associated with improved morbidity and mortality outcomes. Early detection allows a wider range of treatment options</w:t>
      </w:r>
      <w:r w:rsidRPr="00B66980">
        <w:t xml:space="preserve"> </w:t>
      </w:r>
      <w:r>
        <w:t xml:space="preserve">— including less invasive procedures — and a higher likelihood of survival, than does later detection (AIHW and NBCC 2007). </w:t>
      </w:r>
      <w:r w:rsidR="00821D96" w:rsidRPr="001D07E2">
        <w:t>The BreastScreen Australia Program is jointly funded by the Australian, State and Territory governments to undertake nationwide breast cancer screening</w:t>
      </w:r>
      <w:r w:rsidR="001D07E2">
        <w:t>. This is</w:t>
      </w:r>
      <w:r w:rsidR="00821D96" w:rsidRPr="001D07E2">
        <w:t xml:space="preserve"> provided at no cost to the target group of women aged 50–69 years</w:t>
      </w:r>
      <w:r w:rsidR="001D07E2">
        <w:t xml:space="preserve">, for which it </w:t>
      </w:r>
      <w:r w:rsidR="001D07E2" w:rsidRPr="001D07E2">
        <w:t>aim</w:t>
      </w:r>
      <w:r w:rsidR="001D07E2">
        <w:t>s</w:t>
      </w:r>
      <w:r w:rsidR="001D07E2" w:rsidRPr="001D07E2">
        <w:t xml:space="preserve"> to achieve at least 70 per cent participation over a period of 24 months</w:t>
      </w:r>
      <w:r w:rsidR="00821D96" w:rsidRPr="001D07E2">
        <w:t>. Women aged 40–49 years and 70 years or over are also eligible for free screening.</w:t>
      </w:r>
    </w:p>
    <w:p w:rsidR="00105402" w:rsidRDefault="00105402" w:rsidP="00105402">
      <w:pPr>
        <w:pStyle w:val="BodyText"/>
      </w:pPr>
      <w:r>
        <w:t>An evaluation of the BreastScreen Australia Program found that it has been successful in reducing mortality from breast cancer in the target age group (women aged 50–69 years) by approximately 21–28 per cent since screening commenced in 1991 (Department of Health 2009). Further, the relatively high proportion of cancers detected early and treated with breast conserving surgery among Program participants was associated with reduced treatment related morbidity.</w:t>
      </w:r>
    </w:p>
    <w:p w:rsidR="00105402" w:rsidRDefault="00105402" w:rsidP="00105402">
      <w:pPr>
        <w:pStyle w:val="BodyText"/>
      </w:pPr>
      <w:r>
        <w:t xml:space="preserve">A decline in the </w:t>
      </w:r>
      <w:r w:rsidRPr="005323D2">
        <w:t>national participation rate for women aged 50–69 years in BreastScreen Australia screening programs</w:t>
      </w:r>
      <w:r>
        <w:t xml:space="preserve"> in the 24 month periods from 2008–2009 (56.0 per cent) to 2011–2012 (54.2 per cent) did not continue in the 24 month period 2012–2013 (54.3 per cent)</w:t>
      </w:r>
      <w:r w:rsidR="00156045">
        <w:t xml:space="preserve"> (figure 10.4</w:t>
      </w:r>
      <w:r w:rsidR="00F87E7E">
        <w:t>5</w:t>
      </w:r>
      <w:r w:rsidR="00156045">
        <w:t>)</w:t>
      </w:r>
      <w:r>
        <w:t>.</w:t>
      </w:r>
      <w:r w:rsidRPr="002A4EF6">
        <w:t xml:space="preserve"> </w:t>
      </w:r>
      <w:r>
        <w:t xml:space="preserve">These rates remain </w:t>
      </w:r>
      <w:r w:rsidRPr="00A21E61">
        <w:t>below</w:t>
      </w:r>
      <w:r>
        <w:t xml:space="preserve"> the National Accreditation Standards aim of participation by 70 per cent </w:t>
      </w:r>
      <w:r w:rsidR="00BA083E">
        <w:t xml:space="preserve">of </w:t>
      </w:r>
      <w:r>
        <w:t>women in this age group.</w:t>
      </w:r>
    </w:p>
    <w:p w:rsidR="00E52E8A" w:rsidRDefault="00E52E8A" w:rsidP="00E52E8A">
      <w:pPr>
        <w:pStyle w:val="BodyText"/>
      </w:pPr>
      <w:r>
        <w:t>Aboriginal and Torres Strait Islander</w:t>
      </w:r>
      <w:r w:rsidRPr="008424C4">
        <w:t xml:space="preserve"> wo</w:t>
      </w:r>
      <w:r>
        <w:t>men, women from non</w:t>
      </w:r>
      <w:r>
        <w:noBreakHyphen/>
      </w:r>
      <w:r w:rsidRPr="008424C4">
        <w:t>English speaking backgrounds (NESB) and women living in outer regional, remote and very remote areas can experience particular language, cultural and geographic barriers to accessing breast cancer screening.</w:t>
      </w:r>
      <w:r>
        <w:t xml:space="preserve"> </w:t>
      </w:r>
      <w:r w:rsidRPr="00B927EB">
        <w:t>Participation rates for community groups at</w:t>
      </w:r>
      <w:r>
        <w:t xml:space="preserve"> or close to</w:t>
      </w:r>
      <w:r w:rsidRPr="00B927EB">
        <w:t xml:space="preserve"> those for the total population indicate equitable access to early detection services.</w:t>
      </w:r>
      <w:r>
        <w:t xml:space="preserve"> </w:t>
      </w:r>
      <w:r w:rsidRPr="00D72BFA">
        <w:t xml:space="preserve">Care needs to be taken when comparing data across jurisdictions as </w:t>
      </w:r>
      <w:r>
        <w:t xml:space="preserve">identification of </w:t>
      </w:r>
      <w:r w:rsidRPr="00374466">
        <w:t>Aboriginal and</w:t>
      </w:r>
      <w:r>
        <w:t xml:space="preserve"> Torres Strait Islander</w:t>
      </w:r>
      <w:r w:rsidRPr="00D72BFA">
        <w:t xml:space="preserve"> </w:t>
      </w:r>
      <w:r>
        <w:t>women</w:t>
      </w:r>
      <w:r w:rsidRPr="00D72BFA">
        <w:t xml:space="preserve"> and NESB </w:t>
      </w:r>
      <w:r>
        <w:t>women</w:t>
      </w:r>
      <w:r w:rsidRPr="00D72BFA">
        <w:t xml:space="preserve"> </w:t>
      </w:r>
      <w:r>
        <w:t xml:space="preserve">varies, as does </w:t>
      </w:r>
      <w:r w:rsidRPr="00D72BFA">
        <w:t>the collectio</w:t>
      </w:r>
      <w:r>
        <w:t xml:space="preserve">n of residential postcodes data. Updated State and Territory data for participation rate by remoteness area were unavailable for the </w:t>
      </w:r>
      <w:r w:rsidRPr="00E662AF">
        <w:t>201</w:t>
      </w:r>
      <w:r>
        <w:t xml:space="preserve">5 Report </w:t>
      </w:r>
      <w:r w:rsidRPr="00A73D31">
        <w:t>— data for 2009–2010 and previous years, as well as nationa</w:t>
      </w:r>
      <w:r>
        <w:t xml:space="preserve">l data for </w:t>
      </w:r>
      <w:r w:rsidRPr="00E662AF">
        <w:t>2010–2011</w:t>
      </w:r>
      <w:r>
        <w:t>, are reported in table 10A.89.</w:t>
      </w:r>
    </w:p>
    <w:p w:rsidR="00E52E8A" w:rsidRPr="00E52E8A" w:rsidRDefault="00E52E8A" w:rsidP="00E52E8A">
      <w:pPr>
        <w:pStyle w:val="BodyText"/>
        <w:rPr>
          <w:rStyle w:val="DraftingNote"/>
          <w:b w:val="0"/>
          <w:color w:val="auto"/>
          <w:u w:val="none"/>
        </w:rPr>
      </w:pPr>
      <w:r>
        <w:t>P</w:t>
      </w:r>
      <w:r w:rsidRPr="00B927EB">
        <w:t>articipation rate</w:t>
      </w:r>
      <w:r>
        <w:t>s</w:t>
      </w:r>
      <w:r w:rsidRPr="00B927EB">
        <w:t xml:space="preserve"> in the BreastScreen Australia Program </w:t>
      </w:r>
      <w:r>
        <w:t>for</w:t>
      </w:r>
      <w:r w:rsidRPr="00B927EB">
        <w:t xml:space="preserve"> women from selected community groups</w:t>
      </w:r>
      <w:r>
        <w:t xml:space="preserve"> are shown in table 10.8. </w:t>
      </w:r>
      <w:r w:rsidRPr="00D72BFA">
        <w:t xml:space="preserve">In the 24 month period </w:t>
      </w:r>
      <w:r w:rsidRPr="00E662AF">
        <w:t>201</w:t>
      </w:r>
      <w:r>
        <w:t>2</w:t>
      </w:r>
      <w:r w:rsidRPr="00E662AF">
        <w:t xml:space="preserve"> and 201</w:t>
      </w:r>
      <w:r>
        <w:t>3</w:t>
      </w:r>
      <w:r w:rsidRPr="00D72BFA">
        <w:t xml:space="preserve">, the national age </w:t>
      </w:r>
      <w:r w:rsidRPr="003B0E34">
        <w:t>standardised participation rate for Aboriginal and Torres Strait Islander women aged 50–69 years was 3</w:t>
      </w:r>
      <w:r w:rsidR="00597923">
        <w:t>5</w:t>
      </w:r>
      <w:r w:rsidRPr="003B0E34">
        <w:t>.</w:t>
      </w:r>
      <w:r w:rsidR="00597923">
        <w:t>1</w:t>
      </w:r>
      <w:r w:rsidRPr="003B0E34">
        <w:t> per cent (table 10A.8</w:t>
      </w:r>
      <w:r>
        <w:t>7</w:t>
      </w:r>
      <w:r w:rsidRPr="003B0E34">
        <w:t>). A low participation rate can in part reflect under-reporting of Aboriginal and</w:t>
      </w:r>
      <w:r>
        <w:t xml:space="preserve"> Torres Strait Islander</w:t>
      </w:r>
      <w:r w:rsidRPr="00D72BFA">
        <w:t xml:space="preserve"> status in screening program records</w:t>
      </w:r>
      <w:r>
        <w:t>.</w:t>
      </w:r>
    </w:p>
    <w:p w:rsidR="00E52E8A" w:rsidRDefault="00E52E8A" w:rsidP="00105402">
      <w:pPr>
        <w:pStyle w:val="BodyText"/>
      </w:pPr>
      <w:r w:rsidRPr="00D72BFA">
        <w:t xml:space="preserve">In the 24 month period </w:t>
      </w:r>
      <w:r w:rsidRPr="00E662AF">
        <w:t>201</w:t>
      </w:r>
      <w:r>
        <w:t>2</w:t>
      </w:r>
      <w:r w:rsidRPr="00E662AF">
        <w:t xml:space="preserve"> and 201</w:t>
      </w:r>
      <w:r>
        <w:t>3</w:t>
      </w:r>
      <w:r w:rsidRPr="00D72BFA">
        <w:t xml:space="preserve">, the national age standardised participation rate for </w:t>
      </w:r>
      <w:r>
        <w:t xml:space="preserve">NESB </w:t>
      </w:r>
      <w:r w:rsidRPr="00D72BFA">
        <w:t xml:space="preserve">women aged 50–69 </w:t>
      </w:r>
      <w:r>
        <w:t>years was 51.4</w:t>
      </w:r>
      <w:r w:rsidRPr="00D72BFA">
        <w:t xml:space="preserve"> per cent</w:t>
      </w:r>
      <w:r>
        <w:t>,</w:t>
      </w:r>
      <w:r w:rsidRPr="00D72BFA">
        <w:t xml:space="preserve"> lower than </w:t>
      </w:r>
      <w:r w:rsidRPr="008D2303">
        <w:t xml:space="preserve">the total participation rate in that age group </w:t>
      </w:r>
      <w:r w:rsidRPr="00D72BFA">
        <w:t>(</w:t>
      </w:r>
      <w:r>
        <w:t>54.3 </w:t>
      </w:r>
      <w:r w:rsidRPr="00D72BFA">
        <w:t>per cent)</w:t>
      </w:r>
      <w:r>
        <w:t xml:space="preserve"> (</w:t>
      </w:r>
      <w:r w:rsidRPr="00D72BFA">
        <w:t>table</w:t>
      </w:r>
      <w:r>
        <w:t xml:space="preserve"> 10A.88).</w:t>
      </w:r>
    </w:p>
    <w:p w:rsidR="00105402" w:rsidRDefault="00105402" w:rsidP="00105402">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105402" w:rsidTr="00105402">
        <w:tc>
          <w:tcPr>
            <w:tcW w:w="8771" w:type="dxa"/>
            <w:tcBorders>
              <w:top w:val="single" w:sz="6" w:space="0" w:color="78A22F"/>
              <w:left w:val="nil"/>
              <w:bottom w:val="nil"/>
              <w:right w:val="nil"/>
            </w:tcBorders>
            <w:shd w:val="clear" w:color="auto" w:fill="auto"/>
          </w:tcPr>
          <w:p w:rsidR="00105402" w:rsidRPr="00176D3F" w:rsidRDefault="00105402" w:rsidP="00105402">
            <w:pPr>
              <w:pStyle w:val="FigureTitle"/>
            </w:pPr>
            <w:r w:rsidRPr="00784A05">
              <w:rPr>
                <w:b w:val="0"/>
              </w:rPr>
              <w:t xml:space="preserve">Figure </w:t>
            </w:r>
            <w:r>
              <w:rPr>
                <w:b w:val="0"/>
              </w:rPr>
              <w:t>10.</w:t>
            </w:r>
            <w:r w:rsidR="0078724D">
              <w:rPr>
                <w:b w:val="0"/>
                <w:noProof/>
              </w:rPr>
              <w:t>45</w:t>
            </w:r>
            <w:r>
              <w:tab/>
            </w:r>
            <w:r w:rsidRPr="00C107E6">
              <w:t xml:space="preserve">Age standardised participation rate </w:t>
            </w:r>
            <w:r>
              <w:t>for</w:t>
            </w:r>
            <w:r w:rsidRPr="00C107E6">
              <w:t xml:space="preserve"> women aged </w:t>
            </w:r>
            <w:r>
              <w:br/>
            </w:r>
            <w:r w:rsidRPr="00C107E6">
              <w:t>50–69 years in BreastScreen Au</w:t>
            </w:r>
            <w:r>
              <w:t>stralia screening programs (24 </w:t>
            </w:r>
            <w:r w:rsidRPr="00C107E6">
              <w:t>month period)</w:t>
            </w:r>
            <w:r w:rsidRPr="00C107E6">
              <w:rPr>
                <w:rStyle w:val="NoteLabel"/>
                <w:b/>
              </w:rPr>
              <w:t>a, b, c, d</w:t>
            </w:r>
            <w:r w:rsidR="002507A0">
              <w:rPr>
                <w:rStyle w:val="NoteLabel"/>
                <w:b/>
              </w:rPr>
              <w:t>, e</w:t>
            </w:r>
          </w:p>
        </w:tc>
      </w:tr>
      <w:tr w:rsidR="00105402" w:rsidTr="003B0E34">
        <w:tc>
          <w:tcPr>
            <w:tcW w:w="8771" w:type="dxa"/>
            <w:tcBorders>
              <w:top w:val="nil"/>
              <w:left w:val="nil"/>
              <w:bottom w:val="nil"/>
              <w:right w:val="nil"/>
            </w:tcBorders>
            <w:shd w:val="clear" w:color="auto" w:fill="auto"/>
            <w:tcMar>
              <w:top w:w="28" w:type="dxa"/>
              <w:bottom w:w="28" w:type="dxa"/>
            </w:tcMar>
          </w:tcPr>
          <w:tbl>
            <w:tblPr>
              <w:tblW w:w="8625" w:type="dxa"/>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625"/>
            </w:tblGrid>
            <w:tr w:rsidR="00105402" w:rsidTr="00105402">
              <w:tc>
                <w:tcPr>
                  <w:tcW w:w="5000" w:type="pct"/>
                  <w:tcBorders>
                    <w:top w:val="nil"/>
                    <w:bottom w:val="nil"/>
                  </w:tcBorders>
                </w:tcPr>
                <w:p w:rsidR="00105402" w:rsidRDefault="007B1994" w:rsidP="00105402">
                  <w:pPr>
                    <w:pStyle w:val="Figure"/>
                    <w:spacing w:before="60" w:after="60"/>
                    <w:rPr>
                      <w:noProof/>
                    </w:rPr>
                  </w:pPr>
                  <w:r>
                    <w:rPr>
                      <w:noProof/>
                    </w:rPr>
                    <w:drawing>
                      <wp:inline distT="0" distB="0" distL="0" distR="0">
                        <wp:extent cx="5391150" cy="2886075"/>
                        <wp:effectExtent l="0" t="0" r="0" b="9525"/>
                        <wp:docPr id="54" name="Picture 54" descr="Figure 10.45 Age standardised participation rate for women aged &#10;50–69 years in BreastScreen Australia screening programs (24 month period) &#10;&#10;More details can be found within the text surrounding this image.&#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5391150" cy="2886075"/>
                                </a:xfrm>
                                <a:prstGeom prst="rect">
                                  <a:avLst/>
                                </a:prstGeom>
                                <a:noFill/>
                                <a:ln>
                                  <a:noFill/>
                                </a:ln>
                              </pic:spPr>
                            </pic:pic>
                          </a:graphicData>
                        </a:graphic>
                      </wp:inline>
                    </w:drawing>
                  </w:r>
                </w:p>
              </w:tc>
            </w:tr>
          </w:tbl>
          <w:p w:rsidR="00105402" w:rsidRDefault="00105402" w:rsidP="00105402">
            <w:pPr>
              <w:pStyle w:val="Figure"/>
            </w:pPr>
          </w:p>
        </w:tc>
      </w:tr>
      <w:tr w:rsidR="00105402" w:rsidRPr="00176D3F" w:rsidTr="003B0E34">
        <w:tc>
          <w:tcPr>
            <w:tcW w:w="8771" w:type="dxa"/>
            <w:tcBorders>
              <w:top w:val="nil"/>
              <w:left w:val="nil"/>
              <w:bottom w:val="nil"/>
              <w:right w:val="nil"/>
            </w:tcBorders>
            <w:shd w:val="clear" w:color="auto" w:fill="auto"/>
          </w:tcPr>
          <w:p w:rsidR="0031218C" w:rsidRPr="0031218C" w:rsidRDefault="00105402" w:rsidP="00D76D76">
            <w:pPr>
              <w:pStyle w:val="Note"/>
              <w:keepNext/>
            </w:pPr>
            <w:r>
              <w:rPr>
                <w:rStyle w:val="NoteLabel"/>
              </w:rPr>
              <w:t>a</w:t>
            </w:r>
            <w:r>
              <w:sym w:font="Symbol" w:char="F020"/>
            </w:r>
            <w:r>
              <w:t xml:space="preserve">The participation rate is the number of women aged 50–69 years resident in the jurisdiction who were screened during the reference period, divided by the estimated number of women aged 50–69 years resident in the jurisdiction midway through the reference </w:t>
            </w:r>
            <w:r w:rsidRPr="003109EE">
              <w:t>period.</w:t>
            </w:r>
            <w:r w:rsidR="00D76D76" w:rsidRPr="003109EE">
              <w:t xml:space="preserve"> Data may differ from data published elsewhere reporting participation rates by screening jurisdiction. </w:t>
            </w:r>
            <w:r w:rsidRPr="003109EE">
              <w:rPr>
                <w:rStyle w:val="NoteLabel"/>
              </w:rPr>
              <w:t>b</w:t>
            </w:r>
            <w:r w:rsidRPr="003109EE">
              <w:t xml:space="preserve"> </w:t>
            </w:r>
            <w:r w:rsidR="00522698" w:rsidRPr="003109EE">
              <w:t>The</w:t>
            </w:r>
            <w:r w:rsidR="00522698">
              <w:t xml:space="preserve"> estimated resident population (ERP) is computed as the average of the ERP in each calendar year of the reference period. </w:t>
            </w:r>
            <w:r w:rsidR="00522698" w:rsidRPr="00011082">
              <w:t>ERPs are revised to the ABS’ final 2011 Census rebased ERPs</w:t>
            </w:r>
            <w:r w:rsidR="00522698">
              <w:t xml:space="preserve"> and rates data may differ from previous reports. See Chapter 2 (table 2A.1</w:t>
            </w:r>
            <w:r w:rsidR="00522698" w:rsidRPr="00011082">
              <w:t>) for details.</w:t>
            </w:r>
            <w:r w:rsidR="00522698">
              <w:t xml:space="preserve"> </w:t>
            </w:r>
            <w:r w:rsidRPr="00C107E6">
              <w:rPr>
                <w:rStyle w:val="NoteLabel"/>
              </w:rPr>
              <w:t>c</w:t>
            </w:r>
            <w:r>
              <w:t xml:space="preserve"> </w:t>
            </w:r>
            <w:r w:rsidR="00522698">
              <w:t xml:space="preserve">Rates are standardised to the 2001 ERP. </w:t>
            </w:r>
            <w:r w:rsidRPr="00C107E6">
              <w:rPr>
                <w:rStyle w:val="NoteLabel"/>
              </w:rPr>
              <w:t>d</w:t>
            </w:r>
            <w:r>
              <w:t> </w:t>
            </w:r>
            <w:r w:rsidR="00522698">
              <w:t xml:space="preserve">In general, women resident in the jurisdiction represent </w:t>
            </w:r>
            <w:r w:rsidR="00522698" w:rsidRPr="003B0E34">
              <w:t xml:space="preserve">99 per cent or more of the women screened in each jurisdiction. For the ACT, 2.2 per cent of those screened in the 2012–2013 reference period were not ACT residents, a decrease from 7–9 per cent in preceding reference periods </w:t>
            </w:r>
            <w:r w:rsidR="00B707D4" w:rsidRPr="003B0E34">
              <w:t xml:space="preserve">associated with </w:t>
            </w:r>
            <w:r w:rsidR="00522698" w:rsidRPr="003B0E34">
              <w:t xml:space="preserve">changed arrangements between NSW and the ACT. </w:t>
            </w:r>
            <w:r w:rsidR="0031218C" w:rsidRPr="003B0E34">
              <w:rPr>
                <w:rStyle w:val="NoteLabel"/>
              </w:rPr>
              <w:t xml:space="preserve">e </w:t>
            </w:r>
            <w:r w:rsidR="0031218C" w:rsidRPr="003B0E34">
              <w:t xml:space="preserve">Reduced participation rates for SA in 2012–2013 are associated with a temporary reduction in total women screened during a review </w:t>
            </w:r>
            <w:r w:rsidR="002507A0" w:rsidRPr="003B0E34">
              <w:t>of the Digital Mammography System and implementation of both the review findings and a new client information system.</w:t>
            </w:r>
          </w:p>
        </w:tc>
      </w:tr>
      <w:tr w:rsidR="00105402" w:rsidRPr="00176D3F" w:rsidTr="00105402">
        <w:tc>
          <w:tcPr>
            <w:tcW w:w="8771" w:type="dxa"/>
            <w:tcBorders>
              <w:top w:val="nil"/>
              <w:left w:val="nil"/>
              <w:bottom w:val="nil"/>
              <w:right w:val="nil"/>
            </w:tcBorders>
            <w:shd w:val="clear" w:color="auto" w:fill="auto"/>
          </w:tcPr>
          <w:p w:rsidR="00105402" w:rsidRPr="00176D3F" w:rsidRDefault="00105402" w:rsidP="00F622DA">
            <w:pPr>
              <w:pStyle w:val="Source"/>
            </w:pPr>
            <w:r>
              <w:rPr>
                <w:i/>
              </w:rPr>
              <w:t>Source</w:t>
            </w:r>
            <w:r w:rsidRPr="00167F06">
              <w:t xml:space="preserve">: </w:t>
            </w:r>
            <w:r>
              <w:t xml:space="preserve">State and Territory governments (unpublished); </w:t>
            </w:r>
            <w:r w:rsidR="00133872" w:rsidRPr="00A73D31">
              <w:t>ABS</w:t>
            </w:r>
            <w:r w:rsidR="00133872">
              <w:t xml:space="preserve"> </w:t>
            </w:r>
            <w:r w:rsidR="00133872" w:rsidRPr="00A73D31">
              <w:t xml:space="preserve">(various years) </w:t>
            </w:r>
            <w:r w:rsidR="00133872" w:rsidRPr="00A73D31">
              <w:rPr>
                <w:i/>
              </w:rPr>
              <w:t>Population by Age and Sex, Australian States and Territories</w:t>
            </w:r>
            <w:r w:rsidR="00133872" w:rsidRPr="00A73D31">
              <w:t>, Cat. </w:t>
            </w:r>
            <w:r w:rsidR="00133872">
              <w:t>n</w:t>
            </w:r>
            <w:r w:rsidR="00133872" w:rsidRPr="00A73D31">
              <w:t>o. 3201.0</w:t>
            </w:r>
            <w:r>
              <w:t>; tables 10A.8</w:t>
            </w:r>
            <w:r w:rsidR="00F622DA">
              <w:t>5</w:t>
            </w:r>
            <w:r>
              <w:t>, 10A.8</w:t>
            </w:r>
            <w:r w:rsidR="00F622DA">
              <w:t>6</w:t>
            </w:r>
            <w:r>
              <w:t>.</w:t>
            </w:r>
          </w:p>
        </w:tc>
      </w:tr>
      <w:tr w:rsidR="00105402" w:rsidTr="00105402">
        <w:tc>
          <w:tcPr>
            <w:tcW w:w="8771" w:type="dxa"/>
            <w:tcBorders>
              <w:top w:val="nil"/>
              <w:left w:val="nil"/>
              <w:bottom w:val="single" w:sz="6" w:space="0" w:color="78A22F"/>
              <w:right w:val="nil"/>
            </w:tcBorders>
            <w:shd w:val="clear" w:color="auto" w:fill="auto"/>
          </w:tcPr>
          <w:p w:rsidR="00105402" w:rsidRDefault="00105402" w:rsidP="00105402">
            <w:pPr>
              <w:pStyle w:val="Figurespace"/>
            </w:pPr>
          </w:p>
        </w:tc>
      </w:tr>
      <w:tr w:rsidR="00105402" w:rsidRPr="000863A5" w:rsidTr="00105402">
        <w:tc>
          <w:tcPr>
            <w:tcW w:w="8771" w:type="dxa"/>
            <w:tcBorders>
              <w:top w:val="single" w:sz="6" w:space="0" w:color="78A22F"/>
              <w:left w:val="nil"/>
              <w:bottom w:val="nil"/>
              <w:right w:val="nil"/>
            </w:tcBorders>
          </w:tcPr>
          <w:p w:rsidR="00105402" w:rsidRPr="00626D32" w:rsidRDefault="00105402" w:rsidP="00105402">
            <w:pPr>
              <w:pStyle w:val="BoxSpaceBelow"/>
            </w:pPr>
          </w:p>
        </w:tc>
      </w:tr>
    </w:tbl>
    <w:p w:rsidR="00105402" w:rsidRDefault="00105402" w:rsidP="00105402">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909"/>
      </w:tblGrid>
      <w:tr w:rsidR="00105402" w:rsidTr="000A5518">
        <w:tc>
          <w:tcPr>
            <w:tcW w:w="8909" w:type="dxa"/>
            <w:tcBorders>
              <w:top w:val="single" w:sz="6" w:space="0" w:color="78A22F" w:themeColor="accent1"/>
              <w:left w:val="nil"/>
              <w:bottom w:val="nil"/>
              <w:right w:val="nil"/>
            </w:tcBorders>
            <w:shd w:val="clear" w:color="auto" w:fill="auto"/>
          </w:tcPr>
          <w:p w:rsidR="00105402" w:rsidRPr="00784A05" w:rsidRDefault="00105402" w:rsidP="00105402">
            <w:pPr>
              <w:pStyle w:val="TableTitle"/>
            </w:pPr>
            <w:r>
              <w:rPr>
                <w:b w:val="0"/>
              </w:rPr>
              <w:t>Table 10.</w:t>
            </w:r>
            <w:r w:rsidR="0078724D">
              <w:rPr>
                <w:b w:val="0"/>
                <w:noProof/>
              </w:rPr>
              <w:t>8</w:t>
            </w:r>
            <w:r>
              <w:tab/>
            </w:r>
            <w:r w:rsidRPr="00A21E61">
              <w:t xml:space="preserve">Age standardised participation rate </w:t>
            </w:r>
            <w:r>
              <w:t>for</w:t>
            </w:r>
            <w:r w:rsidRPr="00A21E61">
              <w:t xml:space="preserve"> women aged </w:t>
            </w:r>
            <w:r>
              <w:br/>
            </w:r>
            <w:r w:rsidRPr="00A21E61">
              <w:t>50–69 years from selected communities in BreastScreen Australia programs, 20</w:t>
            </w:r>
            <w:r>
              <w:t>12</w:t>
            </w:r>
            <w:r w:rsidRPr="00A21E61">
              <w:t xml:space="preserve"> </w:t>
            </w:r>
            <w:r>
              <w:t>and 2013 (24 month period) (per </w:t>
            </w:r>
            <w:r w:rsidRPr="00A21E61">
              <w:t>cent)</w:t>
            </w:r>
            <w:r w:rsidRPr="00A21E61">
              <w:rPr>
                <w:rStyle w:val="NoteLabel"/>
                <w:b/>
              </w:rPr>
              <w:t>a, b</w:t>
            </w:r>
            <w:r>
              <w:rPr>
                <w:rStyle w:val="NoteLabel"/>
                <w:b/>
              </w:rPr>
              <w:t>, c, d, e, f</w:t>
            </w:r>
          </w:p>
        </w:tc>
      </w:tr>
      <w:tr w:rsidR="00105402" w:rsidTr="008D5572">
        <w:trPr>
          <w:cantSplit/>
          <w:trHeight w:val="2055"/>
        </w:trPr>
        <w:tc>
          <w:tcPr>
            <w:tcW w:w="8909" w:type="dxa"/>
            <w:tcBorders>
              <w:top w:val="nil"/>
              <w:left w:val="nil"/>
              <w:bottom w:val="nil"/>
              <w:right w:val="nil"/>
            </w:tcBorders>
            <w:shd w:val="clear" w:color="auto" w:fill="auto"/>
          </w:tcPr>
          <w:tbl>
            <w:tblPr>
              <w:tblW w:w="8720" w:type="dxa"/>
              <w:tblLook w:val="04A0" w:firstRow="1" w:lastRow="0" w:firstColumn="1" w:lastColumn="0" w:noHBand="0" w:noVBand="1"/>
            </w:tblPr>
            <w:tblGrid>
              <w:gridCol w:w="1602"/>
              <w:gridCol w:w="790"/>
              <w:gridCol w:w="791"/>
              <w:gridCol w:w="791"/>
              <w:gridCol w:w="791"/>
              <w:gridCol w:w="791"/>
              <w:gridCol w:w="791"/>
              <w:gridCol w:w="791"/>
              <w:gridCol w:w="791"/>
              <w:gridCol w:w="791"/>
            </w:tblGrid>
            <w:tr w:rsidR="00105402" w:rsidTr="00814D2C">
              <w:trPr>
                <w:trHeight w:val="495"/>
              </w:trPr>
              <w:tc>
                <w:tcPr>
                  <w:tcW w:w="1602" w:type="dxa"/>
                  <w:tcBorders>
                    <w:top w:val="single" w:sz="8" w:space="0" w:color="BFBFBF"/>
                    <w:left w:val="nil"/>
                    <w:bottom w:val="single" w:sz="8" w:space="0" w:color="BFBFBF"/>
                    <w:right w:val="nil"/>
                  </w:tcBorders>
                  <w:shd w:val="clear" w:color="auto" w:fill="auto"/>
                  <w:tcMar>
                    <w:left w:w="0" w:type="dxa"/>
                    <w:right w:w="0" w:type="dxa"/>
                  </w:tcMar>
                  <w:vAlign w:val="center"/>
                  <w:hideMark/>
                </w:tcPr>
                <w:p w:rsidR="00105402" w:rsidRPr="00DB7079" w:rsidRDefault="00105402" w:rsidP="00C52D52">
                  <w:pPr>
                    <w:pStyle w:val="TableColumnHeading"/>
                  </w:pPr>
                  <w:r w:rsidRPr="00DB7079">
                    <w:t> </w:t>
                  </w:r>
                </w:p>
              </w:tc>
              <w:tc>
                <w:tcPr>
                  <w:tcW w:w="790" w:type="dxa"/>
                  <w:tcBorders>
                    <w:top w:val="single" w:sz="8" w:space="0" w:color="BFBFBF"/>
                    <w:left w:val="nil"/>
                    <w:bottom w:val="single" w:sz="8" w:space="0" w:color="BFBFBF"/>
                    <w:right w:val="nil"/>
                  </w:tcBorders>
                  <w:shd w:val="clear" w:color="auto" w:fill="auto"/>
                  <w:tcMar>
                    <w:left w:w="0" w:type="dxa"/>
                    <w:right w:w="0" w:type="dxa"/>
                  </w:tcMar>
                  <w:vAlign w:val="center"/>
                  <w:hideMark/>
                </w:tcPr>
                <w:p w:rsidR="00105402" w:rsidRDefault="00105402" w:rsidP="00C52D52">
                  <w:pPr>
                    <w:pStyle w:val="TableColumnHeading"/>
                    <w:rPr>
                      <w:iCs/>
                    </w:rPr>
                  </w:pPr>
                  <w:r>
                    <w:rPr>
                      <w:iCs/>
                    </w:rPr>
                    <w:t>NSW</w:t>
                  </w:r>
                </w:p>
              </w:tc>
              <w:tc>
                <w:tcPr>
                  <w:tcW w:w="791" w:type="dxa"/>
                  <w:tcBorders>
                    <w:top w:val="single" w:sz="8" w:space="0" w:color="BFBFBF"/>
                    <w:left w:val="nil"/>
                    <w:bottom w:val="single" w:sz="8" w:space="0" w:color="BFBFBF"/>
                    <w:right w:val="nil"/>
                  </w:tcBorders>
                  <w:shd w:val="clear" w:color="auto" w:fill="auto"/>
                  <w:tcMar>
                    <w:left w:w="0" w:type="dxa"/>
                    <w:right w:w="0" w:type="dxa"/>
                  </w:tcMar>
                  <w:vAlign w:val="center"/>
                  <w:hideMark/>
                </w:tcPr>
                <w:p w:rsidR="00105402" w:rsidRDefault="00105402" w:rsidP="00C52D52">
                  <w:pPr>
                    <w:pStyle w:val="TableColumnHeading"/>
                    <w:rPr>
                      <w:iCs/>
                    </w:rPr>
                  </w:pPr>
                  <w:r>
                    <w:rPr>
                      <w:iCs/>
                    </w:rPr>
                    <w:t>Vic</w:t>
                  </w:r>
                </w:p>
              </w:tc>
              <w:tc>
                <w:tcPr>
                  <w:tcW w:w="791" w:type="dxa"/>
                  <w:tcBorders>
                    <w:top w:val="single" w:sz="8" w:space="0" w:color="BFBFBF"/>
                    <w:left w:val="nil"/>
                    <w:bottom w:val="single" w:sz="8" w:space="0" w:color="BFBFBF"/>
                    <w:right w:val="nil"/>
                  </w:tcBorders>
                  <w:shd w:val="clear" w:color="auto" w:fill="auto"/>
                  <w:tcMar>
                    <w:left w:w="0" w:type="dxa"/>
                    <w:right w:w="0" w:type="dxa"/>
                  </w:tcMar>
                  <w:vAlign w:val="center"/>
                  <w:hideMark/>
                </w:tcPr>
                <w:p w:rsidR="00105402" w:rsidRDefault="00105402" w:rsidP="00C52D52">
                  <w:pPr>
                    <w:pStyle w:val="TableColumnHeading"/>
                    <w:rPr>
                      <w:iCs/>
                    </w:rPr>
                  </w:pPr>
                  <w:r>
                    <w:rPr>
                      <w:iCs/>
                    </w:rPr>
                    <w:t>Qld</w:t>
                  </w:r>
                </w:p>
              </w:tc>
              <w:tc>
                <w:tcPr>
                  <w:tcW w:w="791" w:type="dxa"/>
                  <w:tcBorders>
                    <w:top w:val="single" w:sz="8" w:space="0" w:color="BFBFBF"/>
                    <w:left w:val="nil"/>
                    <w:bottom w:val="single" w:sz="8" w:space="0" w:color="BFBFBF"/>
                    <w:right w:val="nil"/>
                  </w:tcBorders>
                  <w:shd w:val="clear" w:color="auto" w:fill="auto"/>
                  <w:tcMar>
                    <w:left w:w="0" w:type="dxa"/>
                    <w:right w:w="0" w:type="dxa"/>
                  </w:tcMar>
                  <w:vAlign w:val="center"/>
                  <w:hideMark/>
                </w:tcPr>
                <w:p w:rsidR="00105402" w:rsidRDefault="00105402" w:rsidP="00C52D52">
                  <w:pPr>
                    <w:pStyle w:val="TableColumnHeading"/>
                  </w:pPr>
                  <w:r>
                    <w:t>WA</w:t>
                  </w:r>
                </w:p>
              </w:tc>
              <w:tc>
                <w:tcPr>
                  <w:tcW w:w="791" w:type="dxa"/>
                  <w:tcBorders>
                    <w:top w:val="single" w:sz="8" w:space="0" w:color="BFBFBF"/>
                    <w:left w:val="nil"/>
                    <w:bottom w:val="single" w:sz="8" w:space="0" w:color="BFBFBF"/>
                    <w:right w:val="nil"/>
                  </w:tcBorders>
                  <w:shd w:val="clear" w:color="auto" w:fill="auto"/>
                  <w:tcMar>
                    <w:left w:w="0" w:type="dxa"/>
                    <w:right w:w="0" w:type="dxa"/>
                  </w:tcMar>
                  <w:vAlign w:val="center"/>
                  <w:hideMark/>
                </w:tcPr>
                <w:p w:rsidR="00105402" w:rsidRDefault="00105402" w:rsidP="00C52D52">
                  <w:pPr>
                    <w:pStyle w:val="TableColumnHeading"/>
                    <w:rPr>
                      <w:iCs/>
                    </w:rPr>
                  </w:pPr>
                  <w:r>
                    <w:rPr>
                      <w:iCs/>
                    </w:rPr>
                    <w:t>SA</w:t>
                  </w:r>
                </w:p>
              </w:tc>
              <w:tc>
                <w:tcPr>
                  <w:tcW w:w="791" w:type="dxa"/>
                  <w:tcBorders>
                    <w:top w:val="single" w:sz="8" w:space="0" w:color="BFBFBF"/>
                    <w:left w:val="nil"/>
                    <w:bottom w:val="single" w:sz="8" w:space="0" w:color="BFBFBF"/>
                    <w:right w:val="nil"/>
                  </w:tcBorders>
                  <w:shd w:val="clear" w:color="auto" w:fill="auto"/>
                  <w:tcMar>
                    <w:left w:w="0" w:type="dxa"/>
                    <w:right w:w="0" w:type="dxa"/>
                  </w:tcMar>
                  <w:vAlign w:val="center"/>
                  <w:hideMark/>
                </w:tcPr>
                <w:p w:rsidR="00105402" w:rsidRDefault="00105402" w:rsidP="00C52D52">
                  <w:pPr>
                    <w:pStyle w:val="TableColumnHeading"/>
                    <w:rPr>
                      <w:iCs/>
                    </w:rPr>
                  </w:pPr>
                  <w:r>
                    <w:rPr>
                      <w:iCs/>
                    </w:rPr>
                    <w:t>Tas</w:t>
                  </w:r>
                </w:p>
              </w:tc>
              <w:tc>
                <w:tcPr>
                  <w:tcW w:w="791" w:type="dxa"/>
                  <w:tcBorders>
                    <w:top w:val="single" w:sz="8" w:space="0" w:color="BFBFBF"/>
                    <w:left w:val="nil"/>
                    <w:bottom w:val="single" w:sz="8" w:space="0" w:color="BFBFBF"/>
                    <w:right w:val="nil"/>
                  </w:tcBorders>
                  <w:shd w:val="clear" w:color="auto" w:fill="auto"/>
                  <w:tcMar>
                    <w:left w:w="0" w:type="dxa"/>
                    <w:right w:w="0" w:type="dxa"/>
                  </w:tcMar>
                  <w:vAlign w:val="center"/>
                  <w:hideMark/>
                </w:tcPr>
                <w:p w:rsidR="00105402" w:rsidRDefault="00105402" w:rsidP="00C52D52">
                  <w:pPr>
                    <w:pStyle w:val="TableColumnHeading"/>
                    <w:rPr>
                      <w:iCs/>
                    </w:rPr>
                  </w:pPr>
                  <w:r>
                    <w:rPr>
                      <w:iCs/>
                    </w:rPr>
                    <w:t>ACT</w:t>
                  </w:r>
                  <w:r w:rsidRPr="00C52D52">
                    <w:rPr>
                      <w:b/>
                      <w:bCs/>
                      <w:i w:val="0"/>
                      <w:iCs/>
                      <w:sz w:val="20"/>
                      <w:vertAlign w:val="superscript"/>
                    </w:rPr>
                    <w:t>d</w:t>
                  </w:r>
                </w:p>
              </w:tc>
              <w:tc>
                <w:tcPr>
                  <w:tcW w:w="791" w:type="dxa"/>
                  <w:tcBorders>
                    <w:top w:val="single" w:sz="8" w:space="0" w:color="BFBFBF"/>
                    <w:left w:val="nil"/>
                    <w:bottom w:val="single" w:sz="8" w:space="0" w:color="BFBFBF"/>
                    <w:right w:val="nil"/>
                  </w:tcBorders>
                  <w:shd w:val="clear" w:color="auto" w:fill="auto"/>
                  <w:tcMar>
                    <w:left w:w="0" w:type="dxa"/>
                    <w:right w:w="0" w:type="dxa"/>
                  </w:tcMar>
                  <w:vAlign w:val="center"/>
                  <w:hideMark/>
                </w:tcPr>
                <w:p w:rsidR="00105402" w:rsidRDefault="00105402" w:rsidP="00C52D52">
                  <w:pPr>
                    <w:pStyle w:val="TableColumnHeading"/>
                    <w:rPr>
                      <w:iCs/>
                    </w:rPr>
                  </w:pPr>
                  <w:r>
                    <w:rPr>
                      <w:iCs/>
                    </w:rPr>
                    <w:t>NT</w:t>
                  </w:r>
                </w:p>
              </w:tc>
              <w:tc>
                <w:tcPr>
                  <w:tcW w:w="791" w:type="dxa"/>
                  <w:tcBorders>
                    <w:top w:val="single" w:sz="8" w:space="0" w:color="BFBFBF"/>
                    <w:left w:val="nil"/>
                    <w:bottom w:val="single" w:sz="8" w:space="0" w:color="BFBFBF"/>
                    <w:right w:val="nil"/>
                  </w:tcBorders>
                  <w:shd w:val="clear" w:color="auto" w:fill="auto"/>
                  <w:tcMar>
                    <w:left w:w="0" w:type="dxa"/>
                    <w:right w:w="0" w:type="dxa"/>
                  </w:tcMar>
                  <w:vAlign w:val="center"/>
                  <w:hideMark/>
                </w:tcPr>
                <w:p w:rsidR="00105402" w:rsidRDefault="00105402" w:rsidP="00C52D52">
                  <w:pPr>
                    <w:pStyle w:val="TableColumnHeading"/>
                    <w:rPr>
                      <w:iCs/>
                    </w:rPr>
                  </w:pPr>
                  <w:r>
                    <w:rPr>
                      <w:iCs/>
                    </w:rPr>
                    <w:t>Aust</w:t>
                  </w:r>
                </w:p>
              </w:tc>
            </w:tr>
            <w:tr w:rsidR="00597923" w:rsidTr="00597923">
              <w:trPr>
                <w:trHeight w:val="681"/>
              </w:trPr>
              <w:tc>
                <w:tcPr>
                  <w:tcW w:w="1602" w:type="dxa"/>
                  <w:tcBorders>
                    <w:top w:val="nil"/>
                    <w:left w:val="nil"/>
                    <w:bottom w:val="nil"/>
                    <w:right w:val="nil"/>
                  </w:tcBorders>
                  <w:shd w:val="clear" w:color="auto" w:fill="auto"/>
                  <w:tcMar>
                    <w:left w:w="0" w:type="dxa"/>
                    <w:right w:w="0" w:type="dxa"/>
                  </w:tcMar>
                  <w:vAlign w:val="bottom"/>
                  <w:hideMark/>
                </w:tcPr>
                <w:p w:rsidR="00597923" w:rsidRPr="00DB7079" w:rsidRDefault="00597923" w:rsidP="008D5572">
                  <w:pPr>
                    <w:spacing w:after="40" w:line="200" w:lineRule="atLeast"/>
                    <w:ind w:left="6" w:right="113"/>
                    <w:rPr>
                      <w:rFonts w:ascii="Arial" w:hAnsi="Arial" w:cs="Arial"/>
                      <w:sz w:val="18"/>
                      <w:szCs w:val="18"/>
                    </w:rPr>
                  </w:pPr>
                  <w:r w:rsidRPr="00DB7079">
                    <w:rPr>
                      <w:rFonts w:ascii="Arial" w:hAnsi="Arial" w:cs="Arial"/>
                      <w:sz w:val="18"/>
                      <w:szCs w:val="18"/>
                    </w:rPr>
                    <w:t>Aboriginal and Torres Strait</w:t>
                  </w:r>
                  <w:r>
                    <w:rPr>
                      <w:rFonts w:ascii="Arial" w:hAnsi="Arial" w:cs="Arial"/>
                      <w:sz w:val="18"/>
                      <w:szCs w:val="18"/>
                    </w:rPr>
                    <w:t xml:space="preserve"> </w:t>
                  </w:r>
                  <w:r w:rsidRPr="00DB7079">
                    <w:rPr>
                      <w:rFonts w:ascii="Arial" w:hAnsi="Arial" w:cs="Arial"/>
                      <w:sz w:val="18"/>
                      <w:szCs w:val="18"/>
                    </w:rPr>
                    <w:t>Islander women</w:t>
                  </w:r>
                  <w:r w:rsidRPr="00DB7079">
                    <w:rPr>
                      <w:rStyle w:val="NoteLabel"/>
                    </w:rPr>
                    <w:t>e</w:t>
                  </w:r>
                </w:p>
              </w:tc>
              <w:tc>
                <w:tcPr>
                  <w:tcW w:w="790" w:type="dxa"/>
                  <w:tcBorders>
                    <w:top w:val="nil"/>
                    <w:left w:val="nil"/>
                    <w:bottom w:val="nil"/>
                    <w:right w:val="nil"/>
                  </w:tcBorders>
                  <w:shd w:val="clear" w:color="auto" w:fill="auto"/>
                  <w:tcMar>
                    <w:left w:w="0" w:type="dxa"/>
                    <w:right w:w="0" w:type="dxa"/>
                  </w:tcMar>
                  <w:vAlign w:val="bottom"/>
                  <w:hideMark/>
                </w:tcPr>
                <w:p w:rsidR="00597923" w:rsidRPr="005163C4" w:rsidRDefault="00597923" w:rsidP="00597923">
                  <w:pPr>
                    <w:pStyle w:val="TableBodyText"/>
                  </w:pPr>
                  <w:r w:rsidRPr="005163C4">
                    <w:t xml:space="preserve">  31.3</w:t>
                  </w:r>
                </w:p>
              </w:tc>
              <w:tc>
                <w:tcPr>
                  <w:tcW w:w="791" w:type="dxa"/>
                  <w:tcBorders>
                    <w:top w:val="nil"/>
                    <w:left w:val="nil"/>
                    <w:bottom w:val="nil"/>
                    <w:right w:val="nil"/>
                  </w:tcBorders>
                  <w:shd w:val="clear" w:color="auto" w:fill="auto"/>
                  <w:tcMar>
                    <w:left w:w="0" w:type="dxa"/>
                    <w:right w:w="0" w:type="dxa"/>
                  </w:tcMar>
                  <w:vAlign w:val="bottom"/>
                  <w:hideMark/>
                </w:tcPr>
                <w:p w:rsidR="00597923" w:rsidRPr="005163C4" w:rsidRDefault="00597923" w:rsidP="00597923">
                  <w:pPr>
                    <w:pStyle w:val="TableBodyText"/>
                  </w:pPr>
                  <w:r w:rsidRPr="005163C4">
                    <w:t xml:space="preserve">  30.4</w:t>
                  </w:r>
                </w:p>
              </w:tc>
              <w:tc>
                <w:tcPr>
                  <w:tcW w:w="791" w:type="dxa"/>
                  <w:tcBorders>
                    <w:top w:val="nil"/>
                    <w:left w:val="nil"/>
                    <w:bottom w:val="nil"/>
                    <w:right w:val="nil"/>
                  </w:tcBorders>
                  <w:shd w:val="clear" w:color="auto" w:fill="auto"/>
                  <w:tcMar>
                    <w:left w:w="0" w:type="dxa"/>
                    <w:right w:w="0" w:type="dxa"/>
                  </w:tcMar>
                  <w:vAlign w:val="bottom"/>
                  <w:hideMark/>
                </w:tcPr>
                <w:p w:rsidR="00597923" w:rsidRPr="005163C4" w:rsidRDefault="00597923" w:rsidP="00597923">
                  <w:pPr>
                    <w:pStyle w:val="TableBodyText"/>
                  </w:pPr>
                  <w:r w:rsidRPr="005163C4">
                    <w:t xml:space="preserve">  45.0</w:t>
                  </w:r>
                </w:p>
              </w:tc>
              <w:tc>
                <w:tcPr>
                  <w:tcW w:w="791" w:type="dxa"/>
                  <w:tcBorders>
                    <w:top w:val="nil"/>
                    <w:left w:val="nil"/>
                    <w:bottom w:val="nil"/>
                    <w:right w:val="nil"/>
                  </w:tcBorders>
                  <w:shd w:val="clear" w:color="auto" w:fill="auto"/>
                  <w:tcMar>
                    <w:left w:w="0" w:type="dxa"/>
                    <w:right w:w="0" w:type="dxa"/>
                  </w:tcMar>
                  <w:vAlign w:val="bottom"/>
                  <w:hideMark/>
                </w:tcPr>
                <w:p w:rsidR="00597923" w:rsidRPr="005163C4" w:rsidRDefault="00597923" w:rsidP="00597923">
                  <w:pPr>
                    <w:pStyle w:val="TableBodyText"/>
                  </w:pPr>
                  <w:r w:rsidRPr="005163C4">
                    <w:t xml:space="preserve">  34.4</w:t>
                  </w:r>
                </w:p>
              </w:tc>
              <w:tc>
                <w:tcPr>
                  <w:tcW w:w="791" w:type="dxa"/>
                  <w:tcBorders>
                    <w:top w:val="nil"/>
                    <w:left w:val="nil"/>
                    <w:bottom w:val="nil"/>
                    <w:right w:val="nil"/>
                  </w:tcBorders>
                  <w:shd w:val="clear" w:color="auto" w:fill="auto"/>
                  <w:tcMar>
                    <w:left w:w="0" w:type="dxa"/>
                    <w:right w:w="0" w:type="dxa"/>
                  </w:tcMar>
                  <w:vAlign w:val="bottom"/>
                  <w:hideMark/>
                </w:tcPr>
                <w:p w:rsidR="00597923" w:rsidRPr="005163C4" w:rsidRDefault="00597923" w:rsidP="00597923">
                  <w:pPr>
                    <w:pStyle w:val="TableBodyText"/>
                  </w:pPr>
                  <w:r w:rsidRPr="005163C4">
                    <w:t xml:space="preserve">  27.4</w:t>
                  </w:r>
                </w:p>
              </w:tc>
              <w:tc>
                <w:tcPr>
                  <w:tcW w:w="791" w:type="dxa"/>
                  <w:tcBorders>
                    <w:top w:val="nil"/>
                    <w:left w:val="nil"/>
                    <w:bottom w:val="nil"/>
                    <w:right w:val="nil"/>
                  </w:tcBorders>
                  <w:shd w:val="clear" w:color="auto" w:fill="auto"/>
                  <w:tcMar>
                    <w:left w:w="0" w:type="dxa"/>
                    <w:right w:w="0" w:type="dxa"/>
                  </w:tcMar>
                  <w:vAlign w:val="bottom"/>
                  <w:hideMark/>
                </w:tcPr>
                <w:p w:rsidR="00597923" w:rsidRPr="005163C4" w:rsidRDefault="00597923" w:rsidP="00597923">
                  <w:pPr>
                    <w:pStyle w:val="TableBodyText"/>
                  </w:pPr>
                  <w:r w:rsidRPr="005163C4">
                    <w:t xml:space="preserve">  28.8</w:t>
                  </w:r>
                </w:p>
              </w:tc>
              <w:tc>
                <w:tcPr>
                  <w:tcW w:w="791" w:type="dxa"/>
                  <w:tcBorders>
                    <w:top w:val="nil"/>
                    <w:left w:val="nil"/>
                    <w:bottom w:val="nil"/>
                    <w:right w:val="nil"/>
                  </w:tcBorders>
                  <w:shd w:val="clear" w:color="auto" w:fill="auto"/>
                  <w:tcMar>
                    <w:left w:w="0" w:type="dxa"/>
                    <w:right w:w="0" w:type="dxa"/>
                  </w:tcMar>
                  <w:vAlign w:val="bottom"/>
                  <w:hideMark/>
                </w:tcPr>
                <w:p w:rsidR="00597923" w:rsidRPr="005163C4" w:rsidRDefault="00597923" w:rsidP="00597923">
                  <w:pPr>
                    <w:pStyle w:val="TableBodyText"/>
                  </w:pPr>
                  <w:r w:rsidRPr="005163C4">
                    <w:t xml:space="preserve">  28.2</w:t>
                  </w:r>
                </w:p>
              </w:tc>
              <w:tc>
                <w:tcPr>
                  <w:tcW w:w="791" w:type="dxa"/>
                  <w:tcBorders>
                    <w:top w:val="nil"/>
                    <w:left w:val="nil"/>
                    <w:bottom w:val="nil"/>
                    <w:right w:val="nil"/>
                  </w:tcBorders>
                  <w:shd w:val="clear" w:color="auto" w:fill="auto"/>
                  <w:tcMar>
                    <w:left w:w="0" w:type="dxa"/>
                    <w:right w:w="0" w:type="dxa"/>
                  </w:tcMar>
                  <w:vAlign w:val="bottom"/>
                  <w:hideMark/>
                </w:tcPr>
                <w:p w:rsidR="00597923" w:rsidRPr="005163C4" w:rsidRDefault="00597923" w:rsidP="00597923">
                  <w:pPr>
                    <w:pStyle w:val="TableBodyText"/>
                  </w:pPr>
                  <w:r w:rsidRPr="005163C4">
                    <w:t xml:space="preserve">  28.8</w:t>
                  </w:r>
                </w:p>
              </w:tc>
              <w:tc>
                <w:tcPr>
                  <w:tcW w:w="791" w:type="dxa"/>
                  <w:tcBorders>
                    <w:top w:val="nil"/>
                    <w:left w:val="nil"/>
                    <w:bottom w:val="nil"/>
                    <w:right w:val="nil"/>
                  </w:tcBorders>
                  <w:shd w:val="clear" w:color="auto" w:fill="auto"/>
                  <w:tcMar>
                    <w:left w:w="0" w:type="dxa"/>
                    <w:right w:w="0" w:type="dxa"/>
                  </w:tcMar>
                  <w:vAlign w:val="bottom"/>
                  <w:hideMark/>
                </w:tcPr>
                <w:p w:rsidR="00597923" w:rsidRDefault="00597923" w:rsidP="00597923">
                  <w:pPr>
                    <w:pStyle w:val="TableBodyText"/>
                  </w:pPr>
                  <w:r w:rsidRPr="005163C4">
                    <w:t xml:space="preserve">  35.1</w:t>
                  </w:r>
                </w:p>
              </w:tc>
            </w:tr>
            <w:tr w:rsidR="00105402" w:rsidTr="008D5572">
              <w:trPr>
                <w:trHeight w:val="255"/>
              </w:trPr>
              <w:tc>
                <w:tcPr>
                  <w:tcW w:w="1602" w:type="dxa"/>
                  <w:tcBorders>
                    <w:top w:val="nil"/>
                    <w:left w:val="nil"/>
                    <w:bottom w:val="nil"/>
                    <w:right w:val="nil"/>
                  </w:tcBorders>
                  <w:shd w:val="clear" w:color="auto" w:fill="auto"/>
                  <w:tcMar>
                    <w:left w:w="0" w:type="dxa"/>
                    <w:right w:w="0" w:type="dxa"/>
                  </w:tcMar>
                  <w:vAlign w:val="bottom"/>
                  <w:hideMark/>
                </w:tcPr>
                <w:p w:rsidR="00105402" w:rsidRPr="00DB7079" w:rsidRDefault="00105402" w:rsidP="008D5572">
                  <w:pPr>
                    <w:spacing w:after="40" w:line="200" w:lineRule="atLeast"/>
                    <w:ind w:left="6" w:right="113"/>
                    <w:rPr>
                      <w:rFonts w:ascii="Arial" w:hAnsi="Arial" w:cs="Arial"/>
                      <w:sz w:val="18"/>
                      <w:szCs w:val="18"/>
                    </w:rPr>
                  </w:pPr>
                  <w:r w:rsidRPr="00DB7079">
                    <w:rPr>
                      <w:rFonts w:ascii="Arial" w:hAnsi="Arial" w:cs="Arial"/>
                      <w:sz w:val="18"/>
                      <w:szCs w:val="18"/>
                    </w:rPr>
                    <w:t>NESB</w:t>
                  </w:r>
                  <w:r w:rsidRPr="00DB7079">
                    <w:rPr>
                      <w:rStyle w:val="NoteLabel"/>
                    </w:rPr>
                    <w:t>f</w:t>
                  </w:r>
                </w:p>
              </w:tc>
              <w:tc>
                <w:tcPr>
                  <w:tcW w:w="790" w:type="dxa"/>
                  <w:tcBorders>
                    <w:top w:val="nil"/>
                    <w:left w:val="nil"/>
                    <w:bottom w:val="nil"/>
                    <w:right w:val="nil"/>
                  </w:tcBorders>
                  <w:shd w:val="clear" w:color="auto" w:fill="auto"/>
                  <w:tcMar>
                    <w:left w:w="0" w:type="dxa"/>
                    <w:right w:w="0" w:type="dxa"/>
                  </w:tcMar>
                  <w:vAlign w:val="bottom"/>
                  <w:hideMark/>
                </w:tcPr>
                <w:p w:rsidR="00105402" w:rsidRPr="00814D2C" w:rsidRDefault="00105402" w:rsidP="008D5572">
                  <w:pPr>
                    <w:pStyle w:val="TableBodyText"/>
                  </w:pPr>
                  <w:r w:rsidRPr="00814D2C">
                    <w:t>48.0</w:t>
                  </w:r>
                </w:p>
              </w:tc>
              <w:tc>
                <w:tcPr>
                  <w:tcW w:w="791" w:type="dxa"/>
                  <w:tcBorders>
                    <w:top w:val="nil"/>
                    <w:left w:val="nil"/>
                    <w:bottom w:val="nil"/>
                    <w:right w:val="nil"/>
                  </w:tcBorders>
                  <w:shd w:val="clear" w:color="auto" w:fill="auto"/>
                  <w:tcMar>
                    <w:left w:w="0" w:type="dxa"/>
                    <w:right w:w="0" w:type="dxa"/>
                  </w:tcMar>
                  <w:vAlign w:val="bottom"/>
                  <w:hideMark/>
                </w:tcPr>
                <w:p w:rsidR="00105402" w:rsidRPr="00814D2C" w:rsidRDefault="00105402" w:rsidP="008D5572">
                  <w:pPr>
                    <w:pStyle w:val="TableBodyText"/>
                  </w:pPr>
                  <w:r w:rsidRPr="00814D2C">
                    <w:t>52.2</w:t>
                  </w:r>
                </w:p>
              </w:tc>
              <w:tc>
                <w:tcPr>
                  <w:tcW w:w="791" w:type="dxa"/>
                  <w:tcBorders>
                    <w:top w:val="nil"/>
                    <w:left w:val="nil"/>
                    <w:bottom w:val="nil"/>
                    <w:right w:val="nil"/>
                  </w:tcBorders>
                  <w:shd w:val="clear" w:color="auto" w:fill="auto"/>
                  <w:tcMar>
                    <w:left w:w="0" w:type="dxa"/>
                    <w:right w:w="0" w:type="dxa"/>
                  </w:tcMar>
                  <w:vAlign w:val="bottom"/>
                  <w:hideMark/>
                </w:tcPr>
                <w:p w:rsidR="00105402" w:rsidRPr="00814D2C" w:rsidRDefault="00105402" w:rsidP="008D5572">
                  <w:pPr>
                    <w:pStyle w:val="TableBodyText"/>
                  </w:pPr>
                  <w:r w:rsidRPr="00814D2C">
                    <w:t>62.8</w:t>
                  </w:r>
                </w:p>
              </w:tc>
              <w:tc>
                <w:tcPr>
                  <w:tcW w:w="791" w:type="dxa"/>
                  <w:tcBorders>
                    <w:top w:val="nil"/>
                    <w:left w:val="nil"/>
                    <w:bottom w:val="nil"/>
                    <w:right w:val="nil"/>
                  </w:tcBorders>
                  <w:shd w:val="clear" w:color="auto" w:fill="auto"/>
                  <w:tcMar>
                    <w:left w:w="0" w:type="dxa"/>
                    <w:right w:w="0" w:type="dxa"/>
                  </w:tcMar>
                  <w:vAlign w:val="bottom"/>
                  <w:hideMark/>
                </w:tcPr>
                <w:p w:rsidR="00105402" w:rsidRPr="00814D2C" w:rsidRDefault="00105402" w:rsidP="008D5572">
                  <w:pPr>
                    <w:pStyle w:val="TableBodyText"/>
                  </w:pPr>
                  <w:r w:rsidRPr="00814D2C">
                    <w:t>63.3</w:t>
                  </w:r>
                </w:p>
              </w:tc>
              <w:tc>
                <w:tcPr>
                  <w:tcW w:w="791" w:type="dxa"/>
                  <w:tcBorders>
                    <w:top w:val="nil"/>
                    <w:left w:val="nil"/>
                    <w:bottom w:val="nil"/>
                    <w:right w:val="nil"/>
                  </w:tcBorders>
                  <w:shd w:val="clear" w:color="auto" w:fill="auto"/>
                  <w:tcMar>
                    <w:left w:w="0" w:type="dxa"/>
                    <w:right w:w="0" w:type="dxa"/>
                  </w:tcMar>
                  <w:vAlign w:val="bottom"/>
                  <w:hideMark/>
                </w:tcPr>
                <w:p w:rsidR="00105402" w:rsidRPr="00814D2C" w:rsidRDefault="00105402" w:rsidP="008D5572">
                  <w:pPr>
                    <w:pStyle w:val="TableBodyText"/>
                  </w:pPr>
                  <w:r w:rsidRPr="00814D2C">
                    <w:t>46.1</w:t>
                  </w:r>
                </w:p>
              </w:tc>
              <w:tc>
                <w:tcPr>
                  <w:tcW w:w="791" w:type="dxa"/>
                  <w:tcBorders>
                    <w:top w:val="nil"/>
                    <w:left w:val="nil"/>
                    <w:bottom w:val="nil"/>
                    <w:right w:val="nil"/>
                  </w:tcBorders>
                  <w:shd w:val="clear" w:color="auto" w:fill="auto"/>
                  <w:tcMar>
                    <w:left w:w="0" w:type="dxa"/>
                    <w:right w:w="0" w:type="dxa"/>
                  </w:tcMar>
                  <w:vAlign w:val="bottom"/>
                  <w:hideMark/>
                </w:tcPr>
                <w:p w:rsidR="00105402" w:rsidRPr="00814D2C" w:rsidRDefault="00105402" w:rsidP="008D5572">
                  <w:pPr>
                    <w:pStyle w:val="TableBodyText"/>
                  </w:pPr>
                  <w:r w:rsidRPr="00814D2C">
                    <w:t xml:space="preserve">  46.2</w:t>
                  </w:r>
                </w:p>
              </w:tc>
              <w:tc>
                <w:tcPr>
                  <w:tcW w:w="791" w:type="dxa"/>
                  <w:tcBorders>
                    <w:top w:val="nil"/>
                    <w:left w:val="nil"/>
                    <w:bottom w:val="nil"/>
                    <w:right w:val="nil"/>
                  </w:tcBorders>
                  <w:shd w:val="clear" w:color="auto" w:fill="auto"/>
                  <w:tcMar>
                    <w:left w:w="0" w:type="dxa"/>
                    <w:right w:w="0" w:type="dxa"/>
                  </w:tcMar>
                  <w:vAlign w:val="bottom"/>
                  <w:hideMark/>
                </w:tcPr>
                <w:p w:rsidR="00105402" w:rsidRPr="00814D2C" w:rsidRDefault="00105402" w:rsidP="008D5572">
                  <w:pPr>
                    <w:pStyle w:val="TableBodyText"/>
                  </w:pPr>
                  <w:r w:rsidRPr="00814D2C">
                    <w:t xml:space="preserve">  25.7</w:t>
                  </w:r>
                </w:p>
              </w:tc>
              <w:tc>
                <w:tcPr>
                  <w:tcW w:w="791" w:type="dxa"/>
                  <w:tcBorders>
                    <w:top w:val="nil"/>
                    <w:left w:val="nil"/>
                    <w:bottom w:val="nil"/>
                    <w:right w:val="nil"/>
                  </w:tcBorders>
                  <w:shd w:val="clear" w:color="auto" w:fill="auto"/>
                  <w:tcMar>
                    <w:left w:w="0" w:type="dxa"/>
                    <w:right w:w="0" w:type="dxa"/>
                  </w:tcMar>
                  <w:vAlign w:val="bottom"/>
                  <w:hideMark/>
                </w:tcPr>
                <w:p w:rsidR="00105402" w:rsidRPr="00814D2C" w:rsidRDefault="00105402" w:rsidP="008D5572">
                  <w:pPr>
                    <w:pStyle w:val="TableBodyText"/>
                  </w:pPr>
                  <w:r w:rsidRPr="00814D2C">
                    <w:t xml:space="preserve">  39.6</w:t>
                  </w:r>
                </w:p>
              </w:tc>
              <w:tc>
                <w:tcPr>
                  <w:tcW w:w="791" w:type="dxa"/>
                  <w:tcBorders>
                    <w:top w:val="nil"/>
                    <w:left w:val="nil"/>
                    <w:bottom w:val="nil"/>
                    <w:right w:val="nil"/>
                  </w:tcBorders>
                  <w:shd w:val="clear" w:color="auto" w:fill="auto"/>
                  <w:tcMar>
                    <w:left w:w="0" w:type="dxa"/>
                    <w:right w:w="0" w:type="dxa"/>
                  </w:tcMar>
                  <w:vAlign w:val="bottom"/>
                  <w:hideMark/>
                </w:tcPr>
                <w:p w:rsidR="00105402" w:rsidRPr="00814D2C" w:rsidRDefault="00105402" w:rsidP="008D5572">
                  <w:pPr>
                    <w:pStyle w:val="TableBodyText"/>
                  </w:pPr>
                  <w:r w:rsidRPr="00814D2C">
                    <w:t xml:space="preserve">  51.4</w:t>
                  </w:r>
                </w:p>
              </w:tc>
            </w:tr>
            <w:tr w:rsidR="00105402" w:rsidTr="008D5572">
              <w:trPr>
                <w:trHeight w:val="504"/>
              </w:trPr>
              <w:tc>
                <w:tcPr>
                  <w:tcW w:w="1602" w:type="dxa"/>
                  <w:tcBorders>
                    <w:top w:val="nil"/>
                    <w:left w:val="nil"/>
                    <w:bottom w:val="single" w:sz="8" w:space="0" w:color="BFBFBF"/>
                    <w:right w:val="nil"/>
                  </w:tcBorders>
                  <w:shd w:val="clear" w:color="auto" w:fill="auto"/>
                  <w:tcMar>
                    <w:left w:w="0" w:type="dxa"/>
                    <w:right w:w="0" w:type="dxa"/>
                  </w:tcMar>
                  <w:vAlign w:val="bottom"/>
                  <w:hideMark/>
                </w:tcPr>
                <w:p w:rsidR="00105402" w:rsidRPr="00DB7079" w:rsidRDefault="00105402" w:rsidP="008D5572">
                  <w:pPr>
                    <w:spacing w:after="40" w:line="200" w:lineRule="atLeast"/>
                    <w:ind w:left="6" w:right="113"/>
                    <w:rPr>
                      <w:rFonts w:ascii="Arial" w:hAnsi="Arial" w:cs="Arial"/>
                      <w:sz w:val="18"/>
                      <w:szCs w:val="18"/>
                    </w:rPr>
                  </w:pPr>
                  <w:r w:rsidRPr="00DB7079">
                    <w:rPr>
                      <w:rFonts w:ascii="Arial" w:hAnsi="Arial" w:cs="Arial"/>
                      <w:sz w:val="18"/>
                      <w:szCs w:val="18"/>
                    </w:rPr>
                    <w:t>All women aged 50–69 years</w:t>
                  </w:r>
                </w:p>
              </w:tc>
              <w:tc>
                <w:tcPr>
                  <w:tcW w:w="790" w:type="dxa"/>
                  <w:tcBorders>
                    <w:top w:val="nil"/>
                    <w:left w:val="nil"/>
                    <w:bottom w:val="single" w:sz="8" w:space="0" w:color="BFBFBF"/>
                    <w:right w:val="nil"/>
                  </w:tcBorders>
                  <w:shd w:val="clear" w:color="auto" w:fill="auto"/>
                  <w:tcMar>
                    <w:left w:w="0" w:type="dxa"/>
                    <w:right w:w="0" w:type="dxa"/>
                  </w:tcMar>
                  <w:vAlign w:val="bottom"/>
                  <w:hideMark/>
                </w:tcPr>
                <w:p w:rsidR="00105402" w:rsidRPr="00814D2C" w:rsidRDefault="00105402" w:rsidP="008D5572">
                  <w:pPr>
                    <w:pStyle w:val="TableBodyText"/>
                  </w:pPr>
                  <w:r w:rsidRPr="00814D2C">
                    <w:t>50.9</w:t>
                  </w:r>
                </w:p>
              </w:tc>
              <w:tc>
                <w:tcPr>
                  <w:tcW w:w="791" w:type="dxa"/>
                  <w:tcBorders>
                    <w:top w:val="nil"/>
                    <w:left w:val="nil"/>
                    <w:bottom w:val="single" w:sz="8" w:space="0" w:color="BFBFBF"/>
                    <w:right w:val="nil"/>
                  </w:tcBorders>
                  <w:shd w:val="clear" w:color="auto" w:fill="auto"/>
                  <w:tcMar>
                    <w:left w:w="0" w:type="dxa"/>
                    <w:right w:w="0" w:type="dxa"/>
                  </w:tcMar>
                  <w:vAlign w:val="bottom"/>
                  <w:hideMark/>
                </w:tcPr>
                <w:p w:rsidR="00105402" w:rsidRPr="00814D2C" w:rsidRDefault="00105402" w:rsidP="008D5572">
                  <w:pPr>
                    <w:pStyle w:val="TableBodyText"/>
                  </w:pPr>
                  <w:r w:rsidRPr="00814D2C">
                    <w:t>54.6</w:t>
                  </w:r>
                </w:p>
              </w:tc>
              <w:tc>
                <w:tcPr>
                  <w:tcW w:w="791" w:type="dxa"/>
                  <w:tcBorders>
                    <w:top w:val="nil"/>
                    <w:left w:val="nil"/>
                    <w:bottom w:val="single" w:sz="8" w:space="0" w:color="BFBFBF"/>
                    <w:right w:val="nil"/>
                  </w:tcBorders>
                  <w:shd w:val="clear" w:color="auto" w:fill="auto"/>
                  <w:tcMar>
                    <w:left w:w="0" w:type="dxa"/>
                    <w:right w:w="0" w:type="dxa"/>
                  </w:tcMar>
                  <w:vAlign w:val="bottom"/>
                  <w:hideMark/>
                </w:tcPr>
                <w:p w:rsidR="00105402" w:rsidRPr="00814D2C" w:rsidRDefault="00105402" w:rsidP="008D5572">
                  <w:pPr>
                    <w:pStyle w:val="TableBodyText"/>
                  </w:pPr>
                  <w:r w:rsidRPr="00814D2C">
                    <w:t>57.3</w:t>
                  </w:r>
                </w:p>
              </w:tc>
              <w:tc>
                <w:tcPr>
                  <w:tcW w:w="791" w:type="dxa"/>
                  <w:tcBorders>
                    <w:top w:val="nil"/>
                    <w:left w:val="nil"/>
                    <w:bottom w:val="single" w:sz="8" w:space="0" w:color="BFBFBF"/>
                    <w:right w:val="nil"/>
                  </w:tcBorders>
                  <w:shd w:val="clear" w:color="auto" w:fill="auto"/>
                  <w:tcMar>
                    <w:left w:w="0" w:type="dxa"/>
                    <w:right w:w="0" w:type="dxa"/>
                  </w:tcMar>
                  <w:vAlign w:val="bottom"/>
                  <w:hideMark/>
                </w:tcPr>
                <w:p w:rsidR="00105402" w:rsidRPr="00814D2C" w:rsidRDefault="00105402" w:rsidP="008D5572">
                  <w:pPr>
                    <w:pStyle w:val="TableBodyText"/>
                  </w:pPr>
                  <w:r w:rsidRPr="00814D2C">
                    <w:t>56.8</w:t>
                  </w:r>
                </w:p>
              </w:tc>
              <w:tc>
                <w:tcPr>
                  <w:tcW w:w="791" w:type="dxa"/>
                  <w:tcBorders>
                    <w:top w:val="nil"/>
                    <w:left w:val="nil"/>
                    <w:bottom w:val="single" w:sz="8" w:space="0" w:color="BFBFBF"/>
                    <w:right w:val="nil"/>
                  </w:tcBorders>
                  <w:shd w:val="clear" w:color="auto" w:fill="auto"/>
                  <w:tcMar>
                    <w:left w:w="0" w:type="dxa"/>
                    <w:right w:w="0" w:type="dxa"/>
                  </w:tcMar>
                  <w:vAlign w:val="bottom"/>
                  <w:hideMark/>
                </w:tcPr>
                <w:p w:rsidR="00105402" w:rsidRPr="00814D2C" w:rsidRDefault="00105402" w:rsidP="008D5572">
                  <w:pPr>
                    <w:pStyle w:val="TableBodyText"/>
                  </w:pPr>
                  <w:r w:rsidRPr="00814D2C">
                    <w:t>53.0</w:t>
                  </w:r>
                </w:p>
              </w:tc>
              <w:tc>
                <w:tcPr>
                  <w:tcW w:w="791" w:type="dxa"/>
                  <w:tcBorders>
                    <w:top w:val="nil"/>
                    <w:left w:val="nil"/>
                    <w:bottom w:val="single" w:sz="8" w:space="0" w:color="BFBFBF"/>
                    <w:right w:val="nil"/>
                  </w:tcBorders>
                  <w:shd w:val="clear" w:color="auto" w:fill="auto"/>
                  <w:tcMar>
                    <w:left w:w="0" w:type="dxa"/>
                    <w:right w:w="0" w:type="dxa"/>
                  </w:tcMar>
                  <w:vAlign w:val="bottom"/>
                  <w:hideMark/>
                </w:tcPr>
                <w:p w:rsidR="00105402" w:rsidRPr="00814D2C" w:rsidRDefault="00105402" w:rsidP="008D5572">
                  <w:pPr>
                    <w:pStyle w:val="TableBodyText"/>
                  </w:pPr>
                  <w:r w:rsidRPr="00814D2C">
                    <w:t>57.8</w:t>
                  </w:r>
                </w:p>
              </w:tc>
              <w:tc>
                <w:tcPr>
                  <w:tcW w:w="791" w:type="dxa"/>
                  <w:tcBorders>
                    <w:top w:val="nil"/>
                    <w:left w:val="nil"/>
                    <w:bottom w:val="single" w:sz="8" w:space="0" w:color="BFBFBF"/>
                    <w:right w:val="nil"/>
                  </w:tcBorders>
                  <w:shd w:val="clear" w:color="auto" w:fill="auto"/>
                  <w:tcMar>
                    <w:left w:w="0" w:type="dxa"/>
                    <w:right w:w="0" w:type="dxa"/>
                  </w:tcMar>
                  <w:vAlign w:val="bottom"/>
                  <w:hideMark/>
                </w:tcPr>
                <w:p w:rsidR="00105402" w:rsidRPr="00814D2C" w:rsidRDefault="00105402" w:rsidP="008D5572">
                  <w:pPr>
                    <w:pStyle w:val="TableBodyText"/>
                  </w:pPr>
                  <w:r w:rsidRPr="00814D2C">
                    <w:t>54.4</w:t>
                  </w:r>
                </w:p>
              </w:tc>
              <w:tc>
                <w:tcPr>
                  <w:tcW w:w="791" w:type="dxa"/>
                  <w:tcBorders>
                    <w:top w:val="nil"/>
                    <w:left w:val="nil"/>
                    <w:bottom w:val="single" w:sz="8" w:space="0" w:color="BFBFBF"/>
                    <w:right w:val="nil"/>
                  </w:tcBorders>
                  <w:shd w:val="clear" w:color="auto" w:fill="auto"/>
                  <w:tcMar>
                    <w:left w:w="0" w:type="dxa"/>
                    <w:right w:w="0" w:type="dxa"/>
                  </w:tcMar>
                  <w:vAlign w:val="bottom"/>
                  <w:hideMark/>
                </w:tcPr>
                <w:p w:rsidR="00105402" w:rsidRPr="00814D2C" w:rsidRDefault="00105402" w:rsidP="008D5572">
                  <w:pPr>
                    <w:pStyle w:val="TableBodyText"/>
                  </w:pPr>
                  <w:r w:rsidRPr="00814D2C">
                    <w:t>41</w:t>
                  </w:r>
                  <w:r w:rsidR="003F4519">
                    <w:t>.0</w:t>
                  </w:r>
                </w:p>
              </w:tc>
              <w:tc>
                <w:tcPr>
                  <w:tcW w:w="791" w:type="dxa"/>
                  <w:tcBorders>
                    <w:top w:val="nil"/>
                    <w:left w:val="nil"/>
                    <w:bottom w:val="single" w:sz="8" w:space="0" w:color="BFBFBF"/>
                    <w:right w:val="nil"/>
                  </w:tcBorders>
                  <w:shd w:val="clear" w:color="auto" w:fill="auto"/>
                  <w:tcMar>
                    <w:left w:w="0" w:type="dxa"/>
                    <w:right w:w="0" w:type="dxa"/>
                  </w:tcMar>
                  <w:vAlign w:val="bottom"/>
                  <w:hideMark/>
                </w:tcPr>
                <w:p w:rsidR="00105402" w:rsidRPr="00814D2C" w:rsidRDefault="00105402" w:rsidP="008D5572">
                  <w:pPr>
                    <w:pStyle w:val="TableBodyText"/>
                  </w:pPr>
                  <w:r w:rsidRPr="00814D2C">
                    <w:t>54.3</w:t>
                  </w:r>
                </w:p>
              </w:tc>
            </w:tr>
          </w:tbl>
          <w:p w:rsidR="00105402" w:rsidRDefault="00105402" w:rsidP="00105402">
            <w:pPr>
              <w:pStyle w:val="Box"/>
            </w:pPr>
          </w:p>
        </w:tc>
      </w:tr>
      <w:tr w:rsidR="00105402" w:rsidTr="000A5518">
        <w:trPr>
          <w:cantSplit/>
        </w:trPr>
        <w:tc>
          <w:tcPr>
            <w:tcW w:w="8909" w:type="dxa"/>
            <w:tcBorders>
              <w:top w:val="nil"/>
              <w:left w:val="nil"/>
              <w:bottom w:val="nil"/>
              <w:right w:val="nil"/>
            </w:tcBorders>
            <w:shd w:val="clear" w:color="auto" w:fill="auto"/>
          </w:tcPr>
          <w:p w:rsidR="00105402" w:rsidRPr="003019F8" w:rsidRDefault="00105402" w:rsidP="00105402">
            <w:pPr>
              <w:pStyle w:val="Note"/>
            </w:pPr>
            <w:r w:rsidRPr="00A21E61">
              <w:rPr>
                <w:rStyle w:val="NoteLabel"/>
              </w:rPr>
              <w:t>a</w:t>
            </w:r>
            <w:r>
              <w:rPr>
                <w:rFonts w:cs="Arial"/>
              </w:rPr>
              <w:t xml:space="preserve"> </w:t>
            </w:r>
            <w:r w:rsidRPr="00A21E61">
              <w:t xml:space="preserve">First and subsequent rounds. </w:t>
            </w:r>
            <w:r w:rsidRPr="00A21E61">
              <w:rPr>
                <w:rStyle w:val="NoteLabel"/>
              </w:rPr>
              <w:t>b</w:t>
            </w:r>
            <w:r w:rsidRPr="00A21E61">
              <w:t xml:space="preserve"> Rates are standardised to the Australian population</w:t>
            </w:r>
            <w:r>
              <w:t xml:space="preserve"> at 30 June 2001</w:t>
            </w:r>
            <w:r w:rsidRPr="00A21E61">
              <w:t>.</w:t>
            </w:r>
            <w:r w:rsidRPr="00A21E61">
              <w:rPr>
                <w:rStyle w:val="NoteLabel"/>
              </w:rPr>
              <w:t xml:space="preserve"> c</w:t>
            </w:r>
            <w:r>
              <w:t> </w:t>
            </w:r>
            <w:r w:rsidRPr="00A21E61">
              <w:t>Data reported for this measure are not directly comparable.</w:t>
            </w:r>
            <w:r>
              <w:t xml:space="preserve"> </w:t>
            </w:r>
            <w:r w:rsidRPr="00A21E61">
              <w:rPr>
                <w:rStyle w:val="NoteLabel"/>
              </w:rPr>
              <w:t>d</w:t>
            </w:r>
            <w:r w:rsidRPr="00A21E61">
              <w:t xml:space="preserve"> </w:t>
            </w:r>
            <w:r>
              <w:t xml:space="preserve">In general, women resident in the jurisdiction represent 98.9 per cent or more of the women screened in each jurisdiction, except for the ACT (where 2.2 per cent of those screened in the 2012–2013 reference period were not ACT residents). </w:t>
            </w:r>
            <w:r>
              <w:rPr>
                <w:rStyle w:val="NoteLabel"/>
              </w:rPr>
              <w:t>e</w:t>
            </w:r>
            <w:r>
              <w:t> </w:t>
            </w:r>
            <w:r w:rsidRPr="00A21E61">
              <w:t xml:space="preserve">Women who self-identify as being of Aboriginal and/or Torres Strait Islander descent. </w:t>
            </w:r>
            <w:r>
              <w:rPr>
                <w:rStyle w:val="NoteLabel"/>
              </w:rPr>
              <w:t>f</w:t>
            </w:r>
            <w:r w:rsidRPr="00A21E61">
              <w:t xml:space="preserve"> NESB is defined as speaking a language other than English at home.</w:t>
            </w:r>
          </w:p>
        </w:tc>
      </w:tr>
      <w:tr w:rsidR="00105402" w:rsidTr="000A5518">
        <w:trPr>
          <w:cantSplit/>
        </w:trPr>
        <w:tc>
          <w:tcPr>
            <w:tcW w:w="8909" w:type="dxa"/>
            <w:tcBorders>
              <w:top w:val="nil"/>
              <w:left w:val="nil"/>
              <w:bottom w:val="nil"/>
              <w:right w:val="nil"/>
            </w:tcBorders>
            <w:shd w:val="clear" w:color="auto" w:fill="auto"/>
          </w:tcPr>
          <w:p w:rsidR="00105402" w:rsidRDefault="00105402" w:rsidP="00F622DA">
            <w:pPr>
              <w:pStyle w:val="Source"/>
            </w:pPr>
            <w:r>
              <w:rPr>
                <w:i/>
              </w:rPr>
              <w:t>Source</w:t>
            </w:r>
            <w:r>
              <w:t xml:space="preserve">: </w:t>
            </w:r>
            <w:r w:rsidRPr="00A21E61">
              <w:t>State and Territory governments (unpublished); ABS (20</w:t>
            </w:r>
            <w:r>
              <w:t>11</w:t>
            </w:r>
            <w:r w:rsidRPr="00A21E61">
              <w:t xml:space="preserve">) </w:t>
            </w:r>
            <w:r w:rsidRPr="00A21E61">
              <w:rPr>
                <w:i/>
              </w:rPr>
              <w:t xml:space="preserve">Australian </w:t>
            </w:r>
            <w:r w:rsidR="00D1519C">
              <w:rPr>
                <w:i/>
              </w:rPr>
              <w:t>Dem</w:t>
            </w:r>
            <w:r w:rsidR="00401DAA">
              <w:rPr>
                <w:i/>
              </w:rPr>
              <w:t>o</w:t>
            </w:r>
            <w:r w:rsidR="00D1519C">
              <w:rPr>
                <w:i/>
              </w:rPr>
              <w:t>graphic Statistics</w:t>
            </w:r>
            <w:r w:rsidR="00D1519C">
              <w:t xml:space="preserve">, </w:t>
            </w:r>
            <w:r w:rsidR="00D1519C" w:rsidRPr="00D1519C">
              <w:rPr>
                <w:i/>
              </w:rPr>
              <w:t>June</w:t>
            </w:r>
            <w:r w:rsidRPr="00A21E61">
              <w:t>, Cat. no. 3201.0; ABS (</w:t>
            </w:r>
            <w:r w:rsidR="00D1519C">
              <w:t>2014</w:t>
            </w:r>
            <w:r w:rsidRPr="00A21E61">
              <w:t xml:space="preserve">) </w:t>
            </w:r>
            <w:r w:rsidRPr="00D1519C">
              <w:rPr>
                <w:i/>
              </w:rPr>
              <w:t xml:space="preserve">Experimental Estimates </w:t>
            </w:r>
            <w:r w:rsidR="00D1519C" w:rsidRPr="00D1519C">
              <w:rPr>
                <w:i/>
              </w:rPr>
              <w:t>a</w:t>
            </w:r>
            <w:r w:rsidRPr="00D1519C">
              <w:rPr>
                <w:i/>
              </w:rPr>
              <w:t xml:space="preserve">nd Projections, Aboriginal And Torres Strait Islander Australians, </w:t>
            </w:r>
            <w:r w:rsidR="00D1519C" w:rsidRPr="00D1519C">
              <w:rPr>
                <w:i/>
              </w:rPr>
              <w:t>2001</w:t>
            </w:r>
            <w:r w:rsidRPr="00D1519C">
              <w:rPr>
                <w:i/>
              </w:rPr>
              <w:t xml:space="preserve"> to 202</w:t>
            </w:r>
            <w:r w:rsidR="00D1519C" w:rsidRPr="00D1519C">
              <w:rPr>
                <w:i/>
              </w:rPr>
              <w:t>6</w:t>
            </w:r>
            <w:r w:rsidRPr="00A21E61">
              <w:t xml:space="preserve">, Cat. no. 3238.0; ABS (unpublished) </w:t>
            </w:r>
            <w:r w:rsidRPr="00133872">
              <w:rPr>
                <w:i/>
              </w:rPr>
              <w:t>20</w:t>
            </w:r>
            <w:r w:rsidR="00D1519C" w:rsidRPr="00133872">
              <w:rPr>
                <w:i/>
              </w:rPr>
              <w:t>11</w:t>
            </w:r>
            <w:r w:rsidRPr="00133872">
              <w:rPr>
                <w:i/>
              </w:rPr>
              <w:t xml:space="preserve"> Census of Population and Housing</w:t>
            </w:r>
            <w:r w:rsidRPr="00A21E61">
              <w:t xml:space="preserve">; tables </w:t>
            </w:r>
            <w:r w:rsidR="00403D8D">
              <w:t>10A.8</w:t>
            </w:r>
            <w:r w:rsidR="00F622DA">
              <w:t>5</w:t>
            </w:r>
            <w:r w:rsidR="00403D8D">
              <w:t>–10A.8</w:t>
            </w:r>
            <w:r w:rsidR="00F622DA">
              <w:t>8</w:t>
            </w:r>
            <w:r w:rsidRPr="00A21E61">
              <w:t>.</w:t>
            </w:r>
          </w:p>
        </w:tc>
      </w:tr>
      <w:tr w:rsidR="00105402" w:rsidTr="000A5518">
        <w:trPr>
          <w:cantSplit/>
        </w:trPr>
        <w:tc>
          <w:tcPr>
            <w:tcW w:w="8909" w:type="dxa"/>
            <w:tcBorders>
              <w:top w:val="nil"/>
              <w:left w:val="nil"/>
              <w:bottom w:val="single" w:sz="6" w:space="0" w:color="78A22F" w:themeColor="accent1"/>
              <w:right w:val="nil"/>
            </w:tcBorders>
            <w:shd w:val="clear" w:color="auto" w:fill="auto"/>
          </w:tcPr>
          <w:p w:rsidR="00105402" w:rsidRDefault="00105402" w:rsidP="00105402">
            <w:pPr>
              <w:pStyle w:val="Box"/>
              <w:spacing w:before="0" w:line="120" w:lineRule="exact"/>
            </w:pPr>
          </w:p>
        </w:tc>
      </w:tr>
      <w:tr w:rsidR="00105402" w:rsidRPr="000863A5" w:rsidTr="000A5518">
        <w:tc>
          <w:tcPr>
            <w:tcW w:w="8909" w:type="dxa"/>
            <w:tcBorders>
              <w:top w:val="single" w:sz="6" w:space="0" w:color="78A22F" w:themeColor="accent1"/>
              <w:left w:val="nil"/>
              <w:bottom w:val="nil"/>
              <w:right w:val="nil"/>
            </w:tcBorders>
          </w:tcPr>
          <w:p w:rsidR="00105402" w:rsidRPr="00626D32" w:rsidRDefault="00105402" w:rsidP="00105402">
            <w:pPr>
              <w:pStyle w:val="BoxSpaceBelow"/>
            </w:pPr>
          </w:p>
        </w:tc>
      </w:tr>
    </w:tbl>
    <w:p w:rsidR="000A5518" w:rsidRPr="00701FDC" w:rsidRDefault="000A5518" w:rsidP="000A5518">
      <w:pPr>
        <w:pStyle w:val="Heading5"/>
      </w:pPr>
      <w:r w:rsidRPr="00701FDC">
        <w:t>Participation for women in cervical screening</w:t>
      </w:r>
    </w:p>
    <w:p w:rsidR="000A5518" w:rsidRDefault="000A5518" w:rsidP="000A5518">
      <w:pPr>
        <w:pStyle w:val="BodyText"/>
      </w:pPr>
      <w:r w:rsidRPr="00701FDC">
        <w:t xml:space="preserve">‘Participation for women in cervical screening’ is an indicator of </w:t>
      </w:r>
      <w:r>
        <w:t>governments’ objective to reduce morbidity and mortality attributable to cervical cancer through the provision of early detection services (box 10.</w:t>
      </w:r>
      <w:r w:rsidRPr="00D571B0">
        <w:t>22</w:t>
      </w:r>
      <w:r>
        <w:t>).</w:t>
      </w:r>
    </w:p>
    <w:p w:rsidR="008D5572" w:rsidRPr="00200C93" w:rsidRDefault="008D5572" w:rsidP="000A5518">
      <w:pPr>
        <w:pStyle w:val="BodyText"/>
      </w:pPr>
      <w:bookmarkStart w:id="22" w:name="TableTitle"/>
      <w:bookmarkEnd w:id="22"/>
    </w:p>
    <w:p w:rsidR="000A5518" w:rsidRDefault="000A5518" w:rsidP="000A551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0A5518" w:rsidTr="005F00A5">
        <w:tc>
          <w:tcPr>
            <w:tcW w:w="8771" w:type="dxa"/>
            <w:tcBorders>
              <w:top w:val="single" w:sz="6" w:space="0" w:color="78A22F"/>
              <w:left w:val="nil"/>
              <w:bottom w:val="nil"/>
              <w:right w:val="nil"/>
            </w:tcBorders>
            <w:shd w:val="clear" w:color="auto" w:fill="F2F2F2" w:themeFill="background1" w:themeFillShade="F2"/>
          </w:tcPr>
          <w:p w:rsidR="000A5518" w:rsidRDefault="000A5518" w:rsidP="005F00A5">
            <w:pPr>
              <w:pStyle w:val="BoxTitle"/>
            </w:pPr>
            <w:r>
              <w:rPr>
                <w:b w:val="0"/>
              </w:rPr>
              <w:t>Box 10.</w:t>
            </w:r>
            <w:r w:rsidR="0078724D">
              <w:rPr>
                <w:b w:val="0"/>
                <w:noProof/>
              </w:rPr>
              <w:t>22</w:t>
            </w:r>
            <w:r>
              <w:tab/>
            </w:r>
            <w:r w:rsidRPr="00480CFE">
              <w:t>Participation for women in cervical screening</w:t>
            </w:r>
          </w:p>
        </w:tc>
      </w:tr>
      <w:tr w:rsidR="000A5518" w:rsidTr="005F00A5">
        <w:trPr>
          <w:cantSplit/>
        </w:trPr>
        <w:tc>
          <w:tcPr>
            <w:tcW w:w="8771" w:type="dxa"/>
            <w:tcBorders>
              <w:top w:val="nil"/>
              <w:left w:val="nil"/>
              <w:bottom w:val="nil"/>
              <w:right w:val="nil"/>
            </w:tcBorders>
            <w:shd w:val="clear" w:color="auto" w:fill="F2F2F2" w:themeFill="background1" w:themeFillShade="F2"/>
          </w:tcPr>
          <w:p w:rsidR="000A5518" w:rsidRDefault="000A5518" w:rsidP="005F00A5">
            <w:pPr>
              <w:pStyle w:val="Box"/>
            </w:pPr>
            <w:r w:rsidRPr="00F2021D">
              <w:t xml:space="preserve">‘Participation for women in cervical screening’ </w:t>
            </w:r>
            <w:r>
              <w:t>is defined as the number of women aged 20–69 years who are screened over a two year period, divided by the estimated population of eligible women aged 20–69 years and reported as a rate. Eligible women are those who have not had a hysterectomy.</w:t>
            </w:r>
          </w:p>
          <w:p w:rsidR="000A5518" w:rsidRDefault="000A5518" w:rsidP="005F00A5">
            <w:pPr>
              <w:pStyle w:val="Box"/>
            </w:pPr>
            <w:r>
              <w:t>A high or increasing proportion of eligible women aged 20–69 years who have been screened is desirable.</w:t>
            </w:r>
          </w:p>
          <w:p w:rsidR="000A5518" w:rsidRDefault="000A5518" w:rsidP="005F00A5">
            <w:pPr>
              <w:pStyle w:val="Box"/>
            </w:pPr>
            <w:r>
              <w:t>Data reported against this indicator are:</w:t>
            </w:r>
          </w:p>
          <w:p w:rsidR="000A5518" w:rsidRDefault="000A5518" w:rsidP="005F00A5">
            <w:pPr>
              <w:pStyle w:val="BoxListBullet"/>
            </w:pPr>
            <w:r>
              <w:t>comparable (subject to caveats) across jurisdictions and over time</w:t>
            </w:r>
          </w:p>
          <w:p w:rsidR="000A5518" w:rsidRDefault="000A5518" w:rsidP="005F00A5">
            <w:pPr>
              <w:pStyle w:val="BoxListBullet"/>
            </w:pPr>
            <w:r>
              <w:t>complete (subject to caveats) for the current reporting period. All required data for the 24</w:t>
            </w:r>
            <w:r w:rsidR="00793DAA">
              <w:t> </w:t>
            </w:r>
            <w:r>
              <w:t>month period 201</w:t>
            </w:r>
            <w:r w:rsidR="00793DAA">
              <w:t>2</w:t>
            </w:r>
            <w:r>
              <w:t xml:space="preserve"> and 201</w:t>
            </w:r>
            <w:r w:rsidR="00793DAA">
              <w:t>3</w:t>
            </w:r>
            <w:r>
              <w:t xml:space="preserve"> are available for all jurisdictions.</w:t>
            </w:r>
          </w:p>
          <w:p w:rsidR="000A5518" w:rsidRPr="00BC5B5C" w:rsidRDefault="000A5518" w:rsidP="00793DAA">
            <w:pPr>
              <w:pStyle w:val="Box"/>
            </w:pPr>
            <w:r w:rsidRPr="0027351B">
              <w:t xml:space="preserve">Data quality information </w:t>
            </w:r>
            <w:r w:rsidRPr="00743531">
              <w:t>f</w:t>
            </w:r>
            <w:r>
              <w:t xml:space="preserve">or this indicator is at </w:t>
            </w:r>
            <w:r w:rsidR="00786AB7">
              <w:t>www.pc.gov.au</w:t>
            </w:r>
            <w:r w:rsidRPr="00743531">
              <w:t>/</w:t>
            </w:r>
            <w:r>
              <w:t>rogs/201</w:t>
            </w:r>
            <w:r w:rsidR="00793DAA">
              <w:t>5</w:t>
            </w:r>
            <w:r w:rsidRPr="00743531">
              <w:t>.</w:t>
            </w:r>
          </w:p>
        </w:tc>
      </w:tr>
      <w:tr w:rsidR="000A5518" w:rsidTr="005F00A5">
        <w:trPr>
          <w:cantSplit/>
        </w:trPr>
        <w:tc>
          <w:tcPr>
            <w:tcW w:w="8771" w:type="dxa"/>
            <w:tcBorders>
              <w:top w:val="nil"/>
              <w:left w:val="nil"/>
              <w:bottom w:val="single" w:sz="6" w:space="0" w:color="78A22F"/>
              <w:right w:val="nil"/>
            </w:tcBorders>
            <w:shd w:val="clear" w:color="auto" w:fill="F2F2F2" w:themeFill="background1" w:themeFillShade="F2"/>
          </w:tcPr>
          <w:p w:rsidR="000A5518" w:rsidRDefault="000A5518" w:rsidP="005F00A5">
            <w:pPr>
              <w:pStyle w:val="Box"/>
              <w:spacing w:before="0" w:line="120" w:lineRule="exact"/>
            </w:pPr>
          </w:p>
        </w:tc>
      </w:tr>
      <w:tr w:rsidR="000A5518" w:rsidRPr="000863A5" w:rsidTr="005F00A5">
        <w:tc>
          <w:tcPr>
            <w:tcW w:w="8771" w:type="dxa"/>
            <w:tcBorders>
              <w:top w:val="single" w:sz="6" w:space="0" w:color="78A22F"/>
              <w:left w:val="nil"/>
              <w:bottom w:val="nil"/>
              <w:right w:val="nil"/>
            </w:tcBorders>
          </w:tcPr>
          <w:p w:rsidR="000A5518" w:rsidRPr="00626D32" w:rsidRDefault="000A5518" w:rsidP="005F00A5">
            <w:pPr>
              <w:pStyle w:val="BoxSpaceBelow"/>
            </w:pPr>
          </w:p>
        </w:tc>
      </w:tr>
    </w:tbl>
    <w:p w:rsidR="000A5518" w:rsidRDefault="000A5518" w:rsidP="000A5518">
      <w:pPr>
        <w:pStyle w:val="BodyText"/>
      </w:pPr>
      <w:r w:rsidRPr="00F2021D">
        <w:t>It</w:t>
      </w:r>
      <w:r>
        <w:t xml:space="preserve"> is estimated that up to 90 per </w:t>
      </w:r>
      <w:r w:rsidRPr="00F2021D">
        <w:t xml:space="preserve">cent of the most common type of cervical cancer (squamous cervical cancer) </w:t>
      </w:r>
      <w:r>
        <w:t>can</w:t>
      </w:r>
      <w:r w:rsidRPr="00F2021D">
        <w:t xml:space="preserve"> be prevented if cell changes are detected and treated ea</w:t>
      </w:r>
      <w:r>
        <w:t xml:space="preserve">rly (Department of Health </w:t>
      </w:r>
      <w:r w:rsidRPr="006A489A">
        <w:t>20</w:t>
      </w:r>
      <w:r>
        <w:t>12</w:t>
      </w:r>
      <w:r w:rsidRPr="006A489A">
        <w:t>; Mitchell, Hocking and Saville 2003</w:t>
      </w:r>
      <w:r w:rsidRPr="00F2021D">
        <w:t>). A range of healthcare providers offe</w:t>
      </w:r>
      <w:r>
        <w:t>r cervical screening tests (Pap </w:t>
      </w:r>
      <w:r w:rsidRPr="00F2021D">
        <w:t>smears). The National Cervical Screening Program involves GPs, gynaecologists, family planning clinics and hospital outpatient clinics.</w:t>
      </w:r>
    </w:p>
    <w:p w:rsidR="00F96BD8" w:rsidRDefault="000A5518" w:rsidP="000A5518">
      <w:pPr>
        <w:pStyle w:val="BodyText"/>
      </w:pPr>
      <w:r>
        <w:t>T</w:t>
      </w:r>
      <w:r w:rsidRPr="0071006C">
        <w:t xml:space="preserve">he national age-standardised participation rate for women aged 20–69 years in cervical screening </w:t>
      </w:r>
      <w:r w:rsidR="003439E3">
        <w:t xml:space="preserve">decreased from 59.3 per cent for the 24 month period 1 </w:t>
      </w:r>
      <w:r w:rsidR="003439E3" w:rsidRPr="00117908">
        <w:t xml:space="preserve">January </w:t>
      </w:r>
      <w:r w:rsidR="003439E3">
        <w:t xml:space="preserve">2008 to </w:t>
      </w:r>
      <w:r w:rsidR="003439E3" w:rsidRPr="007A4C05">
        <w:t>31 December 20</w:t>
      </w:r>
      <w:r w:rsidR="003439E3">
        <w:t xml:space="preserve">09 to </w:t>
      </w:r>
      <w:r>
        <w:t xml:space="preserve">58.2 per cent for the period 1 </w:t>
      </w:r>
      <w:r w:rsidRPr="00117908">
        <w:t xml:space="preserve">January </w:t>
      </w:r>
      <w:r w:rsidR="00F96BD8">
        <w:t>2012</w:t>
      </w:r>
      <w:r>
        <w:t xml:space="preserve"> to </w:t>
      </w:r>
      <w:r w:rsidRPr="007A4C05">
        <w:t>31 December</w:t>
      </w:r>
      <w:r w:rsidR="003439E3">
        <w:t> </w:t>
      </w:r>
      <w:r w:rsidRPr="007A4C05">
        <w:t>20</w:t>
      </w:r>
      <w:r w:rsidR="00F96BD8">
        <w:t xml:space="preserve">13 </w:t>
      </w:r>
      <w:r w:rsidR="00F96BD8" w:rsidRPr="00117908">
        <w:t>(</w:t>
      </w:r>
      <w:r w:rsidR="006714EE">
        <w:t>figure 10.46</w:t>
      </w:r>
      <w:r w:rsidR="00F96BD8">
        <w:t xml:space="preserve">). </w:t>
      </w:r>
      <w:r>
        <w:t>Data are presented for a ten year time series in table 10A.</w:t>
      </w:r>
      <w:r w:rsidR="00F622DA">
        <w:t>90</w:t>
      </w:r>
      <w:r>
        <w:t>.</w:t>
      </w:r>
    </w:p>
    <w:p w:rsidR="000A5518" w:rsidRPr="00A81086" w:rsidRDefault="000A5518" w:rsidP="003B0E34">
      <w:pPr>
        <w:pStyle w:val="BodyText"/>
        <w:rPr>
          <w:rStyle w:val="DraftingNote"/>
          <w:b w:val="0"/>
          <w:color w:val="auto"/>
          <w:u w:val="none"/>
        </w:rPr>
      </w:pPr>
      <w:r>
        <w:t xml:space="preserve">In 2011-12, around 53.4 per cent of </w:t>
      </w:r>
      <w:r w:rsidR="00821D96">
        <w:t>Aboriginal and Torres Strait Islander</w:t>
      </w:r>
      <w:r w:rsidR="00821D96" w:rsidRPr="00131F67">
        <w:t xml:space="preserve"> women </w:t>
      </w:r>
      <w:r w:rsidR="00821D96" w:rsidRPr="0071006C">
        <w:t xml:space="preserve">aged </w:t>
      </w:r>
      <w:r w:rsidR="00821D96">
        <w:br/>
      </w:r>
      <w:r w:rsidR="00821D96" w:rsidRPr="0071006C">
        <w:t xml:space="preserve">20–69 </w:t>
      </w:r>
      <w:r w:rsidR="00821D96" w:rsidRPr="003B0E34">
        <w:t xml:space="preserve">years who responded to the National Aboriginal and Torres Strait Islander Health </w:t>
      </w:r>
      <w:r w:rsidRPr="003B0E34">
        <w:t>survey reported</w:t>
      </w:r>
      <w:r>
        <w:t xml:space="preserve"> having a Pap smear at </w:t>
      </w:r>
      <w:r w:rsidR="00403D8D">
        <w:t>least every 2 years (table 10A.</w:t>
      </w:r>
      <w:r>
        <w:t>9</w:t>
      </w:r>
      <w:r w:rsidR="00F622DA">
        <w:t>1</w:t>
      </w:r>
      <w:r>
        <w:t>)</w:t>
      </w:r>
      <w:r w:rsidRPr="00131F67">
        <w:t>.</w:t>
      </w:r>
    </w:p>
    <w:p w:rsidR="000A5518" w:rsidRDefault="000A5518" w:rsidP="000A551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0A5518" w:rsidTr="005F00A5">
        <w:tc>
          <w:tcPr>
            <w:tcW w:w="8771" w:type="dxa"/>
            <w:tcBorders>
              <w:top w:val="single" w:sz="6" w:space="0" w:color="78A22F"/>
              <w:left w:val="nil"/>
              <w:bottom w:val="nil"/>
              <w:right w:val="nil"/>
            </w:tcBorders>
            <w:shd w:val="clear" w:color="auto" w:fill="auto"/>
          </w:tcPr>
          <w:p w:rsidR="000A5518" w:rsidRPr="00176D3F" w:rsidRDefault="000A5518" w:rsidP="005F00A5">
            <w:pPr>
              <w:pStyle w:val="FigureTitle"/>
            </w:pPr>
            <w:r w:rsidRPr="00784A05">
              <w:rPr>
                <w:b w:val="0"/>
              </w:rPr>
              <w:t xml:space="preserve">Figure </w:t>
            </w:r>
            <w:r>
              <w:rPr>
                <w:b w:val="0"/>
              </w:rPr>
              <w:t>10.</w:t>
            </w:r>
            <w:r w:rsidR="0078724D">
              <w:rPr>
                <w:b w:val="0"/>
                <w:noProof/>
              </w:rPr>
              <w:t>46</w:t>
            </w:r>
            <w:r>
              <w:tab/>
            </w:r>
            <w:r w:rsidRPr="00F000A2">
              <w:t>Participation rates for women aged 20–69 years in cervical screening</w:t>
            </w:r>
            <w:r w:rsidR="003774F3">
              <w:t xml:space="preserve"> (24 </w:t>
            </w:r>
            <w:r w:rsidR="003774F3" w:rsidRPr="00C107E6">
              <w:t>month period)</w:t>
            </w:r>
            <w:r w:rsidRPr="00B91268">
              <w:rPr>
                <w:rStyle w:val="NoteLabel"/>
                <w:b/>
              </w:rPr>
              <w:t>a</w:t>
            </w:r>
            <w:r w:rsidR="00152808">
              <w:rPr>
                <w:rStyle w:val="NoteLabel"/>
                <w:b/>
              </w:rPr>
              <w:t>, b, c, d</w:t>
            </w:r>
          </w:p>
        </w:tc>
      </w:tr>
      <w:tr w:rsidR="000A5518" w:rsidTr="003B0E34">
        <w:tc>
          <w:tcPr>
            <w:tcW w:w="8771" w:type="dxa"/>
            <w:tcBorders>
              <w:top w:val="nil"/>
              <w:left w:val="nil"/>
              <w:bottom w:val="nil"/>
              <w:right w:val="nil"/>
            </w:tcBorders>
            <w:shd w:val="clear" w:color="auto" w:fill="auto"/>
            <w:tcMar>
              <w:top w:w="28" w:type="dxa"/>
              <w:bottom w:w="28" w:type="dxa"/>
            </w:tcMar>
          </w:tcPr>
          <w:tbl>
            <w:tblPr>
              <w:tblW w:w="8625" w:type="dxa"/>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625"/>
            </w:tblGrid>
            <w:tr w:rsidR="000A5518" w:rsidTr="005F00A5">
              <w:tc>
                <w:tcPr>
                  <w:tcW w:w="5000" w:type="pct"/>
                  <w:tcBorders>
                    <w:top w:val="nil"/>
                    <w:bottom w:val="nil"/>
                  </w:tcBorders>
                </w:tcPr>
                <w:p w:rsidR="000A5518" w:rsidRDefault="007B1994" w:rsidP="005F00A5">
                  <w:pPr>
                    <w:pStyle w:val="Figure"/>
                    <w:spacing w:before="60" w:after="60"/>
                  </w:pPr>
                  <w:r>
                    <w:rPr>
                      <w:noProof/>
                    </w:rPr>
                    <w:drawing>
                      <wp:inline distT="0" distB="0" distL="0" distR="0">
                        <wp:extent cx="5391150" cy="2886075"/>
                        <wp:effectExtent l="0" t="0" r="0" b="9525"/>
                        <wp:docPr id="55" name="Picture 55" descr="Figure 10.46 Participation rates for women aged 20–69 years in cervical screening (24 month period)&#10;&#10;More details can be found within the text surrounding this image.&#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5391150" cy="2886075"/>
                                </a:xfrm>
                                <a:prstGeom prst="rect">
                                  <a:avLst/>
                                </a:prstGeom>
                                <a:noFill/>
                                <a:ln>
                                  <a:noFill/>
                                </a:ln>
                              </pic:spPr>
                            </pic:pic>
                          </a:graphicData>
                        </a:graphic>
                      </wp:inline>
                    </w:drawing>
                  </w:r>
                </w:p>
              </w:tc>
            </w:tr>
          </w:tbl>
          <w:p w:rsidR="000A5518" w:rsidRDefault="000A5518" w:rsidP="005F00A5">
            <w:pPr>
              <w:pStyle w:val="Figure"/>
            </w:pPr>
          </w:p>
        </w:tc>
      </w:tr>
      <w:tr w:rsidR="000A5518" w:rsidRPr="00176D3F" w:rsidTr="003B0E34">
        <w:tc>
          <w:tcPr>
            <w:tcW w:w="8771" w:type="dxa"/>
            <w:tcBorders>
              <w:top w:val="nil"/>
              <w:left w:val="nil"/>
              <w:bottom w:val="nil"/>
              <w:right w:val="nil"/>
            </w:tcBorders>
            <w:shd w:val="clear" w:color="auto" w:fill="auto"/>
          </w:tcPr>
          <w:p w:rsidR="000A5518" w:rsidRPr="00176D3F" w:rsidRDefault="000A5518" w:rsidP="00D80169">
            <w:pPr>
              <w:pStyle w:val="Note"/>
            </w:pPr>
            <w:r>
              <w:rPr>
                <w:rStyle w:val="NoteLabel"/>
              </w:rPr>
              <w:t>a</w:t>
            </w:r>
            <w:r w:rsidRPr="00531CF3">
              <w:t xml:space="preserve"> Rates are the number of women screened as a proportion of the eligible female population</w:t>
            </w:r>
            <w:r>
              <w:t>,</w:t>
            </w:r>
            <w:r w:rsidRPr="00531CF3">
              <w:t xml:space="preserve"> calculated as the average of the </w:t>
            </w:r>
            <w:r>
              <w:t>ABS</w:t>
            </w:r>
            <w:r w:rsidRPr="00531CF3">
              <w:t xml:space="preserve"> </w:t>
            </w:r>
            <w:r>
              <w:t xml:space="preserve">ERP (based on the 2011 Census) in each calendar year in the reference period and age standardised to the 2001 Australian population. </w:t>
            </w:r>
            <w:r>
              <w:rPr>
                <w:rStyle w:val="NoteLabel"/>
              </w:rPr>
              <w:t>b</w:t>
            </w:r>
            <w:r>
              <w:t xml:space="preserve"> E</w:t>
            </w:r>
            <w:r w:rsidRPr="00E863B6">
              <w:t xml:space="preserve">ligible female population adjusted for </w:t>
            </w:r>
            <w:r>
              <w:t xml:space="preserve">the </w:t>
            </w:r>
            <w:r w:rsidRPr="00E863B6">
              <w:t>estimated proportion who have had a hysterectomy</w:t>
            </w:r>
            <w:r>
              <w:t xml:space="preserve">. </w:t>
            </w:r>
            <w:r>
              <w:rPr>
                <w:rStyle w:val="NoteLabel"/>
              </w:rPr>
              <w:t>c</w:t>
            </w:r>
            <w:r>
              <w:t xml:space="preserve"> </w:t>
            </w:r>
            <w:r w:rsidRPr="008F00F7">
              <w:t>Excludes women who have opted off the cervical cytology register.</w:t>
            </w:r>
            <w:r>
              <w:t xml:space="preserve"> </w:t>
            </w:r>
            <w:r>
              <w:rPr>
                <w:rStyle w:val="NoteLabel"/>
              </w:rPr>
              <w:t>d</w:t>
            </w:r>
            <w:r>
              <w:t xml:space="preserve"> </w:t>
            </w:r>
            <w:r w:rsidR="00152808" w:rsidRPr="003B0E34">
              <w:t xml:space="preserve">Data include all women screened </w:t>
            </w:r>
            <w:r w:rsidR="00D80169" w:rsidRPr="003B0E34">
              <w:t xml:space="preserve">in the jurisdiction </w:t>
            </w:r>
            <w:r w:rsidR="00152808" w:rsidRPr="003B0E34">
              <w:t>except for Victoria and the ACT</w:t>
            </w:r>
            <w:r w:rsidR="00D80169" w:rsidRPr="003B0E34">
              <w:t>, for which data include only residents of the jurisdiction (and immediate border residents)</w:t>
            </w:r>
            <w:r w:rsidR="00152808" w:rsidRPr="003B0E34">
              <w:t>.</w:t>
            </w:r>
          </w:p>
        </w:tc>
      </w:tr>
      <w:tr w:rsidR="000A5518" w:rsidRPr="00176D3F" w:rsidTr="005F00A5">
        <w:tc>
          <w:tcPr>
            <w:tcW w:w="8771" w:type="dxa"/>
            <w:tcBorders>
              <w:top w:val="nil"/>
              <w:left w:val="nil"/>
              <w:bottom w:val="nil"/>
              <w:right w:val="nil"/>
            </w:tcBorders>
            <w:shd w:val="clear" w:color="auto" w:fill="auto"/>
          </w:tcPr>
          <w:p w:rsidR="000A5518" w:rsidRPr="00176D3F" w:rsidRDefault="000A5518" w:rsidP="00F622DA">
            <w:pPr>
              <w:pStyle w:val="Source"/>
            </w:pPr>
            <w:r w:rsidRPr="00014EF9">
              <w:rPr>
                <w:i/>
              </w:rPr>
              <w:t>Source</w:t>
            </w:r>
            <w:r w:rsidRPr="00014EF9">
              <w:t xml:space="preserve">: </w:t>
            </w:r>
            <w:r>
              <w:t>AIHW </w:t>
            </w:r>
            <w:r w:rsidRPr="00014EF9">
              <w:t>(unpublished) State</w:t>
            </w:r>
            <w:r>
              <w:t xml:space="preserve"> and Territory Cervical Cytology Registry data collections</w:t>
            </w:r>
            <w:r w:rsidRPr="00EA31D1">
              <w:t>; table</w:t>
            </w:r>
            <w:r w:rsidR="00403D8D">
              <w:t> 10A.9</w:t>
            </w:r>
            <w:r w:rsidR="00F622DA">
              <w:t>0</w:t>
            </w:r>
            <w:r w:rsidRPr="00117908">
              <w:t>.</w:t>
            </w:r>
          </w:p>
        </w:tc>
      </w:tr>
      <w:tr w:rsidR="000A5518" w:rsidTr="005F00A5">
        <w:tc>
          <w:tcPr>
            <w:tcW w:w="8771" w:type="dxa"/>
            <w:tcBorders>
              <w:top w:val="nil"/>
              <w:left w:val="nil"/>
              <w:bottom w:val="single" w:sz="6" w:space="0" w:color="78A22F"/>
              <w:right w:val="nil"/>
            </w:tcBorders>
            <w:shd w:val="clear" w:color="auto" w:fill="auto"/>
          </w:tcPr>
          <w:p w:rsidR="000A5518" w:rsidRDefault="000A5518" w:rsidP="005F00A5">
            <w:pPr>
              <w:pStyle w:val="Figurespace"/>
            </w:pPr>
          </w:p>
        </w:tc>
      </w:tr>
      <w:tr w:rsidR="000A5518" w:rsidRPr="000863A5" w:rsidTr="005F00A5">
        <w:tc>
          <w:tcPr>
            <w:tcW w:w="8771" w:type="dxa"/>
            <w:tcBorders>
              <w:top w:val="single" w:sz="6" w:space="0" w:color="78A22F"/>
              <w:left w:val="nil"/>
              <w:bottom w:val="nil"/>
              <w:right w:val="nil"/>
            </w:tcBorders>
          </w:tcPr>
          <w:p w:rsidR="000A5518" w:rsidRPr="00626D32" w:rsidRDefault="000A5518" w:rsidP="005F00A5">
            <w:pPr>
              <w:pStyle w:val="BoxSpaceBelow"/>
            </w:pPr>
          </w:p>
        </w:tc>
      </w:tr>
    </w:tbl>
    <w:p w:rsidR="00480CFE" w:rsidRPr="00CD25F0" w:rsidRDefault="00480CFE" w:rsidP="00EB3C27">
      <w:pPr>
        <w:pStyle w:val="Heading5"/>
      </w:pPr>
      <w:r w:rsidRPr="00CD25F0">
        <w:t>Influenza vaccination coverage for older people</w:t>
      </w:r>
    </w:p>
    <w:p w:rsidR="00F2021D" w:rsidRPr="00620327" w:rsidRDefault="00F2021D" w:rsidP="00944E91">
      <w:pPr>
        <w:pStyle w:val="BodyText"/>
      </w:pPr>
      <w:r w:rsidRPr="00310BB6">
        <w:t>‘Influenza vaccination coverage for older people’</w:t>
      </w:r>
      <w:r>
        <w:t xml:space="preserve"> is an indicator of governments’ objective to reduce the morbidity and mortality attributable to vaccine preventable disease (</w:t>
      </w:r>
      <w:r w:rsidR="007518AF">
        <w:t>box </w:t>
      </w:r>
      <w:r w:rsidR="00897589">
        <w:t>10.</w:t>
      </w:r>
      <w:r w:rsidR="00445562" w:rsidRPr="00B251BD">
        <w:t>2</w:t>
      </w:r>
      <w:r w:rsidR="00B251BD" w:rsidRPr="00B251BD">
        <w:t>3</w:t>
      </w:r>
      <w:r w:rsidR="008718D7" w:rsidRPr="00B251BD">
        <w:t>)</w:t>
      </w:r>
      <w:r w:rsidR="008718D7">
        <w:t>.</w:t>
      </w:r>
    </w:p>
    <w:p w:rsidR="00897589" w:rsidRDefault="0089758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897589" w:rsidTr="00867BB6">
        <w:tc>
          <w:tcPr>
            <w:tcW w:w="8771" w:type="dxa"/>
            <w:tcBorders>
              <w:top w:val="single" w:sz="6" w:space="0" w:color="78A22F"/>
              <w:left w:val="nil"/>
              <w:bottom w:val="nil"/>
              <w:right w:val="nil"/>
            </w:tcBorders>
            <w:shd w:val="clear" w:color="auto" w:fill="F2F2F2" w:themeFill="background1" w:themeFillShade="F2"/>
          </w:tcPr>
          <w:p w:rsidR="00897589" w:rsidRDefault="00897589">
            <w:pPr>
              <w:pStyle w:val="BoxTitle"/>
            </w:pPr>
            <w:r>
              <w:rPr>
                <w:b w:val="0"/>
              </w:rPr>
              <w:t>Box 10.</w:t>
            </w:r>
            <w:r w:rsidR="0078724D">
              <w:rPr>
                <w:b w:val="0"/>
                <w:noProof/>
              </w:rPr>
              <w:t>23</w:t>
            </w:r>
            <w:r>
              <w:tab/>
            </w:r>
            <w:r w:rsidRPr="00480CFE">
              <w:t>Influenza vaccination coverage for older people</w:t>
            </w:r>
          </w:p>
        </w:tc>
      </w:tr>
      <w:tr w:rsidR="00897589" w:rsidTr="00867BB6">
        <w:trPr>
          <w:cantSplit/>
        </w:trPr>
        <w:tc>
          <w:tcPr>
            <w:tcW w:w="8771" w:type="dxa"/>
            <w:tcBorders>
              <w:top w:val="nil"/>
              <w:left w:val="nil"/>
              <w:bottom w:val="nil"/>
              <w:right w:val="nil"/>
            </w:tcBorders>
            <w:shd w:val="clear" w:color="auto" w:fill="F2F2F2" w:themeFill="background1" w:themeFillShade="F2"/>
          </w:tcPr>
          <w:p w:rsidR="00897589" w:rsidRDefault="00897589" w:rsidP="00867BB6">
            <w:pPr>
              <w:pStyle w:val="Box"/>
            </w:pPr>
            <w:r>
              <w:t>‘</w:t>
            </w:r>
            <w:r w:rsidRPr="00CC362C">
              <w:t>Influenza vaccination coverage for older people</w:t>
            </w:r>
            <w:r>
              <w:t>’ is defined as the proportion of people aged 65 years or over who have been vaccinated against seasonal influenza.</w:t>
            </w:r>
          </w:p>
          <w:p w:rsidR="00897589" w:rsidRDefault="00897589" w:rsidP="00867BB6">
            <w:pPr>
              <w:pStyle w:val="Box"/>
            </w:pPr>
            <w:r>
              <w:t xml:space="preserve">A high or increasing proportion of older people vaccinated against influenza reduces the risk of older people contracting influenza and suffering consequent complications. </w:t>
            </w:r>
            <w:r w:rsidRPr="00D81B9C">
              <w:t>Each year, influenza and its consequences result in the hospitalisation of many older people, as well as a considerable number of deaths.</w:t>
            </w:r>
          </w:p>
          <w:p w:rsidR="00897589" w:rsidRDefault="00897589" w:rsidP="00867BB6">
            <w:pPr>
              <w:pStyle w:val="Box"/>
            </w:pPr>
            <w:r>
              <w:t>Data reported for this indicator are:</w:t>
            </w:r>
          </w:p>
          <w:p w:rsidR="00897589" w:rsidRDefault="00897589" w:rsidP="00867BB6">
            <w:pPr>
              <w:pStyle w:val="Box"/>
            </w:pPr>
            <w:r w:rsidRPr="00216571">
              <w:t>•</w:t>
            </w:r>
            <w:r w:rsidRPr="00216571">
              <w:tab/>
              <w:t>comparable (subject to caveats) across jurisdictions and over time</w:t>
            </w:r>
          </w:p>
          <w:p w:rsidR="00897589" w:rsidRDefault="00897589" w:rsidP="00867BB6">
            <w:pPr>
              <w:pStyle w:val="Box"/>
            </w:pPr>
            <w:r w:rsidRPr="00216571">
              <w:t>•</w:t>
            </w:r>
            <w:r w:rsidRPr="00216571">
              <w:tab/>
            </w:r>
            <w:r>
              <w:t>not available for the current reporting period.</w:t>
            </w:r>
          </w:p>
          <w:p w:rsidR="00897589" w:rsidRPr="008141CE" w:rsidRDefault="00897589" w:rsidP="00867BB6">
            <w:pPr>
              <w:pStyle w:val="Box"/>
              <w:rPr>
                <w:rStyle w:val="DraftingNote"/>
                <w:b w:val="0"/>
                <w:color w:val="auto"/>
                <w:sz w:val="22"/>
                <w:u w:val="none"/>
              </w:rPr>
            </w:pPr>
            <w:r w:rsidRPr="0027351B">
              <w:t>Data quality information for this indicator is under deve</w:t>
            </w:r>
            <w:r>
              <w:t>lopment.</w:t>
            </w:r>
          </w:p>
        </w:tc>
      </w:tr>
      <w:tr w:rsidR="00897589" w:rsidTr="00867BB6">
        <w:trPr>
          <w:cantSplit/>
        </w:trPr>
        <w:tc>
          <w:tcPr>
            <w:tcW w:w="8771" w:type="dxa"/>
            <w:tcBorders>
              <w:top w:val="nil"/>
              <w:left w:val="nil"/>
              <w:bottom w:val="single" w:sz="6" w:space="0" w:color="78A22F"/>
              <w:right w:val="nil"/>
            </w:tcBorders>
            <w:shd w:val="clear" w:color="auto" w:fill="F2F2F2" w:themeFill="background1" w:themeFillShade="F2"/>
          </w:tcPr>
          <w:p w:rsidR="00897589" w:rsidRDefault="00897589">
            <w:pPr>
              <w:pStyle w:val="Box"/>
              <w:spacing w:before="0" w:line="120" w:lineRule="exact"/>
            </w:pPr>
          </w:p>
        </w:tc>
      </w:tr>
      <w:tr w:rsidR="00897589" w:rsidRPr="000863A5" w:rsidTr="00867BB6">
        <w:tc>
          <w:tcPr>
            <w:tcW w:w="8771" w:type="dxa"/>
            <w:tcBorders>
              <w:top w:val="single" w:sz="6" w:space="0" w:color="78A22F"/>
              <w:left w:val="nil"/>
              <w:bottom w:val="nil"/>
              <w:right w:val="nil"/>
            </w:tcBorders>
          </w:tcPr>
          <w:p w:rsidR="00897589" w:rsidRPr="00626D32" w:rsidRDefault="00897589" w:rsidP="00867BB6">
            <w:pPr>
              <w:pStyle w:val="BoxSpaceBelow"/>
            </w:pPr>
          </w:p>
        </w:tc>
      </w:tr>
    </w:tbl>
    <w:p w:rsidR="00B6750F" w:rsidRDefault="00D81B9C" w:rsidP="00CA3C2D">
      <w:pPr>
        <w:pStyle w:val="BodyText"/>
      </w:pPr>
      <w:r w:rsidRPr="00D81B9C">
        <w:t>Influenza</w:t>
      </w:r>
      <w:r w:rsidR="000D50E0">
        <w:t xml:space="preserve"> and </w:t>
      </w:r>
      <w:r w:rsidR="000D50E0" w:rsidRPr="00E5192F">
        <w:t>pneumococcal disease</w:t>
      </w:r>
      <w:r w:rsidRPr="00D81B9C">
        <w:t xml:space="preserve"> vaccinations for older people have been demonstrated to reduce hospitalisations and deaths (</w:t>
      </w:r>
      <w:r w:rsidR="006C2E5E">
        <w:t>Department of Health</w:t>
      </w:r>
      <w:r w:rsidRPr="00D81B9C">
        <w:t xml:space="preserve"> </w:t>
      </w:r>
      <w:r w:rsidRPr="00B251BD">
        <w:t>20</w:t>
      </w:r>
      <w:r w:rsidR="00681023">
        <w:t>13</w:t>
      </w:r>
      <w:r w:rsidR="00E631C6">
        <w:t>a</w:t>
      </w:r>
      <w:r w:rsidRPr="00D81B9C">
        <w:t xml:space="preserve">). </w:t>
      </w:r>
      <w:r w:rsidR="00742205">
        <w:t>F</w:t>
      </w:r>
      <w:r w:rsidR="00742205" w:rsidRPr="00E11EF2">
        <w:t xml:space="preserve">ree vaccines for </w:t>
      </w:r>
      <w:r w:rsidR="000D50E0">
        <w:t xml:space="preserve">all </w:t>
      </w:r>
      <w:r w:rsidR="00742205" w:rsidRPr="00E11EF2">
        <w:t xml:space="preserve">Australians aged 65 years or </w:t>
      </w:r>
      <w:r w:rsidR="00742205" w:rsidRPr="00742205">
        <w:t>over</w:t>
      </w:r>
      <w:r w:rsidR="00742205">
        <w:t xml:space="preserve"> </w:t>
      </w:r>
      <w:r w:rsidR="000D50E0">
        <w:t xml:space="preserve">and for </w:t>
      </w:r>
      <w:r w:rsidR="000D50E0" w:rsidRPr="00EE04A8">
        <w:t>Aboriginal and Torres Strait Islander</w:t>
      </w:r>
      <w:r w:rsidR="000D50E0">
        <w:t xml:space="preserve"> people aged 50 years or over became available for influenza in 1999 and for pneumococcal disease in 2005</w:t>
      </w:r>
      <w:r w:rsidR="00742205">
        <w:t>.</w:t>
      </w:r>
      <w:r w:rsidR="00F148BC">
        <w:t xml:space="preserve"> </w:t>
      </w:r>
    </w:p>
    <w:p w:rsidR="00B908E9" w:rsidRDefault="00027D81" w:rsidP="007C505F">
      <w:pPr>
        <w:pStyle w:val="BodyText"/>
      </w:pPr>
      <w:r>
        <w:t>Updated data were not available for non-Indigenous Australians for the 2015 Report — historical data are presented in tables 10A.9</w:t>
      </w:r>
      <w:r w:rsidR="00F622DA">
        <w:t>2</w:t>
      </w:r>
      <w:r>
        <w:t>-</w:t>
      </w:r>
      <w:r w:rsidR="006F7EC8">
        <w:t>10A.</w:t>
      </w:r>
      <w:r>
        <w:t>9</w:t>
      </w:r>
      <w:r w:rsidR="00F622DA">
        <w:t>3</w:t>
      </w:r>
      <w:r>
        <w:t xml:space="preserve">. </w:t>
      </w:r>
      <w:r w:rsidR="00E5192F">
        <w:t>Nationally,</w:t>
      </w:r>
      <w:r w:rsidR="002A0552">
        <w:t xml:space="preserve"> </w:t>
      </w:r>
      <w:r w:rsidR="000D50E0">
        <w:t>25.3</w:t>
      </w:r>
      <w:r w:rsidR="00E5192F" w:rsidRPr="00131F67">
        <w:t xml:space="preserve"> per cent of </w:t>
      </w:r>
      <w:r w:rsidR="000D50E0" w:rsidRPr="00EE04A8">
        <w:t>Aboriginal and Torres Strait Islander</w:t>
      </w:r>
      <w:r w:rsidR="000D50E0">
        <w:t xml:space="preserve"> people aged 50 years or over</w:t>
      </w:r>
      <w:r w:rsidR="00E5192F" w:rsidRPr="00131F67">
        <w:t xml:space="preserve"> </w:t>
      </w:r>
      <w:r w:rsidR="004F1184" w:rsidRPr="00131F67">
        <w:t>w</w:t>
      </w:r>
      <w:r w:rsidR="002E56F0" w:rsidRPr="00131F67">
        <w:t>ere</w:t>
      </w:r>
      <w:r w:rsidR="004F1184" w:rsidRPr="00131F67">
        <w:t xml:space="preserve"> fully vaccinated against </w:t>
      </w:r>
      <w:r w:rsidR="000D50E0" w:rsidRPr="00E5192F">
        <w:t>influenza and pneumococcal disease</w:t>
      </w:r>
      <w:r w:rsidR="000D50E0" w:rsidRPr="007C505F">
        <w:t xml:space="preserve"> </w:t>
      </w:r>
      <w:r w:rsidR="000D50E0">
        <w:t xml:space="preserve">in 2011-12 </w:t>
      </w:r>
      <w:r w:rsidR="00E5192F" w:rsidRPr="00131F67">
        <w:t>(</w:t>
      </w:r>
      <w:r w:rsidR="00AD3AC9">
        <w:t>table </w:t>
      </w:r>
      <w:r w:rsidR="00C9076B">
        <w:t>10A.</w:t>
      </w:r>
      <w:r w:rsidR="006F7EC8">
        <w:t>9</w:t>
      </w:r>
      <w:r w:rsidR="00F622DA">
        <w:t>4</w:t>
      </w:r>
      <w:r w:rsidR="00260047">
        <w:t>).</w:t>
      </w:r>
    </w:p>
    <w:p w:rsidR="00C047A1" w:rsidRPr="00944E91" w:rsidRDefault="00C047A1" w:rsidP="00C047A1">
      <w:pPr>
        <w:pStyle w:val="Heading4"/>
      </w:pPr>
      <w:r w:rsidRPr="006C74C6">
        <w:t>Selected potentially preventable hospitalisations</w:t>
      </w:r>
    </w:p>
    <w:p w:rsidR="000B7E6E" w:rsidRDefault="00B90CA0" w:rsidP="00E52E8A">
      <w:pPr>
        <w:pStyle w:val="BodyText"/>
      </w:pPr>
      <w:r>
        <w:t>‘</w:t>
      </w:r>
      <w:r w:rsidRPr="00B90CA0">
        <w:t xml:space="preserve">Selected </w:t>
      </w:r>
      <w:r>
        <w:t>p</w:t>
      </w:r>
      <w:r w:rsidR="0012559F">
        <w:t>otentially preventable hospitalisations</w:t>
      </w:r>
      <w:r>
        <w:t>’</w:t>
      </w:r>
      <w:r w:rsidR="0012559F">
        <w:t xml:space="preserve"> </w:t>
      </w:r>
      <w:r w:rsidRPr="00B90CA0">
        <w:t>is an indicator of governments’ objective to reduce potentially preventable hospitalisations through the delivery of effective primary healthcare services</w:t>
      </w:r>
      <w:r w:rsidR="00CF7C41">
        <w:t xml:space="preserve"> (</w:t>
      </w:r>
      <w:r w:rsidR="00897589">
        <w:t>box 10.</w:t>
      </w:r>
      <w:r w:rsidR="00CF7C41">
        <w:t>24)</w:t>
      </w:r>
      <w:r>
        <w:t>.</w:t>
      </w:r>
    </w:p>
    <w:p w:rsidR="00897589" w:rsidRDefault="0089758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897589" w:rsidTr="00867BB6">
        <w:tc>
          <w:tcPr>
            <w:tcW w:w="8771" w:type="dxa"/>
            <w:tcBorders>
              <w:top w:val="single" w:sz="6" w:space="0" w:color="78A22F"/>
              <w:left w:val="nil"/>
              <w:bottom w:val="nil"/>
              <w:right w:val="nil"/>
            </w:tcBorders>
            <w:shd w:val="clear" w:color="auto" w:fill="F2F2F2" w:themeFill="background1" w:themeFillShade="F2"/>
          </w:tcPr>
          <w:p w:rsidR="00897589" w:rsidRDefault="00897589">
            <w:pPr>
              <w:pStyle w:val="BoxTitle"/>
            </w:pPr>
            <w:r>
              <w:rPr>
                <w:b w:val="0"/>
              </w:rPr>
              <w:t>Box 10.</w:t>
            </w:r>
            <w:r w:rsidR="0078724D">
              <w:rPr>
                <w:b w:val="0"/>
                <w:noProof/>
              </w:rPr>
              <w:t>24</w:t>
            </w:r>
            <w:r>
              <w:tab/>
            </w:r>
            <w:r w:rsidRPr="00B90CA0">
              <w:t xml:space="preserve">Selected </w:t>
            </w:r>
            <w:r>
              <w:t>p</w:t>
            </w:r>
            <w:r w:rsidRPr="000D0082">
              <w:t>otentially preventable hospitalisation</w:t>
            </w:r>
            <w:r>
              <w:t>s</w:t>
            </w:r>
          </w:p>
        </w:tc>
      </w:tr>
      <w:tr w:rsidR="00897589" w:rsidTr="00867BB6">
        <w:trPr>
          <w:cantSplit/>
        </w:trPr>
        <w:tc>
          <w:tcPr>
            <w:tcW w:w="8771" w:type="dxa"/>
            <w:tcBorders>
              <w:top w:val="nil"/>
              <w:left w:val="nil"/>
              <w:bottom w:val="nil"/>
              <w:right w:val="nil"/>
            </w:tcBorders>
            <w:shd w:val="clear" w:color="auto" w:fill="F2F2F2" w:themeFill="background1" w:themeFillShade="F2"/>
          </w:tcPr>
          <w:p w:rsidR="00897589" w:rsidRDefault="00897589" w:rsidP="00867BB6">
            <w:pPr>
              <w:pStyle w:val="Box"/>
            </w:pPr>
            <w:r>
              <w:t>‘Selected p</w:t>
            </w:r>
            <w:r w:rsidRPr="00B709A5">
              <w:t>otentially preventable hospitalisations</w:t>
            </w:r>
            <w:r>
              <w:t xml:space="preserve">’ is defined as </w:t>
            </w:r>
            <w:r w:rsidRPr="007013CD">
              <w:t>hospital admissions that may be avoided by</w:t>
            </w:r>
            <w:r>
              <w:t xml:space="preserve"> effective</w:t>
            </w:r>
            <w:r w:rsidRPr="007013CD">
              <w:t xml:space="preserve"> management</w:t>
            </w:r>
            <w:r>
              <w:t xml:space="preserve"> of </w:t>
            </w:r>
            <w:r w:rsidRPr="007013CD">
              <w:t>illness and injury in the primary and community healthcare sector</w:t>
            </w:r>
            <w:r>
              <w:t xml:space="preserve"> or, in some cases,</w:t>
            </w:r>
            <w:r w:rsidRPr="007013CD">
              <w:t xml:space="preserve"> </w:t>
            </w:r>
            <w:r>
              <w:t>by preventing illness and injury altogether.</w:t>
            </w:r>
          </w:p>
          <w:p w:rsidR="00897589" w:rsidRDefault="00897589" w:rsidP="00867BB6">
            <w:pPr>
              <w:pStyle w:val="Box"/>
            </w:pPr>
            <w:r>
              <w:t>Three measures of selected potentially preventable hospitalisations are reported (the first measure is reported against the indicator of the same name in the NHA):</w:t>
            </w:r>
          </w:p>
          <w:p w:rsidR="00897589" w:rsidRDefault="00897589" w:rsidP="00867BB6">
            <w:pPr>
              <w:pStyle w:val="BoxListBullet"/>
            </w:pPr>
            <w:r>
              <w:t>potentially preventable hospitalisations for selected</w:t>
            </w:r>
            <w:r w:rsidRPr="00EA38DE">
              <w:t xml:space="preserve"> </w:t>
            </w:r>
            <w:r>
              <w:t xml:space="preserve">vaccine preventable, acute and chronic </w:t>
            </w:r>
            <w:r w:rsidRPr="00EA38DE">
              <w:t>conditions</w:t>
            </w:r>
            <w:r>
              <w:t xml:space="preserve"> as </w:t>
            </w:r>
            <w:r w:rsidRPr="003B5421">
              <w:t xml:space="preserve">defined </w:t>
            </w:r>
            <w:r>
              <w:t>in</w:t>
            </w:r>
            <w:r w:rsidRPr="003B5421">
              <w:t xml:space="preserve"> the Victorian Ambulatory Care Sensitive Conditio</w:t>
            </w:r>
            <w:r>
              <w:t xml:space="preserve">ns Study </w:t>
            </w:r>
            <w:r w:rsidR="00DE6986">
              <w:t>(AIHW </w:t>
            </w:r>
            <w:r>
              <w:t>2012b; DHS 2002)</w:t>
            </w:r>
          </w:p>
          <w:p w:rsidR="00897589" w:rsidRDefault="00897589" w:rsidP="00867BB6">
            <w:pPr>
              <w:pStyle w:val="BoxListBullet"/>
            </w:pPr>
            <w:r>
              <w:t xml:space="preserve">potentially preventable hospitalisations for diabetes </w:t>
            </w:r>
          </w:p>
          <w:p w:rsidR="00897589" w:rsidRDefault="00897589" w:rsidP="00867BB6">
            <w:pPr>
              <w:pStyle w:val="BoxListBullet"/>
            </w:pPr>
            <w:r>
              <w:t>potentially preventable hospitalisations of older people for falls.</w:t>
            </w:r>
          </w:p>
          <w:p w:rsidR="00897589" w:rsidRDefault="00897589" w:rsidP="00867BB6">
            <w:pPr>
              <w:pStyle w:val="Box"/>
            </w:pPr>
            <w:r>
              <w:t>Low or decreasing separation rates for selected potentially preventable hospitalisations can indicate improvements in the effectiveness of preventative programs and/or more effective management of selected conditions in the primary and community healthcare sector.</w:t>
            </w:r>
          </w:p>
          <w:p w:rsidR="00897589" w:rsidRDefault="00897589" w:rsidP="00867BB6">
            <w:pPr>
              <w:pStyle w:val="Box"/>
            </w:pPr>
            <w:r>
              <w:t>Factors outside the control of the primary and community healthcare sector also influence hospitalisation rate</w:t>
            </w:r>
            <w:r w:rsidR="00B4364B">
              <w:t>s for these conditions (AIHW 2014a</w:t>
            </w:r>
            <w:r>
              <w:t xml:space="preserve">, </w:t>
            </w:r>
            <w:r w:rsidRPr="00A61BF6">
              <w:t>2012b</w:t>
            </w:r>
            <w:r w:rsidRPr="0076506D">
              <w:t>).</w:t>
            </w:r>
            <w:r>
              <w:t xml:space="preserve"> For example, the underlying prevalence of conditions, patient compliance with treatment and older people’s access to </w:t>
            </w:r>
            <w:r w:rsidRPr="00C5567A">
              <w:t xml:space="preserve">aged care services </w:t>
            </w:r>
            <w:r>
              <w:t>and other support.</w:t>
            </w:r>
          </w:p>
          <w:p w:rsidR="00897589" w:rsidRDefault="00897589" w:rsidP="00867BB6">
            <w:pPr>
              <w:pStyle w:val="Box"/>
            </w:pPr>
            <w:r>
              <w:t>Data reported for this indicator are:</w:t>
            </w:r>
          </w:p>
          <w:p w:rsidR="00897589" w:rsidRPr="007D68D4" w:rsidRDefault="00897589" w:rsidP="00867BB6">
            <w:pPr>
              <w:pStyle w:val="BoxListBullet"/>
              <w:rPr>
                <w:rStyle w:val="DraftingNote"/>
                <w:b w:val="0"/>
                <w:color w:val="auto"/>
                <w:sz w:val="22"/>
                <w:u w:val="none"/>
              </w:rPr>
            </w:pPr>
            <w:r>
              <w:t>comparable (subject to caveats) across jurisdictions and over time except for the measure potentially preventable hospitalisations for diabetes</w:t>
            </w:r>
          </w:p>
          <w:p w:rsidR="00897589" w:rsidRDefault="00897589" w:rsidP="00867BB6">
            <w:pPr>
              <w:pStyle w:val="BoxListBullet"/>
            </w:pPr>
            <w:r>
              <w:t>complete (subject to caveats) for the current reporting period except for the measure potentially preventable hospitalisations for diabetes, for which data are not published for Tasmania, the ACT and the NT. All other required 2011</w:t>
            </w:r>
            <w:r>
              <w:noBreakHyphen/>
              <w:t>12 data are available for all jurisdictions.</w:t>
            </w:r>
          </w:p>
          <w:p w:rsidR="00897589" w:rsidRPr="00C81007" w:rsidRDefault="00897589" w:rsidP="00DE6986">
            <w:pPr>
              <w:pStyle w:val="Box"/>
            </w:pPr>
            <w:r>
              <w:t>Data quality i</w:t>
            </w:r>
            <w:r w:rsidRPr="00134EE4">
              <w:t xml:space="preserve">nformation </w:t>
            </w:r>
            <w:r>
              <w:t>for this indicator</w:t>
            </w:r>
            <w:r w:rsidRPr="00134EE4">
              <w:t xml:space="preserve"> </w:t>
            </w:r>
            <w:r w:rsidR="00786AB7">
              <w:t>is at www.pc.gov.au/</w:t>
            </w:r>
            <w:r>
              <w:t>rogs/201</w:t>
            </w:r>
            <w:r w:rsidR="00DE6986">
              <w:t>5</w:t>
            </w:r>
            <w:r w:rsidRPr="00134EE4">
              <w:t>.</w:t>
            </w:r>
          </w:p>
        </w:tc>
      </w:tr>
      <w:tr w:rsidR="00897589" w:rsidTr="00867BB6">
        <w:trPr>
          <w:cantSplit/>
        </w:trPr>
        <w:tc>
          <w:tcPr>
            <w:tcW w:w="8771" w:type="dxa"/>
            <w:tcBorders>
              <w:top w:val="nil"/>
              <w:left w:val="nil"/>
              <w:bottom w:val="single" w:sz="6" w:space="0" w:color="78A22F"/>
              <w:right w:val="nil"/>
            </w:tcBorders>
            <w:shd w:val="clear" w:color="auto" w:fill="F2F2F2" w:themeFill="background1" w:themeFillShade="F2"/>
          </w:tcPr>
          <w:p w:rsidR="00897589" w:rsidRDefault="00897589">
            <w:pPr>
              <w:pStyle w:val="Box"/>
              <w:spacing w:before="0" w:line="120" w:lineRule="exact"/>
            </w:pPr>
          </w:p>
        </w:tc>
      </w:tr>
      <w:tr w:rsidR="00897589" w:rsidRPr="000863A5" w:rsidTr="00867BB6">
        <w:tc>
          <w:tcPr>
            <w:tcW w:w="8771" w:type="dxa"/>
            <w:tcBorders>
              <w:top w:val="single" w:sz="6" w:space="0" w:color="78A22F"/>
              <w:left w:val="nil"/>
              <w:bottom w:val="nil"/>
              <w:right w:val="nil"/>
            </w:tcBorders>
          </w:tcPr>
          <w:p w:rsidR="00897589" w:rsidRPr="00626D32" w:rsidRDefault="00897589" w:rsidP="00867BB6">
            <w:pPr>
              <w:pStyle w:val="BoxSpaceBelow"/>
            </w:pPr>
          </w:p>
        </w:tc>
      </w:tr>
    </w:tbl>
    <w:p w:rsidR="001E4048" w:rsidRDefault="001E4048" w:rsidP="009A5F51">
      <w:pPr>
        <w:pStyle w:val="Heading5"/>
      </w:pPr>
      <w:bookmarkStart w:id="23" w:name="BoxTitle"/>
      <w:bookmarkEnd w:id="23"/>
      <w:r>
        <w:t>P</w:t>
      </w:r>
      <w:r w:rsidRPr="003773EE">
        <w:t xml:space="preserve">otentially </w:t>
      </w:r>
      <w:r w:rsidRPr="009A5F51">
        <w:t>preventable</w:t>
      </w:r>
      <w:r w:rsidRPr="003773EE">
        <w:t xml:space="preserve"> hospitalisations for </w:t>
      </w:r>
      <w:r>
        <w:t>selected</w:t>
      </w:r>
      <w:r w:rsidRPr="00EA38DE">
        <w:t xml:space="preserve"> </w:t>
      </w:r>
      <w:r>
        <w:t xml:space="preserve">vaccine preventable, acute and chronic </w:t>
      </w:r>
      <w:r w:rsidRPr="00EA38DE">
        <w:t>conditions</w:t>
      </w:r>
    </w:p>
    <w:p w:rsidR="00CE3538" w:rsidRDefault="000F6EF2" w:rsidP="000F6EF2">
      <w:pPr>
        <w:pStyle w:val="BodyText"/>
      </w:pPr>
      <w:r>
        <w:t xml:space="preserve">Studies have shown that hospitalisation rates for selected vaccine preventable, acute and chronic conditions are significantly affected by the availability of care in the primary and community healthcare sector (DHS </w:t>
      </w:r>
      <w:r w:rsidRPr="00F61EC4">
        <w:t>2002</w:t>
      </w:r>
      <w:r w:rsidR="00850FA9">
        <w:t xml:space="preserve">). </w:t>
      </w:r>
      <w:r>
        <w:t xml:space="preserve">These are conditions </w:t>
      </w:r>
      <w:r w:rsidR="00832ADE">
        <w:t>for which hospitalisation can potentially be avoided, through prevention of the condition —</w:t>
      </w:r>
      <w:r>
        <w:t xml:space="preserve"> for example</w:t>
      </w:r>
      <w:r w:rsidR="00832ADE">
        <w:t>,</w:t>
      </w:r>
      <w:r>
        <w:t xml:space="preserve"> through vaccination</w:t>
      </w:r>
      <w:r w:rsidR="00832ADE">
        <w:t xml:space="preserve"> — </w:t>
      </w:r>
      <w:r>
        <w:t>or</w:t>
      </w:r>
      <w:r w:rsidR="00832ADE">
        <w:t xml:space="preserve">, </w:t>
      </w:r>
      <w:r w:rsidR="008C6007">
        <w:t xml:space="preserve">prevention of exacerbations or complications requiring hospitalisation — through </w:t>
      </w:r>
      <w:r w:rsidR="00832ADE">
        <w:t>effective management of the condition in the primary</w:t>
      </w:r>
      <w:r w:rsidR="00832ADE" w:rsidRPr="00964CA6">
        <w:t xml:space="preserve"> </w:t>
      </w:r>
      <w:r w:rsidR="00832ADE">
        <w:t>and community healthcare sector</w:t>
      </w:r>
      <w:r w:rsidR="008C6007">
        <w:t xml:space="preserve">. </w:t>
      </w:r>
      <w:r w:rsidR="00386C3C">
        <w:t>While n</w:t>
      </w:r>
      <w:r>
        <w:t>ot all hospitalisations for the selected conditions can be prevented,</w:t>
      </w:r>
      <w:r w:rsidR="00386C3C">
        <w:t xml:space="preserve"> s</w:t>
      </w:r>
      <w:r w:rsidR="00386C3C" w:rsidRPr="00794D93">
        <w:t xml:space="preserve">trengthening the effectiveness of </w:t>
      </w:r>
      <w:r w:rsidR="00386C3C">
        <w:t xml:space="preserve">primary and community healthcare has </w:t>
      </w:r>
      <w:r w:rsidR="00386C3C" w:rsidRPr="00794D93">
        <w:t xml:space="preserve">considerable potential </w:t>
      </w:r>
      <w:r w:rsidR="00386C3C">
        <w:t>to reduce the need for hospit</w:t>
      </w:r>
      <w:r w:rsidR="00CE3538">
        <w:t>alisation for these conditions.</w:t>
      </w:r>
    </w:p>
    <w:p w:rsidR="00AF5837" w:rsidRPr="000F6EF2" w:rsidRDefault="00CE3538" w:rsidP="00855F86">
      <w:pPr>
        <w:pStyle w:val="BodyText"/>
      </w:pPr>
      <w:r>
        <w:t>Variation in h</w:t>
      </w:r>
      <w:r w:rsidR="000F6EF2">
        <w:t>ospitalisation rates</w:t>
      </w:r>
      <w:r w:rsidR="00386C3C">
        <w:t xml:space="preserve"> </w:t>
      </w:r>
      <w:r>
        <w:t xml:space="preserve">data </w:t>
      </w:r>
      <w:r w:rsidR="005E3949">
        <w:t xml:space="preserve">can also be affected by </w:t>
      </w:r>
      <w:r w:rsidR="00C71403">
        <w:t>differences</w:t>
      </w:r>
      <w:r w:rsidR="00386C3C">
        <w:t xml:space="preserve"> </w:t>
      </w:r>
      <w:r w:rsidR="00AF5837">
        <w:t>in hospital protocols for clinical coding and admission between and within jurisdictions</w:t>
      </w:r>
      <w:r w:rsidR="005E3949">
        <w:t xml:space="preserve">. This </w:t>
      </w:r>
      <w:r>
        <w:t xml:space="preserve">particularly </w:t>
      </w:r>
      <w:r w:rsidR="005E3949">
        <w:t>affects</w:t>
      </w:r>
      <w:r w:rsidR="00C71403">
        <w:t xml:space="preserve"> diagnoses of</w:t>
      </w:r>
      <w:r>
        <w:t xml:space="preserve"> dehydration and gastroenteritis </w:t>
      </w:r>
      <w:r w:rsidR="00010420">
        <w:t>and</w:t>
      </w:r>
      <w:r>
        <w:t xml:space="preserve"> diabetes complications. </w:t>
      </w:r>
      <w:r w:rsidR="00C71403">
        <w:t>Th</w:t>
      </w:r>
      <w:r w:rsidR="005E3949">
        <w:t>e</w:t>
      </w:r>
      <w:r w:rsidR="00C71403">
        <w:t xml:space="preserve"> effect is exacerbated for diabetes hospitalisations data disaggregated by </w:t>
      </w:r>
      <w:r w:rsidR="0062774A">
        <w:t>Indigenous</w:t>
      </w:r>
      <w:r w:rsidR="00C71403">
        <w:t xml:space="preserve"> status because of the high prevalence of diabetes in </w:t>
      </w:r>
      <w:r w:rsidR="00D16EBA">
        <w:t>Aboriginal and Torres Strait Islander</w:t>
      </w:r>
      <w:r w:rsidR="00C71403">
        <w:t xml:space="preserve"> communities.</w:t>
      </w:r>
      <w:r w:rsidR="00644CE1">
        <w:t xml:space="preserve"> </w:t>
      </w:r>
      <w:r w:rsidR="00AF5837">
        <w:t xml:space="preserve">Caution should also be used in time series analysis because of revisions to clinical coding standards and </w:t>
      </w:r>
      <w:r w:rsidR="00AF5837" w:rsidRPr="00AF5837">
        <w:t>improvements in data quality over time</w:t>
      </w:r>
      <w:r w:rsidR="00AF5837">
        <w:t xml:space="preserve">, as well as changes in hospital </w:t>
      </w:r>
      <w:r w:rsidR="003C1684">
        <w:t xml:space="preserve">coding and admission </w:t>
      </w:r>
      <w:r w:rsidR="00AF5837">
        <w:t>protocols.</w:t>
      </w:r>
    </w:p>
    <w:p w:rsidR="000F6EF2" w:rsidRDefault="00237CE0" w:rsidP="000F6EF2">
      <w:pPr>
        <w:pStyle w:val="BodyText"/>
      </w:pPr>
      <w:r>
        <w:t xml:space="preserve">Data are </w:t>
      </w:r>
      <w:r w:rsidR="00726BF4" w:rsidRPr="00816B58">
        <w:t>age</w:t>
      </w:r>
      <w:r w:rsidR="0053761F">
        <w:noBreakHyphen/>
      </w:r>
      <w:r w:rsidR="00726BF4" w:rsidRPr="00816B58">
        <w:t xml:space="preserve">standardised </w:t>
      </w:r>
      <w:r w:rsidR="00726BF4">
        <w:t>to</w:t>
      </w:r>
      <w:r>
        <w:t xml:space="preserve"> </w:t>
      </w:r>
      <w:r w:rsidRPr="005A5078">
        <w:t>account for differences in the age structures of the populations across states and territories</w:t>
      </w:r>
      <w:r>
        <w:t>.</w:t>
      </w:r>
    </w:p>
    <w:p w:rsidR="00DF3F57" w:rsidRPr="00587BB0" w:rsidRDefault="00DF3F57" w:rsidP="003B0E34">
      <w:pPr>
        <w:pStyle w:val="BodyText"/>
        <w:rPr>
          <w:rStyle w:val="DraftingNote"/>
        </w:rPr>
      </w:pPr>
      <w:r w:rsidRPr="00816B58">
        <w:t>Nationally, the age</w:t>
      </w:r>
      <w:r w:rsidR="0053761F">
        <w:noBreakHyphen/>
      </w:r>
      <w:r w:rsidRPr="00816B58">
        <w:t xml:space="preserve">standardised hospital separation rate for </w:t>
      </w:r>
      <w:r w:rsidR="00D30DB6">
        <w:t xml:space="preserve">the </w:t>
      </w:r>
      <w:r w:rsidRPr="0055300E">
        <w:t xml:space="preserve">selected vaccine </w:t>
      </w:r>
      <w:r w:rsidRPr="00D30DB6">
        <w:t xml:space="preserve">preventable, acute and chronic conditions </w:t>
      </w:r>
      <w:r w:rsidR="00D30DB6" w:rsidRPr="00D30DB6">
        <w:t xml:space="preserve">reported here </w:t>
      </w:r>
      <w:r w:rsidRPr="00D30DB6">
        <w:t xml:space="preserve">was </w:t>
      </w:r>
      <w:r w:rsidR="003E7656" w:rsidRPr="003B0E34">
        <w:t>2</w:t>
      </w:r>
      <w:r w:rsidR="00F307F2" w:rsidRPr="003B0E34">
        <w:t>3</w:t>
      </w:r>
      <w:r w:rsidR="003E7656" w:rsidRPr="003B0E34">
        <w:t>.</w:t>
      </w:r>
      <w:r w:rsidR="00F307F2" w:rsidRPr="003B0E34">
        <w:t>9</w:t>
      </w:r>
      <w:r w:rsidRPr="003B0E34">
        <w:t xml:space="preserve"> per 1000 people in </w:t>
      </w:r>
      <w:r w:rsidR="00DE6986" w:rsidRPr="003B0E34">
        <w:t>201</w:t>
      </w:r>
      <w:r w:rsidR="00F307F2" w:rsidRPr="003B0E34">
        <w:t>2</w:t>
      </w:r>
      <w:r w:rsidR="00DE6986" w:rsidRPr="003B0E34">
        <w:noBreakHyphen/>
      </w:r>
      <w:r w:rsidR="003E7656" w:rsidRPr="003B0E34">
        <w:t>1</w:t>
      </w:r>
      <w:r w:rsidR="00F307F2" w:rsidRPr="003B0E34">
        <w:t>3</w:t>
      </w:r>
      <w:r w:rsidRPr="003B0E34">
        <w:t xml:space="preserve"> (</w:t>
      </w:r>
      <w:r w:rsidR="00897589" w:rsidRPr="003B0E34">
        <w:t>table 10.</w:t>
      </w:r>
      <w:r w:rsidR="009821C3" w:rsidRPr="003B0E34">
        <w:t>9</w:t>
      </w:r>
      <w:r w:rsidRPr="003B0E34">
        <w:t xml:space="preserve">). Of these, </w:t>
      </w:r>
      <w:r w:rsidR="00587C3B" w:rsidRPr="003B0E34">
        <w:t>49.5</w:t>
      </w:r>
      <w:r w:rsidRPr="003B0E34">
        <w:t xml:space="preserve"> per cent were for </w:t>
      </w:r>
      <w:r w:rsidR="00587C3B" w:rsidRPr="003B0E34">
        <w:t xml:space="preserve">acute </w:t>
      </w:r>
      <w:r w:rsidRPr="003B0E34">
        <w:t xml:space="preserve">and </w:t>
      </w:r>
      <w:r w:rsidR="00F307F2" w:rsidRPr="003B0E34">
        <w:t>4</w:t>
      </w:r>
      <w:r w:rsidR="00587C3B" w:rsidRPr="003B0E34">
        <w:t>7</w:t>
      </w:r>
      <w:r w:rsidR="003E7656" w:rsidRPr="003B0E34">
        <w:t>.</w:t>
      </w:r>
      <w:r w:rsidR="00587C3B" w:rsidRPr="003B0E34">
        <w:t>2</w:t>
      </w:r>
      <w:r w:rsidRPr="003B0E34">
        <w:t xml:space="preserve"> per cent for </w:t>
      </w:r>
      <w:r w:rsidR="00587C3B" w:rsidRPr="003B0E34">
        <w:t xml:space="preserve">chronic </w:t>
      </w:r>
      <w:r w:rsidRPr="003B0E34">
        <w:t xml:space="preserve">conditions (table </w:t>
      </w:r>
      <w:r w:rsidR="00C9076B" w:rsidRPr="003B0E34">
        <w:t>10A.</w:t>
      </w:r>
      <w:r w:rsidR="00BE6366" w:rsidRPr="003B0E34">
        <w:t>9</w:t>
      </w:r>
      <w:r w:rsidR="005E164A">
        <w:t>5</w:t>
      </w:r>
      <w:r w:rsidRPr="003B0E34">
        <w:t>). Data are presented disaggregated by</w:t>
      </w:r>
      <w:r w:rsidR="0021016E" w:rsidRPr="003B0E34">
        <w:t xml:space="preserve"> </w:t>
      </w:r>
      <w:r w:rsidR="0062774A" w:rsidRPr="003B0E34">
        <w:t>Indigenous</w:t>
      </w:r>
      <w:r w:rsidR="00DE6986">
        <w:t xml:space="preserve"> status in table </w:t>
      </w:r>
      <w:r w:rsidR="00C9076B">
        <w:t>10A.</w:t>
      </w:r>
      <w:r w:rsidR="00D016FB">
        <w:t>9</w:t>
      </w:r>
      <w:r w:rsidR="0008054E">
        <w:t>6</w:t>
      </w:r>
      <w:r w:rsidR="0021016E">
        <w:t xml:space="preserve"> and </w:t>
      </w:r>
      <w:r w:rsidRPr="00D30DB6">
        <w:t>remoteness in</w:t>
      </w:r>
      <w:r w:rsidRPr="006C74C6">
        <w:t xml:space="preserve"> table </w:t>
      </w:r>
      <w:r w:rsidR="00C9076B">
        <w:t>10A.</w:t>
      </w:r>
      <w:r w:rsidR="00BE6366">
        <w:t>9</w:t>
      </w:r>
      <w:r w:rsidR="0008054E">
        <w:t>7</w:t>
      </w:r>
      <w:r w:rsidR="00770D5D" w:rsidRPr="006C74C6">
        <w:t>.</w:t>
      </w:r>
      <w:r w:rsidR="007A321A">
        <w:t xml:space="preserve"> </w:t>
      </w:r>
      <w:r w:rsidR="007A321A" w:rsidRPr="00931CC9">
        <w:t xml:space="preserve">National data by </w:t>
      </w:r>
      <w:r w:rsidR="0062774A">
        <w:t xml:space="preserve">Indigenous </w:t>
      </w:r>
      <w:r w:rsidR="007A321A" w:rsidRPr="00931CC9">
        <w:t>status and remoten</w:t>
      </w:r>
      <w:r w:rsidR="008A25EA">
        <w:t xml:space="preserve">ess are presented in table </w:t>
      </w:r>
      <w:r w:rsidR="00C9076B">
        <w:t>10A.</w:t>
      </w:r>
      <w:r w:rsidR="008A25EA">
        <w:t>9</w:t>
      </w:r>
      <w:r w:rsidR="0008054E">
        <w:t>8</w:t>
      </w:r>
      <w:r w:rsidR="007A321A" w:rsidRPr="00931CC9">
        <w:t>.</w:t>
      </w:r>
    </w:p>
    <w:p w:rsidR="00383971" w:rsidRDefault="00383971" w:rsidP="00867BB6">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383971" w:rsidTr="00867BB6">
        <w:tc>
          <w:tcPr>
            <w:tcW w:w="8771" w:type="dxa"/>
            <w:tcBorders>
              <w:top w:val="single" w:sz="6" w:space="0" w:color="78A22F" w:themeColor="accent1"/>
              <w:left w:val="nil"/>
              <w:bottom w:val="nil"/>
              <w:right w:val="nil"/>
            </w:tcBorders>
            <w:shd w:val="clear" w:color="auto" w:fill="auto"/>
          </w:tcPr>
          <w:p w:rsidR="00383971" w:rsidRPr="00383971" w:rsidRDefault="00383971" w:rsidP="008F6658">
            <w:pPr>
              <w:pStyle w:val="TableTitle"/>
              <w:rPr>
                <w:sz w:val="26"/>
              </w:rPr>
            </w:pPr>
            <w:r>
              <w:rPr>
                <w:b w:val="0"/>
              </w:rPr>
              <w:t>Table 10.</w:t>
            </w:r>
            <w:r w:rsidR="0078724D">
              <w:rPr>
                <w:b w:val="0"/>
                <w:noProof/>
              </w:rPr>
              <w:t>9</w:t>
            </w:r>
            <w:r>
              <w:tab/>
            </w:r>
            <w:r w:rsidRPr="00816B58">
              <w:t xml:space="preserve">Separations for </w:t>
            </w:r>
            <w:r>
              <w:t>selected p</w:t>
            </w:r>
            <w:r w:rsidRPr="00816B58">
              <w:t>otentially preventable hospitalisations</w:t>
            </w:r>
            <w:r>
              <w:t xml:space="preserve"> per 1000 people</w:t>
            </w:r>
            <w:r w:rsidRPr="0039681F">
              <w:t>, 201</w:t>
            </w:r>
            <w:r w:rsidR="008F6658" w:rsidRPr="0039681F">
              <w:t>2</w:t>
            </w:r>
            <w:r w:rsidRPr="0039681F">
              <w:t>-1</w:t>
            </w:r>
            <w:r w:rsidR="008F6658" w:rsidRPr="0039681F">
              <w:t>3</w:t>
            </w:r>
            <w:r w:rsidRPr="0039681F">
              <w:rPr>
                <w:rStyle w:val="NoteLabel"/>
                <w:b/>
              </w:rPr>
              <w:t>a, b</w:t>
            </w:r>
            <w:r w:rsidR="00D72DA6">
              <w:rPr>
                <w:rStyle w:val="NoteLabel"/>
                <w:b/>
              </w:rPr>
              <w:t>, c</w:t>
            </w:r>
          </w:p>
        </w:tc>
      </w:tr>
      <w:tr w:rsidR="00383971" w:rsidTr="003B0E34">
        <w:trPr>
          <w:cantSplit/>
        </w:trPr>
        <w:tc>
          <w:tcPr>
            <w:tcW w:w="8771" w:type="dxa"/>
            <w:tcBorders>
              <w:top w:val="nil"/>
              <w:left w:val="nil"/>
              <w:bottom w:val="nil"/>
              <w:right w:val="nil"/>
            </w:tcBorders>
            <w:shd w:val="clear" w:color="auto" w:fill="auto"/>
          </w:tcPr>
          <w:tbl>
            <w:tblPr>
              <w:tblW w:w="4974" w:type="pct"/>
              <w:tblCellMar>
                <w:left w:w="0" w:type="dxa"/>
                <w:right w:w="0" w:type="dxa"/>
              </w:tblCellMar>
              <w:tblLook w:val="0000" w:firstRow="0" w:lastRow="0" w:firstColumn="0" w:lastColumn="0" w:noHBand="0" w:noVBand="0"/>
            </w:tblPr>
            <w:tblGrid>
              <w:gridCol w:w="2672"/>
              <w:gridCol w:w="646"/>
              <w:gridCol w:w="639"/>
              <w:gridCol w:w="640"/>
              <w:gridCol w:w="639"/>
              <w:gridCol w:w="640"/>
              <w:gridCol w:w="639"/>
              <w:gridCol w:w="641"/>
              <w:gridCol w:w="639"/>
              <w:gridCol w:w="648"/>
            </w:tblGrid>
            <w:tr w:rsidR="00383971" w:rsidRPr="002C4939" w:rsidTr="0039681F">
              <w:tc>
                <w:tcPr>
                  <w:tcW w:w="2672" w:type="dxa"/>
                  <w:tcBorders>
                    <w:top w:val="single" w:sz="4" w:space="0" w:color="BFBFBF"/>
                    <w:bottom w:val="single" w:sz="4" w:space="0" w:color="BFBFBF"/>
                  </w:tcBorders>
                  <w:shd w:val="clear" w:color="auto" w:fill="auto"/>
                </w:tcPr>
                <w:p w:rsidR="00383971" w:rsidRPr="000B749E" w:rsidRDefault="00383971" w:rsidP="000B749E">
                  <w:pPr>
                    <w:pStyle w:val="TableColumnHeading"/>
                  </w:pPr>
                </w:p>
              </w:tc>
              <w:tc>
                <w:tcPr>
                  <w:tcW w:w="646" w:type="dxa"/>
                  <w:tcBorders>
                    <w:top w:val="single" w:sz="4" w:space="0" w:color="BFBFBF"/>
                    <w:bottom w:val="single" w:sz="4" w:space="0" w:color="BFBFBF"/>
                  </w:tcBorders>
                  <w:shd w:val="clear" w:color="auto" w:fill="auto"/>
                </w:tcPr>
                <w:p w:rsidR="00383971" w:rsidRPr="000B749E" w:rsidRDefault="00383971" w:rsidP="000B749E">
                  <w:pPr>
                    <w:pStyle w:val="TableColumnHeading"/>
                  </w:pPr>
                  <w:r w:rsidRPr="000B749E">
                    <w:t>NSW</w:t>
                  </w:r>
                </w:p>
              </w:tc>
              <w:tc>
                <w:tcPr>
                  <w:tcW w:w="639" w:type="dxa"/>
                  <w:tcBorders>
                    <w:top w:val="single" w:sz="4" w:space="0" w:color="BFBFBF"/>
                    <w:bottom w:val="single" w:sz="4" w:space="0" w:color="BFBFBF"/>
                  </w:tcBorders>
                  <w:shd w:val="clear" w:color="auto" w:fill="auto"/>
                </w:tcPr>
                <w:p w:rsidR="00383971" w:rsidRPr="000B749E" w:rsidRDefault="00383971" w:rsidP="000B749E">
                  <w:pPr>
                    <w:pStyle w:val="TableColumnHeading"/>
                  </w:pPr>
                  <w:r w:rsidRPr="000B749E">
                    <w:t>Vic</w:t>
                  </w:r>
                </w:p>
              </w:tc>
              <w:tc>
                <w:tcPr>
                  <w:tcW w:w="640" w:type="dxa"/>
                  <w:tcBorders>
                    <w:top w:val="single" w:sz="4" w:space="0" w:color="BFBFBF"/>
                    <w:bottom w:val="single" w:sz="4" w:space="0" w:color="BFBFBF"/>
                  </w:tcBorders>
                  <w:shd w:val="clear" w:color="auto" w:fill="auto"/>
                </w:tcPr>
                <w:p w:rsidR="00383971" w:rsidRPr="000B749E" w:rsidRDefault="00383971" w:rsidP="000B749E">
                  <w:pPr>
                    <w:pStyle w:val="TableColumnHeading"/>
                  </w:pPr>
                  <w:r w:rsidRPr="000B749E">
                    <w:t>Qld</w:t>
                  </w:r>
                </w:p>
              </w:tc>
              <w:tc>
                <w:tcPr>
                  <w:tcW w:w="639" w:type="dxa"/>
                  <w:tcBorders>
                    <w:top w:val="single" w:sz="4" w:space="0" w:color="BFBFBF"/>
                    <w:bottom w:val="single" w:sz="4" w:space="0" w:color="BFBFBF"/>
                  </w:tcBorders>
                  <w:shd w:val="clear" w:color="auto" w:fill="auto"/>
                </w:tcPr>
                <w:p w:rsidR="00383971" w:rsidRPr="000B749E" w:rsidRDefault="00383971" w:rsidP="000B749E">
                  <w:pPr>
                    <w:pStyle w:val="TableColumnHeading"/>
                  </w:pPr>
                  <w:r w:rsidRPr="000B749E">
                    <w:t>WA</w:t>
                  </w:r>
                </w:p>
              </w:tc>
              <w:tc>
                <w:tcPr>
                  <w:tcW w:w="640" w:type="dxa"/>
                  <w:tcBorders>
                    <w:top w:val="single" w:sz="4" w:space="0" w:color="BFBFBF"/>
                    <w:bottom w:val="single" w:sz="4" w:space="0" w:color="BFBFBF"/>
                  </w:tcBorders>
                  <w:shd w:val="clear" w:color="auto" w:fill="auto"/>
                </w:tcPr>
                <w:p w:rsidR="00383971" w:rsidRPr="000B749E" w:rsidRDefault="00383971" w:rsidP="000B749E">
                  <w:pPr>
                    <w:pStyle w:val="TableColumnHeading"/>
                  </w:pPr>
                  <w:r w:rsidRPr="000B749E">
                    <w:t>SA</w:t>
                  </w:r>
                </w:p>
              </w:tc>
              <w:tc>
                <w:tcPr>
                  <w:tcW w:w="639" w:type="dxa"/>
                  <w:tcBorders>
                    <w:top w:val="single" w:sz="4" w:space="0" w:color="BFBFBF"/>
                    <w:bottom w:val="single" w:sz="4" w:space="0" w:color="BFBFBF"/>
                  </w:tcBorders>
                  <w:shd w:val="clear" w:color="auto" w:fill="auto"/>
                </w:tcPr>
                <w:p w:rsidR="00383971" w:rsidRPr="000B749E" w:rsidRDefault="00383971" w:rsidP="000B749E">
                  <w:pPr>
                    <w:pStyle w:val="TableColumnHeading"/>
                  </w:pPr>
                  <w:r w:rsidRPr="000B749E">
                    <w:t>Tas</w:t>
                  </w:r>
                </w:p>
              </w:tc>
              <w:tc>
                <w:tcPr>
                  <w:tcW w:w="641" w:type="dxa"/>
                  <w:tcBorders>
                    <w:top w:val="single" w:sz="4" w:space="0" w:color="BFBFBF"/>
                    <w:bottom w:val="single" w:sz="4" w:space="0" w:color="BFBFBF"/>
                  </w:tcBorders>
                  <w:shd w:val="clear" w:color="auto" w:fill="auto"/>
                </w:tcPr>
                <w:p w:rsidR="00383971" w:rsidRPr="000B749E" w:rsidRDefault="00383971" w:rsidP="000B749E">
                  <w:pPr>
                    <w:pStyle w:val="TableColumnHeading"/>
                  </w:pPr>
                  <w:r w:rsidRPr="000B749E">
                    <w:t>ACT</w:t>
                  </w:r>
                </w:p>
              </w:tc>
              <w:tc>
                <w:tcPr>
                  <w:tcW w:w="639" w:type="dxa"/>
                  <w:tcBorders>
                    <w:top w:val="single" w:sz="4" w:space="0" w:color="BFBFBF"/>
                    <w:bottom w:val="single" w:sz="4" w:space="0" w:color="BFBFBF"/>
                  </w:tcBorders>
                  <w:shd w:val="clear" w:color="auto" w:fill="auto"/>
                </w:tcPr>
                <w:p w:rsidR="00383971" w:rsidRPr="000B749E" w:rsidRDefault="00383971" w:rsidP="000B749E">
                  <w:pPr>
                    <w:pStyle w:val="TableColumnHeading"/>
                  </w:pPr>
                  <w:r w:rsidRPr="000B749E">
                    <w:t>NT</w:t>
                  </w:r>
                </w:p>
              </w:tc>
              <w:tc>
                <w:tcPr>
                  <w:tcW w:w="648" w:type="dxa"/>
                  <w:tcBorders>
                    <w:top w:val="single" w:sz="4" w:space="0" w:color="BFBFBF"/>
                    <w:bottom w:val="single" w:sz="4" w:space="0" w:color="BFBFBF"/>
                  </w:tcBorders>
                  <w:shd w:val="clear" w:color="auto" w:fill="auto"/>
                </w:tcPr>
                <w:p w:rsidR="00383971" w:rsidRPr="000B749E" w:rsidRDefault="00383971" w:rsidP="000B749E">
                  <w:pPr>
                    <w:pStyle w:val="TableColumnHeading"/>
                  </w:pPr>
                  <w:r w:rsidRPr="000B749E">
                    <w:t>Aust</w:t>
                  </w:r>
                  <w:r w:rsidR="00D72DA6">
                    <w:rPr>
                      <w:rStyle w:val="NoteLabel"/>
                      <w:i w:val="0"/>
                      <w:position w:val="0"/>
                      <w:sz w:val="20"/>
                      <w:vertAlign w:val="superscript"/>
                    </w:rPr>
                    <w:t>d</w:t>
                  </w:r>
                </w:p>
              </w:tc>
            </w:tr>
            <w:tr w:rsidR="008F6658" w:rsidRPr="002A7E31" w:rsidTr="0039681F">
              <w:tc>
                <w:tcPr>
                  <w:tcW w:w="2672" w:type="dxa"/>
                  <w:tcBorders>
                    <w:top w:val="single" w:sz="4" w:space="0" w:color="BFBFBF"/>
                  </w:tcBorders>
                </w:tcPr>
                <w:p w:rsidR="008F6658" w:rsidRPr="002C4939" w:rsidRDefault="008F6658" w:rsidP="00867BB6">
                  <w:pPr>
                    <w:pStyle w:val="TableBodyText"/>
                    <w:spacing w:before="40" w:afterLines="40" w:after="96"/>
                    <w:ind w:right="57"/>
                    <w:jc w:val="left"/>
                  </w:pPr>
                  <w:r w:rsidRPr="002C4939">
                    <w:t>Vaccine preventable conditions</w:t>
                  </w:r>
                </w:p>
              </w:tc>
              <w:tc>
                <w:tcPr>
                  <w:tcW w:w="646" w:type="dxa"/>
                  <w:tcBorders>
                    <w:top w:val="single" w:sz="4" w:space="0" w:color="BFBFBF"/>
                  </w:tcBorders>
                  <w:shd w:val="clear" w:color="auto" w:fill="auto"/>
                  <w:vAlign w:val="bottom"/>
                </w:tcPr>
                <w:p w:rsidR="008F6658" w:rsidRPr="003B0E34" w:rsidRDefault="008F6658" w:rsidP="008F6658">
                  <w:pPr>
                    <w:pStyle w:val="TableBodyText"/>
                  </w:pPr>
                  <w:r w:rsidRPr="003B0E34">
                    <w:t xml:space="preserve">  0.7</w:t>
                  </w:r>
                </w:p>
              </w:tc>
              <w:tc>
                <w:tcPr>
                  <w:tcW w:w="639" w:type="dxa"/>
                  <w:tcBorders>
                    <w:top w:val="single" w:sz="4" w:space="0" w:color="BFBFBF"/>
                  </w:tcBorders>
                  <w:shd w:val="clear" w:color="auto" w:fill="auto"/>
                  <w:vAlign w:val="bottom"/>
                </w:tcPr>
                <w:p w:rsidR="008F6658" w:rsidRPr="003B0E34" w:rsidRDefault="008F6658" w:rsidP="008F6658">
                  <w:pPr>
                    <w:pStyle w:val="TableBodyText"/>
                  </w:pPr>
                  <w:r w:rsidRPr="003B0E34">
                    <w:t xml:space="preserve">  0.8</w:t>
                  </w:r>
                </w:p>
              </w:tc>
              <w:tc>
                <w:tcPr>
                  <w:tcW w:w="640" w:type="dxa"/>
                  <w:tcBorders>
                    <w:top w:val="single" w:sz="4" w:space="0" w:color="BFBFBF"/>
                  </w:tcBorders>
                  <w:shd w:val="clear" w:color="auto" w:fill="auto"/>
                  <w:vAlign w:val="bottom"/>
                </w:tcPr>
                <w:p w:rsidR="008F6658" w:rsidRPr="003B0E34" w:rsidRDefault="008F6658" w:rsidP="008F6658">
                  <w:pPr>
                    <w:pStyle w:val="TableBodyText"/>
                  </w:pPr>
                  <w:r w:rsidRPr="003B0E34">
                    <w:t xml:space="preserve">  1.1</w:t>
                  </w:r>
                </w:p>
              </w:tc>
              <w:tc>
                <w:tcPr>
                  <w:tcW w:w="639" w:type="dxa"/>
                  <w:tcBorders>
                    <w:top w:val="single" w:sz="4" w:space="0" w:color="BFBFBF"/>
                  </w:tcBorders>
                  <w:shd w:val="clear" w:color="auto" w:fill="auto"/>
                  <w:vAlign w:val="bottom"/>
                </w:tcPr>
                <w:p w:rsidR="008F6658" w:rsidRPr="003B0E34" w:rsidRDefault="008F6658" w:rsidP="008F6658">
                  <w:pPr>
                    <w:pStyle w:val="TableBodyText"/>
                  </w:pPr>
                  <w:r w:rsidRPr="003B0E34">
                    <w:t xml:space="preserve">  1.0</w:t>
                  </w:r>
                </w:p>
              </w:tc>
              <w:tc>
                <w:tcPr>
                  <w:tcW w:w="640" w:type="dxa"/>
                  <w:tcBorders>
                    <w:top w:val="single" w:sz="4" w:space="0" w:color="BFBFBF"/>
                  </w:tcBorders>
                  <w:shd w:val="clear" w:color="auto" w:fill="auto"/>
                  <w:vAlign w:val="bottom"/>
                </w:tcPr>
                <w:p w:rsidR="008F6658" w:rsidRPr="003B0E34" w:rsidRDefault="008F6658" w:rsidP="008F6658">
                  <w:pPr>
                    <w:pStyle w:val="TableBodyText"/>
                  </w:pPr>
                  <w:r w:rsidRPr="003B0E34">
                    <w:t xml:space="preserve">  1.1</w:t>
                  </w:r>
                </w:p>
              </w:tc>
              <w:tc>
                <w:tcPr>
                  <w:tcW w:w="639" w:type="dxa"/>
                  <w:tcBorders>
                    <w:top w:val="single" w:sz="4" w:space="0" w:color="BFBFBF"/>
                  </w:tcBorders>
                  <w:shd w:val="clear" w:color="auto" w:fill="auto"/>
                  <w:vAlign w:val="bottom"/>
                </w:tcPr>
                <w:p w:rsidR="008F6658" w:rsidRPr="003B0E34" w:rsidRDefault="008F6658" w:rsidP="008F6658">
                  <w:pPr>
                    <w:pStyle w:val="TableBodyText"/>
                  </w:pPr>
                  <w:r w:rsidRPr="003B0E34">
                    <w:t xml:space="preserve">  1.0</w:t>
                  </w:r>
                </w:p>
              </w:tc>
              <w:tc>
                <w:tcPr>
                  <w:tcW w:w="641" w:type="dxa"/>
                  <w:tcBorders>
                    <w:top w:val="single" w:sz="4" w:space="0" w:color="BFBFBF"/>
                  </w:tcBorders>
                  <w:shd w:val="clear" w:color="auto" w:fill="auto"/>
                  <w:vAlign w:val="bottom"/>
                </w:tcPr>
                <w:p w:rsidR="008F6658" w:rsidRPr="003B0E34" w:rsidRDefault="008F6658" w:rsidP="008F6658">
                  <w:pPr>
                    <w:pStyle w:val="TableBodyText"/>
                  </w:pPr>
                  <w:r w:rsidRPr="003B0E34">
                    <w:t xml:space="preserve">  0.8</w:t>
                  </w:r>
                </w:p>
              </w:tc>
              <w:tc>
                <w:tcPr>
                  <w:tcW w:w="639" w:type="dxa"/>
                  <w:tcBorders>
                    <w:top w:val="single" w:sz="4" w:space="0" w:color="BFBFBF"/>
                  </w:tcBorders>
                  <w:shd w:val="clear" w:color="auto" w:fill="auto"/>
                  <w:vAlign w:val="bottom"/>
                </w:tcPr>
                <w:p w:rsidR="008F6658" w:rsidRPr="003B0E34" w:rsidRDefault="008F6658" w:rsidP="008F6658">
                  <w:pPr>
                    <w:pStyle w:val="TableBodyText"/>
                  </w:pPr>
                  <w:r w:rsidRPr="003B0E34">
                    <w:t xml:space="preserve">  3.7</w:t>
                  </w:r>
                </w:p>
              </w:tc>
              <w:tc>
                <w:tcPr>
                  <w:tcW w:w="648" w:type="dxa"/>
                  <w:tcBorders>
                    <w:top w:val="single" w:sz="4" w:space="0" w:color="BFBFBF"/>
                  </w:tcBorders>
                  <w:shd w:val="clear" w:color="auto" w:fill="auto"/>
                  <w:vAlign w:val="bottom"/>
                </w:tcPr>
                <w:p w:rsidR="008F6658" w:rsidRPr="003B0E34" w:rsidRDefault="008F6658" w:rsidP="008F6658">
                  <w:pPr>
                    <w:pStyle w:val="TableBodyText"/>
                  </w:pPr>
                  <w:r w:rsidRPr="003B0E34">
                    <w:t xml:space="preserve">  0.9</w:t>
                  </w:r>
                </w:p>
              </w:tc>
            </w:tr>
            <w:tr w:rsidR="008F6658" w:rsidRPr="002A7E31" w:rsidTr="0039681F">
              <w:tc>
                <w:tcPr>
                  <w:tcW w:w="2672" w:type="dxa"/>
                </w:tcPr>
                <w:p w:rsidR="008F6658" w:rsidRPr="002C4939" w:rsidRDefault="008F6658" w:rsidP="00867BB6">
                  <w:pPr>
                    <w:pStyle w:val="TableBodyText"/>
                    <w:spacing w:afterLines="40" w:after="96"/>
                    <w:ind w:right="57"/>
                    <w:jc w:val="left"/>
                  </w:pPr>
                  <w:r>
                    <w:t>Selected a</w:t>
                  </w:r>
                  <w:r w:rsidRPr="005A6042">
                    <w:t>cute conditions</w:t>
                  </w:r>
                  <w:r w:rsidR="00D72DA6">
                    <w:rPr>
                      <w:rStyle w:val="NoteLabel"/>
                    </w:rPr>
                    <w:t>e</w:t>
                  </w:r>
                  <w:r w:rsidRPr="005A6042">
                    <w:t xml:space="preserve"> </w:t>
                  </w:r>
                </w:p>
              </w:tc>
              <w:tc>
                <w:tcPr>
                  <w:tcW w:w="646" w:type="dxa"/>
                  <w:shd w:val="clear" w:color="auto" w:fill="auto"/>
                  <w:vAlign w:val="bottom"/>
                </w:tcPr>
                <w:p w:rsidR="008F6658" w:rsidRPr="003B0E34" w:rsidRDefault="008F6658" w:rsidP="008F6658">
                  <w:pPr>
                    <w:pStyle w:val="TableBodyText"/>
                  </w:pPr>
                  <w:r w:rsidRPr="003B0E34">
                    <w:t xml:space="preserve">  10.8</w:t>
                  </w:r>
                </w:p>
              </w:tc>
              <w:tc>
                <w:tcPr>
                  <w:tcW w:w="639" w:type="dxa"/>
                  <w:shd w:val="clear" w:color="auto" w:fill="auto"/>
                  <w:vAlign w:val="bottom"/>
                </w:tcPr>
                <w:p w:rsidR="008F6658" w:rsidRPr="003B0E34" w:rsidRDefault="008F6658" w:rsidP="008F6658">
                  <w:pPr>
                    <w:pStyle w:val="TableBodyText"/>
                  </w:pPr>
                  <w:r w:rsidRPr="003B0E34">
                    <w:t xml:space="preserve">  10.2</w:t>
                  </w:r>
                </w:p>
              </w:tc>
              <w:tc>
                <w:tcPr>
                  <w:tcW w:w="640" w:type="dxa"/>
                  <w:shd w:val="clear" w:color="auto" w:fill="auto"/>
                  <w:vAlign w:val="bottom"/>
                </w:tcPr>
                <w:p w:rsidR="008F6658" w:rsidRPr="003B0E34" w:rsidRDefault="008F6658" w:rsidP="008F6658">
                  <w:pPr>
                    <w:pStyle w:val="TableBodyText"/>
                  </w:pPr>
                  <w:r w:rsidRPr="003B0E34">
                    <w:t xml:space="preserve">  13.8</w:t>
                  </w:r>
                </w:p>
              </w:tc>
              <w:tc>
                <w:tcPr>
                  <w:tcW w:w="639" w:type="dxa"/>
                  <w:shd w:val="clear" w:color="auto" w:fill="auto"/>
                  <w:vAlign w:val="bottom"/>
                </w:tcPr>
                <w:p w:rsidR="008F6658" w:rsidRPr="003B0E34" w:rsidRDefault="008F6658" w:rsidP="008F6658">
                  <w:pPr>
                    <w:pStyle w:val="TableBodyText"/>
                  </w:pPr>
                  <w:r w:rsidRPr="003B0E34">
                    <w:t xml:space="preserve">  13.6</w:t>
                  </w:r>
                </w:p>
              </w:tc>
              <w:tc>
                <w:tcPr>
                  <w:tcW w:w="640" w:type="dxa"/>
                  <w:shd w:val="clear" w:color="auto" w:fill="auto"/>
                  <w:vAlign w:val="bottom"/>
                </w:tcPr>
                <w:p w:rsidR="008F6658" w:rsidRPr="003B0E34" w:rsidRDefault="008F6658" w:rsidP="008F6658">
                  <w:pPr>
                    <w:pStyle w:val="TableBodyText"/>
                  </w:pPr>
                  <w:r w:rsidRPr="003B0E34">
                    <w:t xml:space="preserve">  13.6</w:t>
                  </w:r>
                </w:p>
              </w:tc>
              <w:tc>
                <w:tcPr>
                  <w:tcW w:w="639" w:type="dxa"/>
                  <w:shd w:val="clear" w:color="auto" w:fill="auto"/>
                  <w:vAlign w:val="bottom"/>
                </w:tcPr>
                <w:p w:rsidR="008F6658" w:rsidRPr="003B0E34" w:rsidRDefault="008F6658" w:rsidP="008F6658">
                  <w:pPr>
                    <w:pStyle w:val="TableBodyText"/>
                  </w:pPr>
                  <w:r w:rsidRPr="003B0E34">
                    <w:t xml:space="preserve">  9.9</w:t>
                  </w:r>
                </w:p>
              </w:tc>
              <w:tc>
                <w:tcPr>
                  <w:tcW w:w="641" w:type="dxa"/>
                  <w:shd w:val="clear" w:color="auto" w:fill="auto"/>
                  <w:vAlign w:val="bottom"/>
                </w:tcPr>
                <w:p w:rsidR="008F6658" w:rsidRPr="003B0E34" w:rsidRDefault="008F6658" w:rsidP="008F6658">
                  <w:pPr>
                    <w:pStyle w:val="TableBodyText"/>
                  </w:pPr>
                  <w:r w:rsidRPr="003B0E34">
                    <w:t xml:space="preserve">  9.3</w:t>
                  </w:r>
                </w:p>
              </w:tc>
              <w:tc>
                <w:tcPr>
                  <w:tcW w:w="639" w:type="dxa"/>
                  <w:shd w:val="clear" w:color="auto" w:fill="auto"/>
                  <w:vAlign w:val="bottom"/>
                </w:tcPr>
                <w:p w:rsidR="008F6658" w:rsidRPr="003B0E34" w:rsidRDefault="008F6658" w:rsidP="008F6658">
                  <w:pPr>
                    <w:pStyle w:val="TableBodyText"/>
                  </w:pPr>
                  <w:r w:rsidRPr="003B0E34">
                    <w:t xml:space="preserve">  20.5</w:t>
                  </w:r>
                </w:p>
              </w:tc>
              <w:tc>
                <w:tcPr>
                  <w:tcW w:w="648" w:type="dxa"/>
                  <w:shd w:val="clear" w:color="auto" w:fill="auto"/>
                  <w:vAlign w:val="bottom"/>
                </w:tcPr>
                <w:p w:rsidR="008F6658" w:rsidRPr="003B0E34" w:rsidRDefault="008F6658" w:rsidP="008F6658">
                  <w:pPr>
                    <w:pStyle w:val="TableBodyText"/>
                  </w:pPr>
                  <w:r w:rsidRPr="003B0E34">
                    <w:t xml:space="preserve">  11.8</w:t>
                  </w:r>
                </w:p>
              </w:tc>
            </w:tr>
            <w:tr w:rsidR="008F6658" w:rsidRPr="002A7E31" w:rsidTr="0039681F">
              <w:tc>
                <w:tcPr>
                  <w:tcW w:w="2672" w:type="dxa"/>
                </w:tcPr>
                <w:p w:rsidR="008F6658" w:rsidRPr="002C4939" w:rsidRDefault="008F6658" w:rsidP="00867BB6">
                  <w:pPr>
                    <w:pStyle w:val="TableBodyText"/>
                    <w:spacing w:afterLines="40" w:after="96"/>
                    <w:ind w:right="57"/>
                    <w:jc w:val="left"/>
                  </w:pPr>
                  <w:r w:rsidRPr="002C4939">
                    <w:t>Selected chronic conditions</w:t>
                  </w:r>
                  <w:r w:rsidR="00D72DA6">
                    <w:rPr>
                      <w:rStyle w:val="NoteLabel"/>
                    </w:rPr>
                    <w:t>f</w:t>
                  </w:r>
                  <w:r>
                    <w:t xml:space="preserve"> </w:t>
                  </w:r>
                </w:p>
              </w:tc>
              <w:tc>
                <w:tcPr>
                  <w:tcW w:w="646" w:type="dxa"/>
                  <w:shd w:val="clear" w:color="auto" w:fill="auto"/>
                  <w:vAlign w:val="bottom"/>
                </w:tcPr>
                <w:p w:rsidR="008F6658" w:rsidRPr="003B0E34" w:rsidRDefault="008F6658" w:rsidP="008F6658">
                  <w:pPr>
                    <w:pStyle w:val="TableBodyText"/>
                  </w:pPr>
                  <w:r w:rsidRPr="003B0E34">
                    <w:t xml:space="preserve">  10.4</w:t>
                  </w:r>
                </w:p>
              </w:tc>
              <w:tc>
                <w:tcPr>
                  <w:tcW w:w="639" w:type="dxa"/>
                  <w:shd w:val="clear" w:color="auto" w:fill="auto"/>
                  <w:vAlign w:val="bottom"/>
                </w:tcPr>
                <w:p w:rsidR="008F6658" w:rsidRPr="003B0E34" w:rsidRDefault="008F6658" w:rsidP="008F6658">
                  <w:pPr>
                    <w:pStyle w:val="TableBodyText"/>
                  </w:pPr>
                  <w:r w:rsidRPr="003B0E34">
                    <w:t xml:space="preserve">  10.8</w:t>
                  </w:r>
                </w:p>
              </w:tc>
              <w:tc>
                <w:tcPr>
                  <w:tcW w:w="640" w:type="dxa"/>
                  <w:shd w:val="clear" w:color="auto" w:fill="auto"/>
                  <w:vAlign w:val="bottom"/>
                </w:tcPr>
                <w:p w:rsidR="008F6658" w:rsidRPr="003B0E34" w:rsidRDefault="008F6658" w:rsidP="008F6658">
                  <w:pPr>
                    <w:pStyle w:val="TableBodyText"/>
                  </w:pPr>
                  <w:r w:rsidRPr="003B0E34">
                    <w:t xml:space="preserve">  12.9</w:t>
                  </w:r>
                </w:p>
              </w:tc>
              <w:tc>
                <w:tcPr>
                  <w:tcW w:w="639" w:type="dxa"/>
                  <w:shd w:val="clear" w:color="auto" w:fill="auto"/>
                  <w:vAlign w:val="bottom"/>
                </w:tcPr>
                <w:p w:rsidR="008F6658" w:rsidRPr="003B0E34" w:rsidRDefault="008F6658" w:rsidP="008F6658">
                  <w:pPr>
                    <w:pStyle w:val="TableBodyText"/>
                  </w:pPr>
                  <w:r w:rsidRPr="003B0E34">
                    <w:t xml:space="preserve">  11.3</w:t>
                  </w:r>
                </w:p>
              </w:tc>
              <w:tc>
                <w:tcPr>
                  <w:tcW w:w="640" w:type="dxa"/>
                  <w:shd w:val="clear" w:color="auto" w:fill="auto"/>
                  <w:vAlign w:val="bottom"/>
                </w:tcPr>
                <w:p w:rsidR="008F6658" w:rsidRPr="003B0E34" w:rsidRDefault="008F6658" w:rsidP="008F6658">
                  <w:pPr>
                    <w:pStyle w:val="TableBodyText"/>
                  </w:pPr>
                  <w:r w:rsidRPr="003B0E34">
                    <w:t xml:space="preserve">  11.9</w:t>
                  </w:r>
                </w:p>
              </w:tc>
              <w:tc>
                <w:tcPr>
                  <w:tcW w:w="639" w:type="dxa"/>
                  <w:shd w:val="clear" w:color="auto" w:fill="auto"/>
                  <w:vAlign w:val="bottom"/>
                </w:tcPr>
                <w:p w:rsidR="008F6658" w:rsidRPr="003B0E34" w:rsidRDefault="008F6658" w:rsidP="008F6658">
                  <w:pPr>
                    <w:pStyle w:val="TableBodyText"/>
                  </w:pPr>
                  <w:r w:rsidRPr="003B0E34">
                    <w:t xml:space="preserve">  10.1</w:t>
                  </w:r>
                </w:p>
              </w:tc>
              <w:tc>
                <w:tcPr>
                  <w:tcW w:w="641" w:type="dxa"/>
                  <w:shd w:val="clear" w:color="auto" w:fill="auto"/>
                  <w:vAlign w:val="bottom"/>
                </w:tcPr>
                <w:p w:rsidR="008F6658" w:rsidRPr="003B0E34" w:rsidRDefault="008F6658" w:rsidP="008F6658">
                  <w:pPr>
                    <w:pStyle w:val="TableBodyText"/>
                  </w:pPr>
                  <w:r w:rsidRPr="003B0E34">
                    <w:t xml:space="preserve">  8.3</w:t>
                  </w:r>
                </w:p>
              </w:tc>
              <w:tc>
                <w:tcPr>
                  <w:tcW w:w="639" w:type="dxa"/>
                  <w:shd w:val="clear" w:color="auto" w:fill="auto"/>
                  <w:vAlign w:val="bottom"/>
                </w:tcPr>
                <w:p w:rsidR="008F6658" w:rsidRPr="003B0E34" w:rsidRDefault="008F6658" w:rsidP="008F6658">
                  <w:pPr>
                    <w:pStyle w:val="TableBodyText"/>
                  </w:pPr>
                  <w:r w:rsidRPr="003B0E34">
                    <w:t xml:space="preserve">  22.1</w:t>
                  </w:r>
                </w:p>
              </w:tc>
              <w:tc>
                <w:tcPr>
                  <w:tcW w:w="648" w:type="dxa"/>
                  <w:shd w:val="clear" w:color="auto" w:fill="auto"/>
                  <w:vAlign w:val="bottom"/>
                </w:tcPr>
                <w:p w:rsidR="008F6658" w:rsidRPr="003B0E34" w:rsidRDefault="008F6658" w:rsidP="008F6658">
                  <w:pPr>
                    <w:pStyle w:val="TableBodyText"/>
                  </w:pPr>
                  <w:r w:rsidRPr="003B0E34">
                    <w:t xml:space="preserve">  11.3</w:t>
                  </w:r>
                </w:p>
              </w:tc>
            </w:tr>
            <w:tr w:rsidR="008F6658" w:rsidRPr="003E7656" w:rsidTr="0039681F">
              <w:tc>
                <w:tcPr>
                  <w:tcW w:w="2672" w:type="dxa"/>
                  <w:tcBorders>
                    <w:bottom w:val="single" w:sz="4" w:space="0" w:color="BFBFBF"/>
                  </w:tcBorders>
                  <w:shd w:val="clear" w:color="auto" w:fill="auto"/>
                </w:tcPr>
                <w:p w:rsidR="008F6658" w:rsidRPr="003E7656" w:rsidRDefault="008F6658" w:rsidP="00D72DA6">
                  <w:pPr>
                    <w:pStyle w:val="TableBodyText"/>
                    <w:spacing w:afterLines="40" w:after="96"/>
                    <w:ind w:right="57"/>
                    <w:jc w:val="left"/>
                    <w:rPr>
                      <w:rStyle w:val="NoteLabel"/>
                      <w:b w:val="0"/>
                      <w:sz w:val="20"/>
                    </w:rPr>
                  </w:pPr>
                  <w:r w:rsidRPr="003E7656">
                    <w:rPr>
                      <w:b/>
                    </w:rPr>
                    <w:t>Total</w:t>
                  </w:r>
                  <w:r w:rsidR="00D72DA6">
                    <w:rPr>
                      <w:rStyle w:val="NoteLabel"/>
                    </w:rPr>
                    <w:t>g, h</w:t>
                  </w:r>
                </w:p>
              </w:tc>
              <w:tc>
                <w:tcPr>
                  <w:tcW w:w="646" w:type="dxa"/>
                  <w:tcBorders>
                    <w:bottom w:val="single" w:sz="4" w:space="0" w:color="BFBFBF"/>
                  </w:tcBorders>
                  <w:shd w:val="clear" w:color="auto" w:fill="auto"/>
                  <w:vAlign w:val="bottom"/>
                </w:tcPr>
                <w:p w:rsidR="008F6658" w:rsidRPr="003B0E34" w:rsidRDefault="008F6658" w:rsidP="008F6658">
                  <w:pPr>
                    <w:pStyle w:val="TableBodyText"/>
                    <w:rPr>
                      <w:b/>
                    </w:rPr>
                  </w:pPr>
                  <w:r w:rsidRPr="003B0E34">
                    <w:rPr>
                      <w:b/>
                    </w:rPr>
                    <w:t xml:space="preserve">  21.9</w:t>
                  </w:r>
                </w:p>
              </w:tc>
              <w:tc>
                <w:tcPr>
                  <w:tcW w:w="639" w:type="dxa"/>
                  <w:tcBorders>
                    <w:bottom w:val="single" w:sz="4" w:space="0" w:color="BFBFBF"/>
                  </w:tcBorders>
                  <w:shd w:val="clear" w:color="auto" w:fill="auto"/>
                  <w:vAlign w:val="bottom"/>
                </w:tcPr>
                <w:p w:rsidR="008F6658" w:rsidRPr="003B0E34" w:rsidRDefault="008F6658" w:rsidP="008F6658">
                  <w:pPr>
                    <w:pStyle w:val="TableBodyText"/>
                    <w:rPr>
                      <w:b/>
                    </w:rPr>
                  </w:pPr>
                  <w:r w:rsidRPr="003B0E34">
                    <w:rPr>
                      <w:b/>
                    </w:rPr>
                    <w:t xml:space="preserve">  21.7</w:t>
                  </w:r>
                </w:p>
              </w:tc>
              <w:tc>
                <w:tcPr>
                  <w:tcW w:w="640" w:type="dxa"/>
                  <w:tcBorders>
                    <w:bottom w:val="single" w:sz="4" w:space="0" w:color="BFBFBF"/>
                  </w:tcBorders>
                  <w:shd w:val="clear" w:color="auto" w:fill="auto"/>
                  <w:vAlign w:val="bottom"/>
                </w:tcPr>
                <w:p w:rsidR="008F6658" w:rsidRPr="003B0E34" w:rsidRDefault="008F6658" w:rsidP="008F6658">
                  <w:pPr>
                    <w:pStyle w:val="TableBodyText"/>
                    <w:rPr>
                      <w:b/>
                    </w:rPr>
                  </w:pPr>
                  <w:r w:rsidRPr="003B0E34">
                    <w:rPr>
                      <w:b/>
                    </w:rPr>
                    <w:t xml:space="preserve">  27.7</w:t>
                  </w:r>
                </w:p>
              </w:tc>
              <w:tc>
                <w:tcPr>
                  <w:tcW w:w="639" w:type="dxa"/>
                  <w:tcBorders>
                    <w:bottom w:val="single" w:sz="4" w:space="0" w:color="BFBFBF"/>
                  </w:tcBorders>
                  <w:shd w:val="clear" w:color="auto" w:fill="auto"/>
                  <w:vAlign w:val="bottom"/>
                </w:tcPr>
                <w:p w:rsidR="008F6658" w:rsidRPr="003B0E34" w:rsidRDefault="008F6658" w:rsidP="008F6658">
                  <w:pPr>
                    <w:pStyle w:val="TableBodyText"/>
                    <w:rPr>
                      <w:b/>
                    </w:rPr>
                  </w:pPr>
                  <w:r w:rsidRPr="003B0E34">
                    <w:rPr>
                      <w:b/>
                    </w:rPr>
                    <w:t xml:space="preserve">  25.7</w:t>
                  </w:r>
                </w:p>
              </w:tc>
              <w:tc>
                <w:tcPr>
                  <w:tcW w:w="640" w:type="dxa"/>
                  <w:tcBorders>
                    <w:bottom w:val="single" w:sz="4" w:space="0" w:color="BFBFBF"/>
                  </w:tcBorders>
                  <w:shd w:val="clear" w:color="auto" w:fill="auto"/>
                  <w:vAlign w:val="bottom"/>
                </w:tcPr>
                <w:p w:rsidR="008F6658" w:rsidRPr="003B0E34" w:rsidRDefault="008F6658" w:rsidP="008F6658">
                  <w:pPr>
                    <w:pStyle w:val="TableBodyText"/>
                    <w:rPr>
                      <w:b/>
                    </w:rPr>
                  </w:pPr>
                  <w:r w:rsidRPr="003B0E34">
                    <w:rPr>
                      <w:b/>
                    </w:rPr>
                    <w:t xml:space="preserve">  26.4</w:t>
                  </w:r>
                </w:p>
              </w:tc>
              <w:tc>
                <w:tcPr>
                  <w:tcW w:w="639" w:type="dxa"/>
                  <w:tcBorders>
                    <w:bottom w:val="single" w:sz="4" w:space="0" w:color="BFBFBF"/>
                  </w:tcBorders>
                  <w:shd w:val="clear" w:color="auto" w:fill="auto"/>
                  <w:vAlign w:val="bottom"/>
                </w:tcPr>
                <w:p w:rsidR="008F6658" w:rsidRPr="003B0E34" w:rsidRDefault="008F6658" w:rsidP="008F6658">
                  <w:pPr>
                    <w:pStyle w:val="TableBodyText"/>
                    <w:rPr>
                      <w:b/>
                    </w:rPr>
                  </w:pPr>
                  <w:r w:rsidRPr="003B0E34">
                    <w:rPr>
                      <w:b/>
                    </w:rPr>
                    <w:t xml:space="preserve">  20.8</w:t>
                  </w:r>
                </w:p>
              </w:tc>
              <w:tc>
                <w:tcPr>
                  <w:tcW w:w="641" w:type="dxa"/>
                  <w:tcBorders>
                    <w:bottom w:val="single" w:sz="4" w:space="0" w:color="BFBFBF"/>
                  </w:tcBorders>
                  <w:shd w:val="clear" w:color="auto" w:fill="auto"/>
                  <w:vAlign w:val="bottom"/>
                </w:tcPr>
                <w:p w:rsidR="008F6658" w:rsidRPr="003B0E34" w:rsidRDefault="008F6658" w:rsidP="008F6658">
                  <w:pPr>
                    <w:pStyle w:val="TableBodyText"/>
                    <w:rPr>
                      <w:b/>
                    </w:rPr>
                  </w:pPr>
                  <w:r w:rsidRPr="003B0E34">
                    <w:rPr>
                      <w:b/>
                    </w:rPr>
                    <w:t xml:space="preserve">  18.2</w:t>
                  </w:r>
                </w:p>
              </w:tc>
              <w:tc>
                <w:tcPr>
                  <w:tcW w:w="639" w:type="dxa"/>
                  <w:tcBorders>
                    <w:bottom w:val="single" w:sz="4" w:space="0" w:color="BFBFBF"/>
                  </w:tcBorders>
                  <w:shd w:val="clear" w:color="auto" w:fill="auto"/>
                  <w:vAlign w:val="bottom"/>
                </w:tcPr>
                <w:p w:rsidR="008F6658" w:rsidRPr="003B0E34" w:rsidRDefault="008F6658" w:rsidP="008F6658">
                  <w:pPr>
                    <w:pStyle w:val="TableBodyText"/>
                    <w:rPr>
                      <w:b/>
                    </w:rPr>
                  </w:pPr>
                  <w:r w:rsidRPr="003B0E34">
                    <w:rPr>
                      <w:b/>
                    </w:rPr>
                    <w:t xml:space="preserve">  45.8</w:t>
                  </w:r>
                </w:p>
              </w:tc>
              <w:tc>
                <w:tcPr>
                  <w:tcW w:w="648" w:type="dxa"/>
                  <w:tcBorders>
                    <w:bottom w:val="single" w:sz="4" w:space="0" w:color="BFBFBF"/>
                  </w:tcBorders>
                  <w:shd w:val="clear" w:color="auto" w:fill="auto"/>
                  <w:vAlign w:val="bottom"/>
                </w:tcPr>
                <w:p w:rsidR="008F6658" w:rsidRPr="003B0E34" w:rsidRDefault="008F6658" w:rsidP="008F6658">
                  <w:pPr>
                    <w:pStyle w:val="TableBodyText"/>
                    <w:rPr>
                      <w:b/>
                    </w:rPr>
                  </w:pPr>
                  <w:r w:rsidRPr="003B0E34">
                    <w:rPr>
                      <w:b/>
                    </w:rPr>
                    <w:t xml:space="preserve">  23.9</w:t>
                  </w:r>
                </w:p>
              </w:tc>
            </w:tr>
          </w:tbl>
          <w:p w:rsidR="00383971" w:rsidRDefault="00383971" w:rsidP="00867BB6">
            <w:pPr>
              <w:pStyle w:val="Box"/>
            </w:pPr>
          </w:p>
        </w:tc>
      </w:tr>
      <w:tr w:rsidR="00383971" w:rsidTr="003B0E34">
        <w:trPr>
          <w:cantSplit/>
        </w:trPr>
        <w:tc>
          <w:tcPr>
            <w:tcW w:w="8771" w:type="dxa"/>
            <w:tcBorders>
              <w:top w:val="nil"/>
              <w:left w:val="nil"/>
              <w:bottom w:val="nil"/>
              <w:right w:val="nil"/>
            </w:tcBorders>
            <w:shd w:val="clear" w:color="auto" w:fill="auto"/>
          </w:tcPr>
          <w:p w:rsidR="00383971" w:rsidRPr="00383971" w:rsidRDefault="00383971" w:rsidP="00D72DA6">
            <w:pPr>
              <w:pStyle w:val="Note"/>
            </w:pPr>
            <w:r w:rsidRPr="00816B58">
              <w:rPr>
                <w:rStyle w:val="NoteLabel"/>
              </w:rPr>
              <w:t>a</w:t>
            </w:r>
            <w:r w:rsidRPr="00816B58">
              <w:rPr>
                <w:rFonts w:cs="Arial"/>
              </w:rPr>
              <w:t xml:space="preserve"> </w:t>
            </w:r>
            <w:r w:rsidRPr="00816B58">
              <w:t>Separation rates are directly age</w:t>
            </w:r>
            <w:r>
              <w:t>-</w:t>
            </w:r>
            <w:r w:rsidRPr="00816B58">
              <w:t xml:space="preserve">standardised to the Australian population at 30 June 2001. </w:t>
            </w:r>
            <w:r w:rsidRPr="00816B58">
              <w:rPr>
                <w:rStyle w:val="NoteLabel"/>
              </w:rPr>
              <w:t>b </w:t>
            </w:r>
            <w:r w:rsidRPr="00816B58">
              <w:t xml:space="preserve">Rates are based on </w:t>
            </w:r>
            <w:r>
              <w:t>State/Territory</w:t>
            </w:r>
            <w:r w:rsidRPr="00816B58">
              <w:t xml:space="preserve"> of usual residence. </w:t>
            </w:r>
            <w:r w:rsidRPr="00816B58">
              <w:rPr>
                <w:rStyle w:val="NoteLabel"/>
              </w:rPr>
              <w:t>c</w:t>
            </w:r>
            <w:r w:rsidRPr="00816B58">
              <w:t xml:space="preserve"> </w:t>
            </w:r>
            <w:r w:rsidR="00D72DA6" w:rsidRPr="003B0E34">
              <w:t>A nationally agreed revised definition of selected potentially preventable hospitalisations applies. See DQI for more information</w:t>
            </w:r>
            <w:r w:rsidR="00D72DA6" w:rsidRPr="00D72DA6">
              <w:t>.</w:t>
            </w:r>
            <w:r w:rsidR="00D72DA6">
              <w:t xml:space="preserve"> </w:t>
            </w:r>
            <w:r w:rsidR="00D72DA6">
              <w:rPr>
                <w:rStyle w:val="NoteLabel"/>
              </w:rPr>
              <w:t>d</w:t>
            </w:r>
            <w:r w:rsidR="00D72DA6" w:rsidRPr="00816B58">
              <w:t> </w:t>
            </w:r>
            <w:r w:rsidRPr="00816B58">
              <w:t xml:space="preserve">Includes other territories. Excludes overseas residents and unknown state of residence. </w:t>
            </w:r>
            <w:r w:rsidR="00D72DA6">
              <w:rPr>
                <w:rStyle w:val="NoteLabel"/>
              </w:rPr>
              <w:t>e</w:t>
            </w:r>
            <w:r w:rsidR="00D72DA6" w:rsidRPr="00816B58">
              <w:t> </w:t>
            </w:r>
            <w:r>
              <w:t>Selected a</w:t>
            </w:r>
            <w:r w:rsidRPr="00270978">
              <w:t xml:space="preserve">cute </w:t>
            </w:r>
            <w:r w:rsidRPr="006841F8">
              <w:t>conditions excluding dehydration and gastroenteritis</w:t>
            </w:r>
            <w:r>
              <w:rPr>
                <w:i/>
              </w:rPr>
              <w:t xml:space="preserve">. </w:t>
            </w:r>
            <w:r w:rsidR="00D72DA6">
              <w:rPr>
                <w:rStyle w:val="NoteLabel"/>
              </w:rPr>
              <w:t>f</w:t>
            </w:r>
            <w:r w:rsidRPr="00816B58">
              <w:t> </w:t>
            </w:r>
            <w:r>
              <w:t>Selected chronic</w:t>
            </w:r>
            <w:r w:rsidRPr="00270978">
              <w:t xml:space="preserve"> conditions </w:t>
            </w:r>
            <w:r w:rsidRPr="006841F8">
              <w:t>excluding diabetes complications (additional diagnoses only).</w:t>
            </w:r>
            <w:r>
              <w:rPr>
                <w:i/>
              </w:rPr>
              <w:t xml:space="preserve"> </w:t>
            </w:r>
            <w:r w:rsidR="00D72DA6">
              <w:rPr>
                <w:rStyle w:val="NoteLabel"/>
              </w:rPr>
              <w:t>g</w:t>
            </w:r>
            <w:r w:rsidRPr="00816B58">
              <w:t xml:space="preserve"> </w:t>
            </w:r>
            <w:r>
              <w:t>Total is a</w:t>
            </w:r>
            <w:r w:rsidRPr="00270978">
              <w:t xml:space="preserve">ll potentially preventable hospitalisations </w:t>
            </w:r>
            <w:r w:rsidRPr="006841F8">
              <w:t xml:space="preserve">excluding dehydration and gastroenteritis and diabetes complications (additional diagnoses only). </w:t>
            </w:r>
            <w:r w:rsidR="00D72DA6">
              <w:rPr>
                <w:rStyle w:val="NoteLabel"/>
              </w:rPr>
              <w:t>h</w:t>
            </w:r>
            <w:r w:rsidRPr="00816B58">
              <w:t xml:space="preserve"> Totals may not add as more than one condition may be reported for a separation.</w:t>
            </w:r>
          </w:p>
        </w:tc>
      </w:tr>
      <w:tr w:rsidR="00383971" w:rsidTr="00867BB6">
        <w:trPr>
          <w:cantSplit/>
        </w:trPr>
        <w:tc>
          <w:tcPr>
            <w:tcW w:w="8771" w:type="dxa"/>
            <w:tcBorders>
              <w:top w:val="nil"/>
              <w:left w:val="nil"/>
              <w:bottom w:val="nil"/>
              <w:right w:val="nil"/>
            </w:tcBorders>
            <w:shd w:val="clear" w:color="auto" w:fill="auto"/>
          </w:tcPr>
          <w:p w:rsidR="00383971" w:rsidRDefault="00383971" w:rsidP="005E164A">
            <w:pPr>
              <w:pStyle w:val="Note"/>
            </w:pPr>
            <w:r w:rsidRPr="002C4939">
              <w:rPr>
                <w:i/>
              </w:rPr>
              <w:t>Source</w:t>
            </w:r>
            <w:r w:rsidRPr="002C4939">
              <w:t xml:space="preserve">: </w:t>
            </w:r>
            <w:r w:rsidR="008F6658" w:rsidRPr="008F6658">
              <w:t>AIHW (unpublished) National Hospital Morbidity Database</w:t>
            </w:r>
            <w:r w:rsidR="008F6658">
              <w:t xml:space="preserve">; </w:t>
            </w:r>
            <w:r w:rsidRPr="002C4939">
              <w:t>table </w:t>
            </w:r>
            <w:r w:rsidR="00C9076B">
              <w:t>10A.</w:t>
            </w:r>
            <w:r>
              <w:t>9</w:t>
            </w:r>
            <w:r w:rsidR="005E164A">
              <w:t>5</w:t>
            </w:r>
            <w:r w:rsidRPr="002C4939">
              <w:t>.</w:t>
            </w:r>
          </w:p>
        </w:tc>
      </w:tr>
      <w:tr w:rsidR="00383971" w:rsidTr="00867BB6">
        <w:trPr>
          <w:cantSplit/>
        </w:trPr>
        <w:tc>
          <w:tcPr>
            <w:tcW w:w="8771" w:type="dxa"/>
            <w:tcBorders>
              <w:top w:val="nil"/>
              <w:left w:val="nil"/>
              <w:bottom w:val="single" w:sz="6" w:space="0" w:color="78A22F" w:themeColor="accent1"/>
              <w:right w:val="nil"/>
            </w:tcBorders>
            <w:shd w:val="clear" w:color="auto" w:fill="auto"/>
          </w:tcPr>
          <w:p w:rsidR="00383971" w:rsidRDefault="00383971" w:rsidP="00867BB6">
            <w:pPr>
              <w:pStyle w:val="Box"/>
              <w:spacing w:before="0" w:line="120" w:lineRule="exact"/>
            </w:pPr>
          </w:p>
        </w:tc>
      </w:tr>
      <w:tr w:rsidR="00383971" w:rsidRPr="000863A5" w:rsidTr="00867BB6">
        <w:tc>
          <w:tcPr>
            <w:tcW w:w="8771" w:type="dxa"/>
            <w:tcBorders>
              <w:top w:val="single" w:sz="6" w:space="0" w:color="78A22F" w:themeColor="accent1"/>
              <w:left w:val="nil"/>
              <w:bottom w:val="nil"/>
              <w:right w:val="nil"/>
            </w:tcBorders>
          </w:tcPr>
          <w:p w:rsidR="00383971" w:rsidRPr="00626D32" w:rsidRDefault="00383971" w:rsidP="00867BB6">
            <w:pPr>
              <w:pStyle w:val="BoxSpaceBelow"/>
            </w:pPr>
          </w:p>
        </w:tc>
      </w:tr>
    </w:tbl>
    <w:p w:rsidR="00F07FF9" w:rsidRDefault="00DE6986" w:rsidP="00C14146">
      <w:pPr>
        <w:pStyle w:val="BodyText"/>
      </w:pPr>
      <w:r>
        <w:t xml:space="preserve">Identification of Aboriginal and Torres Strait Islander people in hospital administrative data is considered acceptable for analysis in all states and territories from the </w:t>
      </w:r>
      <w:r w:rsidRPr="0039681F">
        <w:t>201</w:t>
      </w:r>
      <w:r w:rsidR="00FB7DA6" w:rsidRPr="0039681F">
        <w:t>0</w:t>
      </w:r>
      <w:r w:rsidRPr="0039681F">
        <w:t>-1</w:t>
      </w:r>
      <w:r w:rsidR="00FB7DA6" w:rsidRPr="0039681F">
        <w:t>1 reporting period.</w:t>
      </w:r>
      <w:r w:rsidR="00F153B2" w:rsidRPr="0039681F">
        <w:t xml:space="preserve"> </w:t>
      </w:r>
      <w:r w:rsidR="00DF3F57" w:rsidRPr="0039681F">
        <w:t xml:space="preserve">The age standardised hospital separation rate for vaccine preventable conditions was </w:t>
      </w:r>
      <w:r w:rsidR="003A598C" w:rsidRPr="0039681F">
        <w:t xml:space="preserve">higher </w:t>
      </w:r>
      <w:r w:rsidR="00DF3F57" w:rsidRPr="0039681F">
        <w:t xml:space="preserve">for </w:t>
      </w:r>
      <w:r w:rsidR="00D16EBA" w:rsidRPr="0039681F">
        <w:t>Aboriginal and Torres Strait Islander</w:t>
      </w:r>
      <w:r w:rsidR="006E4E2B" w:rsidRPr="0039681F">
        <w:t xml:space="preserve"> Australians</w:t>
      </w:r>
      <w:r w:rsidR="00DF3F57" w:rsidRPr="0039681F">
        <w:t xml:space="preserve"> than </w:t>
      </w:r>
      <w:r w:rsidR="0062774A" w:rsidRPr="0039681F">
        <w:t>for o</w:t>
      </w:r>
      <w:r w:rsidR="00A53F85" w:rsidRPr="0039681F">
        <w:t xml:space="preserve">ther </w:t>
      </w:r>
      <w:r w:rsidR="006E4E2B" w:rsidRPr="0039681F">
        <w:t>Australians</w:t>
      </w:r>
      <w:r w:rsidR="00DF3F57" w:rsidRPr="0039681F">
        <w:t xml:space="preserve"> </w:t>
      </w:r>
      <w:r w:rsidR="00FB7DA6" w:rsidRPr="0039681F">
        <w:t xml:space="preserve">in all jurisdictions </w:t>
      </w:r>
      <w:r w:rsidR="00DF3F57" w:rsidRPr="0039681F">
        <w:t xml:space="preserve">in </w:t>
      </w:r>
      <w:r w:rsidR="00D83F9A" w:rsidRPr="0039681F">
        <w:t>201</w:t>
      </w:r>
      <w:r w:rsidR="00FB7DA6" w:rsidRPr="0039681F">
        <w:t>2</w:t>
      </w:r>
      <w:r w:rsidR="00D83F9A" w:rsidRPr="0039681F">
        <w:noBreakHyphen/>
        <w:t>1</w:t>
      </w:r>
      <w:r w:rsidR="00FB7DA6" w:rsidRPr="0039681F">
        <w:t>3</w:t>
      </w:r>
      <w:r w:rsidR="00DF3F57" w:rsidRPr="0039681F">
        <w:t xml:space="preserve"> (</w:t>
      </w:r>
      <w:r w:rsidR="00897589" w:rsidRPr="0039681F">
        <w:t>figure 10.</w:t>
      </w:r>
      <w:r w:rsidR="00DF3F57" w:rsidRPr="0039681F">
        <w:t>4</w:t>
      </w:r>
      <w:r w:rsidR="006714EE" w:rsidRPr="0039681F">
        <w:t>7</w:t>
      </w:r>
      <w:r w:rsidR="00DF3F57" w:rsidRPr="0039681F">
        <w:t>).</w:t>
      </w:r>
      <w:r w:rsidR="00F153B2" w:rsidRPr="0039681F">
        <w:t xml:space="preserve"> </w:t>
      </w:r>
      <w:r w:rsidR="00F07FF9" w:rsidRPr="0039681F">
        <w:t xml:space="preserve">The age standardised hospital separation rate for the selected acute conditions was higher for Aboriginal and Torres Strait Islander Australians than for other Australians in </w:t>
      </w:r>
      <w:r w:rsidR="00FB7DA6" w:rsidRPr="0039681F">
        <w:t xml:space="preserve">almost </w:t>
      </w:r>
      <w:r w:rsidR="00F07FF9" w:rsidRPr="0039681F">
        <w:t>all jurisdictions in 201</w:t>
      </w:r>
      <w:r w:rsidR="00FB7DA6" w:rsidRPr="0039681F">
        <w:t>2</w:t>
      </w:r>
      <w:r w:rsidR="00F07FF9" w:rsidRPr="0039681F">
        <w:noBreakHyphen/>
        <w:t>1</w:t>
      </w:r>
      <w:r w:rsidR="00FB7DA6" w:rsidRPr="0039681F">
        <w:t>3</w:t>
      </w:r>
      <w:r w:rsidR="00F07FF9" w:rsidRPr="00913654">
        <w:t xml:space="preserve"> (</w:t>
      </w:r>
      <w:r w:rsidR="00F153B2">
        <w:t>figure </w:t>
      </w:r>
      <w:r w:rsidR="00F07FF9">
        <w:t>10.</w:t>
      </w:r>
      <w:r w:rsidR="00F07FF9" w:rsidRPr="00913654">
        <w:t>4</w:t>
      </w:r>
      <w:r w:rsidR="00F07FF9">
        <w:t>8</w:t>
      </w:r>
      <w:r w:rsidR="00F07FF9" w:rsidRPr="00913654">
        <w:t>).</w:t>
      </w:r>
      <w:r w:rsidR="00CB6D75">
        <w:t xml:space="preserve"> </w:t>
      </w:r>
      <w:r w:rsidR="00F07FF9" w:rsidRPr="00913654">
        <w:t xml:space="preserve">The age standardised hospital separation rate for the selected chronic conditions was higher for </w:t>
      </w:r>
      <w:r w:rsidR="00F07FF9">
        <w:t>Aboriginal and Torres Strait Islander Australians</w:t>
      </w:r>
      <w:r w:rsidR="00F07FF9" w:rsidRPr="00913654">
        <w:t xml:space="preserve"> than for</w:t>
      </w:r>
      <w:r w:rsidR="00F07FF9">
        <w:t xml:space="preserve"> other Australians </w:t>
      </w:r>
      <w:r w:rsidR="00F07FF9" w:rsidRPr="00913654">
        <w:t xml:space="preserve">in all jurisdictions in </w:t>
      </w:r>
      <w:r w:rsidR="00F07FF9" w:rsidRPr="0039681F">
        <w:t>20</w:t>
      </w:r>
      <w:r w:rsidR="001C1B10" w:rsidRPr="0039681F">
        <w:t>12</w:t>
      </w:r>
      <w:r w:rsidR="00F07FF9" w:rsidRPr="0039681F">
        <w:noBreakHyphen/>
        <w:t>1</w:t>
      </w:r>
      <w:r w:rsidR="001C1B10" w:rsidRPr="0039681F">
        <w:t>3</w:t>
      </w:r>
      <w:r w:rsidR="00F07FF9" w:rsidRPr="00913654">
        <w:t xml:space="preserve"> (</w:t>
      </w:r>
      <w:r w:rsidR="00F07FF9">
        <w:t>figure 10.49</w:t>
      </w:r>
      <w:r w:rsidR="00F07FF9" w:rsidRPr="00913654">
        <w:t>).</w:t>
      </w:r>
    </w:p>
    <w:p w:rsidR="00DA6F7D" w:rsidRDefault="00DA6F7D" w:rsidP="00F07FF9">
      <w:pPr>
        <w:pStyle w:val="BoxSpaceAbove"/>
        <w:keepLines/>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DA6F7D" w:rsidTr="003019F8">
        <w:tc>
          <w:tcPr>
            <w:tcW w:w="8771" w:type="dxa"/>
            <w:tcBorders>
              <w:top w:val="single" w:sz="6" w:space="0" w:color="78A22F"/>
              <w:left w:val="nil"/>
              <w:bottom w:val="nil"/>
              <w:right w:val="nil"/>
            </w:tcBorders>
            <w:shd w:val="clear" w:color="auto" w:fill="auto"/>
          </w:tcPr>
          <w:p w:rsidR="00DA6F7D" w:rsidRPr="00176D3F" w:rsidRDefault="00DA6F7D" w:rsidP="00F07FF9">
            <w:pPr>
              <w:pStyle w:val="FigureTitle"/>
            </w:pPr>
            <w:r w:rsidRPr="00784A05">
              <w:rPr>
                <w:b w:val="0"/>
              </w:rPr>
              <w:t xml:space="preserve">Figure </w:t>
            </w:r>
            <w:r w:rsidR="00DF255F">
              <w:rPr>
                <w:b w:val="0"/>
              </w:rPr>
              <w:t>10.</w:t>
            </w:r>
            <w:r w:rsidR="0078724D">
              <w:rPr>
                <w:b w:val="0"/>
                <w:noProof/>
              </w:rPr>
              <w:t>47</w:t>
            </w:r>
            <w:r>
              <w:tab/>
            </w:r>
            <w:r w:rsidRPr="00913654">
              <w:t xml:space="preserve">Separations for vaccine preventable conditions </w:t>
            </w:r>
            <w:r w:rsidR="00A53F85">
              <w:t>by Indigenous</w:t>
            </w:r>
            <w:r w:rsidRPr="00913654">
              <w:t xml:space="preserve"> status</w:t>
            </w:r>
            <w:r w:rsidRPr="00913654">
              <w:rPr>
                <w:rStyle w:val="NoteLabel"/>
                <w:b/>
              </w:rPr>
              <w:t>a, b, c, d, e</w:t>
            </w:r>
            <w:r w:rsidR="001F1F16">
              <w:rPr>
                <w:rStyle w:val="NoteLabel"/>
                <w:b/>
              </w:rPr>
              <w:t>, f, g</w:t>
            </w:r>
          </w:p>
        </w:tc>
      </w:tr>
      <w:tr w:rsidR="00DA6F7D" w:rsidTr="0039681F">
        <w:tc>
          <w:tcPr>
            <w:tcW w:w="8771" w:type="dxa"/>
            <w:tcBorders>
              <w:top w:val="nil"/>
              <w:left w:val="nil"/>
              <w:bottom w:val="nil"/>
              <w:right w:val="nil"/>
            </w:tcBorders>
            <w:shd w:val="clear" w:color="auto" w:fill="auto"/>
            <w:tcMar>
              <w:top w:w="28" w:type="dxa"/>
              <w:bottom w:w="28" w:type="dxa"/>
            </w:tcMar>
          </w:tcPr>
          <w:tbl>
            <w:tblPr>
              <w:tblW w:w="8625" w:type="dxa"/>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625"/>
            </w:tblGrid>
            <w:tr w:rsidR="00DA6F7D" w:rsidTr="00A539E6">
              <w:tc>
                <w:tcPr>
                  <w:tcW w:w="5000" w:type="pct"/>
                  <w:tcBorders>
                    <w:top w:val="nil"/>
                    <w:bottom w:val="nil"/>
                  </w:tcBorders>
                </w:tcPr>
                <w:p w:rsidR="00DA6F7D" w:rsidRDefault="000924DC" w:rsidP="00F07FF9">
                  <w:pPr>
                    <w:pStyle w:val="Figure"/>
                    <w:keepLines/>
                    <w:spacing w:before="60" w:after="60"/>
                  </w:pPr>
                  <w:r>
                    <w:rPr>
                      <w:noProof/>
                    </w:rPr>
                    <w:drawing>
                      <wp:inline distT="0" distB="0" distL="0" distR="0">
                        <wp:extent cx="5391150" cy="2886075"/>
                        <wp:effectExtent l="0" t="0" r="0" b="9525"/>
                        <wp:docPr id="2" name="Picture 2" descr="Figure 10.47  Separations for vaccine preventable conditions by Indigenous status&#10;&#10;Aboriginal and Torres Strait Islander Australians&#10;&#10;More details can be found within the text surrounding this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5391150" cy="2886075"/>
                                </a:xfrm>
                                <a:prstGeom prst="rect">
                                  <a:avLst/>
                                </a:prstGeom>
                                <a:noFill/>
                                <a:ln>
                                  <a:noFill/>
                                </a:ln>
                              </pic:spPr>
                            </pic:pic>
                          </a:graphicData>
                        </a:graphic>
                      </wp:inline>
                    </w:drawing>
                  </w:r>
                </w:p>
                <w:p w:rsidR="00DA6F7D" w:rsidRDefault="007B1994" w:rsidP="00F07FF9">
                  <w:pPr>
                    <w:pStyle w:val="Figure"/>
                    <w:keepLines/>
                    <w:spacing w:before="60" w:after="60"/>
                  </w:pPr>
                  <w:r>
                    <w:rPr>
                      <w:noProof/>
                    </w:rPr>
                    <w:drawing>
                      <wp:inline distT="0" distB="0" distL="0" distR="0" wp14:anchorId="62908F0B" wp14:editId="5ECC8CE9">
                        <wp:extent cx="5391150" cy="2876550"/>
                        <wp:effectExtent l="0" t="0" r="0" b="0"/>
                        <wp:docPr id="57" name="Picture 57" descr="Figure 10.47 Separations for vaccine preventable conditions by Indigenous status&#10;&#10;Other Australians&#10;&#10;More details can be found within the text surrounding this image.&#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0"/>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5391150" cy="2876550"/>
                                </a:xfrm>
                                <a:prstGeom prst="rect">
                                  <a:avLst/>
                                </a:prstGeom>
                                <a:noFill/>
                                <a:ln>
                                  <a:noFill/>
                                </a:ln>
                              </pic:spPr>
                            </pic:pic>
                          </a:graphicData>
                        </a:graphic>
                      </wp:inline>
                    </w:drawing>
                  </w:r>
                </w:p>
              </w:tc>
            </w:tr>
          </w:tbl>
          <w:p w:rsidR="00DA6F7D" w:rsidRDefault="00DA6F7D" w:rsidP="00F07FF9">
            <w:pPr>
              <w:pStyle w:val="Figure"/>
              <w:keepLines/>
            </w:pPr>
          </w:p>
        </w:tc>
      </w:tr>
      <w:tr w:rsidR="00DA6F7D" w:rsidRPr="00176D3F" w:rsidTr="0039681F">
        <w:tc>
          <w:tcPr>
            <w:tcW w:w="8771" w:type="dxa"/>
            <w:tcBorders>
              <w:top w:val="nil"/>
              <w:left w:val="nil"/>
              <w:bottom w:val="nil"/>
              <w:right w:val="nil"/>
            </w:tcBorders>
            <w:shd w:val="clear" w:color="auto" w:fill="auto"/>
          </w:tcPr>
          <w:p w:rsidR="00DA6F7D" w:rsidRPr="00176D3F" w:rsidRDefault="00DA6F7D" w:rsidP="001519A2">
            <w:pPr>
              <w:pStyle w:val="Note"/>
              <w:keepNext/>
            </w:pPr>
            <w:r w:rsidRPr="00A6454B">
              <w:rPr>
                <w:rStyle w:val="NoteLabel"/>
              </w:rPr>
              <w:t>a</w:t>
            </w:r>
            <w:r w:rsidR="000A4108">
              <w:rPr>
                <w:rStyle w:val="NoteLabel"/>
              </w:rPr>
              <w:t> </w:t>
            </w:r>
            <w:r w:rsidRPr="00F459BD">
              <w:t>Separation rates are directly age standardised to the Australian population at 30 June 2001.</w:t>
            </w:r>
            <w:r w:rsidRPr="00A6454B">
              <w:rPr>
                <w:rStyle w:val="NoteLabel"/>
              </w:rPr>
              <w:t xml:space="preserve"> b</w:t>
            </w:r>
            <w:r w:rsidRPr="00F459BD">
              <w:t> </w:t>
            </w:r>
            <w:r w:rsidR="000A4108" w:rsidRPr="00F459BD">
              <w:t xml:space="preserve">Separation rates are based on State/Territory of usual residence. </w:t>
            </w:r>
            <w:r w:rsidRPr="0039681F">
              <w:rPr>
                <w:rStyle w:val="NoteLabel"/>
              </w:rPr>
              <w:t>c </w:t>
            </w:r>
            <w:r w:rsidR="000A4108" w:rsidRPr="0039681F">
              <w:t xml:space="preserve">Data are revised in line with a nationally agreed revised definition of selected potentially preventable hospitalisations and may differ from previous reports. See DQI for more information. </w:t>
            </w:r>
            <w:r w:rsidRPr="0039681F">
              <w:rPr>
                <w:rStyle w:val="NoteLabel"/>
              </w:rPr>
              <w:t>d</w:t>
            </w:r>
            <w:r w:rsidRPr="0039681F">
              <w:t> </w:t>
            </w:r>
            <w:r w:rsidR="000A4108" w:rsidRPr="0039681F">
              <w:t xml:space="preserve">Caution should be used in the interpretation of these data because of jurisdictional differences in data quality. </w:t>
            </w:r>
            <w:r w:rsidR="000A4108" w:rsidRPr="0039681F">
              <w:rPr>
                <w:rStyle w:val="NoteLabel"/>
              </w:rPr>
              <w:t>e</w:t>
            </w:r>
            <w:r w:rsidR="000A4108" w:rsidRPr="0039681F">
              <w:t> </w:t>
            </w:r>
            <w:r w:rsidR="001F1F16" w:rsidRPr="0039681F">
              <w:t xml:space="preserve">Caution should be used in comparing data over time due to changes in international classifications and </w:t>
            </w:r>
            <w:r w:rsidR="001F4C18" w:rsidRPr="0039681F">
              <w:t>associated</w:t>
            </w:r>
            <w:r w:rsidR="001F1F16" w:rsidRPr="0039681F">
              <w:t xml:space="preserve"> Australian coding standards. See DQI for more information. </w:t>
            </w:r>
            <w:r w:rsidR="00F61143" w:rsidRPr="0039681F">
              <w:rPr>
                <w:rStyle w:val="NoteLabel"/>
              </w:rPr>
              <w:t>f</w:t>
            </w:r>
            <w:r w:rsidR="00F61143" w:rsidRPr="0039681F">
              <w:t> </w:t>
            </w:r>
            <w:r w:rsidRPr="0039681F">
              <w:t xml:space="preserve">NT data </w:t>
            </w:r>
            <w:r w:rsidR="00B059D6" w:rsidRPr="0039681F">
              <w:t>from</w:t>
            </w:r>
            <w:r w:rsidRPr="0039681F">
              <w:t xml:space="preserve"> 2011-12 are for public and private hospitals. For previous years, NT data are for public hospitals only.</w:t>
            </w:r>
            <w:r w:rsidR="000A4108" w:rsidRPr="0039681F">
              <w:rPr>
                <w:color w:val="FF0000"/>
              </w:rPr>
              <w:t xml:space="preserve"> </w:t>
            </w:r>
            <w:r w:rsidR="001519A2">
              <w:rPr>
                <w:rStyle w:val="NoteLabel"/>
              </w:rPr>
              <w:t>g</w:t>
            </w:r>
            <w:r w:rsidR="0062774A" w:rsidRPr="0039681F">
              <w:t> </w:t>
            </w:r>
            <w:r w:rsidR="007A38D2" w:rsidRPr="0039681F">
              <w:t>From</w:t>
            </w:r>
            <w:r w:rsidR="0062774A" w:rsidRPr="0039681F">
              <w:t xml:space="preserve"> 201</w:t>
            </w:r>
            <w:r w:rsidR="001F1F16" w:rsidRPr="0039681F">
              <w:t>0</w:t>
            </w:r>
            <w:r w:rsidR="0062774A" w:rsidRPr="0039681F">
              <w:t>-</w:t>
            </w:r>
            <w:r w:rsidR="001F1F16" w:rsidRPr="0039681F">
              <w:t>11</w:t>
            </w:r>
            <w:r w:rsidR="0062774A" w:rsidRPr="0039681F">
              <w:t>,</w:t>
            </w:r>
            <w:r w:rsidR="0062774A">
              <w:t xml:space="preserve"> identification of </w:t>
            </w:r>
            <w:r w:rsidR="00D16EBA">
              <w:t>Aboriginal and Torres Strait Islander</w:t>
            </w:r>
            <w:r w:rsidRPr="003F5684">
              <w:t xml:space="preserve"> </w:t>
            </w:r>
            <w:r w:rsidR="0062774A">
              <w:t>people in hospital administrative data</w:t>
            </w:r>
            <w:r w:rsidRPr="003F5684">
              <w:t xml:space="preserve"> </w:t>
            </w:r>
            <w:r w:rsidR="0062774A">
              <w:t>is</w:t>
            </w:r>
            <w:r w:rsidRPr="003F5684">
              <w:t xml:space="preserve"> of sufficient quality for statistical reporting purposes</w:t>
            </w:r>
            <w:r>
              <w:t xml:space="preserve"> for all states and territories</w:t>
            </w:r>
            <w:r w:rsidRPr="003F5684">
              <w:t>.</w:t>
            </w:r>
            <w:r>
              <w:t xml:space="preserve"> Data for </w:t>
            </w:r>
            <w:r w:rsidRPr="003F5684">
              <w:t xml:space="preserve">Tasmania and the ACT </w:t>
            </w:r>
            <w:r>
              <w:t>were not included in national totals in previous years, and were not published for 2007-08.</w:t>
            </w:r>
          </w:p>
        </w:tc>
      </w:tr>
      <w:tr w:rsidR="00DA6F7D" w:rsidRPr="00176D3F" w:rsidTr="0039681F">
        <w:tc>
          <w:tcPr>
            <w:tcW w:w="8771" w:type="dxa"/>
            <w:tcBorders>
              <w:top w:val="nil"/>
              <w:left w:val="nil"/>
              <w:bottom w:val="nil"/>
              <w:right w:val="nil"/>
            </w:tcBorders>
            <w:shd w:val="clear" w:color="auto" w:fill="auto"/>
          </w:tcPr>
          <w:p w:rsidR="00DA6F7D" w:rsidRPr="00176D3F" w:rsidRDefault="00DA6F7D" w:rsidP="0008054E">
            <w:pPr>
              <w:pStyle w:val="Source"/>
              <w:keepNext/>
            </w:pPr>
            <w:r w:rsidRPr="00913654">
              <w:rPr>
                <w:i/>
              </w:rPr>
              <w:t>Source</w:t>
            </w:r>
            <w:r w:rsidRPr="00913654">
              <w:t>: AIHW (unpublished) National Hospital Morbidity Database</w:t>
            </w:r>
            <w:r w:rsidRPr="00931CC9">
              <w:t xml:space="preserve">; </w:t>
            </w:r>
            <w:r w:rsidRPr="0039681F">
              <w:t>table</w:t>
            </w:r>
            <w:r w:rsidR="0008054E">
              <w:t>s</w:t>
            </w:r>
            <w:r w:rsidRPr="0039681F">
              <w:t> </w:t>
            </w:r>
            <w:r w:rsidR="00C9076B" w:rsidRPr="0039681F">
              <w:t>10A.</w:t>
            </w:r>
            <w:r w:rsidRPr="0039681F">
              <w:t>9</w:t>
            </w:r>
            <w:r w:rsidR="0001084E" w:rsidRPr="0039681F">
              <w:t>5</w:t>
            </w:r>
            <w:r w:rsidR="0008054E">
              <w:t xml:space="preserve"> and 10A.99</w:t>
            </w:r>
            <w:r w:rsidRPr="00931CC9">
              <w:t>.</w:t>
            </w:r>
          </w:p>
        </w:tc>
      </w:tr>
      <w:tr w:rsidR="00DA6F7D" w:rsidTr="003019F8">
        <w:tc>
          <w:tcPr>
            <w:tcW w:w="8771" w:type="dxa"/>
            <w:tcBorders>
              <w:top w:val="nil"/>
              <w:left w:val="nil"/>
              <w:bottom w:val="single" w:sz="6" w:space="0" w:color="78A22F"/>
              <w:right w:val="nil"/>
            </w:tcBorders>
            <w:shd w:val="clear" w:color="auto" w:fill="auto"/>
          </w:tcPr>
          <w:p w:rsidR="00DA6F7D" w:rsidRDefault="00DA6F7D" w:rsidP="00F07FF9">
            <w:pPr>
              <w:pStyle w:val="Figurespace"/>
              <w:keepLines/>
            </w:pPr>
          </w:p>
        </w:tc>
      </w:tr>
      <w:tr w:rsidR="00DA6F7D" w:rsidRPr="000863A5" w:rsidTr="003019F8">
        <w:tc>
          <w:tcPr>
            <w:tcW w:w="8771" w:type="dxa"/>
            <w:tcBorders>
              <w:top w:val="single" w:sz="6" w:space="0" w:color="78A22F"/>
              <w:left w:val="nil"/>
              <w:bottom w:val="nil"/>
              <w:right w:val="nil"/>
            </w:tcBorders>
          </w:tcPr>
          <w:p w:rsidR="00DA6F7D" w:rsidRPr="00626D32" w:rsidRDefault="00DA6F7D" w:rsidP="00F07FF9">
            <w:pPr>
              <w:pStyle w:val="BoxSpaceBelow"/>
              <w:keepNext/>
              <w:keepLines/>
            </w:pPr>
          </w:p>
        </w:tc>
      </w:tr>
    </w:tbl>
    <w:p w:rsidR="00E10047" w:rsidRDefault="00E10047" w:rsidP="003019F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10047" w:rsidTr="003019F8">
        <w:tc>
          <w:tcPr>
            <w:tcW w:w="8771" w:type="dxa"/>
            <w:tcBorders>
              <w:top w:val="single" w:sz="6" w:space="0" w:color="78A22F"/>
              <w:left w:val="nil"/>
              <w:bottom w:val="nil"/>
              <w:right w:val="nil"/>
            </w:tcBorders>
            <w:shd w:val="clear" w:color="auto" w:fill="auto"/>
          </w:tcPr>
          <w:p w:rsidR="00E10047" w:rsidRPr="00176D3F" w:rsidRDefault="00E10047" w:rsidP="00A53F85">
            <w:pPr>
              <w:pStyle w:val="FigureTitle"/>
            </w:pPr>
            <w:r w:rsidRPr="00784A05">
              <w:rPr>
                <w:b w:val="0"/>
              </w:rPr>
              <w:t xml:space="preserve">Figure </w:t>
            </w:r>
            <w:r w:rsidR="00DF255F">
              <w:rPr>
                <w:b w:val="0"/>
              </w:rPr>
              <w:t>10.</w:t>
            </w:r>
            <w:r w:rsidR="0078724D">
              <w:rPr>
                <w:b w:val="0"/>
                <w:noProof/>
              </w:rPr>
              <w:t>48</w:t>
            </w:r>
            <w:r>
              <w:tab/>
            </w:r>
            <w:r w:rsidRPr="00913654">
              <w:t xml:space="preserve">Separations for selected acute conditions by </w:t>
            </w:r>
            <w:r w:rsidR="00A53F85">
              <w:t>Indigenous</w:t>
            </w:r>
            <w:r w:rsidRPr="00913654">
              <w:t xml:space="preserve"> status</w:t>
            </w:r>
            <w:r w:rsidRPr="00913654">
              <w:rPr>
                <w:rStyle w:val="NoteLabel"/>
                <w:b/>
              </w:rPr>
              <w:t>a, b, c, d, e</w:t>
            </w:r>
            <w:r>
              <w:rPr>
                <w:rStyle w:val="NoteLabel"/>
                <w:b/>
              </w:rPr>
              <w:t>, f</w:t>
            </w:r>
            <w:r w:rsidR="001F1F16">
              <w:rPr>
                <w:rStyle w:val="NoteLabel"/>
                <w:b/>
              </w:rPr>
              <w:t>, g</w:t>
            </w:r>
          </w:p>
        </w:tc>
      </w:tr>
      <w:tr w:rsidR="00E10047" w:rsidTr="0039681F">
        <w:tc>
          <w:tcPr>
            <w:tcW w:w="8771" w:type="dxa"/>
            <w:tcBorders>
              <w:top w:val="nil"/>
              <w:left w:val="nil"/>
              <w:bottom w:val="nil"/>
              <w:right w:val="nil"/>
            </w:tcBorders>
            <w:shd w:val="clear" w:color="auto" w:fill="auto"/>
            <w:tcMar>
              <w:top w:w="28" w:type="dxa"/>
              <w:bottom w:w="28" w:type="dxa"/>
            </w:tcMar>
          </w:tcPr>
          <w:tbl>
            <w:tblPr>
              <w:tblW w:w="8625" w:type="dxa"/>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625"/>
            </w:tblGrid>
            <w:tr w:rsidR="00E10047" w:rsidTr="00601A71">
              <w:tc>
                <w:tcPr>
                  <w:tcW w:w="5000" w:type="pct"/>
                  <w:tcBorders>
                    <w:top w:val="nil"/>
                    <w:bottom w:val="nil"/>
                  </w:tcBorders>
                </w:tcPr>
                <w:p w:rsidR="00E10047" w:rsidRDefault="000924DC" w:rsidP="003019F8">
                  <w:pPr>
                    <w:pStyle w:val="Figure"/>
                    <w:spacing w:before="60" w:after="60"/>
                  </w:pPr>
                  <w:r>
                    <w:rPr>
                      <w:noProof/>
                    </w:rPr>
                    <w:drawing>
                      <wp:inline distT="0" distB="0" distL="0" distR="0">
                        <wp:extent cx="5391150" cy="2886075"/>
                        <wp:effectExtent l="0" t="0" r="0" b="9525"/>
                        <wp:docPr id="29" name="Picture 29" descr="Figure 10.48 Separations for selected acute conditions by Indigenous status&#10;&#10;Aboriginal and Torres Strait Islander Australians&#10;&#10;More details can be found within the text surrounding this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5391150" cy="2886075"/>
                                </a:xfrm>
                                <a:prstGeom prst="rect">
                                  <a:avLst/>
                                </a:prstGeom>
                                <a:noFill/>
                                <a:ln>
                                  <a:noFill/>
                                </a:ln>
                              </pic:spPr>
                            </pic:pic>
                          </a:graphicData>
                        </a:graphic>
                      </wp:inline>
                    </w:drawing>
                  </w:r>
                </w:p>
                <w:p w:rsidR="00E10047" w:rsidRDefault="007B1994" w:rsidP="003019F8">
                  <w:pPr>
                    <w:pStyle w:val="Figure"/>
                    <w:spacing w:before="60" w:after="60"/>
                  </w:pPr>
                  <w:r>
                    <w:rPr>
                      <w:noProof/>
                    </w:rPr>
                    <w:drawing>
                      <wp:inline distT="0" distB="0" distL="0" distR="0" wp14:anchorId="6846A068" wp14:editId="7884A6D8">
                        <wp:extent cx="5391150" cy="2876550"/>
                        <wp:effectExtent l="0" t="0" r="0" b="0"/>
                        <wp:docPr id="59" name="Picture 59" descr="Figure 10.48 Separations for selected acute conditions by Indigenous status&#10;&#10;Other Australians&#10;&#10;More details can be found within the text surrounding this image.&#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5391150" cy="2876550"/>
                                </a:xfrm>
                                <a:prstGeom prst="rect">
                                  <a:avLst/>
                                </a:prstGeom>
                                <a:noFill/>
                                <a:ln>
                                  <a:noFill/>
                                </a:ln>
                              </pic:spPr>
                            </pic:pic>
                          </a:graphicData>
                        </a:graphic>
                      </wp:inline>
                    </w:drawing>
                  </w:r>
                </w:p>
              </w:tc>
            </w:tr>
          </w:tbl>
          <w:p w:rsidR="00E10047" w:rsidRDefault="00E10047" w:rsidP="003019F8">
            <w:pPr>
              <w:pStyle w:val="Figure"/>
            </w:pPr>
          </w:p>
        </w:tc>
      </w:tr>
      <w:tr w:rsidR="00E10047" w:rsidRPr="00176D3F" w:rsidTr="0039681F">
        <w:tc>
          <w:tcPr>
            <w:tcW w:w="8771" w:type="dxa"/>
            <w:tcBorders>
              <w:top w:val="nil"/>
              <w:left w:val="nil"/>
              <w:bottom w:val="nil"/>
              <w:right w:val="nil"/>
            </w:tcBorders>
            <w:shd w:val="clear" w:color="auto" w:fill="auto"/>
          </w:tcPr>
          <w:p w:rsidR="00E10047" w:rsidRPr="00176D3F" w:rsidRDefault="009D74C2" w:rsidP="007A1439">
            <w:pPr>
              <w:pStyle w:val="Note"/>
              <w:keepNext/>
              <w:spacing w:before="60"/>
            </w:pPr>
            <w:r>
              <w:rPr>
                <w:rStyle w:val="NoteLabel"/>
              </w:rPr>
              <w:t>a </w:t>
            </w:r>
            <w:r w:rsidR="001F1F16" w:rsidRPr="00F459BD">
              <w:t>Separation rates are directly age standardised to the Australian population at 30 June 2001.</w:t>
            </w:r>
            <w:r w:rsidR="001F1F16" w:rsidRPr="00A6454B">
              <w:rPr>
                <w:rStyle w:val="NoteLabel"/>
              </w:rPr>
              <w:t xml:space="preserve"> b</w:t>
            </w:r>
            <w:r w:rsidR="001F1F16" w:rsidRPr="00F459BD">
              <w:t xml:space="preserve"> Separation rates are based on State/Territory of usual </w:t>
            </w:r>
            <w:r w:rsidR="001F1F16" w:rsidRPr="0039681F">
              <w:t xml:space="preserve">residence. </w:t>
            </w:r>
            <w:r w:rsidR="001F1F16" w:rsidRPr="0039681F">
              <w:rPr>
                <w:rStyle w:val="NoteLabel"/>
              </w:rPr>
              <w:t>c </w:t>
            </w:r>
            <w:r w:rsidR="001F1F16" w:rsidRPr="0039681F">
              <w:t xml:space="preserve">Data are revised in line with a nationally agreed revised definition of selected potentially preventable hospitalisations and may differ from previous reports. See DQI for more information. </w:t>
            </w:r>
            <w:r w:rsidR="001F1F16" w:rsidRPr="0039681F">
              <w:rPr>
                <w:rStyle w:val="NoteLabel"/>
              </w:rPr>
              <w:t>d</w:t>
            </w:r>
            <w:r w:rsidR="001F1F16" w:rsidRPr="0039681F">
              <w:t xml:space="preserve"> Caution should be used in the interpretation of these data because of jurisdictional differences in data quality. </w:t>
            </w:r>
            <w:r w:rsidR="001F1F16" w:rsidRPr="0039681F">
              <w:rPr>
                <w:rStyle w:val="NoteLabel"/>
              </w:rPr>
              <w:t>e</w:t>
            </w:r>
            <w:r w:rsidR="001F1F16" w:rsidRPr="0039681F">
              <w:t xml:space="preserve"> Caution should be used in comparing data over time due to changes in international classifications and </w:t>
            </w:r>
            <w:r w:rsidR="001F4C18" w:rsidRPr="0039681F">
              <w:t xml:space="preserve">associated </w:t>
            </w:r>
            <w:r w:rsidR="001F1F16" w:rsidRPr="0039681F">
              <w:t xml:space="preserve">Australian coding standards. See DQI for more information. </w:t>
            </w:r>
            <w:r w:rsidR="001F1F16" w:rsidRPr="0039681F">
              <w:rPr>
                <w:rStyle w:val="NoteLabel"/>
              </w:rPr>
              <w:t>f</w:t>
            </w:r>
            <w:r w:rsidR="001F1F16" w:rsidRPr="0039681F">
              <w:t> NT data from 2011-12 are for public and private hospitals. For previous years, NT data are for public hospitals only.</w:t>
            </w:r>
            <w:r w:rsidR="001F1F16" w:rsidRPr="0039681F">
              <w:rPr>
                <w:color w:val="FF0000"/>
              </w:rPr>
              <w:t xml:space="preserve"> </w:t>
            </w:r>
            <w:r w:rsidR="007A1439">
              <w:rPr>
                <w:rStyle w:val="NoteLabel"/>
              </w:rPr>
              <w:t>g</w:t>
            </w:r>
            <w:r w:rsidR="001F1F16" w:rsidRPr="0039681F">
              <w:t> From 2010-11, identification of Aboriginal and Torres Strait Islander people in hospital administrative data is of sufficient quality for statistical rep</w:t>
            </w:r>
            <w:r w:rsidR="001F1F16" w:rsidRPr="003F5684">
              <w:t>orting purposes</w:t>
            </w:r>
            <w:r w:rsidR="001F1F16">
              <w:t xml:space="preserve"> for all states and territories</w:t>
            </w:r>
            <w:r w:rsidR="001F1F16" w:rsidRPr="003F5684">
              <w:t>.</w:t>
            </w:r>
            <w:r w:rsidR="001F1F16">
              <w:t xml:space="preserve"> Data for </w:t>
            </w:r>
            <w:r w:rsidR="001F1F16" w:rsidRPr="003F5684">
              <w:t xml:space="preserve">Tasmania and the ACT </w:t>
            </w:r>
            <w:r w:rsidR="001F1F16">
              <w:t>were not included in national totals in previous years, and were not published for 2007-08</w:t>
            </w:r>
            <w:r w:rsidR="00E10047">
              <w:t>.</w:t>
            </w:r>
          </w:p>
        </w:tc>
      </w:tr>
      <w:tr w:rsidR="00E10047" w:rsidRPr="00176D3F" w:rsidTr="0039681F">
        <w:trPr>
          <w:trHeight w:val="138"/>
        </w:trPr>
        <w:tc>
          <w:tcPr>
            <w:tcW w:w="8771" w:type="dxa"/>
            <w:tcBorders>
              <w:top w:val="nil"/>
              <w:left w:val="nil"/>
              <w:bottom w:val="nil"/>
              <w:right w:val="nil"/>
            </w:tcBorders>
            <w:shd w:val="clear" w:color="auto" w:fill="auto"/>
          </w:tcPr>
          <w:p w:rsidR="00E10047" w:rsidRPr="00176D3F" w:rsidRDefault="00E10047" w:rsidP="0001084E">
            <w:pPr>
              <w:pStyle w:val="Source"/>
              <w:spacing w:before="60"/>
            </w:pPr>
            <w:r w:rsidRPr="00913654">
              <w:rPr>
                <w:i/>
              </w:rPr>
              <w:t>Source</w:t>
            </w:r>
            <w:r w:rsidRPr="00913654">
              <w:t xml:space="preserve">: AIHW (unpublished) National Hospital Morbidity Database; </w:t>
            </w:r>
            <w:r w:rsidRPr="0039681F">
              <w:t>table</w:t>
            </w:r>
            <w:r w:rsidR="0008054E">
              <w:t>s</w:t>
            </w:r>
            <w:r w:rsidRPr="0039681F">
              <w:t> </w:t>
            </w:r>
            <w:r w:rsidR="00C9076B" w:rsidRPr="0039681F">
              <w:t>10A.</w:t>
            </w:r>
            <w:r w:rsidRPr="0039681F">
              <w:t>9</w:t>
            </w:r>
            <w:r w:rsidR="0001084E" w:rsidRPr="0039681F">
              <w:t>5</w:t>
            </w:r>
            <w:r w:rsidR="0008054E">
              <w:t xml:space="preserve"> and 10A.100</w:t>
            </w:r>
            <w:r w:rsidRPr="00931CC9">
              <w:t>.</w:t>
            </w:r>
          </w:p>
        </w:tc>
      </w:tr>
      <w:tr w:rsidR="00E10047" w:rsidTr="003019F8">
        <w:tc>
          <w:tcPr>
            <w:tcW w:w="8771" w:type="dxa"/>
            <w:tcBorders>
              <w:top w:val="nil"/>
              <w:left w:val="nil"/>
              <w:bottom w:val="single" w:sz="6" w:space="0" w:color="78A22F"/>
              <w:right w:val="nil"/>
            </w:tcBorders>
            <w:shd w:val="clear" w:color="auto" w:fill="auto"/>
          </w:tcPr>
          <w:p w:rsidR="00E10047" w:rsidRDefault="00E10047" w:rsidP="003019F8">
            <w:pPr>
              <w:pStyle w:val="Figurespace"/>
            </w:pPr>
          </w:p>
        </w:tc>
      </w:tr>
      <w:tr w:rsidR="00E10047" w:rsidRPr="000863A5" w:rsidTr="003019F8">
        <w:tc>
          <w:tcPr>
            <w:tcW w:w="8771" w:type="dxa"/>
            <w:tcBorders>
              <w:top w:val="single" w:sz="6" w:space="0" w:color="78A22F"/>
              <w:left w:val="nil"/>
              <w:bottom w:val="nil"/>
              <w:right w:val="nil"/>
            </w:tcBorders>
          </w:tcPr>
          <w:p w:rsidR="00E10047" w:rsidRPr="00626D32" w:rsidRDefault="00E10047" w:rsidP="003019F8">
            <w:pPr>
              <w:pStyle w:val="BoxSpaceBelow"/>
            </w:pPr>
          </w:p>
        </w:tc>
      </w:tr>
    </w:tbl>
    <w:p w:rsidR="00E10047" w:rsidRDefault="00E10047" w:rsidP="00A539E6">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10047" w:rsidTr="003019F8">
        <w:tc>
          <w:tcPr>
            <w:tcW w:w="8771" w:type="dxa"/>
            <w:tcBorders>
              <w:top w:val="single" w:sz="6" w:space="0" w:color="78A22F"/>
              <w:left w:val="nil"/>
              <w:bottom w:val="nil"/>
              <w:right w:val="nil"/>
            </w:tcBorders>
            <w:shd w:val="clear" w:color="auto" w:fill="auto"/>
          </w:tcPr>
          <w:p w:rsidR="00E10047" w:rsidRPr="00176D3F" w:rsidRDefault="00E10047" w:rsidP="00A539E6">
            <w:pPr>
              <w:pStyle w:val="FigureTitle"/>
            </w:pPr>
            <w:r w:rsidRPr="00784A05">
              <w:rPr>
                <w:b w:val="0"/>
              </w:rPr>
              <w:t xml:space="preserve">Figure </w:t>
            </w:r>
            <w:r w:rsidR="00DF255F">
              <w:rPr>
                <w:b w:val="0"/>
              </w:rPr>
              <w:t>10.</w:t>
            </w:r>
            <w:r w:rsidR="0078724D">
              <w:rPr>
                <w:b w:val="0"/>
                <w:noProof/>
              </w:rPr>
              <w:t>49</w:t>
            </w:r>
            <w:r>
              <w:tab/>
            </w:r>
            <w:r w:rsidRPr="00913654">
              <w:t xml:space="preserve">Separations for selected chronic conditions by </w:t>
            </w:r>
            <w:r w:rsidR="003310BC">
              <w:t>Indigenous</w:t>
            </w:r>
            <w:r w:rsidRPr="00913654">
              <w:t xml:space="preserve"> status</w:t>
            </w:r>
            <w:r w:rsidRPr="00913654">
              <w:rPr>
                <w:rStyle w:val="NoteLabel"/>
                <w:b/>
              </w:rPr>
              <w:t>a, b, c, d, e, f</w:t>
            </w:r>
            <w:r w:rsidR="001F1F16">
              <w:rPr>
                <w:rStyle w:val="NoteLabel"/>
                <w:b/>
              </w:rPr>
              <w:t>, g</w:t>
            </w:r>
          </w:p>
        </w:tc>
      </w:tr>
      <w:tr w:rsidR="00E10047" w:rsidTr="0039681F">
        <w:tc>
          <w:tcPr>
            <w:tcW w:w="8771" w:type="dxa"/>
            <w:tcBorders>
              <w:top w:val="nil"/>
              <w:left w:val="nil"/>
              <w:bottom w:val="nil"/>
              <w:right w:val="nil"/>
            </w:tcBorders>
            <w:shd w:val="clear" w:color="auto" w:fill="auto"/>
            <w:tcMar>
              <w:top w:w="28" w:type="dxa"/>
              <w:bottom w:w="28" w:type="dxa"/>
            </w:tcMar>
          </w:tcPr>
          <w:tbl>
            <w:tblPr>
              <w:tblW w:w="8625" w:type="dxa"/>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625"/>
            </w:tblGrid>
            <w:tr w:rsidR="00E10047" w:rsidTr="00A539E6">
              <w:tc>
                <w:tcPr>
                  <w:tcW w:w="5000" w:type="pct"/>
                  <w:tcBorders>
                    <w:top w:val="nil"/>
                    <w:bottom w:val="nil"/>
                  </w:tcBorders>
                </w:tcPr>
                <w:p w:rsidR="00E10047" w:rsidRDefault="000924DC" w:rsidP="00A539E6">
                  <w:pPr>
                    <w:pStyle w:val="Figure"/>
                    <w:spacing w:before="60" w:after="60"/>
                  </w:pPr>
                  <w:r>
                    <w:rPr>
                      <w:noProof/>
                    </w:rPr>
                    <w:drawing>
                      <wp:inline distT="0" distB="0" distL="0" distR="0">
                        <wp:extent cx="5391150" cy="2886075"/>
                        <wp:effectExtent l="0" t="0" r="0" b="9525"/>
                        <wp:docPr id="56" name="Picture 56" descr="Figure 10.49 Seperations for selected chronic conditions by Indigenous status&#10;&#10;Aboriginal and Torres Strait Islander Australians&#10;&#10;More details can be found within the text surrounding this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5391150" cy="2886075"/>
                                </a:xfrm>
                                <a:prstGeom prst="rect">
                                  <a:avLst/>
                                </a:prstGeom>
                                <a:noFill/>
                                <a:ln>
                                  <a:noFill/>
                                </a:ln>
                              </pic:spPr>
                            </pic:pic>
                          </a:graphicData>
                        </a:graphic>
                      </wp:inline>
                    </w:drawing>
                  </w:r>
                </w:p>
                <w:p w:rsidR="00E10047" w:rsidRDefault="007B1994" w:rsidP="00A539E6">
                  <w:pPr>
                    <w:pStyle w:val="Figure"/>
                    <w:spacing w:before="60" w:after="60"/>
                  </w:pPr>
                  <w:r>
                    <w:rPr>
                      <w:noProof/>
                    </w:rPr>
                    <w:drawing>
                      <wp:inline distT="0" distB="0" distL="0" distR="0">
                        <wp:extent cx="5391150" cy="2876550"/>
                        <wp:effectExtent l="0" t="0" r="0" b="0"/>
                        <wp:docPr id="61" name="Picture 61" descr="Figure 10.49 Separations for selected chronic conditions by Indigenous status&#10;&#10;Other Australians&#10;&#10;More details can be found within the text surrounding this image&#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4"/>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5391150" cy="2876550"/>
                                </a:xfrm>
                                <a:prstGeom prst="rect">
                                  <a:avLst/>
                                </a:prstGeom>
                                <a:noFill/>
                                <a:ln>
                                  <a:noFill/>
                                </a:ln>
                              </pic:spPr>
                            </pic:pic>
                          </a:graphicData>
                        </a:graphic>
                      </wp:inline>
                    </w:drawing>
                  </w:r>
                </w:p>
              </w:tc>
            </w:tr>
          </w:tbl>
          <w:p w:rsidR="00E10047" w:rsidRDefault="00E10047" w:rsidP="00A539E6">
            <w:pPr>
              <w:pStyle w:val="Figure"/>
            </w:pPr>
          </w:p>
        </w:tc>
      </w:tr>
      <w:tr w:rsidR="00E10047" w:rsidRPr="00176D3F" w:rsidTr="0039681F">
        <w:tc>
          <w:tcPr>
            <w:tcW w:w="8771" w:type="dxa"/>
            <w:tcBorders>
              <w:top w:val="nil"/>
              <w:left w:val="nil"/>
              <w:bottom w:val="nil"/>
              <w:right w:val="nil"/>
            </w:tcBorders>
            <w:shd w:val="clear" w:color="auto" w:fill="auto"/>
          </w:tcPr>
          <w:p w:rsidR="00E10047" w:rsidRPr="00176D3F" w:rsidRDefault="00B059D6" w:rsidP="002D68FC">
            <w:pPr>
              <w:pStyle w:val="Note"/>
              <w:keepNext/>
            </w:pPr>
            <w:r>
              <w:rPr>
                <w:rStyle w:val="NoteLabel"/>
              </w:rPr>
              <w:t>a </w:t>
            </w:r>
            <w:r w:rsidR="001F1F16" w:rsidRPr="00F459BD">
              <w:t xml:space="preserve">Separation rates are directly age standardised to the </w:t>
            </w:r>
            <w:r w:rsidR="001F1F16" w:rsidRPr="0039681F">
              <w:t>Australian population at 30 June 2001.</w:t>
            </w:r>
            <w:r w:rsidR="001F1F16" w:rsidRPr="0039681F">
              <w:rPr>
                <w:rStyle w:val="NoteLabel"/>
              </w:rPr>
              <w:t xml:space="preserve"> b</w:t>
            </w:r>
            <w:r w:rsidR="001F1F16" w:rsidRPr="0039681F">
              <w:t xml:space="preserve"> Separation rates are based on State/Territory of usual residence. </w:t>
            </w:r>
            <w:r w:rsidR="001F1F16" w:rsidRPr="0039681F">
              <w:rPr>
                <w:rStyle w:val="NoteLabel"/>
              </w:rPr>
              <w:t>c </w:t>
            </w:r>
            <w:r w:rsidR="001F1F16" w:rsidRPr="0039681F">
              <w:t xml:space="preserve">Data are revised in line with a nationally agreed revised definition of selected potentially preventable hospitalisations and may differ from previous reports. See DQI for more information. </w:t>
            </w:r>
            <w:r w:rsidR="001F1F16" w:rsidRPr="0039681F">
              <w:rPr>
                <w:rStyle w:val="NoteLabel"/>
              </w:rPr>
              <w:t>d</w:t>
            </w:r>
            <w:r w:rsidR="001F1F16" w:rsidRPr="0039681F">
              <w:t xml:space="preserve"> Caution should be used in the interpretation of these data because of jurisdictional differences in data quality. </w:t>
            </w:r>
            <w:r w:rsidR="001F1F16" w:rsidRPr="0039681F">
              <w:rPr>
                <w:rStyle w:val="NoteLabel"/>
              </w:rPr>
              <w:t>e</w:t>
            </w:r>
            <w:r w:rsidR="001F1F16" w:rsidRPr="0039681F">
              <w:t xml:space="preserve"> Caution should be used in comparing data over time due to changes in international classifications and </w:t>
            </w:r>
            <w:r w:rsidR="001F4C18" w:rsidRPr="0039681F">
              <w:t xml:space="preserve">associated </w:t>
            </w:r>
            <w:r w:rsidR="001F1F16" w:rsidRPr="0039681F">
              <w:t xml:space="preserve">Australian coding standards. See DQI for more information. </w:t>
            </w:r>
            <w:r w:rsidR="00CD37F4" w:rsidRPr="0039681F">
              <w:rPr>
                <w:rStyle w:val="NoteLabel"/>
              </w:rPr>
              <w:t>f</w:t>
            </w:r>
            <w:r w:rsidR="00CD37F4" w:rsidRPr="0039681F">
              <w:t> </w:t>
            </w:r>
            <w:r w:rsidR="001F1F16" w:rsidRPr="0039681F">
              <w:t>NT data from 2011-12 are for public and private hospitals. For previous years, NT data are for public hospitals only.</w:t>
            </w:r>
            <w:r w:rsidR="001F1F16" w:rsidRPr="0039681F">
              <w:rPr>
                <w:color w:val="FF0000"/>
              </w:rPr>
              <w:t xml:space="preserve"> </w:t>
            </w:r>
            <w:r w:rsidR="002D68FC">
              <w:rPr>
                <w:rStyle w:val="NoteLabel"/>
              </w:rPr>
              <w:t>g</w:t>
            </w:r>
            <w:r w:rsidR="001F1F16" w:rsidRPr="0039681F">
              <w:t> From 2010-11, identification of Aboriginal and Torres Strait Islander people in hospital administrative data is of sufficient quality for statistical reporting</w:t>
            </w:r>
            <w:r w:rsidR="001F1F16" w:rsidRPr="003F5684">
              <w:t xml:space="preserve"> purposes</w:t>
            </w:r>
            <w:r w:rsidR="001F1F16">
              <w:t xml:space="preserve"> for all states and territories</w:t>
            </w:r>
            <w:r w:rsidR="001F1F16" w:rsidRPr="003F5684">
              <w:t>.</w:t>
            </w:r>
            <w:r w:rsidR="001F1F16">
              <w:t xml:space="preserve"> Data for </w:t>
            </w:r>
            <w:r w:rsidR="001F1F16" w:rsidRPr="003F5684">
              <w:t xml:space="preserve">Tasmania and the ACT </w:t>
            </w:r>
            <w:r w:rsidR="001F1F16">
              <w:t>were not included in national totals in previous years, and were not published for 2007-08</w:t>
            </w:r>
            <w:r w:rsidR="00E10047">
              <w:t>.</w:t>
            </w:r>
          </w:p>
        </w:tc>
      </w:tr>
      <w:tr w:rsidR="00E10047" w:rsidRPr="00176D3F" w:rsidTr="0039681F">
        <w:tc>
          <w:tcPr>
            <w:tcW w:w="8771" w:type="dxa"/>
            <w:tcBorders>
              <w:top w:val="nil"/>
              <w:left w:val="nil"/>
              <w:bottom w:val="nil"/>
              <w:right w:val="nil"/>
            </w:tcBorders>
            <w:shd w:val="clear" w:color="auto" w:fill="auto"/>
          </w:tcPr>
          <w:p w:rsidR="00E10047" w:rsidRPr="00176D3F" w:rsidRDefault="00E10047" w:rsidP="0008054E">
            <w:pPr>
              <w:pStyle w:val="Source"/>
            </w:pPr>
            <w:r w:rsidRPr="00913654">
              <w:rPr>
                <w:i/>
              </w:rPr>
              <w:t>Source</w:t>
            </w:r>
            <w:r w:rsidRPr="00913654">
              <w:t xml:space="preserve">: AIHW (unpublished) National Hospital Morbidity </w:t>
            </w:r>
            <w:r w:rsidRPr="0039681F">
              <w:t>Database; table</w:t>
            </w:r>
            <w:r w:rsidR="0008054E">
              <w:t>s</w:t>
            </w:r>
            <w:r w:rsidRPr="0039681F">
              <w:t> </w:t>
            </w:r>
            <w:r w:rsidR="00C9076B" w:rsidRPr="0039681F">
              <w:t>10A.</w:t>
            </w:r>
            <w:r w:rsidR="0001084E" w:rsidRPr="0039681F">
              <w:t>95</w:t>
            </w:r>
            <w:r w:rsidR="0008054E">
              <w:t xml:space="preserve"> and 10A.101</w:t>
            </w:r>
            <w:r w:rsidRPr="00931CC9">
              <w:t>.</w:t>
            </w:r>
          </w:p>
        </w:tc>
      </w:tr>
      <w:tr w:rsidR="00E10047" w:rsidTr="003019F8">
        <w:tc>
          <w:tcPr>
            <w:tcW w:w="8771" w:type="dxa"/>
            <w:tcBorders>
              <w:top w:val="nil"/>
              <w:left w:val="nil"/>
              <w:bottom w:val="single" w:sz="6" w:space="0" w:color="78A22F"/>
              <w:right w:val="nil"/>
            </w:tcBorders>
            <w:shd w:val="clear" w:color="auto" w:fill="auto"/>
          </w:tcPr>
          <w:p w:rsidR="00E10047" w:rsidRDefault="00E10047" w:rsidP="00A539E6">
            <w:pPr>
              <w:pStyle w:val="Figurespace"/>
            </w:pPr>
          </w:p>
        </w:tc>
      </w:tr>
      <w:tr w:rsidR="00E10047" w:rsidRPr="000863A5" w:rsidTr="003019F8">
        <w:tc>
          <w:tcPr>
            <w:tcW w:w="8771" w:type="dxa"/>
            <w:tcBorders>
              <w:top w:val="single" w:sz="6" w:space="0" w:color="78A22F"/>
              <w:left w:val="nil"/>
              <w:bottom w:val="nil"/>
              <w:right w:val="nil"/>
            </w:tcBorders>
          </w:tcPr>
          <w:p w:rsidR="00E10047" w:rsidRPr="00626D32" w:rsidRDefault="00E10047" w:rsidP="00A539E6">
            <w:pPr>
              <w:pStyle w:val="BoxSpaceBelow"/>
            </w:pPr>
          </w:p>
        </w:tc>
      </w:tr>
    </w:tbl>
    <w:p w:rsidR="003E2B93" w:rsidRPr="00F459BD" w:rsidRDefault="0095555A" w:rsidP="005321E7">
      <w:pPr>
        <w:pStyle w:val="Heading5"/>
      </w:pPr>
      <w:r w:rsidRPr="00F459BD">
        <w:t>Potentially preventable h</w:t>
      </w:r>
      <w:r w:rsidR="003E2B93" w:rsidRPr="00F459BD">
        <w:t>ospitalisations for diabetes</w:t>
      </w:r>
    </w:p>
    <w:p w:rsidR="005321E7" w:rsidRPr="00F459BD" w:rsidRDefault="005321E7" w:rsidP="005321E7">
      <w:pPr>
        <w:pStyle w:val="BodyText"/>
      </w:pPr>
      <w:r w:rsidRPr="00F459BD">
        <w:t>Diabetes is a chronic disease of increasing prevalence, and is an identified National Health Priority Area for Australia. People with diabetes are at high risk of serious complications such as cardiovascular, eye and kidney disease. Type 2 diabetes is the most common form of diabetes and is largely preventable.</w:t>
      </w:r>
    </w:p>
    <w:p w:rsidR="003E2B93" w:rsidRPr="00913654" w:rsidRDefault="005321E7" w:rsidP="005321E7">
      <w:pPr>
        <w:pStyle w:val="BodyText"/>
      </w:pPr>
      <w:r w:rsidRPr="00913654">
        <w:t xml:space="preserve">The provision of high quality, appropriate and effective management of diabetes in the primary and community health sector can </w:t>
      </w:r>
      <w:r w:rsidR="00592818" w:rsidRPr="00913654">
        <w:t xml:space="preserve">prevent or minimise the severity of diabetes complications, thereby reducing demand for </w:t>
      </w:r>
      <w:r w:rsidR="00ED1744" w:rsidRPr="00913654">
        <w:t>hospitalisation</w:t>
      </w:r>
      <w:r w:rsidR="00592818" w:rsidRPr="00913654">
        <w:t xml:space="preserve"> </w:t>
      </w:r>
      <w:r w:rsidR="00D4454B" w:rsidRPr="00913654">
        <w:t>(AIHW </w:t>
      </w:r>
      <w:r w:rsidR="0088243E">
        <w:t>2008</w:t>
      </w:r>
      <w:r w:rsidR="00B4364B">
        <w:t>b</w:t>
      </w:r>
      <w:r w:rsidRPr="00913654">
        <w:t>). Patient compliance with management measures is also a critical determinant of the occurrence and severity of complications.</w:t>
      </w:r>
    </w:p>
    <w:p w:rsidR="003E2B93" w:rsidRPr="00F459BD" w:rsidRDefault="00FD7D4E" w:rsidP="00931CC9">
      <w:pPr>
        <w:pStyle w:val="BodyText"/>
      </w:pPr>
      <w:r w:rsidRPr="00913654">
        <w:t>Nationally</w:t>
      </w:r>
      <w:r w:rsidR="003E2B93" w:rsidRPr="00913654">
        <w:t xml:space="preserve">, the age standardised hospital separation rate </w:t>
      </w:r>
      <w:r w:rsidR="00592818" w:rsidRPr="00913654">
        <w:t>for</w:t>
      </w:r>
      <w:r w:rsidR="003E2B93" w:rsidRPr="00913654">
        <w:t xml:space="preserve"> </w:t>
      </w:r>
      <w:r w:rsidR="00592818" w:rsidRPr="00913654">
        <w:t xml:space="preserve">Type 2 diabetes mellitus as </w:t>
      </w:r>
      <w:r w:rsidR="003E2B93" w:rsidRPr="00913654">
        <w:t>principal diagnosis was</w:t>
      </w:r>
      <w:r w:rsidR="000A4BEF">
        <w:t xml:space="preserve"> </w:t>
      </w:r>
      <w:r w:rsidR="00F878FD">
        <w:t>107.0</w:t>
      </w:r>
      <w:r w:rsidR="003E2B93" w:rsidRPr="00931CC9">
        <w:t xml:space="preserve"> separations</w:t>
      </w:r>
      <w:r w:rsidR="00EC1685" w:rsidRPr="00931CC9">
        <w:t xml:space="preserve"> per 100 000 </w:t>
      </w:r>
      <w:r w:rsidR="003E2B93" w:rsidRPr="00931CC9">
        <w:t>people</w:t>
      </w:r>
      <w:r w:rsidR="003E2B93" w:rsidRPr="00913654">
        <w:t xml:space="preserve"> </w:t>
      </w:r>
      <w:r w:rsidR="00592818" w:rsidRPr="00913654">
        <w:t xml:space="preserve">in </w:t>
      </w:r>
      <w:r w:rsidR="00025443" w:rsidRPr="000A4BEF">
        <w:t>201</w:t>
      </w:r>
      <w:r w:rsidR="00F878FD">
        <w:t>2</w:t>
      </w:r>
      <w:r w:rsidR="000A4BEF" w:rsidRPr="000A4BEF">
        <w:noBreakHyphen/>
        <w:t>1</w:t>
      </w:r>
      <w:r w:rsidR="00F878FD">
        <w:t>3</w:t>
      </w:r>
      <w:r w:rsidR="00025443" w:rsidRPr="000A4BEF">
        <w:t xml:space="preserve"> </w:t>
      </w:r>
      <w:r w:rsidR="003E2B93" w:rsidRPr="00913654">
        <w:t>(</w:t>
      </w:r>
      <w:r w:rsidR="00897589">
        <w:t>figure 10.</w:t>
      </w:r>
      <w:r w:rsidR="006714EE">
        <w:t>50</w:t>
      </w:r>
      <w:r w:rsidR="002A346C" w:rsidRPr="00913654">
        <w:t>).</w:t>
      </w:r>
    </w:p>
    <w:p w:rsidR="00E10047" w:rsidRDefault="00E10047" w:rsidP="003019F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10047" w:rsidTr="003019F8">
        <w:tc>
          <w:tcPr>
            <w:tcW w:w="8771" w:type="dxa"/>
            <w:tcBorders>
              <w:top w:val="single" w:sz="6" w:space="0" w:color="78A22F"/>
              <w:left w:val="nil"/>
              <w:bottom w:val="nil"/>
              <w:right w:val="nil"/>
            </w:tcBorders>
            <w:shd w:val="clear" w:color="auto" w:fill="auto"/>
          </w:tcPr>
          <w:p w:rsidR="00E10047" w:rsidRPr="00176D3F" w:rsidRDefault="00E10047" w:rsidP="00B25AA7">
            <w:pPr>
              <w:pStyle w:val="FigureTitle"/>
            </w:pPr>
            <w:r w:rsidRPr="00784A05">
              <w:rPr>
                <w:b w:val="0"/>
              </w:rPr>
              <w:t xml:space="preserve">Figure </w:t>
            </w:r>
            <w:r w:rsidR="00DF255F">
              <w:rPr>
                <w:b w:val="0"/>
              </w:rPr>
              <w:t>10.</w:t>
            </w:r>
            <w:r w:rsidR="0078724D">
              <w:rPr>
                <w:b w:val="0"/>
                <w:noProof/>
              </w:rPr>
              <w:t>50</w:t>
            </w:r>
            <w:r>
              <w:tab/>
            </w:r>
            <w:r w:rsidRPr="00913654">
              <w:t xml:space="preserve">Separations for Type 2 diabetes mellitus as principal diagnosis, all </w:t>
            </w:r>
            <w:r w:rsidR="00B25AA7">
              <w:t>hospitals, 2012</w:t>
            </w:r>
            <w:r w:rsidRPr="009F16DC">
              <w:t>-1</w:t>
            </w:r>
            <w:r w:rsidR="00B25AA7">
              <w:t>3</w:t>
            </w:r>
            <w:r w:rsidRPr="009F16DC">
              <w:rPr>
                <w:rStyle w:val="NoteLabel"/>
                <w:b/>
              </w:rPr>
              <w:t>a, b</w:t>
            </w:r>
            <w:r w:rsidRPr="00913654">
              <w:rPr>
                <w:rStyle w:val="NoteLabel"/>
                <w:b/>
              </w:rPr>
              <w:t>, c</w:t>
            </w:r>
          </w:p>
        </w:tc>
      </w:tr>
      <w:tr w:rsidR="00E10047" w:rsidTr="003019F8">
        <w:tc>
          <w:tcPr>
            <w:tcW w:w="8771" w:type="dxa"/>
            <w:tcBorders>
              <w:top w:val="nil"/>
              <w:left w:val="nil"/>
              <w:bottom w:val="nil"/>
              <w:right w:val="nil"/>
            </w:tcBorders>
            <w:shd w:val="clear" w:color="auto" w:fill="auto"/>
            <w:tcMar>
              <w:top w:w="28" w:type="dxa"/>
              <w:bottom w:w="28" w:type="dxa"/>
            </w:tcMar>
          </w:tcPr>
          <w:tbl>
            <w:tblPr>
              <w:tblW w:w="8625" w:type="dxa"/>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625"/>
            </w:tblGrid>
            <w:tr w:rsidR="00E10047" w:rsidTr="00B302A2">
              <w:tc>
                <w:tcPr>
                  <w:tcW w:w="5000" w:type="pct"/>
                  <w:tcBorders>
                    <w:top w:val="nil"/>
                    <w:bottom w:val="nil"/>
                  </w:tcBorders>
                </w:tcPr>
                <w:p w:rsidR="00E10047" w:rsidRDefault="007B1994" w:rsidP="003019F8">
                  <w:pPr>
                    <w:pStyle w:val="Figure"/>
                    <w:spacing w:before="60" w:after="60"/>
                  </w:pPr>
                  <w:r>
                    <w:rPr>
                      <w:noProof/>
                    </w:rPr>
                    <w:drawing>
                      <wp:inline distT="0" distB="0" distL="0" distR="0">
                        <wp:extent cx="5391150" cy="2867025"/>
                        <wp:effectExtent l="0" t="0" r="0" b="9525"/>
                        <wp:docPr id="62" name="Picture 62" descr="Figure 10.50 Separations for Type 2 diabetes mellitus as principal diagnosis, all hospitals, 2012-13&#10;&#10;More details can be found within the text surrounding this image.&#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5"/>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5391150" cy="2867025"/>
                                </a:xfrm>
                                <a:prstGeom prst="rect">
                                  <a:avLst/>
                                </a:prstGeom>
                                <a:noFill/>
                                <a:ln>
                                  <a:noFill/>
                                </a:ln>
                              </pic:spPr>
                            </pic:pic>
                          </a:graphicData>
                        </a:graphic>
                      </wp:inline>
                    </w:drawing>
                  </w:r>
                </w:p>
              </w:tc>
            </w:tr>
          </w:tbl>
          <w:p w:rsidR="00E10047" w:rsidRDefault="00E10047" w:rsidP="003019F8">
            <w:pPr>
              <w:pStyle w:val="Figure"/>
            </w:pPr>
          </w:p>
        </w:tc>
      </w:tr>
      <w:tr w:rsidR="00E10047" w:rsidRPr="00176D3F" w:rsidTr="003019F8">
        <w:tc>
          <w:tcPr>
            <w:tcW w:w="8771" w:type="dxa"/>
            <w:tcBorders>
              <w:top w:val="nil"/>
              <w:left w:val="nil"/>
              <w:bottom w:val="nil"/>
              <w:right w:val="nil"/>
            </w:tcBorders>
            <w:shd w:val="clear" w:color="auto" w:fill="auto"/>
          </w:tcPr>
          <w:p w:rsidR="00E10047" w:rsidRPr="00176D3F" w:rsidRDefault="00E10047" w:rsidP="008E1DF3">
            <w:pPr>
              <w:pStyle w:val="Note"/>
              <w:keepNext/>
            </w:pPr>
            <w:r w:rsidRPr="00913654">
              <w:rPr>
                <w:rStyle w:val="NoteLabel"/>
              </w:rPr>
              <w:t>a</w:t>
            </w:r>
            <w:r w:rsidRPr="00913654">
              <w:rPr>
                <w:rStyle w:val="NoteLabel"/>
              </w:rPr>
              <w:sym w:font="Symbol" w:char="F020"/>
            </w:r>
            <w:r w:rsidRPr="00913654">
              <w:t xml:space="preserve">Differences across jurisdictions in policy and practice relating to the admission of patients, the availability of outpatient services and the incentives to admit patients rather than treat them as outpatients will affect estimates of hospital separations. </w:t>
            </w:r>
            <w:r w:rsidRPr="00913654">
              <w:rPr>
                <w:rStyle w:val="NoteLabel"/>
              </w:rPr>
              <w:t xml:space="preserve">b </w:t>
            </w:r>
            <w:r w:rsidRPr="00913654">
              <w:t>Morbidity data are coded under coding standards that can differ over time and across jurisdictions</w:t>
            </w:r>
            <w:r w:rsidR="008E1DF3">
              <w:t xml:space="preserve"> — </w:t>
            </w:r>
            <w:r w:rsidR="008E1DF3" w:rsidRPr="008E1DF3">
              <w:t xml:space="preserve">reporting of diabetes as a principal diagnosis </w:t>
            </w:r>
            <w:r w:rsidR="008E1DF3">
              <w:t>increased by an average of 29.6 per cent</w:t>
            </w:r>
            <w:r w:rsidR="008E1DF3" w:rsidRPr="008E1DF3">
              <w:t xml:space="preserve"> between 2011–12 and 2012–13, </w:t>
            </w:r>
            <w:r w:rsidR="008E1DF3">
              <w:t>primarily due to changes in</w:t>
            </w:r>
            <w:r w:rsidR="008E1DF3" w:rsidRPr="008E1DF3">
              <w:t xml:space="preserve"> </w:t>
            </w:r>
            <w:r w:rsidR="008E1DF3" w:rsidRPr="00913654">
              <w:t>coding standards</w:t>
            </w:r>
            <w:r w:rsidR="008E1DF3" w:rsidRPr="008E1DF3">
              <w:t>.</w:t>
            </w:r>
            <w:r w:rsidR="008E1DF3">
              <w:t xml:space="preserve"> Data for 2012-13 are not comparable with data for previous years.</w:t>
            </w:r>
            <w:r w:rsidR="008E1DF3" w:rsidRPr="008E1DF3">
              <w:t xml:space="preserve"> </w:t>
            </w:r>
            <w:r w:rsidRPr="00913654">
              <w:rPr>
                <w:rStyle w:val="NoteLabel"/>
              </w:rPr>
              <w:t xml:space="preserve">c </w:t>
            </w:r>
            <w:r w:rsidRPr="00913654">
              <w:t>Data for Tasmania, the ACT and the NT are not published separately (due to hospital confidentiality arrangements) but are included in the total for Australia</w:t>
            </w:r>
            <w:r>
              <w:t>.</w:t>
            </w:r>
          </w:p>
        </w:tc>
      </w:tr>
      <w:tr w:rsidR="00E10047" w:rsidRPr="00176D3F" w:rsidTr="003019F8">
        <w:tc>
          <w:tcPr>
            <w:tcW w:w="8771" w:type="dxa"/>
            <w:tcBorders>
              <w:top w:val="nil"/>
              <w:left w:val="nil"/>
              <w:bottom w:val="nil"/>
              <w:right w:val="nil"/>
            </w:tcBorders>
            <w:shd w:val="clear" w:color="auto" w:fill="auto"/>
          </w:tcPr>
          <w:p w:rsidR="00E10047" w:rsidRPr="00176D3F" w:rsidRDefault="00E10047" w:rsidP="0008054E">
            <w:pPr>
              <w:pStyle w:val="Source"/>
            </w:pPr>
            <w:r w:rsidRPr="00913654">
              <w:rPr>
                <w:i/>
              </w:rPr>
              <w:t>Source</w:t>
            </w:r>
            <w:r w:rsidRPr="00913654">
              <w:t>: AIHW (unpublished) National Hospital Morbidity Database; table </w:t>
            </w:r>
            <w:r w:rsidR="00C9076B">
              <w:t>10A.</w:t>
            </w:r>
            <w:r>
              <w:t>10</w:t>
            </w:r>
            <w:r w:rsidR="0008054E">
              <w:t>3</w:t>
            </w:r>
            <w:r>
              <w:t>.</w:t>
            </w:r>
          </w:p>
        </w:tc>
      </w:tr>
      <w:tr w:rsidR="00E10047" w:rsidTr="003019F8">
        <w:tc>
          <w:tcPr>
            <w:tcW w:w="8771" w:type="dxa"/>
            <w:tcBorders>
              <w:top w:val="nil"/>
              <w:left w:val="nil"/>
              <w:bottom w:val="single" w:sz="6" w:space="0" w:color="78A22F"/>
              <w:right w:val="nil"/>
            </w:tcBorders>
            <w:shd w:val="clear" w:color="auto" w:fill="auto"/>
          </w:tcPr>
          <w:p w:rsidR="00E10047" w:rsidRDefault="00E10047" w:rsidP="003019F8">
            <w:pPr>
              <w:pStyle w:val="Figurespace"/>
            </w:pPr>
          </w:p>
        </w:tc>
      </w:tr>
      <w:tr w:rsidR="00E10047" w:rsidRPr="000863A5" w:rsidTr="003019F8">
        <w:tc>
          <w:tcPr>
            <w:tcW w:w="8771" w:type="dxa"/>
            <w:tcBorders>
              <w:top w:val="single" w:sz="6" w:space="0" w:color="78A22F"/>
              <w:left w:val="nil"/>
              <w:bottom w:val="nil"/>
              <w:right w:val="nil"/>
            </w:tcBorders>
          </w:tcPr>
          <w:p w:rsidR="00E10047" w:rsidRPr="00626D32" w:rsidRDefault="00E10047" w:rsidP="003019F8">
            <w:pPr>
              <w:pStyle w:val="BoxSpaceBelow"/>
            </w:pPr>
          </w:p>
        </w:tc>
      </w:tr>
    </w:tbl>
    <w:p w:rsidR="003E2B93" w:rsidRPr="00F878FD" w:rsidRDefault="003E2B93" w:rsidP="00422382">
      <w:pPr>
        <w:pStyle w:val="BodyText"/>
        <w:rPr>
          <w:rStyle w:val="DraftingNote"/>
        </w:rPr>
      </w:pPr>
      <w:r w:rsidRPr="00913654">
        <w:t xml:space="preserve">The three </w:t>
      </w:r>
      <w:r w:rsidR="000130CB" w:rsidRPr="00913654">
        <w:t xml:space="preserve">complications of Type 2 diabetes </w:t>
      </w:r>
      <w:r w:rsidRPr="00913654">
        <w:t>most common</w:t>
      </w:r>
      <w:r w:rsidR="000130CB" w:rsidRPr="00913654">
        <w:t>ly</w:t>
      </w:r>
      <w:r w:rsidRPr="00913654">
        <w:t xml:space="preserve"> </w:t>
      </w:r>
      <w:r w:rsidR="000130CB" w:rsidRPr="00913654">
        <w:t>leading to</w:t>
      </w:r>
      <w:r w:rsidRPr="00913654">
        <w:t xml:space="preserve"> hospitalisation in </w:t>
      </w:r>
      <w:r w:rsidR="00025443" w:rsidRPr="00913654">
        <w:t>20</w:t>
      </w:r>
      <w:r w:rsidR="00025443">
        <w:t>1</w:t>
      </w:r>
      <w:r w:rsidR="00F878FD">
        <w:t>2</w:t>
      </w:r>
      <w:r w:rsidR="00025443">
        <w:noBreakHyphen/>
      </w:r>
      <w:r w:rsidR="00025443" w:rsidRPr="00913654">
        <w:t>1</w:t>
      </w:r>
      <w:r w:rsidR="00F878FD">
        <w:t>3</w:t>
      </w:r>
      <w:r w:rsidR="00025443">
        <w:t xml:space="preserve"> </w:t>
      </w:r>
      <w:r w:rsidRPr="00913654">
        <w:t>were ophthalmic, renal and circulatory complications. Across all jurisdictions for which data were published, the highest hospital separation rates were for ophthalmic complications</w:t>
      </w:r>
      <w:r w:rsidR="00025443" w:rsidRPr="00913654">
        <w:t xml:space="preserve"> </w:t>
      </w:r>
      <w:r w:rsidRPr="00913654">
        <w:t>(</w:t>
      </w:r>
      <w:r w:rsidR="00897589">
        <w:t>figure 10.</w:t>
      </w:r>
      <w:r w:rsidR="00DD72AA">
        <w:t>51</w:t>
      </w:r>
      <w:r w:rsidR="004867BC" w:rsidRPr="00913654">
        <w:t>)</w:t>
      </w:r>
      <w:r w:rsidR="000130CB" w:rsidRPr="00913654">
        <w:t>.</w:t>
      </w:r>
    </w:p>
    <w:p w:rsidR="00E10047" w:rsidRDefault="00E10047" w:rsidP="003019F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10047" w:rsidTr="003019F8">
        <w:tc>
          <w:tcPr>
            <w:tcW w:w="8771" w:type="dxa"/>
            <w:tcBorders>
              <w:top w:val="single" w:sz="6" w:space="0" w:color="78A22F"/>
              <w:left w:val="nil"/>
              <w:bottom w:val="nil"/>
              <w:right w:val="nil"/>
            </w:tcBorders>
            <w:shd w:val="clear" w:color="auto" w:fill="auto"/>
          </w:tcPr>
          <w:p w:rsidR="00E10047" w:rsidRPr="00176D3F" w:rsidRDefault="00E10047" w:rsidP="00B25AA7">
            <w:pPr>
              <w:pStyle w:val="FigureTitle"/>
            </w:pPr>
            <w:r w:rsidRPr="00784A05">
              <w:rPr>
                <w:b w:val="0"/>
              </w:rPr>
              <w:t xml:space="preserve">Figure </w:t>
            </w:r>
            <w:r w:rsidR="00DF255F">
              <w:rPr>
                <w:b w:val="0"/>
              </w:rPr>
              <w:t>10.</w:t>
            </w:r>
            <w:r w:rsidR="0078724D">
              <w:rPr>
                <w:b w:val="0"/>
                <w:noProof/>
              </w:rPr>
              <w:t>51</w:t>
            </w:r>
            <w:r>
              <w:tab/>
            </w:r>
            <w:r w:rsidRPr="00913654">
              <w:t>Separations for principal diagnosis of Type 2 diabetes mellitus by selected complication, all hospitals,</w:t>
            </w:r>
            <w:r>
              <w:t xml:space="preserve"> </w:t>
            </w:r>
            <w:r w:rsidR="003D56FC">
              <w:br/>
            </w:r>
            <w:r w:rsidRPr="009F16DC">
              <w:t>201</w:t>
            </w:r>
            <w:r w:rsidR="00B25AA7">
              <w:t>2</w:t>
            </w:r>
            <w:r w:rsidRPr="009F16DC">
              <w:t>-1</w:t>
            </w:r>
            <w:r w:rsidR="00B25AA7">
              <w:t>3</w:t>
            </w:r>
            <w:r w:rsidRPr="009F16DC">
              <w:rPr>
                <w:rStyle w:val="NoteLabel"/>
                <w:b/>
              </w:rPr>
              <w:t>a</w:t>
            </w:r>
            <w:r w:rsidRPr="00913654">
              <w:rPr>
                <w:rStyle w:val="NoteLabel"/>
                <w:b/>
              </w:rPr>
              <w:t>, b, c, d, e</w:t>
            </w:r>
          </w:p>
        </w:tc>
      </w:tr>
      <w:tr w:rsidR="00E10047" w:rsidTr="00F878FD">
        <w:tblPrEx>
          <w:tblCellMar>
            <w:left w:w="108" w:type="dxa"/>
            <w:right w:w="108" w:type="dxa"/>
          </w:tblCellMar>
        </w:tblPrEx>
        <w:tc>
          <w:tcPr>
            <w:tcW w:w="8771" w:type="dxa"/>
            <w:tcBorders>
              <w:top w:val="nil"/>
              <w:left w:val="nil"/>
              <w:bottom w:val="nil"/>
              <w:right w:val="nil"/>
            </w:tcBorders>
            <w:shd w:val="clear" w:color="auto" w:fill="auto"/>
          </w:tcPr>
          <w:p w:rsidR="0008054E" w:rsidRDefault="007B1994" w:rsidP="00D32547">
            <w:pPr>
              <w:jc w:val="center"/>
              <w:rPr>
                <w:noProof/>
              </w:rPr>
            </w:pPr>
            <w:r>
              <w:rPr>
                <w:noProof/>
              </w:rPr>
              <w:drawing>
                <wp:inline distT="0" distB="0" distL="0" distR="0">
                  <wp:extent cx="5391150" cy="2876550"/>
                  <wp:effectExtent l="0" t="0" r="0" b="0"/>
                  <wp:docPr id="63" name="Picture 63" descr="Figure 10.51 Separations for principal diagnosis of Type 2 diabetes mellitus by selected complication, all hospitals, 2012-13&#10;&#10;More details can be found within the text surrounding this image.&#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6"/>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5391150" cy="2876550"/>
                          </a:xfrm>
                          <a:prstGeom prst="rect">
                            <a:avLst/>
                          </a:prstGeom>
                          <a:noFill/>
                          <a:ln>
                            <a:noFill/>
                          </a:ln>
                        </pic:spPr>
                      </pic:pic>
                    </a:graphicData>
                  </a:graphic>
                </wp:inline>
              </w:drawing>
            </w:r>
          </w:p>
        </w:tc>
      </w:tr>
      <w:tr w:rsidR="00E10047" w:rsidRPr="00176D3F" w:rsidTr="003019F8">
        <w:tc>
          <w:tcPr>
            <w:tcW w:w="8771" w:type="dxa"/>
            <w:tcBorders>
              <w:top w:val="nil"/>
              <w:left w:val="nil"/>
              <w:bottom w:val="nil"/>
              <w:right w:val="nil"/>
            </w:tcBorders>
            <w:shd w:val="clear" w:color="auto" w:fill="auto"/>
          </w:tcPr>
          <w:p w:rsidR="00E10047" w:rsidRPr="00176D3F" w:rsidRDefault="00E10047" w:rsidP="008E1DF3">
            <w:pPr>
              <w:pStyle w:val="Note"/>
            </w:pPr>
            <w:r w:rsidRPr="00913654">
              <w:rPr>
                <w:rStyle w:val="NoteLabel"/>
              </w:rPr>
              <w:t>a</w:t>
            </w:r>
            <w:r w:rsidRPr="00913654">
              <w:sym w:font="Symbol" w:char="F020"/>
            </w:r>
            <w:r w:rsidRPr="00913654">
              <w:t xml:space="preserve">Results for individual complications can be affected by small numbers, and need to be interpreted with care. </w:t>
            </w:r>
            <w:r w:rsidRPr="00913654">
              <w:rPr>
                <w:rStyle w:val="NoteLabel"/>
              </w:rPr>
              <w:t>b</w:t>
            </w:r>
            <w:r w:rsidRPr="00913654">
              <w:t xml:space="preserve"> Patients can have one or more complication(s) for each separation. </w:t>
            </w:r>
            <w:r w:rsidRPr="00913654">
              <w:rPr>
                <w:rStyle w:val="NoteLabel"/>
              </w:rPr>
              <w:t xml:space="preserve">c </w:t>
            </w:r>
            <w:r w:rsidRPr="00913654">
              <w:t xml:space="preserve">Differences across jurisdictions in policy and practice relating to the admission of patients, the availability of outpatient services and the incentives to admit patients rather than treat them as outpatients will affect estimates of hospital separations. </w:t>
            </w:r>
            <w:r w:rsidRPr="00913654">
              <w:rPr>
                <w:rStyle w:val="NoteLabel"/>
              </w:rPr>
              <w:t>d </w:t>
            </w:r>
            <w:r w:rsidR="008E1DF3" w:rsidRPr="00913654">
              <w:t>Morbidity data are coded under coding standards that can differ over time and across jurisdictions</w:t>
            </w:r>
            <w:r w:rsidR="008E1DF3">
              <w:t xml:space="preserve"> — </w:t>
            </w:r>
            <w:r w:rsidR="008E1DF3" w:rsidRPr="008E1DF3">
              <w:t xml:space="preserve">reporting of diabetes as a principal diagnosis </w:t>
            </w:r>
            <w:r w:rsidR="008E1DF3">
              <w:t>increased by an average of 29.6 per cent</w:t>
            </w:r>
            <w:r w:rsidR="008E1DF3" w:rsidRPr="008E1DF3">
              <w:t xml:space="preserve"> between 2011</w:t>
            </w:r>
            <w:r w:rsidR="008E1DF3">
              <w:t>-12 and 2012-</w:t>
            </w:r>
            <w:r w:rsidR="008E1DF3" w:rsidRPr="008E1DF3">
              <w:t xml:space="preserve">13, </w:t>
            </w:r>
            <w:r w:rsidR="008E1DF3">
              <w:t>primarily due to changes in</w:t>
            </w:r>
            <w:r w:rsidR="008E1DF3" w:rsidRPr="008E1DF3">
              <w:t xml:space="preserve"> </w:t>
            </w:r>
            <w:r w:rsidR="008E1DF3" w:rsidRPr="00913654">
              <w:t>coding standards</w:t>
            </w:r>
            <w:r w:rsidR="008E1DF3" w:rsidRPr="008E1DF3">
              <w:t>.</w:t>
            </w:r>
            <w:r w:rsidR="008E1DF3">
              <w:t xml:space="preserve"> Data for 2012-13 are not comparable with data for previous years.</w:t>
            </w:r>
            <w:r w:rsidRPr="00913654">
              <w:t xml:space="preserve">. </w:t>
            </w:r>
            <w:r w:rsidRPr="00913654">
              <w:rPr>
                <w:rStyle w:val="NoteLabel"/>
              </w:rPr>
              <w:t>e</w:t>
            </w:r>
            <w:r w:rsidRPr="00913654">
              <w:t xml:space="preserve"> Data for Tasmania, the ACT and the NT are not published separately (due to private hospital confidentiality arrangements) but are included in the total for Australia</w:t>
            </w:r>
            <w:r>
              <w:t>.</w:t>
            </w:r>
          </w:p>
        </w:tc>
      </w:tr>
      <w:tr w:rsidR="00E10047" w:rsidRPr="00176D3F" w:rsidTr="003019F8">
        <w:tc>
          <w:tcPr>
            <w:tcW w:w="8771" w:type="dxa"/>
            <w:tcBorders>
              <w:top w:val="nil"/>
              <w:left w:val="nil"/>
              <w:bottom w:val="nil"/>
              <w:right w:val="nil"/>
            </w:tcBorders>
            <w:shd w:val="clear" w:color="auto" w:fill="auto"/>
          </w:tcPr>
          <w:p w:rsidR="00E10047" w:rsidRPr="00176D3F" w:rsidRDefault="00E10047" w:rsidP="00403D8D">
            <w:pPr>
              <w:pStyle w:val="Source"/>
            </w:pPr>
            <w:r w:rsidRPr="00913654">
              <w:rPr>
                <w:i/>
              </w:rPr>
              <w:t>Source</w:t>
            </w:r>
            <w:r w:rsidRPr="00913654">
              <w:t>: AIHW (unpublished) National Hospital Morbidity Database; table </w:t>
            </w:r>
            <w:r w:rsidR="00C9076B">
              <w:t>10A.</w:t>
            </w:r>
            <w:r>
              <w:t>10</w:t>
            </w:r>
            <w:r w:rsidR="0008054E">
              <w:t>3</w:t>
            </w:r>
            <w:r>
              <w:t>.</w:t>
            </w:r>
          </w:p>
        </w:tc>
      </w:tr>
      <w:tr w:rsidR="00E10047" w:rsidTr="003019F8">
        <w:tc>
          <w:tcPr>
            <w:tcW w:w="8771" w:type="dxa"/>
            <w:tcBorders>
              <w:top w:val="nil"/>
              <w:left w:val="nil"/>
              <w:bottom w:val="single" w:sz="6" w:space="0" w:color="78A22F"/>
              <w:right w:val="nil"/>
            </w:tcBorders>
            <w:shd w:val="clear" w:color="auto" w:fill="auto"/>
          </w:tcPr>
          <w:p w:rsidR="00E10047" w:rsidRDefault="00E10047" w:rsidP="003019F8">
            <w:pPr>
              <w:pStyle w:val="Figurespace"/>
            </w:pPr>
          </w:p>
        </w:tc>
      </w:tr>
      <w:tr w:rsidR="00E10047" w:rsidRPr="000863A5" w:rsidTr="003019F8">
        <w:tc>
          <w:tcPr>
            <w:tcW w:w="8771" w:type="dxa"/>
            <w:tcBorders>
              <w:top w:val="single" w:sz="6" w:space="0" w:color="78A22F"/>
              <w:left w:val="nil"/>
              <w:bottom w:val="nil"/>
              <w:right w:val="nil"/>
            </w:tcBorders>
          </w:tcPr>
          <w:p w:rsidR="00E10047" w:rsidRPr="00626D32" w:rsidRDefault="00E10047" w:rsidP="003019F8">
            <w:pPr>
              <w:pStyle w:val="BoxSpaceBelow"/>
            </w:pPr>
          </w:p>
        </w:tc>
      </w:tr>
    </w:tbl>
    <w:p w:rsidR="00E75746" w:rsidRPr="00913654" w:rsidRDefault="00E75746" w:rsidP="00931CC9">
      <w:pPr>
        <w:pStyle w:val="BodyText"/>
      </w:pPr>
      <w:r w:rsidRPr="00913654">
        <w:t>Treatment for Type 2 diabetes and related conditions is also provided in ambulatory care settings but the</w:t>
      </w:r>
      <w:r w:rsidR="001F4383" w:rsidRPr="00913654">
        <w:t>se data</w:t>
      </w:r>
      <w:r w:rsidRPr="00913654">
        <w:t xml:space="preserve"> </w:t>
      </w:r>
      <w:r w:rsidR="001F4383" w:rsidRPr="00913654">
        <w:t>are</w:t>
      </w:r>
      <w:r w:rsidRPr="00913654">
        <w:t xml:space="preserve"> not included in the hospital separations data. Differences across jurisdictions in policy and practice relating to the admission of patients, the availability of outpatient services and the incentives to admit patients rather than treat them as outpatients affect hospital separation rates. This effect is partly reflected in the variation in the proportion of separations that are ‘same day’ </w:t>
      </w:r>
      <w:r w:rsidR="004556B4" w:rsidRPr="00913654">
        <w:t>across jurisdictions. Nationally,</w:t>
      </w:r>
      <w:r w:rsidR="009D2F73">
        <w:t xml:space="preserve"> 2</w:t>
      </w:r>
      <w:r w:rsidR="00CA5C1F">
        <w:t>4</w:t>
      </w:r>
      <w:r w:rsidR="009D2F73">
        <w:t>.</w:t>
      </w:r>
      <w:r w:rsidR="00CA5C1F">
        <w:t>6</w:t>
      </w:r>
      <w:r w:rsidRPr="00931CC9">
        <w:t xml:space="preserve"> per cent</w:t>
      </w:r>
      <w:r w:rsidRPr="00913654">
        <w:t xml:space="preserve"> of separations for Type 2 diabetes were same day separations in </w:t>
      </w:r>
      <w:r w:rsidRPr="009D2F73">
        <w:t>20</w:t>
      </w:r>
      <w:r w:rsidR="00025443" w:rsidRPr="009D2F73">
        <w:t>1</w:t>
      </w:r>
      <w:r w:rsidR="00CA5C1F">
        <w:t>2</w:t>
      </w:r>
      <w:r w:rsidR="003E6C78" w:rsidRPr="009D2F73">
        <w:noBreakHyphen/>
      </w:r>
      <w:r w:rsidR="00695AFD" w:rsidRPr="009D2F73">
        <w:t>1</w:t>
      </w:r>
      <w:r w:rsidR="00CA5C1F">
        <w:t>3</w:t>
      </w:r>
      <w:r w:rsidRPr="00913654">
        <w:t xml:space="preserve"> (table </w:t>
      </w:r>
      <w:r w:rsidR="00C9076B">
        <w:t>10A.</w:t>
      </w:r>
      <w:r w:rsidR="003B3CD1">
        <w:t>10</w:t>
      </w:r>
      <w:r w:rsidR="0008054E">
        <w:t>4</w:t>
      </w:r>
      <w:r w:rsidRPr="00913654">
        <w:t>).</w:t>
      </w:r>
    </w:p>
    <w:p w:rsidR="003E2B93" w:rsidRPr="00F459BD" w:rsidRDefault="00523DBF" w:rsidP="00931CC9">
      <w:pPr>
        <w:pStyle w:val="BodyText"/>
      </w:pPr>
      <w:r w:rsidRPr="00913654">
        <w:t>Serious circulatory complications of diabetes can necessitate a</w:t>
      </w:r>
      <w:r w:rsidR="003E2B93" w:rsidRPr="00913654">
        <w:t xml:space="preserve">mputation of a lower limb. In </w:t>
      </w:r>
      <w:r w:rsidR="009D2F73" w:rsidRPr="009D2F73">
        <w:t>201</w:t>
      </w:r>
      <w:r w:rsidR="00CA5C1F">
        <w:t>2</w:t>
      </w:r>
      <w:r w:rsidR="009D2F73" w:rsidRPr="009D2F73">
        <w:noBreakHyphen/>
        <w:t>1</w:t>
      </w:r>
      <w:r w:rsidR="00CA5C1F">
        <w:t>3</w:t>
      </w:r>
      <w:r w:rsidR="003E2B93" w:rsidRPr="00913654">
        <w:t xml:space="preserve">, there </w:t>
      </w:r>
      <w:r w:rsidR="003E2B93" w:rsidRPr="00931CC9">
        <w:t>wer</w:t>
      </w:r>
      <w:r w:rsidR="00AE4837" w:rsidRPr="00931CC9">
        <w:t xml:space="preserve">e </w:t>
      </w:r>
      <w:r w:rsidR="001D535F" w:rsidRPr="009D2F73">
        <w:t>1</w:t>
      </w:r>
      <w:r w:rsidR="00CA5C1F">
        <w:t xml:space="preserve">6.4 </w:t>
      </w:r>
      <w:r w:rsidR="00AE4837" w:rsidRPr="00931CC9">
        <w:t>hospital separations per </w:t>
      </w:r>
      <w:r w:rsidR="003E2B93" w:rsidRPr="00931CC9">
        <w:t>100</w:t>
      </w:r>
      <w:r w:rsidR="00AE4837" w:rsidRPr="00931CC9">
        <w:t> </w:t>
      </w:r>
      <w:r w:rsidR="003E2B93" w:rsidRPr="00931CC9">
        <w:t>000 people</w:t>
      </w:r>
      <w:r w:rsidR="003E2B93" w:rsidRPr="00913654">
        <w:t xml:space="preserve"> (age standardised) for lower limb amputations where Type 2 diabetes mellitus was a principal or additional diagnosis (</w:t>
      </w:r>
      <w:r w:rsidR="00897589">
        <w:t>figure 10.</w:t>
      </w:r>
      <w:r w:rsidR="002670E9">
        <w:t>5</w:t>
      </w:r>
      <w:r w:rsidR="00DD72AA">
        <w:t>2</w:t>
      </w:r>
      <w:r w:rsidR="003E2B93" w:rsidRPr="00913654">
        <w:t>).</w:t>
      </w:r>
    </w:p>
    <w:p w:rsidR="00183E36" w:rsidRDefault="00183E36" w:rsidP="003019F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183E36" w:rsidTr="003019F8">
        <w:tc>
          <w:tcPr>
            <w:tcW w:w="8771" w:type="dxa"/>
            <w:tcBorders>
              <w:top w:val="single" w:sz="6" w:space="0" w:color="78A22F"/>
              <w:left w:val="nil"/>
              <w:bottom w:val="nil"/>
              <w:right w:val="nil"/>
            </w:tcBorders>
            <w:shd w:val="clear" w:color="auto" w:fill="auto"/>
          </w:tcPr>
          <w:p w:rsidR="00183E36" w:rsidRPr="00176D3F" w:rsidRDefault="00183E36" w:rsidP="00B25AA7">
            <w:pPr>
              <w:pStyle w:val="FigureTitle"/>
            </w:pPr>
            <w:r w:rsidRPr="00784A05">
              <w:rPr>
                <w:b w:val="0"/>
              </w:rPr>
              <w:t xml:space="preserve">Figure </w:t>
            </w:r>
            <w:r w:rsidR="00DF255F">
              <w:rPr>
                <w:b w:val="0"/>
              </w:rPr>
              <w:t>10.</w:t>
            </w:r>
            <w:r w:rsidR="0078724D">
              <w:rPr>
                <w:b w:val="0"/>
                <w:noProof/>
              </w:rPr>
              <w:t>52</w:t>
            </w:r>
            <w:r>
              <w:tab/>
            </w:r>
            <w:r w:rsidRPr="00913654">
              <w:t xml:space="preserve">Separations for lower limb amputation with principal or additional diagnosis of Type 2 diabetes, all hospitals, </w:t>
            </w:r>
            <w:r w:rsidRPr="009D2F73">
              <w:t>201</w:t>
            </w:r>
            <w:r w:rsidR="00B25AA7">
              <w:t>2</w:t>
            </w:r>
            <w:r w:rsidRPr="009D2F73">
              <w:noBreakHyphen/>
              <w:t>1</w:t>
            </w:r>
            <w:r w:rsidR="00B25AA7">
              <w:t>3</w:t>
            </w:r>
            <w:r w:rsidRPr="009D2F73">
              <w:rPr>
                <w:rStyle w:val="NoteLabel"/>
                <w:b/>
              </w:rPr>
              <w:t>a</w:t>
            </w:r>
            <w:r w:rsidRPr="00913654">
              <w:rPr>
                <w:rStyle w:val="NoteLabel"/>
                <w:b/>
              </w:rPr>
              <w:t>, b, c</w:t>
            </w:r>
          </w:p>
        </w:tc>
      </w:tr>
      <w:tr w:rsidR="00183E36" w:rsidTr="003019F8">
        <w:tc>
          <w:tcPr>
            <w:tcW w:w="8771" w:type="dxa"/>
            <w:tcBorders>
              <w:top w:val="nil"/>
              <w:left w:val="nil"/>
              <w:bottom w:val="nil"/>
              <w:right w:val="nil"/>
            </w:tcBorders>
            <w:shd w:val="clear" w:color="auto" w:fill="auto"/>
            <w:tcMar>
              <w:top w:w="28" w:type="dxa"/>
              <w:bottom w:w="28" w:type="dxa"/>
            </w:tcMar>
          </w:tcPr>
          <w:tbl>
            <w:tblPr>
              <w:tblW w:w="8625" w:type="dxa"/>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625"/>
            </w:tblGrid>
            <w:tr w:rsidR="00183E36" w:rsidTr="00CA5C1F">
              <w:tc>
                <w:tcPr>
                  <w:tcW w:w="5000" w:type="pct"/>
                  <w:tcBorders>
                    <w:top w:val="nil"/>
                    <w:bottom w:val="nil"/>
                  </w:tcBorders>
                </w:tcPr>
                <w:p w:rsidR="00183E36" w:rsidRDefault="007B1994" w:rsidP="003019F8">
                  <w:pPr>
                    <w:pStyle w:val="Figure"/>
                    <w:spacing w:before="60" w:after="60"/>
                  </w:pPr>
                  <w:r>
                    <w:rPr>
                      <w:noProof/>
                    </w:rPr>
                    <w:drawing>
                      <wp:inline distT="0" distB="0" distL="0" distR="0">
                        <wp:extent cx="5391150" cy="2867025"/>
                        <wp:effectExtent l="0" t="0" r="0" b="9525"/>
                        <wp:docPr id="64" name="Picture 64" descr="Figure 10.52 Separations for lower limb amputation with principal or additional diagnosis of Type 2 diabetes, all hospitals, 2012-13&#10;&#10;More details can be found within the text surrounding this image.&#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7"/>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5391150" cy="2867025"/>
                                </a:xfrm>
                                <a:prstGeom prst="rect">
                                  <a:avLst/>
                                </a:prstGeom>
                                <a:noFill/>
                                <a:ln>
                                  <a:noFill/>
                                </a:ln>
                              </pic:spPr>
                            </pic:pic>
                          </a:graphicData>
                        </a:graphic>
                      </wp:inline>
                    </w:drawing>
                  </w:r>
                </w:p>
              </w:tc>
            </w:tr>
          </w:tbl>
          <w:p w:rsidR="00183E36" w:rsidRDefault="00183E36" w:rsidP="003019F8">
            <w:pPr>
              <w:pStyle w:val="Figure"/>
            </w:pPr>
          </w:p>
        </w:tc>
      </w:tr>
      <w:tr w:rsidR="00183E36" w:rsidRPr="00176D3F" w:rsidTr="003019F8">
        <w:tc>
          <w:tcPr>
            <w:tcW w:w="8771" w:type="dxa"/>
            <w:tcBorders>
              <w:top w:val="nil"/>
              <w:left w:val="nil"/>
              <w:bottom w:val="nil"/>
              <w:right w:val="nil"/>
            </w:tcBorders>
            <w:shd w:val="clear" w:color="auto" w:fill="auto"/>
          </w:tcPr>
          <w:p w:rsidR="00183E36" w:rsidRPr="00176D3F" w:rsidRDefault="00183E36" w:rsidP="008F3167">
            <w:pPr>
              <w:pStyle w:val="Note"/>
            </w:pPr>
            <w:r w:rsidRPr="00913654">
              <w:rPr>
                <w:rStyle w:val="NoteLabel"/>
              </w:rPr>
              <w:t>a</w:t>
            </w:r>
            <w:r w:rsidRPr="00913654">
              <w:rPr>
                <w:rStyle w:val="NoteLabel"/>
              </w:rPr>
              <w:sym w:font="Symbol" w:char="F020"/>
            </w:r>
            <w:r w:rsidRPr="00913654">
              <w:t xml:space="preserve">Separation rates are directly age standardised to the Australian population at 30 June 2001. </w:t>
            </w:r>
            <w:r w:rsidRPr="00913654">
              <w:rPr>
                <w:rStyle w:val="NoteLabel"/>
              </w:rPr>
              <w:t>b</w:t>
            </w:r>
            <w:r w:rsidRPr="00913654">
              <w:t xml:space="preserve"> Includes unspecified diabetes. </w:t>
            </w:r>
            <w:r>
              <w:t>Data</w:t>
            </w:r>
            <w:r w:rsidRPr="00913654">
              <w:t xml:space="preserve"> are based on the ICD-10-AM classification. The codes used are ICD-10-AM diagnosis codes E11.x for diabetes, and ICD-10-AM procedure block</w:t>
            </w:r>
            <w:r w:rsidR="0081605A">
              <w:t xml:space="preserve"> 1533 and procedure codes 44370</w:t>
            </w:r>
            <w:r w:rsidR="0081605A">
              <w:noBreakHyphen/>
            </w:r>
            <w:r w:rsidRPr="00913654">
              <w:t>00, 44373-00, 44367-00, 44367-01 and 44367-02 for lower limb amputation.</w:t>
            </w:r>
            <w:r w:rsidR="008E1DF3">
              <w:t xml:space="preserve"> R</w:t>
            </w:r>
            <w:r w:rsidR="008E1DF3" w:rsidRPr="008E1DF3">
              <w:t xml:space="preserve">eporting of diabetes increased by an average of 29.6 per cent as a principal diagnosis </w:t>
            </w:r>
            <w:r w:rsidR="008E1DF3">
              <w:t xml:space="preserve">and 247 per cent as an additional diagnosis </w:t>
            </w:r>
            <w:r w:rsidR="008E1DF3" w:rsidRPr="008E1DF3">
              <w:t xml:space="preserve">between 2011–12 and 2012–13, primarily due to changes in coding standards. Data for 2012-13 are not comparable with data for previous years. </w:t>
            </w:r>
            <w:r w:rsidRPr="00913654">
              <w:rPr>
                <w:rStyle w:val="NoteLabel"/>
              </w:rPr>
              <w:t>c</w:t>
            </w:r>
            <w:r w:rsidRPr="00913654">
              <w:t> Data for Tasmania, the ACT and the NT are not published separately (due to private hospital confidentiality arrangements) but are included in the total for Australia.</w:t>
            </w:r>
          </w:p>
        </w:tc>
      </w:tr>
      <w:tr w:rsidR="00183E36" w:rsidRPr="00176D3F" w:rsidTr="003019F8">
        <w:tc>
          <w:tcPr>
            <w:tcW w:w="8771" w:type="dxa"/>
            <w:tcBorders>
              <w:top w:val="nil"/>
              <w:left w:val="nil"/>
              <w:bottom w:val="nil"/>
              <w:right w:val="nil"/>
            </w:tcBorders>
            <w:shd w:val="clear" w:color="auto" w:fill="auto"/>
          </w:tcPr>
          <w:p w:rsidR="00183E36" w:rsidRPr="00176D3F" w:rsidRDefault="00183E36" w:rsidP="00E57DC6">
            <w:pPr>
              <w:pStyle w:val="Source"/>
            </w:pPr>
            <w:r w:rsidRPr="00913654">
              <w:rPr>
                <w:i/>
              </w:rPr>
              <w:t>Source</w:t>
            </w:r>
            <w:r w:rsidRPr="00913654">
              <w:t>: AIHW (unpublished) National Hospital Morbidity Database; table </w:t>
            </w:r>
            <w:r w:rsidR="00C9076B">
              <w:t>10A.</w:t>
            </w:r>
            <w:r>
              <w:t>10</w:t>
            </w:r>
            <w:r w:rsidR="00E57DC6">
              <w:t>5</w:t>
            </w:r>
            <w:r>
              <w:t>.</w:t>
            </w:r>
          </w:p>
        </w:tc>
      </w:tr>
      <w:tr w:rsidR="00183E36" w:rsidTr="003019F8">
        <w:tc>
          <w:tcPr>
            <w:tcW w:w="8771" w:type="dxa"/>
            <w:tcBorders>
              <w:top w:val="nil"/>
              <w:left w:val="nil"/>
              <w:bottom w:val="single" w:sz="6" w:space="0" w:color="78A22F"/>
              <w:right w:val="nil"/>
            </w:tcBorders>
            <w:shd w:val="clear" w:color="auto" w:fill="auto"/>
          </w:tcPr>
          <w:p w:rsidR="00183E36" w:rsidRDefault="00183E36" w:rsidP="003019F8">
            <w:pPr>
              <w:pStyle w:val="Figurespace"/>
            </w:pPr>
          </w:p>
        </w:tc>
      </w:tr>
      <w:tr w:rsidR="00183E36" w:rsidRPr="000863A5" w:rsidTr="003019F8">
        <w:tc>
          <w:tcPr>
            <w:tcW w:w="8771" w:type="dxa"/>
            <w:tcBorders>
              <w:top w:val="single" w:sz="6" w:space="0" w:color="78A22F"/>
              <w:left w:val="nil"/>
              <w:bottom w:val="nil"/>
              <w:right w:val="nil"/>
            </w:tcBorders>
          </w:tcPr>
          <w:p w:rsidR="00183E36" w:rsidRPr="00626D32" w:rsidRDefault="00183E36" w:rsidP="003019F8">
            <w:pPr>
              <w:pStyle w:val="BoxSpaceBelow"/>
            </w:pPr>
          </w:p>
        </w:tc>
      </w:tr>
    </w:tbl>
    <w:p w:rsidR="001F4383" w:rsidRPr="00913654" w:rsidRDefault="003E2B93" w:rsidP="00422382">
      <w:pPr>
        <w:pStyle w:val="BodyText"/>
      </w:pPr>
      <w:r w:rsidRPr="00913654">
        <w:t>Age standardised hospital separation ratios for diabetes</w:t>
      </w:r>
      <w:r w:rsidR="001D3BF1" w:rsidRPr="00913654">
        <w:t xml:space="preserve"> (</w:t>
      </w:r>
      <w:r w:rsidR="00083B97" w:rsidRPr="00913654">
        <w:t xml:space="preserve">excluding separations for </w:t>
      </w:r>
      <w:r w:rsidR="001D3BF1" w:rsidRPr="00913654">
        <w:t>diabetes complications as an additional diagnosis)</w:t>
      </w:r>
      <w:r w:rsidRPr="00913654">
        <w:t xml:space="preserve"> illustrate differences between the rate of hospital admissions for </w:t>
      </w:r>
      <w:r w:rsidR="00D16EBA">
        <w:t>Aboriginal and Torres Strait Islander</w:t>
      </w:r>
      <w:r w:rsidR="006E4E2B">
        <w:t xml:space="preserve"> Australians</w:t>
      </w:r>
      <w:r w:rsidRPr="00913654">
        <w:t xml:space="preserve"> and that for all Australians, taking into account differences in the age structures of the two populations. </w:t>
      </w:r>
      <w:r w:rsidR="00270557" w:rsidRPr="00913654">
        <w:t xml:space="preserve">Rate ratios close to one indicate that </w:t>
      </w:r>
      <w:r w:rsidR="00D16EBA">
        <w:t>Aboriginal and Torres Strait Islander</w:t>
      </w:r>
      <w:r w:rsidR="006E4E2B">
        <w:t xml:space="preserve"> Australians</w:t>
      </w:r>
      <w:r w:rsidR="00270557" w:rsidRPr="00913654">
        <w:t xml:space="preserve"> have similar separation rates to all people, while higher rate ratios indicate relative disadvantage. </w:t>
      </w:r>
      <w:r w:rsidR="001F4383" w:rsidRPr="00913654">
        <w:t xml:space="preserve">A reduction in the gap in hospital separation rates between </w:t>
      </w:r>
      <w:r w:rsidR="00D16EBA">
        <w:t>Aboriginal and Torres Strait Islander</w:t>
      </w:r>
      <w:r w:rsidR="001F4383" w:rsidRPr="00913654">
        <w:t xml:space="preserve"> and all people can indicate greater equity of access to primary healthcare services.</w:t>
      </w:r>
    </w:p>
    <w:p w:rsidR="00931CC9" w:rsidRPr="00931CC9" w:rsidRDefault="005C3FC1" w:rsidP="00931CC9">
      <w:pPr>
        <w:pStyle w:val="BodyText"/>
      </w:pPr>
      <w:r w:rsidRPr="00913654">
        <w:t>T</w:t>
      </w:r>
      <w:r w:rsidR="003E2B93" w:rsidRPr="00913654">
        <w:t>here was a marked difference in</w:t>
      </w:r>
      <w:r w:rsidR="00BA4EA7">
        <w:t xml:space="preserve"> 201</w:t>
      </w:r>
      <w:r w:rsidR="00B25AA7">
        <w:t>2</w:t>
      </w:r>
      <w:r w:rsidR="00BA4EA7">
        <w:t>-1</w:t>
      </w:r>
      <w:r w:rsidR="00B25AA7">
        <w:t>3</w:t>
      </w:r>
      <w:r w:rsidR="00796740">
        <w:t xml:space="preserve"> </w:t>
      </w:r>
      <w:r w:rsidR="003E2B93" w:rsidRPr="00913654">
        <w:t xml:space="preserve">between the separation rates for </w:t>
      </w:r>
      <w:r w:rsidR="00D16EBA">
        <w:t>Aboriginal and Torres Strait Islander</w:t>
      </w:r>
      <w:r w:rsidR="006E4E2B">
        <w:t xml:space="preserve"> </w:t>
      </w:r>
      <w:r w:rsidR="001D7325">
        <w:t>people</w:t>
      </w:r>
      <w:r w:rsidR="003E2B93" w:rsidRPr="00913654">
        <w:t xml:space="preserve"> and those for the total po</w:t>
      </w:r>
      <w:r w:rsidR="007C1EA8">
        <w:t>pulation for diabetes diagnoses</w:t>
      </w:r>
      <w:r w:rsidR="003E2B93" w:rsidRPr="00913654">
        <w:t xml:space="preserve"> (</w:t>
      </w:r>
      <w:r w:rsidR="00897589">
        <w:t>figure 10.</w:t>
      </w:r>
      <w:r w:rsidR="004362F1">
        <w:t>5</w:t>
      </w:r>
      <w:r w:rsidR="00DD72AA">
        <w:t>3</w:t>
      </w:r>
      <w:r w:rsidR="003E2B93" w:rsidRPr="00913654">
        <w:t>).</w:t>
      </w:r>
    </w:p>
    <w:p w:rsidR="00183E36" w:rsidRDefault="00183E36" w:rsidP="003019F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183E36" w:rsidTr="003019F8">
        <w:tc>
          <w:tcPr>
            <w:tcW w:w="8771" w:type="dxa"/>
            <w:tcBorders>
              <w:top w:val="single" w:sz="6" w:space="0" w:color="78A22F"/>
              <w:left w:val="nil"/>
              <w:bottom w:val="nil"/>
              <w:right w:val="nil"/>
            </w:tcBorders>
            <w:shd w:val="clear" w:color="auto" w:fill="auto"/>
          </w:tcPr>
          <w:p w:rsidR="00183E36" w:rsidRPr="00176D3F" w:rsidRDefault="00183E36" w:rsidP="00B25AA7">
            <w:pPr>
              <w:pStyle w:val="FigureTitle"/>
            </w:pPr>
            <w:r w:rsidRPr="00784A05">
              <w:rPr>
                <w:b w:val="0"/>
              </w:rPr>
              <w:t xml:space="preserve">Figure </w:t>
            </w:r>
            <w:r w:rsidR="00DF255F">
              <w:rPr>
                <w:b w:val="0"/>
              </w:rPr>
              <w:t>10.</w:t>
            </w:r>
            <w:r w:rsidR="0078724D">
              <w:rPr>
                <w:b w:val="0"/>
                <w:noProof/>
              </w:rPr>
              <w:t>53</w:t>
            </w:r>
            <w:r>
              <w:tab/>
            </w:r>
            <w:r w:rsidRPr="00913654">
              <w:t xml:space="preserve">Ratio of separation rates of </w:t>
            </w:r>
            <w:r w:rsidR="00D16EBA">
              <w:t>Aboriginal and Torres Strait Islander</w:t>
            </w:r>
            <w:r>
              <w:t xml:space="preserve"> </w:t>
            </w:r>
            <w:r w:rsidR="001D7325">
              <w:t>people</w:t>
            </w:r>
            <w:r w:rsidRPr="00913654">
              <w:t xml:space="preserve"> to all people for diabetes,</w:t>
            </w:r>
            <w:r w:rsidRPr="00BA4EA7">
              <w:t xml:space="preserve"> 201</w:t>
            </w:r>
            <w:r w:rsidR="00B25AA7">
              <w:t>2</w:t>
            </w:r>
            <w:r w:rsidRPr="00BA4EA7">
              <w:t>-1</w:t>
            </w:r>
            <w:r w:rsidR="00B25AA7">
              <w:t>3</w:t>
            </w:r>
            <w:r w:rsidRPr="00BA4EA7">
              <w:rPr>
                <w:rStyle w:val="NoteLabel"/>
                <w:b/>
              </w:rPr>
              <w:t>a</w:t>
            </w:r>
            <w:r>
              <w:rPr>
                <w:rStyle w:val="NoteLabel"/>
                <w:b/>
              </w:rPr>
              <w:t>, b, c, d, e, f</w:t>
            </w:r>
            <w:r w:rsidR="00F22979">
              <w:rPr>
                <w:rStyle w:val="NoteLabel"/>
                <w:b/>
              </w:rPr>
              <w:t>, g</w:t>
            </w:r>
          </w:p>
        </w:tc>
      </w:tr>
      <w:tr w:rsidR="00183E36" w:rsidTr="003019F8">
        <w:tc>
          <w:tcPr>
            <w:tcW w:w="8771" w:type="dxa"/>
            <w:tcBorders>
              <w:top w:val="nil"/>
              <w:left w:val="nil"/>
              <w:bottom w:val="nil"/>
              <w:right w:val="nil"/>
            </w:tcBorders>
            <w:shd w:val="clear" w:color="auto" w:fill="auto"/>
            <w:tcMar>
              <w:top w:w="28" w:type="dxa"/>
              <w:bottom w:w="28" w:type="dxa"/>
            </w:tcMar>
          </w:tcPr>
          <w:tbl>
            <w:tblPr>
              <w:tblW w:w="8625" w:type="dxa"/>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625"/>
            </w:tblGrid>
            <w:tr w:rsidR="00183E36" w:rsidTr="00B25AA7">
              <w:tc>
                <w:tcPr>
                  <w:tcW w:w="5000" w:type="pct"/>
                  <w:tcBorders>
                    <w:top w:val="nil"/>
                    <w:bottom w:val="nil"/>
                  </w:tcBorders>
                </w:tcPr>
                <w:p w:rsidR="00183E36" w:rsidRDefault="007B1994" w:rsidP="003019F8">
                  <w:pPr>
                    <w:pStyle w:val="Figure"/>
                    <w:spacing w:before="60" w:after="60"/>
                  </w:pPr>
                  <w:r>
                    <w:rPr>
                      <w:noProof/>
                    </w:rPr>
                    <w:drawing>
                      <wp:inline distT="0" distB="0" distL="0" distR="0">
                        <wp:extent cx="5391150" cy="2867025"/>
                        <wp:effectExtent l="0" t="0" r="0" b="9525"/>
                        <wp:docPr id="65" name="Picture 65" descr="Figure 10.53 Ratio of separation rates of Aboriginal and Torres Strait Islander people to all people for diabetes, 2012-13&#10;&#10;More details can be found within the text surrounding this image.&#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8"/>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5391150" cy="2867025"/>
                                </a:xfrm>
                                <a:prstGeom prst="rect">
                                  <a:avLst/>
                                </a:prstGeom>
                                <a:noFill/>
                                <a:ln>
                                  <a:noFill/>
                                </a:ln>
                              </pic:spPr>
                            </pic:pic>
                          </a:graphicData>
                        </a:graphic>
                      </wp:inline>
                    </w:drawing>
                  </w:r>
                </w:p>
              </w:tc>
            </w:tr>
          </w:tbl>
          <w:p w:rsidR="00183E36" w:rsidRDefault="00183E36" w:rsidP="003019F8">
            <w:pPr>
              <w:pStyle w:val="Figure"/>
            </w:pPr>
          </w:p>
        </w:tc>
      </w:tr>
      <w:tr w:rsidR="00183E36" w:rsidRPr="00176D3F" w:rsidTr="003019F8">
        <w:tc>
          <w:tcPr>
            <w:tcW w:w="8771" w:type="dxa"/>
            <w:tcBorders>
              <w:top w:val="nil"/>
              <w:left w:val="nil"/>
              <w:bottom w:val="nil"/>
              <w:right w:val="nil"/>
            </w:tcBorders>
            <w:shd w:val="clear" w:color="auto" w:fill="auto"/>
          </w:tcPr>
          <w:p w:rsidR="00183E36" w:rsidRPr="00176D3F" w:rsidRDefault="00183E36" w:rsidP="00F22979">
            <w:pPr>
              <w:pStyle w:val="Note"/>
            </w:pPr>
            <w:r w:rsidRPr="00913654">
              <w:rPr>
                <w:rStyle w:val="NoteLabel"/>
              </w:rPr>
              <w:t>a</w:t>
            </w:r>
            <w:r w:rsidRPr="00913654">
              <w:t xml:space="preserve"> Excludes separations with diabetes complications as an additional diagnosis. </w:t>
            </w:r>
            <w:r w:rsidRPr="00913654">
              <w:rPr>
                <w:rStyle w:val="NoteLabel"/>
              </w:rPr>
              <w:t>b</w:t>
            </w:r>
            <w:r w:rsidRPr="00913654">
              <w:t xml:space="preserve"> Ratios are directly age standardised to the Australian population at 30 June 2001. </w:t>
            </w:r>
            <w:r w:rsidRPr="00913654">
              <w:rPr>
                <w:rStyle w:val="NoteLabel"/>
              </w:rPr>
              <w:t>c</w:t>
            </w:r>
            <w:r w:rsidRPr="00913654">
              <w:t> </w:t>
            </w:r>
            <w:r>
              <w:t>S</w:t>
            </w:r>
            <w:r w:rsidRPr="00913654">
              <w:t>eparation rates are based on state of usual residence.</w:t>
            </w:r>
            <w:r>
              <w:t xml:space="preserve"> </w:t>
            </w:r>
            <w:r w:rsidR="00F22979">
              <w:rPr>
                <w:rStyle w:val="NoteLabel"/>
              </w:rPr>
              <w:t>d</w:t>
            </w:r>
            <w:r w:rsidR="00F22979">
              <w:t xml:space="preserve"> R</w:t>
            </w:r>
            <w:r w:rsidR="00F22979" w:rsidRPr="00F22979">
              <w:t>eporting of diabetes as a principal diagnosis increased by an average of 29.6 per cent between 2011</w:t>
            </w:r>
            <w:r w:rsidR="00F22979">
              <w:t>-</w:t>
            </w:r>
            <w:r w:rsidR="00F22979" w:rsidRPr="00F22979">
              <w:t>12 and 2012</w:t>
            </w:r>
            <w:r w:rsidR="00F22979">
              <w:t>-</w:t>
            </w:r>
            <w:r w:rsidR="00F22979" w:rsidRPr="00F22979">
              <w:t xml:space="preserve">13, primarily due to changes in coding standards. Data for 2012-13 are not comparable with data for previous years. </w:t>
            </w:r>
            <w:r w:rsidR="00F22979">
              <w:rPr>
                <w:rStyle w:val="NoteLabel"/>
              </w:rPr>
              <w:t>e</w:t>
            </w:r>
            <w:r w:rsidRPr="00913654">
              <w:t xml:space="preserve"> Patients aged 75 years or over are excluded. </w:t>
            </w:r>
            <w:r w:rsidR="00F22979">
              <w:rPr>
                <w:rStyle w:val="NoteLabel"/>
              </w:rPr>
              <w:t>f</w:t>
            </w:r>
            <w:r w:rsidRPr="00913654">
              <w:t xml:space="preserve"> Caution should be used in the interpretation of these data because of jurisdictional differences in data quality. </w:t>
            </w:r>
            <w:r w:rsidR="00F22979">
              <w:rPr>
                <w:rStyle w:val="NoteLabel"/>
              </w:rPr>
              <w:t>g</w:t>
            </w:r>
            <w:r w:rsidRPr="00913654">
              <w:t> NT data</w:t>
            </w:r>
            <w:r>
              <w:t xml:space="preserve"> are for public hospitals only.</w:t>
            </w:r>
          </w:p>
        </w:tc>
      </w:tr>
      <w:tr w:rsidR="00183E36" w:rsidRPr="00176D3F" w:rsidTr="003019F8">
        <w:tc>
          <w:tcPr>
            <w:tcW w:w="8771" w:type="dxa"/>
            <w:tcBorders>
              <w:top w:val="nil"/>
              <w:left w:val="nil"/>
              <w:bottom w:val="nil"/>
              <w:right w:val="nil"/>
            </w:tcBorders>
            <w:shd w:val="clear" w:color="auto" w:fill="auto"/>
          </w:tcPr>
          <w:p w:rsidR="00183E36" w:rsidRPr="00176D3F" w:rsidRDefault="00183E36" w:rsidP="0008054E">
            <w:pPr>
              <w:pStyle w:val="Source"/>
            </w:pPr>
            <w:r w:rsidRPr="00913654">
              <w:rPr>
                <w:i/>
              </w:rPr>
              <w:t>Source</w:t>
            </w:r>
            <w:r w:rsidRPr="00913654">
              <w:t>: AIHW (unpublished) National Hospital Morbidity Database; table </w:t>
            </w:r>
            <w:r w:rsidR="00C9076B">
              <w:t>10A.</w:t>
            </w:r>
            <w:r>
              <w:t>10</w:t>
            </w:r>
            <w:r w:rsidR="0008054E">
              <w:t>2</w:t>
            </w:r>
            <w:r>
              <w:t>.</w:t>
            </w:r>
          </w:p>
        </w:tc>
      </w:tr>
      <w:tr w:rsidR="00183E36" w:rsidTr="003019F8">
        <w:tc>
          <w:tcPr>
            <w:tcW w:w="8771" w:type="dxa"/>
            <w:tcBorders>
              <w:top w:val="nil"/>
              <w:left w:val="nil"/>
              <w:bottom w:val="single" w:sz="6" w:space="0" w:color="78A22F"/>
              <w:right w:val="nil"/>
            </w:tcBorders>
            <w:shd w:val="clear" w:color="auto" w:fill="auto"/>
          </w:tcPr>
          <w:p w:rsidR="00183E36" w:rsidRDefault="00183E36" w:rsidP="003019F8">
            <w:pPr>
              <w:pStyle w:val="Figurespace"/>
            </w:pPr>
          </w:p>
        </w:tc>
      </w:tr>
      <w:tr w:rsidR="00183E36" w:rsidRPr="000863A5" w:rsidTr="003019F8">
        <w:tc>
          <w:tcPr>
            <w:tcW w:w="8771" w:type="dxa"/>
            <w:tcBorders>
              <w:top w:val="single" w:sz="6" w:space="0" w:color="78A22F"/>
              <w:left w:val="nil"/>
              <w:bottom w:val="nil"/>
              <w:right w:val="nil"/>
            </w:tcBorders>
          </w:tcPr>
          <w:p w:rsidR="00183E36" w:rsidRPr="00626D32" w:rsidRDefault="00183E36" w:rsidP="003019F8">
            <w:pPr>
              <w:pStyle w:val="BoxSpaceBelow"/>
            </w:pPr>
          </w:p>
        </w:tc>
      </w:tr>
    </w:tbl>
    <w:p w:rsidR="003E2B93" w:rsidRPr="00913654" w:rsidRDefault="003312CF" w:rsidP="00422382">
      <w:pPr>
        <w:pStyle w:val="Heading5"/>
      </w:pPr>
      <w:r w:rsidRPr="00913654">
        <w:t>Potentially preventable h</w:t>
      </w:r>
      <w:r w:rsidR="003E2B93" w:rsidRPr="00913654">
        <w:t>ospitalisations of older people for falls</w:t>
      </w:r>
    </w:p>
    <w:p w:rsidR="000F3A15" w:rsidRDefault="009C0FFA" w:rsidP="00944E91">
      <w:pPr>
        <w:pStyle w:val="BodyText"/>
      </w:pPr>
      <w:r>
        <w:t>Falls were t</w:t>
      </w:r>
      <w:r w:rsidR="000F3A15">
        <w:t xml:space="preserve">he leading </w:t>
      </w:r>
      <w:r w:rsidR="000F3A15" w:rsidRPr="000F3A15">
        <w:t>external cause of unintentional inju</w:t>
      </w:r>
      <w:r w:rsidR="000F3A15">
        <w:t>ry in older Australians in 2011</w:t>
      </w:r>
      <w:r w:rsidR="000F3A15">
        <w:noBreakHyphen/>
      </w:r>
      <w:r w:rsidR="000F3A15" w:rsidRPr="000F3A15">
        <w:t xml:space="preserve">12 </w:t>
      </w:r>
      <w:r w:rsidR="000F3A15">
        <w:t>(</w:t>
      </w:r>
      <w:r w:rsidR="000F3A15" w:rsidRPr="000F3A15">
        <w:t>Tovell, Harrison &amp; Pointer 2014</w:t>
      </w:r>
      <w:r w:rsidR="000F3A15">
        <w:t>).</w:t>
      </w:r>
      <w:r w:rsidR="000F3A15" w:rsidRPr="000F3A15">
        <w:t xml:space="preserve"> </w:t>
      </w:r>
      <w:r w:rsidR="004B3804" w:rsidRPr="00166CD9">
        <w:t>For people over 65 years, i</w:t>
      </w:r>
      <w:r w:rsidR="00553D08" w:rsidRPr="00166CD9">
        <w:t xml:space="preserve">njurious falls </w:t>
      </w:r>
      <w:r w:rsidR="004B3804" w:rsidRPr="00166CD9">
        <w:t>accounted for one in ten days spent in hospital in 200</w:t>
      </w:r>
      <w:r w:rsidR="006773EF" w:rsidRPr="00166CD9">
        <w:t>9</w:t>
      </w:r>
      <w:r w:rsidR="004B3804" w:rsidRPr="00166CD9">
        <w:t>-</w:t>
      </w:r>
      <w:r w:rsidR="006773EF" w:rsidRPr="00166CD9">
        <w:t>10</w:t>
      </w:r>
      <w:r w:rsidR="004B3804" w:rsidRPr="00166CD9">
        <w:t xml:space="preserve"> (</w:t>
      </w:r>
      <w:r w:rsidR="006773EF" w:rsidRPr="00166CD9">
        <w:t>Bradley 2013)</w:t>
      </w:r>
      <w:r w:rsidR="004B3804" w:rsidRPr="00166CD9">
        <w:t xml:space="preserve">. </w:t>
      </w:r>
      <w:r w:rsidR="00AF0898" w:rsidRPr="00913654">
        <w:t xml:space="preserve">The number of hospital separations for older people with a reported external cause of falls per 1000 older people, adjusted to take account of differences in State and </w:t>
      </w:r>
      <w:r w:rsidR="00AF0898" w:rsidRPr="006773EF">
        <w:t>Territory age distributions,</w:t>
      </w:r>
      <w:r w:rsidR="00796740" w:rsidRPr="006773EF">
        <w:t xml:space="preserve"> increased </w:t>
      </w:r>
      <w:r w:rsidR="00BE5AAD">
        <w:t>from 4</w:t>
      </w:r>
      <w:r w:rsidR="009033F9">
        <w:t>7.7</w:t>
      </w:r>
      <w:r w:rsidR="00BE5AAD">
        <w:t xml:space="preserve"> </w:t>
      </w:r>
      <w:r w:rsidR="00796740" w:rsidRPr="006773EF">
        <w:t xml:space="preserve">in </w:t>
      </w:r>
      <w:r w:rsidR="006773EF" w:rsidRPr="006773EF">
        <w:t>200</w:t>
      </w:r>
      <w:r w:rsidR="005D29B5">
        <w:t>8</w:t>
      </w:r>
      <w:r w:rsidR="00AB0D16" w:rsidRPr="006773EF">
        <w:t>-</w:t>
      </w:r>
      <w:r w:rsidR="005D29B5">
        <w:t>09</w:t>
      </w:r>
      <w:r w:rsidR="00AB0D16" w:rsidRPr="006773EF">
        <w:t xml:space="preserve"> to </w:t>
      </w:r>
      <w:r w:rsidR="005D29B5">
        <w:t>56.</w:t>
      </w:r>
      <w:r w:rsidR="009033F9">
        <w:t>8</w:t>
      </w:r>
      <w:r w:rsidR="005D29B5">
        <w:t xml:space="preserve"> in 2012</w:t>
      </w:r>
      <w:r w:rsidR="00BE5AAD">
        <w:t>-1</w:t>
      </w:r>
      <w:r w:rsidR="005D29B5">
        <w:t>3</w:t>
      </w:r>
      <w:r w:rsidR="003E2B93" w:rsidRPr="006773EF">
        <w:t xml:space="preserve"> (</w:t>
      </w:r>
      <w:r w:rsidR="00897589">
        <w:t>figure 10.</w:t>
      </w:r>
      <w:r w:rsidR="005B62C9" w:rsidRPr="00913654">
        <w:t>5</w:t>
      </w:r>
      <w:r w:rsidR="00DD72AA">
        <w:t>4</w:t>
      </w:r>
      <w:r w:rsidR="00BB46BE">
        <w:t>).</w:t>
      </w:r>
    </w:p>
    <w:p w:rsidR="00550124" w:rsidRDefault="00550124" w:rsidP="003019F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550124" w:rsidTr="003019F8">
        <w:tc>
          <w:tcPr>
            <w:tcW w:w="8771" w:type="dxa"/>
            <w:tcBorders>
              <w:top w:val="single" w:sz="6" w:space="0" w:color="78A22F"/>
              <w:left w:val="nil"/>
              <w:bottom w:val="nil"/>
              <w:right w:val="nil"/>
            </w:tcBorders>
            <w:shd w:val="clear" w:color="auto" w:fill="auto"/>
          </w:tcPr>
          <w:p w:rsidR="00550124" w:rsidRPr="00176D3F" w:rsidRDefault="00550124" w:rsidP="00550124">
            <w:pPr>
              <w:pStyle w:val="FigureTitle"/>
            </w:pPr>
            <w:r w:rsidRPr="00784A05">
              <w:rPr>
                <w:b w:val="0"/>
              </w:rPr>
              <w:t xml:space="preserve">Figure </w:t>
            </w:r>
            <w:r w:rsidR="00DF255F">
              <w:rPr>
                <w:b w:val="0"/>
              </w:rPr>
              <w:t>10.</w:t>
            </w:r>
            <w:r w:rsidR="0078724D">
              <w:rPr>
                <w:b w:val="0"/>
                <w:noProof/>
              </w:rPr>
              <w:t>54</w:t>
            </w:r>
            <w:r>
              <w:tab/>
            </w:r>
            <w:r w:rsidRPr="00913654">
              <w:t>Separations for older people with a reported external cause of falls</w:t>
            </w:r>
            <w:r w:rsidRPr="00913654">
              <w:rPr>
                <w:rStyle w:val="NoteLabel"/>
                <w:b/>
              </w:rPr>
              <w:t>a, b, c</w:t>
            </w:r>
          </w:p>
        </w:tc>
      </w:tr>
      <w:tr w:rsidR="00550124" w:rsidTr="003019F8">
        <w:tc>
          <w:tcPr>
            <w:tcW w:w="8771" w:type="dxa"/>
            <w:tcBorders>
              <w:top w:val="nil"/>
              <w:left w:val="nil"/>
              <w:bottom w:val="nil"/>
              <w:right w:val="nil"/>
            </w:tcBorders>
            <w:shd w:val="clear" w:color="auto" w:fill="auto"/>
            <w:tcMar>
              <w:top w:w="28" w:type="dxa"/>
              <w:bottom w:w="28" w:type="dxa"/>
            </w:tcMar>
          </w:tcPr>
          <w:tbl>
            <w:tblPr>
              <w:tblW w:w="8625" w:type="dxa"/>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625"/>
            </w:tblGrid>
            <w:tr w:rsidR="00550124" w:rsidTr="00BE5AAD">
              <w:tc>
                <w:tcPr>
                  <w:tcW w:w="5000" w:type="pct"/>
                  <w:tcBorders>
                    <w:top w:val="nil"/>
                    <w:bottom w:val="nil"/>
                  </w:tcBorders>
                </w:tcPr>
                <w:p w:rsidR="00550124" w:rsidRDefault="007B1994" w:rsidP="003019F8">
                  <w:pPr>
                    <w:pStyle w:val="Figure"/>
                    <w:spacing w:before="60" w:after="60"/>
                  </w:pPr>
                  <w:r>
                    <w:rPr>
                      <w:noProof/>
                    </w:rPr>
                    <w:drawing>
                      <wp:inline distT="0" distB="0" distL="0" distR="0">
                        <wp:extent cx="5391150" cy="2705100"/>
                        <wp:effectExtent l="0" t="0" r="0" b="0"/>
                        <wp:docPr id="66" name="Picture 66" descr="Figure 10.54 Separations for older people with a reported external cause of falls&#10;&#10;More details can be found within the text surrounding this image.&#1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9"/>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5391150" cy="2705100"/>
                                </a:xfrm>
                                <a:prstGeom prst="rect">
                                  <a:avLst/>
                                </a:prstGeom>
                                <a:noFill/>
                                <a:ln>
                                  <a:noFill/>
                                </a:ln>
                              </pic:spPr>
                            </pic:pic>
                          </a:graphicData>
                        </a:graphic>
                      </wp:inline>
                    </w:drawing>
                  </w:r>
                </w:p>
              </w:tc>
            </w:tr>
          </w:tbl>
          <w:p w:rsidR="00550124" w:rsidRDefault="00550124" w:rsidP="003019F8">
            <w:pPr>
              <w:pStyle w:val="Figure"/>
            </w:pPr>
          </w:p>
        </w:tc>
      </w:tr>
      <w:tr w:rsidR="00550124" w:rsidRPr="00176D3F" w:rsidTr="003019F8">
        <w:tc>
          <w:tcPr>
            <w:tcW w:w="8771" w:type="dxa"/>
            <w:tcBorders>
              <w:top w:val="nil"/>
              <w:left w:val="nil"/>
              <w:bottom w:val="nil"/>
              <w:right w:val="nil"/>
            </w:tcBorders>
            <w:shd w:val="clear" w:color="auto" w:fill="auto"/>
          </w:tcPr>
          <w:p w:rsidR="00550124" w:rsidRPr="00176D3F" w:rsidRDefault="00550124" w:rsidP="008F3167">
            <w:pPr>
              <w:pStyle w:val="Note"/>
              <w:keepNext/>
            </w:pPr>
            <w:r w:rsidRPr="00913654">
              <w:rPr>
                <w:rStyle w:val="NoteLabel"/>
              </w:rPr>
              <w:t>a</w:t>
            </w:r>
            <w:r w:rsidRPr="00913654">
              <w:sym w:font="Symbol" w:char="F020"/>
            </w:r>
            <w:r w:rsidRPr="00913654">
              <w:t>Older people are defined as people aged 65 years or over.</w:t>
            </w:r>
            <w:r w:rsidRPr="00913654">
              <w:rPr>
                <w:rStyle w:val="NoteLabel"/>
              </w:rPr>
              <w:t xml:space="preserve"> b</w:t>
            </w:r>
            <w:r w:rsidRPr="00913654">
              <w:t xml:space="preserve"> Separation rates are age standardised to the Australian population aged 65 years or over </w:t>
            </w:r>
            <w:r w:rsidRPr="00931CC9">
              <w:t xml:space="preserve">at 30 June 2001. </w:t>
            </w:r>
            <w:r w:rsidRPr="00931CC9">
              <w:rPr>
                <w:rStyle w:val="NoteLabel"/>
              </w:rPr>
              <w:t>c</w:t>
            </w:r>
            <w:r w:rsidRPr="00931CC9">
              <w:t xml:space="preserve"> Excludes separations records for hospital boarders and posthumous organ procurement. </w:t>
            </w:r>
            <w:r w:rsidRPr="00931CC9">
              <w:rPr>
                <w:rStyle w:val="NoteLabel"/>
              </w:rPr>
              <w:t>d</w:t>
            </w:r>
            <w:r w:rsidRPr="00931CC9">
              <w:t xml:space="preserve"> Data </w:t>
            </w:r>
            <w:r w:rsidR="008F3167" w:rsidRPr="00931CC9">
              <w:t xml:space="preserve">for the NT </w:t>
            </w:r>
            <w:r w:rsidRPr="00931CC9">
              <w:t xml:space="preserve">are </w:t>
            </w:r>
            <w:r w:rsidRPr="00A73D31">
              <w:t>not available</w:t>
            </w:r>
            <w:r w:rsidRPr="00931CC9">
              <w:t xml:space="preserve"> for 2010-11</w:t>
            </w:r>
            <w:r w:rsidR="008F3167">
              <w:t xml:space="preserve"> and are not included in the Australian total</w:t>
            </w:r>
            <w:r w:rsidRPr="00931CC9">
              <w:t>.</w:t>
            </w:r>
          </w:p>
        </w:tc>
      </w:tr>
      <w:tr w:rsidR="00550124" w:rsidRPr="00176D3F" w:rsidTr="003019F8">
        <w:tc>
          <w:tcPr>
            <w:tcW w:w="8771" w:type="dxa"/>
            <w:tcBorders>
              <w:top w:val="nil"/>
              <w:left w:val="nil"/>
              <w:bottom w:val="nil"/>
              <w:right w:val="nil"/>
            </w:tcBorders>
            <w:shd w:val="clear" w:color="auto" w:fill="auto"/>
          </w:tcPr>
          <w:p w:rsidR="00550124" w:rsidRPr="00176D3F" w:rsidRDefault="00550124" w:rsidP="0008054E">
            <w:pPr>
              <w:pStyle w:val="Source"/>
            </w:pPr>
            <w:r w:rsidRPr="00913654">
              <w:rPr>
                <w:i/>
              </w:rPr>
              <w:t>Source</w:t>
            </w:r>
            <w:r w:rsidRPr="00913654">
              <w:t>: AIHW (unpublished) National Hospital Morbidity Database; table </w:t>
            </w:r>
            <w:r w:rsidR="00C9076B">
              <w:t>10A.</w:t>
            </w:r>
            <w:r>
              <w:t>10</w:t>
            </w:r>
            <w:r w:rsidR="0008054E">
              <w:t>6</w:t>
            </w:r>
            <w:r w:rsidRPr="00913654">
              <w:t>.</w:t>
            </w:r>
          </w:p>
        </w:tc>
      </w:tr>
      <w:tr w:rsidR="00550124" w:rsidTr="003019F8">
        <w:tc>
          <w:tcPr>
            <w:tcW w:w="8771" w:type="dxa"/>
            <w:tcBorders>
              <w:top w:val="nil"/>
              <w:left w:val="nil"/>
              <w:bottom w:val="single" w:sz="6" w:space="0" w:color="78A22F"/>
              <w:right w:val="nil"/>
            </w:tcBorders>
            <w:shd w:val="clear" w:color="auto" w:fill="auto"/>
          </w:tcPr>
          <w:p w:rsidR="00550124" w:rsidRDefault="00550124" w:rsidP="003019F8">
            <w:pPr>
              <w:pStyle w:val="Figurespace"/>
            </w:pPr>
          </w:p>
        </w:tc>
      </w:tr>
      <w:tr w:rsidR="00550124" w:rsidRPr="000863A5" w:rsidTr="003019F8">
        <w:tc>
          <w:tcPr>
            <w:tcW w:w="8771" w:type="dxa"/>
            <w:tcBorders>
              <w:top w:val="single" w:sz="6" w:space="0" w:color="78A22F"/>
              <w:left w:val="nil"/>
              <w:bottom w:val="nil"/>
              <w:right w:val="nil"/>
            </w:tcBorders>
          </w:tcPr>
          <w:p w:rsidR="00550124" w:rsidRPr="00626D32" w:rsidRDefault="00550124" w:rsidP="003019F8">
            <w:pPr>
              <w:pStyle w:val="BoxSpaceBelow"/>
            </w:pPr>
          </w:p>
        </w:tc>
      </w:tr>
    </w:tbl>
    <w:p w:rsidR="00842FB6" w:rsidRPr="00BC1CC1" w:rsidRDefault="00EC42DB" w:rsidP="00BC1CC1">
      <w:pPr>
        <w:pStyle w:val="Heading2"/>
      </w:pPr>
      <w:bookmarkStart w:id="24" w:name="_Toc208034414"/>
      <w:bookmarkStart w:id="25" w:name="_Toc274941102"/>
      <w:bookmarkStart w:id="26" w:name="_Toc396916149"/>
      <w:r w:rsidRPr="00BC1CC1">
        <w:t>1</w:t>
      </w:r>
      <w:r w:rsidR="006A586C" w:rsidRPr="00BC1CC1">
        <w:t>0</w:t>
      </w:r>
      <w:r w:rsidRPr="00BC1CC1">
        <w:t>.</w:t>
      </w:r>
      <w:r w:rsidR="00C44281" w:rsidRPr="00BC1CC1">
        <w:t>4</w:t>
      </w:r>
      <w:r w:rsidR="003D3E53" w:rsidRPr="00BC1CC1">
        <w:tab/>
      </w:r>
      <w:r w:rsidR="00842FB6" w:rsidRPr="00BC1CC1">
        <w:t>Future directions in performance reporting</w:t>
      </w:r>
      <w:bookmarkEnd w:id="24"/>
      <w:bookmarkEnd w:id="25"/>
      <w:bookmarkEnd w:id="26"/>
    </w:p>
    <w:p w:rsidR="005641C7" w:rsidRPr="00F459BD" w:rsidRDefault="003528B2" w:rsidP="00931CC9">
      <w:pPr>
        <w:pStyle w:val="BodyText"/>
      </w:pPr>
      <w:r w:rsidRPr="00F459BD">
        <w:t>T</w:t>
      </w:r>
      <w:r w:rsidR="00842FB6" w:rsidRPr="00F459BD">
        <w:t>he topic of this chapter is all primary and community health services</w:t>
      </w:r>
      <w:r w:rsidRPr="00F459BD">
        <w:t>. However,</w:t>
      </w:r>
      <w:r w:rsidR="00842FB6" w:rsidRPr="00F459BD">
        <w:t xml:space="preserve"> the indicators remain heavily focused on general practice services. This partly reflects the lack of </w:t>
      </w:r>
      <w:r w:rsidR="00DE346E" w:rsidRPr="00F459BD">
        <w:t xml:space="preserve">nationally consistent </w:t>
      </w:r>
      <w:r w:rsidR="00842FB6" w:rsidRPr="00F459BD">
        <w:t xml:space="preserve">data available to report </w:t>
      </w:r>
      <w:r w:rsidR="00DE346E" w:rsidRPr="00F459BD">
        <w:t xml:space="preserve">potential </w:t>
      </w:r>
      <w:r w:rsidR="00842FB6" w:rsidRPr="00F459BD">
        <w:t xml:space="preserve">indicators for other primary and community health services. </w:t>
      </w:r>
      <w:r w:rsidR="00922CF5" w:rsidRPr="00817268">
        <w:t>Allied health professional workforce data are anticipated to be available for the 201</w:t>
      </w:r>
      <w:r w:rsidR="007F43D6">
        <w:t>6</w:t>
      </w:r>
      <w:r w:rsidR="00922CF5" w:rsidRPr="00817268">
        <w:t xml:space="preserve"> Report </w:t>
      </w:r>
      <w:r w:rsidR="00994B77" w:rsidRPr="00817268">
        <w:t>from the new</w:t>
      </w:r>
      <w:r w:rsidR="00922CF5" w:rsidRPr="00817268">
        <w:t xml:space="preserve"> </w:t>
      </w:r>
      <w:r w:rsidR="007A60DC" w:rsidRPr="00817268">
        <w:t>National Regis</w:t>
      </w:r>
      <w:r w:rsidR="00C90C2B">
        <w:t xml:space="preserve">tration and Accreditation Scheme. </w:t>
      </w:r>
      <w:r w:rsidR="005641C7" w:rsidRPr="00F459BD">
        <w:t>Priorities for future reporting on primary and community health services include:</w:t>
      </w:r>
    </w:p>
    <w:p w:rsidR="002A4BFF" w:rsidRDefault="00922CF5" w:rsidP="00931CC9">
      <w:pPr>
        <w:pStyle w:val="ListBullet"/>
      </w:pPr>
      <w:r>
        <w:t xml:space="preserve">further </w:t>
      </w:r>
      <w:r w:rsidR="003435C5" w:rsidRPr="00F459BD">
        <w:t>i</w:t>
      </w:r>
      <w:r w:rsidR="005641C7" w:rsidRPr="00F459BD">
        <w:t xml:space="preserve">mproving the reporting of </w:t>
      </w:r>
      <w:r w:rsidR="00E97530">
        <w:t xml:space="preserve">public </w:t>
      </w:r>
      <w:r w:rsidR="00842FB6" w:rsidRPr="00F459BD">
        <w:t>dental health services</w:t>
      </w:r>
    </w:p>
    <w:p w:rsidR="00842FB6" w:rsidRPr="00F459BD" w:rsidRDefault="005641C7" w:rsidP="00CA3C2D">
      <w:pPr>
        <w:pStyle w:val="ListBullet"/>
      </w:pPr>
      <w:r w:rsidRPr="00F459BD">
        <w:t xml:space="preserve">reporting of </w:t>
      </w:r>
      <w:r w:rsidR="00842FB6" w:rsidRPr="00F459BD">
        <w:t>community-based drug</w:t>
      </w:r>
      <w:r w:rsidR="00EF4580" w:rsidRPr="00F459BD">
        <w:t xml:space="preserve"> and alcohol treatment services</w:t>
      </w:r>
    </w:p>
    <w:p w:rsidR="00842FB6" w:rsidRPr="00F459BD" w:rsidRDefault="005641C7" w:rsidP="00CA3C2D">
      <w:pPr>
        <w:pStyle w:val="ListBullet"/>
      </w:pPr>
      <w:r w:rsidRPr="00F459BD">
        <w:t xml:space="preserve">reporting of </w:t>
      </w:r>
      <w:r w:rsidR="00842FB6" w:rsidRPr="00F459BD">
        <w:t>additional indicators relating to the use of the MBS chronic disease management items</w:t>
      </w:r>
      <w:r w:rsidR="000655E3">
        <w:t>.</w:t>
      </w:r>
    </w:p>
    <w:p w:rsidR="00842FB6" w:rsidRPr="00F459BD" w:rsidRDefault="00842FB6" w:rsidP="00842FB6">
      <w:pPr>
        <w:pStyle w:val="BodyText"/>
      </w:pPr>
      <w:r w:rsidRPr="00F459BD">
        <w:t xml:space="preserve">The scope of this chapter </w:t>
      </w:r>
      <w:r w:rsidR="0050301F" w:rsidRPr="00F459BD">
        <w:t>can</w:t>
      </w:r>
      <w:r w:rsidRPr="00F459BD">
        <w:t xml:space="preserve"> also be further refined to ensure the most appropriate reporting of primary health services against the Review’s terms of reference and reporting framework (see chapter 1).</w:t>
      </w:r>
    </w:p>
    <w:p w:rsidR="00842FB6" w:rsidRPr="00F459BD" w:rsidRDefault="00D16EBA" w:rsidP="00842FB6">
      <w:pPr>
        <w:pStyle w:val="Heading3"/>
      </w:pPr>
      <w:r>
        <w:t>Aboriginal and Torres Strait Islander</w:t>
      </w:r>
      <w:r w:rsidR="00842FB6" w:rsidRPr="00F459BD">
        <w:t xml:space="preserve"> health</w:t>
      </w:r>
    </w:p>
    <w:p w:rsidR="00842FB6" w:rsidRPr="00F459BD" w:rsidRDefault="00842FB6" w:rsidP="00FC5304">
      <w:pPr>
        <w:pStyle w:val="BodyText"/>
      </w:pPr>
      <w:r w:rsidRPr="00F459BD">
        <w:t xml:space="preserve">Barriers to accessing primary health services contribute to the poorer health status of </w:t>
      </w:r>
      <w:r w:rsidR="00D16EBA">
        <w:t>Aboriginal and Torres Strait Islander</w:t>
      </w:r>
      <w:r w:rsidR="006E4E2B">
        <w:t xml:space="preserve"> Australians</w:t>
      </w:r>
      <w:r w:rsidRPr="00F459BD">
        <w:t xml:space="preserve"> compared to other Australians (see the Health </w:t>
      </w:r>
      <w:r w:rsidR="00812F55" w:rsidRPr="00F459BD">
        <w:t xml:space="preserve">sector </w:t>
      </w:r>
      <w:r w:rsidR="00BE32CE">
        <w:t>overview</w:t>
      </w:r>
      <w:r w:rsidRPr="00F459BD">
        <w:t xml:space="preserve">). </w:t>
      </w:r>
      <w:r w:rsidR="00661DD5" w:rsidRPr="00F459BD">
        <w:t>T</w:t>
      </w:r>
      <w:r w:rsidRPr="00F459BD">
        <w:t xml:space="preserve">he Steering Committee has identified primary and community health services for </w:t>
      </w:r>
      <w:r w:rsidR="00D16EBA">
        <w:t>Aboriginal and Torres Strait Islander</w:t>
      </w:r>
      <w:r w:rsidR="006E4E2B">
        <w:t xml:space="preserve"> Australians</w:t>
      </w:r>
      <w:r w:rsidRPr="00F459BD">
        <w:t xml:space="preserve"> as a priority area for future</w:t>
      </w:r>
      <w:r w:rsidR="00ED481B" w:rsidRPr="00F459BD">
        <w:t xml:space="preserve"> reporting</w:t>
      </w:r>
      <w:r w:rsidRPr="00F459BD">
        <w:t xml:space="preserve"> </w:t>
      </w:r>
      <w:r w:rsidR="00ED481B" w:rsidRPr="00F459BD">
        <w:t>and</w:t>
      </w:r>
      <w:r w:rsidRPr="00F459BD">
        <w:t xml:space="preserve"> will continue to examine options for the inclusion of further such indicators. The Aboriginal and Torres Strait Islander Health Performance Framework developed under the auspices of the Australian Health Ministers’ Advisory Council will inform the selection of future indicators of primary and community healt</w:t>
      </w:r>
      <w:r w:rsidR="00F56E59">
        <w:t>h services f</w:t>
      </w:r>
      <w:r w:rsidR="00C35A08" w:rsidRPr="00F459BD">
        <w:t>o</w:t>
      </w:r>
      <w:r w:rsidR="00F56E59">
        <w:t>r</w:t>
      </w:r>
      <w:r w:rsidR="00C35A08" w:rsidRPr="00F459BD">
        <w:t xml:space="preserve"> </w:t>
      </w:r>
      <w:r w:rsidR="00D16EBA">
        <w:t>Aboriginal and Torres Strait Islander</w:t>
      </w:r>
      <w:r w:rsidR="006E4E2B">
        <w:t xml:space="preserve"> Australians</w:t>
      </w:r>
      <w:r w:rsidR="00C35A08" w:rsidRPr="00F459BD">
        <w:t>.</w:t>
      </w:r>
    </w:p>
    <w:p w:rsidR="000F2298" w:rsidRPr="00F459BD" w:rsidRDefault="004D132B" w:rsidP="00251345">
      <w:pPr>
        <w:pStyle w:val="BodyText"/>
      </w:pPr>
      <w:r w:rsidRPr="00F459BD">
        <w:t>Continued efforts to improve</w:t>
      </w:r>
      <w:r w:rsidR="000F2298">
        <w:t xml:space="preserve"> the</w:t>
      </w:r>
      <w:r w:rsidRPr="00F459BD">
        <w:t xml:space="preserve"> </w:t>
      </w:r>
      <w:r w:rsidR="000F2298" w:rsidRPr="000F2298">
        <w:t xml:space="preserve">quality of </w:t>
      </w:r>
      <w:r w:rsidR="00D16EBA">
        <w:t>Aboriginal and Torres Strait Islander</w:t>
      </w:r>
      <w:r w:rsidR="000F2298" w:rsidRPr="000F2298">
        <w:t xml:space="preserve"> data, particularly </w:t>
      </w:r>
      <w:r w:rsidR="00D16EBA">
        <w:t>Aboriginal and Torres Strait Islander</w:t>
      </w:r>
      <w:r w:rsidR="000F2298" w:rsidRPr="000F2298">
        <w:t xml:space="preserve"> identification and completeness</w:t>
      </w:r>
      <w:r w:rsidR="000F2298">
        <w:t>,</w:t>
      </w:r>
      <w:r w:rsidR="000F2298" w:rsidRPr="000F2298">
        <w:t xml:space="preserve"> </w:t>
      </w:r>
      <w:r w:rsidRPr="00F459BD">
        <w:t xml:space="preserve">are necessary to better measure the performance of primary and community health services in relation to the health of </w:t>
      </w:r>
      <w:r w:rsidR="00D16EBA">
        <w:t>Aboriginal and Torres Strait Islander</w:t>
      </w:r>
      <w:r w:rsidRPr="00F459BD">
        <w:t xml:space="preserve"> Australians. Work being undertaken by the ABS and </w:t>
      </w:r>
      <w:r w:rsidR="00C95858">
        <w:t>the Australian Institute of Health and Welfare (</w:t>
      </w:r>
      <w:r w:rsidRPr="00F459BD">
        <w:t>AIHW</w:t>
      </w:r>
      <w:r w:rsidR="00C95858">
        <w:t>)</w:t>
      </w:r>
      <w:r w:rsidRPr="00F459BD">
        <w:t xml:space="preserve"> includes an ongoing program to improve identification of </w:t>
      </w:r>
      <w:r w:rsidR="00D16EBA">
        <w:t>Aboriginal and Torres Strait Islander</w:t>
      </w:r>
      <w:r w:rsidRPr="00F459BD">
        <w:t xml:space="preserve"> status in Australian, State and Territory</w:t>
      </w:r>
      <w:r w:rsidR="003A62CF" w:rsidRPr="00F459BD">
        <w:t xml:space="preserve"> government</w:t>
      </w:r>
      <w:r w:rsidR="00812F55" w:rsidRPr="00F459BD">
        <w:t xml:space="preserve"> administrative systems.</w:t>
      </w:r>
    </w:p>
    <w:p w:rsidR="00842FB6" w:rsidRPr="00BC1CC1" w:rsidRDefault="006A586C" w:rsidP="00BC1CC1">
      <w:pPr>
        <w:pStyle w:val="Heading2"/>
      </w:pPr>
      <w:bookmarkStart w:id="27" w:name="_Toc208034415"/>
      <w:bookmarkStart w:id="28" w:name="_Toc274941103"/>
      <w:bookmarkStart w:id="29" w:name="_Toc396916150"/>
      <w:r w:rsidRPr="00BC1CC1">
        <w:t>10</w:t>
      </w:r>
      <w:r w:rsidR="00EC42DB" w:rsidRPr="00BC1CC1">
        <w:t>.</w:t>
      </w:r>
      <w:r w:rsidR="00C44281" w:rsidRPr="00BC1CC1">
        <w:t>5</w:t>
      </w:r>
      <w:r w:rsidR="003D3E53" w:rsidRPr="00BC1CC1">
        <w:tab/>
      </w:r>
      <w:r w:rsidR="00842FB6" w:rsidRPr="00BC1CC1">
        <w:t>Definitions of key terms</w:t>
      </w:r>
      <w:bookmarkEnd w:id="27"/>
      <w:bookmarkEnd w:id="28"/>
      <w:bookmarkEnd w:id="29"/>
    </w:p>
    <w:tbl>
      <w:tblPr>
        <w:tblW w:w="0" w:type="auto"/>
        <w:tblLook w:val="01E0" w:firstRow="1" w:lastRow="1" w:firstColumn="1" w:lastColumn="1" w:noHBand="0" w:noVBand="0"/>
      </w:tblPr>
      <w:tblGrid>
        <w:gridCol w:w="2410"/>
        <w:gridCol w:w="6379"/>
      </w:tblGrid>
      <w:tr w:rsidR="00182D9A" w:rsidRPr="00F459BD" w:rsidTr="00E51597">
        <w:tc>
          <w:tcPr>
            <w:tcW w:w="2410" w:type="dxa"/>
            <w:shd w:val="clear" w:color="auto" w:fill="auto"/>
            <w:tcMar>
              <w:left w:w="0" w:type="dxa"/>
            </w:tcMar>
          </w:tcPr>
          <w:p w:rsidR="00182D9A" w:rsidRPr="00F459BD" w:rsidRDefault="00182D9A" w:rsidP="00E51597">
            <w:pPr>
              <w:pStyle w:val="TableBodyText"/>
              <w:spacing w:before="60" w:after="60"/>
              <w:ind w:left="0"/>
              <w:jc w:val="left"/>
            </w:pPr>
            <w:r w:rsidRPr="00F459BD">
              <w:t>Age standardised</w:t>
            </w:r>
          </w:p>
        </w:tc>
        <w:tc>
          <w:tcPr>
            <w:tcW w:w="6379" w:type="dxa"/>
            <w:shd w:val="clear" w:color="auto" w:fill="auto"/>
          </w:tcPr>
          <w:p w:rsidR="00182D9A" w:rsidRPr="00F459BD" w:rsidRDefault="00940ED7" w:rsidP="00E51597">
            <w:pPr>
              <w:pStyle w:val="TableBodyText"/>
              <w:spacing w:before="60" w:after="60"/>
              <w:ind w:left="0"/>
              <w:jc w:val="left"/>
            </w:pPr>
            <w:r w:rsidRPr="00F459BD">
              <w:t>Removing the effect of different age distributions (across jurisdictions or over time) when making comparisons, by weighting the age-specific rates for each jurisdiction by the national age distribution.</w:t>
            </w:r>
          </w:p>
        </w:tc>
      </w:tr>
      <w:tr w:rsidR="003D08DC" w:rsidRPr="00F459BD" w:rsidTr="00E51597">
        <w:tc>
          <w:tcPr>
            <w:tcW w:w="2410" w:type="dxa"/>
            <w:shd w:val="clear" w:color="auto" w:fill="auto"/>
            <w:tcMar>
              <w:left w:w="0" w:type="dxa"/>
            </w:tcMar>
          </w:tcPr>
          <w:p w:rsidR="003D08DC" w:rsidRPr="00F459BD" w:rsidRDefault="003D08DC" w:rsidP="00E51597">
            <w:pPr>
              <w:pStyle w:val="TableBodyText"/>
              <w:spacing w:before="60" w:after="60"/>
              <w:ind w:left="0"/>
              <w:jc w:val="left"/>
            </w:pPr>
            <w:r w:rsidRPr="00F459BD">
              <w:t>Annual cycle of care for people with diabetes mellitus within general practice</w:t>
            </w:r>
          </w:p>
        </w:tc>
        <w:tc>
          <w:tcPr>
            <w:tcW w:w="6379" w:type="dxa"/>
            <w:shd w:val="clear" w:color="auto" w:fill="auto"/>
          </w:tcPr>
          <w:p w:rsidR="0036482D" w:rsidRPr="00F459BD" w:rsidRDefault="003D08DC" w:rsidP="00E51597">
            <w:pPr>
              <w:pStyle w:val="TableBodyText"/>
              <w:spacing w:before="60" w:after="60"/>
              <w:ind w:left="0"/>
              <w:jc w:val="left"/>
            </w:pPr>
            <w:r w:rsidRPr="00F459BD">
              <w:t>The annual cycle of care</w:t>
            </w:r>
            <w:r w:rsidR="00E0697E" w:rsidRPr="00F459BD">
              <w:t xml:space="preserve"> comprises the components of care, delivered over the course of a year, that are minimum requirements for the appropriate</w:t>
            </w:r>
            <w:r w:rsidRPr="00F459BD">
              <w:t xml:space="preserve"> management of diabetes in general practice</w:t>
            </w:r>
            <w:r w:rsidR="00CE6692" w:rsidRPr="00F459BD">
              <w:t>.</w:t>
            </w:r>
            <w:r w:rsidR="00E0697E" w:rsidRPr="00F459BD">
              <w:t xml:space="preserve"> based on RACGP guidelines</w:t>
            </w:r>
            <w:r w:rsidRPr="00F459BD">
              <w:t>.</w:t>
            </w:r>
          </w:p>
          <w:p w:rsidR="003D08DC" w:rsidRPr="00F459BD" w:rsidRDefault="00E0697E" w:rsidP="00E51597">
            <w:pPr>
              <w:pStyle w:val="TableBodyText"/>
              <w:spacing w:before="60" w:after="60"/>
              <w:ind w:left="0"/>
              <w:jc w:val="left"/>
            </w:pPr>
            <w:r w:rsidRPr="00F459BD">
              <w:t xml:space="preserve">MBS items can be claimed on completion of the </w:t>
            </w:r>
            <w:r w:rsidR="0036482D" w:rsidRPr="00F459BD">
              <w:t xml:space="preserve">annual cycle of care according to </w:t>
            </w:r>
            <w:r w:rsidRPr="00F459BD">
              <w:t>MBS requirements</w:t>
            </w:r>
            <w:r w:rsidR="0036482D" w:rsidRPr="00F459BD">
              <w:t xml:space="preserve"> for management,</w:t>
            </w:r>
            <w:r w:rsidRPr="00F459BD">
              <w:t xml:space="preserve"> which are based on but not identical to the RACGP guidelines.</w:t>
            </w:r>
          </w:p>
        </w:tc>
      </w:tr>
      <w:tr w:rsidR="00C4604F" w:rsidRPr="00F459BD" w:rsidTr="00E51597">
        <w:tc>
          <w:tcPr>
            <w:tcW w:w="2410" w:type="dxa"/>
            <w:shd w:val="clear" w:color="auto" w:fill="auto"/>
            <w:tcMar>
              <w:left w:w="0" w:type="dxa"/>
            </w:tcMar>
          </w:tcPr>
          <w:p w:rsidR="00C4604F" w:rsidRPr="00F459BD" w:rsidRDefault="00C4604F" w:rsidP="00E51597">
            <w:pPr>
              <w:pStyle w:val="TableBodyText"/>
              <w:spacing w:before="60" w:after="60"/>
              <w:ind w:left="0"/>
              <w:jc w:val="left"/>
            </w:pPr>
            <w:r w:rsidRPr="00F459BD">
              <w:t>A</w:t>
            </w:r>
            <w:r w:rsidR="00DD7923" w:rsidRPr="00F459BD">
              <w:t xml:space="preserve">sthma </w:t>
            </w:r>
            <w:r w:rsidRPr="00F459BD">
              <w:t>A</w:t>
            </w:r>
            <w:r w:rsidR="00DD7923" w:rsidRPr="00F459BD">
              <w:t xml:space="preserve">ction </w:t>
            </w:r>
            <w:r w:rsidRPr="00F459BD">
              <w:t>P</w:t>
            </w:r>
            <w:r w:rsidR="00DD7923" w:rsidRPr="00F459BD">
              <w:t>lan</w:t>
            </w:r>
            <w:r w:rsidRPr="00F459BD">
              <w:t xml:space="preserve"> </w:t>
            </w:r>
          </w:p>
        </w:tc>
        <w:tc>
          <w:tcPr>
            <w:tcW w:w="6379" w:type="dxa"/>
            <w:shd w:val="clear" w:color="auto" w:fill="auto"/>
          </w:tcPr>
          <w:p w:rsidR="00C4604F" w:rsidRPr="00F459BD" w:rsidRDefault="000B60BA" w:rsidP="00E51597">
            <w:pPr>
              <w:pStyle w:val="TableBodyText"/>
              <w:spacing w:before="60" w:after="60"/>
              <w:jc w:val="left"/>
            </w:pPr>
            <w:r w:rsidRPr="00F459BD">
              <w:t xml:space="preserve">An asthma action plan </w:t>
            </w:r>
            <w:r w:rsidR="0036482D" w:rsidRPr="00F459BD">
              <w:t>is an individualised, written asthma action plan incorporating information on how to recognise the onset of an exacerbation of asthma and information on what action to take in response to that exacerbation, developed in consultation with a health professional.</w:t>
            </w:r>
          </w:p>
          <w:p w:rsidR="0036482D" w:rsidRPr="00F459BD" w:rsidRDefault="0036482D" w:rsidP="00E51597">
            <w:pPr>
              <w:pStyle w:val="TableBodyText"/>
              <w:jc w:val="left"/>
            </w:pPr>
            <w:r w:rsidRPr="00E51597">
              <w:rPr>
                <w:i/>
              </w:rPr>
              <w:t>Source</w:t>
            </w:r>
            <w:r w:rsidRPr="00F459BD">
              <w:t>: ACAM (Australian Centre for Asthma Monitoring) 2007, Australian asthma indicators: Five-year review of asthma monitoring in Australia. Cat. no. ACM 12, AIHW</w:t>
            </w:r>
            <w:r w:rsidR="00BA5B95">
              <w:t xml:space="preserve"> (</w:t>
            </w:r>
            <w:r w:rsidR="00BA5B95" w:rsidRPr="00BA5B95">
              <w:t>Australian Institute of Health and Welfare</w:t>
            </w:r>
            <w:r w:rsidR="00BA5B95">
              <w:t>)</w:t>
            </w:r>
            <w:r w:rsidRPr="00F459BD">
              <w:t>, Canberra.</w:t>
            </w:r>
          </w:p>
        </w:tc>
      </w:tr>
      <w:tr w:rsidR="00182D9A" w:rsidRPr="00F459BD" w:rsidTr="00E51597">
        <w:tc>
          <w:tcPr>
            <w:tcW w:w="2410" w:type="dxa"/>
            <w:shd w:val="clear" w:color="auto" w:fill="auto"/>
            <w:tcMar>
              <w:left w:w="0" w:type="dxa"/>
            </w:tcMar>
          </w:tcPr>
          <w:p w:rsidR="00182D9A" w:rsidRPr="00F459BD" w:rsidRDefault="00182D9A" w:rsidP="00E51597">
            <w:pPr>
              <w:pStyle w:val="TableBodyText"/>
              <w:spacing w:before="60" w:after="60"/>
              <w:ind w:left="0"/>
              <w:jc w:val="left"/>
            </w:pPr>
            <w:r w:rsidRPr="00F459BD">
              <w:t>Cervical screening rates for target population</w:t>
            </w:r>
          </w:p>
        </w:tc>
        <w:tc>
          <w:tcPr>
            <w:tcW w:w="6379" w:type="dxa"/>
            <w:shd w:val="clear" w:color="auto" w:fill="auto"/>
          </w:tcPr>
          <w:p w:rsidR="00182D9A" w:rsidRPr="00F459BD" w:rsidRDefault="00940ED7" w:rsidP="00E51597">
            <w:pPr>
              <w:pStyle w:val="TableBodyText"/>
              <w:spacing w:before="60" w:after="60"/>
              <w:ind w:left="0"/>
              <w:jc w:val="left"/>
            </w:pPr>
            <w:r w:rsidRPr="00F459BD">
              <w:t xml:space="preserve">Proportion of </w:t>
            </w:r>
            <w:r w:rsidR="0018075C" w:rsidRPr="00F459BD">
              <w:t xml:space="preserve">eligible </w:t>
            </w:r>
            <w:r w:rsidRPr="00F459BD">
              <w:t xml:space="preserve">women aged 20–69 years who are screened for cervical cancer over a </w:t>
            </w:r>
            <w:r w:rsidR="00190A58" w:rsidRPr="00F459BD">
              <w:t>2</w:t>
            </w:r>
            <w:r w:rsidRPr="00F459BD">
              <w:t xml:space="preserve"> year period.</w:t>
            </w:r>
            <w:r w:rsidR="0018075C" w:rsidRPr="00F459BD">
              <w:t xml:space="preserve"> Eligible women are those who have not had a hysterectomy.</w:t>
            </w:r>
          </w:p>
        </w:tc>
      </w:tr>
      <w:tr w:rsidR="00182D9A" w:rsidRPr="00F459BD" w:rsidTr="00E51597">
        <w:tc>
          <w:tcPr>
            <w:tcW w:w="2410" w:type="dxa"/>
            <w:shd w:val="clear" w:color="auto" w:fill="auto"/>
            <w:tcMar>
              <w:left w:w="0" w:type="dxa"/>
            </w:tcMar>
          </w:tcPr>
          <w:p w:rsidR="00182D9A" w:rsidRPr="00F459BD" w:rsidRDefault="00182D9A" w:rsidP="00E51597">
            <w:pPr>
              <w:pStyle w:val="TableBodyText"/>
              <w:spacing w:before="60" w:after="60"/>
              <w:ind w:left="0"/>
              <w:jc w:val="left"/>
            </w:pPr>
            <w:r w:rsidRPr="00F459BD">
              <w:t>Closed treatment episode</w:t>
            </w:r>
          </w:p>
        </w:tc>
        <w:tc>
          <w:tcPr>
            <w:tcW w:w="6379" w:type="dxa"/>
            <w:shd w:val="clear" w:color="auto" w:fill="auto"/>
          </w:tcPr>
          <w:p w:rsidR="00182D9A" w:rsidRPr="00F459BD" w:rsidRDefault="00940ED7" w:rsidP="00E51597">
            <w:pPr>
              <w:pStyle w:val="TableBodyText"/>
              <w:jc w:val="left"/>
            </w:pPr>
            <w:r w:rsidRPr="00F459BD">
              <w:t xml:space="preserve">A closed treatment episode is a period of contact between a client and an alcohol and other drug treatment agency. It has defined dates of commencement and cessation, during which the principal drug of concern, treatment delivery setting and main treatment type did not change. Reasons for cessation of a treatment episode include treatment completion, and client non-participation in treatment for three months or more. Clients may be involved in more than one closed treatment episode in </w:t>
            </w:r>
            <w:r w:rsidR="00CE6692" w:rsidRPr="00F459BD">
              <w:t>a</w:t>
            </w:r>
            <w:r w:rsidRPr="00F459BD">
              <w:t xml:space="preserve"> data collection period.</w:t>
            </w:r>
          </w:p>
        </w:tc>
      </w:tr>
      <w:tr w:rsidR="00182D9A" w:rsidRPr="00F459BD" w:rsidTr="00E51597">
        <w:trPr>
          <w:trHeight w:val="517"/>
        </w:trPr>
        <w:tc>
          <w:tcPr>
            <w:tcW w:w="2410" w:type="dxa"/>
            <w:shd w:val="clear" w:color="auto" w:fill="auto"/>
            <w:tcMar>
              <w:left w:w="0" w:type="dxa"/>
            </w:tcMar>
          </w:tcPr>
          <w:p w:rsidR="00182D9A" w:rsidRPr="00F459BD" w:rsidRDefault="00182D9A" w:rsidP="00E51597">
            <w:pPr>
              <w:pStyle w:val="TableBodyText"/>
              <w:spacing w:before="60" w:after="60"/>
              <w:ind w:left="0"/>
              <w:jc w:val="left"/>
            </w:pPr>
            <w:r w:rsidRPr="00F459BD">
              <w:t>Community health services</w:t>
            </w:r>
          </w:p>
        </w:tc>
        <w:tc>
          <w:tcPr>
            <w:tcW w:w="6379" w:type="dxa"/>
            <w:shd w:val="clear" w:color="auto" w:fill="auto"/>
          </w:tcPr>
          <w:p w:rsidR="00182D9A" w:rsidRPr="00F459BD" w:rsidRDefault="00940ED7" w:rsidP="00E51597">
            <w:pPr>
              <w:pStyle w:val="TableBodyText"/>
              <w:spacing w:before="60" w:after="60"/>
              <w:ind w:left="0"/>
              <w:jc w:val="left"/>
            </w:pPr>
            <w:r w:rsidRPr="00F459BD">
              <w:t>Health services for individuals and groups delivered in a community setting, rather than via hospitals or private facilities.</w:t>
            </w:r>
          </w:p>
        </w:tc>
      </w:tr>
      <w:tr w:rsidR="002E00E7" w:rsidRPr="00CD50C4" w:rsidTr="0039681F">
        <w:trPr>
          <w:trHeight w:val="517"/>
        </w:trPr>
        <w:tc>
          <w:tcPr>
            <w:tcW w:w="2410" w:type="dxa"/>
            <w:shd w:val="clear" w:color="auto" w:fill="auto"/>
            <w:tcMar>
              <w:left w:w="0" w:type="dxa"/>
            </w:tcMar>
          </w:tcPr>
          <w:p w:rsidR="002E00E7" w:rsidRPr="002E00E7" w:rsidRDefault="002E00E7" w:rsidP="002E00E7">
            <w:pPr>
              <w:pStyle w:val="TableBodyText"/>
              <w:spacing w:before="60" w:after="60"/>
              <w:ind w:left="0"/>
              <w:jc w:val="left"/>
            </w:pPr>
            <w:r w:rsidRPr="002E00E7">
              <w:t>Comparability</w:t>
            </w:r>
          </w:p>
        </w:tc>
        <w:tc>
          <w:tcPr>
            <w:tcW w:w="6379" w:type="dxa"/>
            <w:shd w:val="clear" w:color="auto" w:fill="auto"/>
          </w:tcPr>
          <w:p w:rsidR="002E00E7" w:rsidRPr="00CD50C4" w:rsidRDefault="00841571" w:rsidP="002E00E7">
            <w:pPr>
              <w:pStyle w:val="TableBodyText"/>
              <w:spacing w:before="60" w:after="60"/>
              <w:ind w:left="0"/>
              <w:jc w:val="left"/>
            </w:pPr>
            <w:r w:rsidRPr="00841571">
              <w:t>Data are considered comparable if, (subject to caveats) they can be used to inform an assessment of comparative performance. Typically, data are considered comparable when they are collected in the same way and in accordance with the same definitions. For comparable indicators or measures, significant differences in reported results allow an assessment of differences in performance, rather than being the result of anomalies in the data</w:t>
            </w:r>
            <w:r w:rsidR="002E00E7" w:rsidRPr="00CD50C4">
              <w:t xml:space="preserve">. </w:t>
            </w:r>
          </w:p>
        </w:tc>
      </w:tr>
      <w:tr w:rsidR="002E00E7" w:rsidRPr="00CD50C4" w:rsidTr="0039681F">
        <w:trPr>
          <w:trHeight w:val="517"/>
        </w:trPr>
        <w:tc>
          <w:tcPr>
            <w:tcW w:w="2410" w:type="dxa"/>
            <w:shd w:val="clear" w:color="auto" w:fill="auto"/>
            <w:tcMar>
              <w:left w:w="0" w:type="dxa"/>
            </w:tcMar>
          </w:tcPr>
          <w:p w:rsidR="002E00E7" w:rsidRPr="002E00E7" w:rsidRDefault="002E00E7" w:rsidP="002E00E7">
            <w:pPr>
              <w:pStyle w:val="TableBodyText"/>
              <w:spacing w:before="60" w:after="60"/>
              <w:ind w:left="0"/>
              <w:jc w:val="left"/>
            </w:pPr>
            <w:r w:rsidRPr="002E00E7">
              <w:t>Completeness</w:t>
            </w:r>
          </w:p>
        </w:tc>
        <w:tc>
          <w:tcPr>
            <w:tcW w:w="6379" w:type="dxa"/>
            <w:shd w:val="clear" w:color="auto" w:fill="auto"/>
          </w:tcPr>
          <w:p w:rsidR="002E00E7" w:rsidRPr="00CD50C4" w:rsidRDefault="005228B2" w:rsidP="002E00E7">
            <w:pPr>
              <w:pStyle w:val="TableBodyText"/>
              <w:spacing w:before="60" w:after="60"/>
              <w:ind w:left="0"/>
              <w:jc w:val="left"/>
            </w:pPr>
            <w:r w:rsidRPr="005228B2">
              <w:t>Data are considered complete if all required data are available for all jurisdictions that provide the service</w:t>
            </w:r>
            <w:r w:rsidR="002E00E7" w:rsidRPr="00CD50C4">
              <w:t>.</w:t>
            </w:r>
          </w:p>
        </w:tc>
      </w:tr>
      <w:tr w:rsidR="00182D9A" w:rsidRPr="00F459BD" w:rsidTr="00E51597">
        <w:tc>
          <w:tcPr>
            <w:tcW w:w="2410" w:type="dxa"/>
            <w:shd w:val="clear" w:color="auto" w:fill="auto"/>
            <w:tcMar>
              <w:left w:w="0" w:type="dxa"/>
            </w:tcMar>
          </w:tcPr>
          <w:p w:rsidR="00182D9A" w:rsidRPr="00F459BD" w:rsidRDefault="00182D9A" w:rsidP="00E51597">
            <w:pPr>
              <w:pStyle w:val="TableBodyText"/>
              <w:spacing w:before="60" w:after="60"/>
              <w:ind w:left="0"/>
              <w:jc w:val="left"/>
            </w:pPr>
            <w:r w:rsidRPr="00F459BD">
              <w:t>Consultations</w:t>
            </w:r>
          </w:p>
        </w:tc>
        <w:tc>
          <w:tcPr>
            <w:tcW w:w="6379" w:type="dxa"/>
            <w:shd w:val="clear" w:color="auto" w:fill="auto"/>
          </w:tcPr>
          <w:p w:rsidR="00E81FE4" w:rsidRPr="00F459BD" w:rsidRDefault="00940ED7" w:rsidP="00E51597">
            <w:pPr>
              <w:pStyle w:val="TableBodyText"/>
              <w:spacing w:before="60" w:after="60"/>
              <w:ind w:left="0"/>
              <w:jc w:val="left"/>
            </w:pPr>
            <w:r w:rsidRPr="00F459BD">
              <w:t>The different types of services provided by GPs</w:t>
            </w:r>
            <w:r w:rsidR="00B06938" w:rsidRPr="00F459BD">
              <w:t>.</w:t>
            </w:r>
          </w:p>
        </w:tc>
      </w:tr>
      <w:tr w:rsidR="00182D9A" w:rsidRPr="00F459BD" w:rsidTr="00A73D31">
        <w:tc>
          <w:tcPr>
            <w:tcW w:w="2410" w:type="dxa"/>
            <w:shd w:val="clear" w:color="auto" w:fill="auto"/>
            <w:tcMar>
              <w:left w:w="0" w:type="dxa"/>
            </w:tcMar>
          </w:tcPr>
          <w:p w:rsidR="00182D9A" w:rsidRPr="00F459BD" w:rsidRDefault="00182D9A" w:rsidP="00E51597">
            <w:pPr>
              <w:pStyle w:val="TableBodyText"/>
              <w:spacing w:before="60" w:after="60"/>
              <w:ind w:left="0"/>
              <w:jc w:val="left"/>
            </w:pPr>
            <w:r w:rsidRPr="00F459BD">
              <w:t>Cost to government of general practice per person</w:t>
            </w:r>
          </w:p>
        </w:tc>
        <w:tc>
          <w:tcPr>
            <w:tcW w:w="6379" w:type="dxa"/>
            <w:shd w:val="clear" w:color="auto" w:fill="auto"/>
          </w:tcPr>
          <w:p w:rsidR="00182D9A" w:rsidRPr="00F459BD" w:rsidRDefault="00940ED7" w:rsidP="00E51597">
            <w:pPr>
              <w:pStyle w:val="TableBodyText"/>
              <w:spacing w:before="60" w:after="60"/>
              <w:ind w:left="0"/>
              <w:jc w:val="left"/>
            </w:pPr>
            <w:r w:rsidRPr="00F459BD">
              <w:t>Cost to the Australian Government of total non-referred attendances by non-specialist medical practitioners per person.</w:t>
            </w:r>
          </w:p>
        </w:tc>
      </w:tr>
      <w:tr w:rsidR="00182D9A" w:rsidRPr="00F459BD" w:rsidTr="00A73D31">
        <w:tc>
          <w:tcPr>
            <w:tcW w:w="2410" w:type="dxa"/>
            <w:shd w:val="clear" w:color="auto" w:fill="auto"/>
            <w:tcMar>
              <w:left w:w="0" w:type="dxa"/>
            </w:tcMar>
          </w:tcPr>
          <w:p w:rsidR="00182D9A" w:rsidRPr="004253DB" w:rsidRDefault="00182D9A" w:rsidP="00E51597">
            <w:pPr>
              <w:pStyle w:val="TableBodyText"/>
              <w:spacing w:before="60" w:after="60"/>
              <w:ind w:left="0"/>
              <w:jc w:val="left"/>
            </w:pPr>
            <w:r w:rsidRPr="004253DB">
              <w:t>Divisions of General Practice</w:t>
            </w:r>
          </w:p>
        </w:tc>
        <w:tc>
          <w:tcPr>
            <w:tcW w:w="6379" w:type="dxa"/>
            <w:shd w:val="clear" w:color="auto" w:fill="auto"/>
          </w:tcPr>
          <w:p w:rsidR="00A80C1D" w:rsidRPr="004253DB" w:rsidRDefault="00940ED7" w:rsidP="00E51597">
            <w:pPr>
              <w:pStyle w:val="TableBodyText"/>
              <w:jc w:val="left"/>
            </w:pPr>
            <w:r w:rsidRPr="004253DB">
              <w:t xml:space="preserve">Geographically-based networks </w:t>
            </w:r>
            <w:r w:rsidRPr="00931CC9">
              <w:t>of GPs</w:t>
            </w:r>
            <w:r w:rsidR="00F97661" w:rsidRPr="00931CC9">
              <w:t xml:space="preserve"> </w:t>
            </w:r>
            <w:r w:rsidR="00C14146">
              <w:t xml:space="preserve">were </w:t>
            </w:r>
            <w:r w:rsidR="00F97661" w:rsidRPr="00931CC9">
              <w:t>active until end June 2012</w:t>
            </w:r>
            <w:r w:rsidRPr="00931CC9">
              <w:t xml:space="preserve">. There </w:t>
            </w:r>
            <w:r w:rsidR="00F97661" w:rsidRPr="00931CC9">
              <w:t>we</w:t>
            </w:r>
            <w:r w:rsidRPr="00931CC9">
              <w:t>re 1</w:t>
            </w:r>
            <w:r w:rsidR="00531ED1" w:rsidRPr="00931CC9">
              <w:t>09</w:t>
            </w:r>
            <w:r w:rsidRPr="00931CC9">
              <w:t xml:space="preserve"> Divisions of General Practice, 8 State Based Organisations and a peak</w:t>
            </w:r>
            <w:r w:rsidRPr="004253DB">
              <w:t xml:space="preserve"> national body, the Australian G</w:t>
            </w:r>
            <w:r w:rsidR="00A80C1D" w:rsidRPr="004253DB">
              <w:t>eneral Practice Network (AGPN).</w:t>
            </w:r>
          </w:p>
          <w:p w:rsidR="00133D04" w:rsidRPr="00F97661" w:rsidRDefault="00940ED7" w:rsidP="005B5291">
            <w:pPr>
              <w:pStyle w:val="TableBodyText"/>
              <w:jc w:val="left"/>
              <w:rPr>
                <w:rStyle w:val="DraftingNote"/>
                <w:b w:val="0"/>
                <w:color w:val="auto"/>
                <w:sz w:val="20"/>
                <w:u w:val="none"/>
              </w:rPr>
            </w:pPr>
            <w:r w:rsidRPr="004253DB">
              <w:t xml:space="preserve">The </w:t>
            </w:r>
            <w:r w:rsidR="005B5291" w:rsidRPr="00931CC9">
              <w:t>Divisions of General Practice</w:t>
            </w:r>
            <w:r w:rsidR="005B5291" w:rsidRPr="004253DB">
              <w:t xml:space="preserve"> </w:t>
            </w:r>
            <w:r w:rsidR="005B5291">
              <w:t>Program (</w:t>
            </w:r>
            <w:r w:rsidR="003C1140" w:rsidRPr="004253DB">
              <w:t>DGP</w:t>
            </w:r>
            <w:r w:rsidR="00BF63B5" w:rsidRPr="004253DB">
              <w:t>P</w:t>
            </w:r>
            <w:r w:rsidR="005B5291">
              <w:t>)</w:t>
            </w:r>
            <w:r w:rsidRPr="004253DB">
              <w:t xml:space="preserve"> aims </w:t>
            </w:r>
            <w:r w:rsidR="00F97661" w:rsidRPr="00931CC9">
              <w:t>were</w:t>
            </w:r>
            <w:r w:rsidR="00F97661">
              <w:t xml:space="preserve"> </w:t>
            </w:r>
            <w:r w:rsidRPr="004253DB">
              <w:t xml:space="preserve">to contribute to improved health outcomes for communities by working with GPs and other health service providers to improve the quality and accessibility of </w:t>
            </w:r>
            <w:r w:rsidR="00B70372" w:rsidRPr="004253DB">
              <w:t>healthcare</w:t>
            </w:r>
            <w:r w:rsidRPr="004253DB">
              <w:t xml:space="preserve"> at the local level.</w:t>
            </w:r>
            <w:r w:rsidR="00F97661">
              <w:t xml:space="preserve"> </w:t>
            </w:r>
            <w:r w:rsidR="006A5AC1">
              <w:t xml:space="preserve">From </w:t>
            </w:r>
            <w:r w:rsidR="006A5AC1" w:rsidRPr="00A73D31">
              <w:t>30 June 2011</w:t>
            </w:r>
            <w:r w:rsidR="00F97661" w:rsidRPr="00A73D31">
              <w:t xml:space="preserve">, Medicare Locals </w:t>
            </w:r>
            <w:r w:rsidR="006A5AC1" w:rsidRPr="00A73D31">
              <w:t xml:space="preserve">progressively </w:t>
            </w:r>
            <w:r w:rsidR="00F97661" w:rsidRPr="00A73D31">
              <w:t>assumed responsibility for general practice support initiatives previously funded under the DGPP.</w:t>
            </w:r>
            <w:r w:rsidR="006A5AC1" w:rsidRPr="00A73D31">
              <w:t xml:space="preserve"> The DGPP ceased </w:t>
            </w:r>
            <w:r w:rsidR="00C14146" w:rsidRPr="00A73D31">
              <w:t xml:space="preserve">on </w:t>
            </w:r>
            <w:r w:rsidR="006A5AC1" w:rsidRPr="00A73D31">
              <w:t>30 June 2012.</w:t>
            </w:r>
          </w:p>
        </w:tc>
      </w:tr>
      <w:tr w:rsidR="00182D9A" w:rsidRPr="00F459BD" w:rsidTr="00931CC9">
        <w:tc>
          <w:tcPr>
            <w:tcW w:w="2410" w:type="dxa"/>
            <w:shd w:val="clear" w:color="auto" w:fill="auto"/>
            <w:tcMar>
              <w:left w:w="0" w:type="dxa"/>
            </w:tcMar>
          </w:tcPr>
          <w:p w:rsidR="00182D9A" w:rsidRPr="00F459BD" w:rsidRDefault="00182D9A" w:rsidP="00E51597">
            <w:pPr>
              <w:pStyle w:val="TableBodyText"/>
              <w:spacing w:before="60" w:after="60"/>
              <w:ind w:left="0"/>
              <w:jc w:val="left"/>
            </w:pPr>
            <w:r w:rsidRPr="00F459BD">
              <w:t>Full time workload equivalents (FWE)</w:t>
            </w:r>
          </w:p>
        </w:tc>
        <w:tc>
          <w:tcPr>
            <w:tcW w:w="6379" w:type="dxa"/>
            <w:shd w:val="clear" w:color="auto" w:fill="auto"/>
          </w:tcPr>
          <w:p w:rsidR="00864A84" w:rsidRDefault="00940ED7" w:rsidP="008F16AD">
            <w:pPr>
              <w:pStyle w:val="TableBodyText"/>
              <w:spacing w:before="60"/>
              <w:ind w:left="0"/>
              <w:jc w:val="left"/>
            </w:pPr>
            <w:r w:rsidRPr="00F459BD">
              <w:t xml:space="preserve">A measure of medical practitioner supply based on claims processed by </w:t>
            </w:r>
            <w:r w:rsidR="002D7882" w:rsidRPr="002D7882">
              <w:t xml:space="preserve">DHS Medicare </w:t>
            </w:r>
            <w:r w:rsidRPr="00F459BD">
              <w:t xml:space="preserve">in a given period, calculated by dividing </w:t>
            </w:r>
            <w:r w:rsidR="008F16AD">
              <w:t>a</w:t>
            </w:r>
            <w:r w:rsidRPr="00F459BD">
              <w:t xml:space="preserve"> practitioner’s </w:t>
            </w:r>
            <w:r w:rsidR="002D7882" w:rsidRPr="002D7882">
              <w:t xml:space="preserve">DHS Medicare </w:t>
            </w:r>
            <w:r w:rsidRPr="00F459BD">
              <w:t>billing by the mean billing of full time practitioners for th</w:t>
            </w:r>
            <w:r w:rsidR="008F16AD">
              <w:t>at</w:t>
            </w:r>
            <w:r w:rsidRPr="00F459BD">
              <w:t xml:space="preserve"> period. </w:t>
            </w:r>
          </w:p>
          <w:p w:rsidR="00182D9A" w:rsidRPr="00F459BD" w:rsidRDefault="00940ED7" w:rsidP="008F16AD">
            <w:pPr>
              <w:pStyle w:val="TableBodyText"/>
              <w:spacing w:before="60" w:after="0"/>
              <w:ind w:left="0"/>
              <w:jc w:val="left"/>
            </w:pPr>
            <w:r w:rsidRPr="00F459BD">
              <w:t xml:space="preserve">Full time equivalents </w:t>
            </w:r>
            <w:r w:rsidR="00B4358E" w:rsidRPr="00F459BD">
              <w:t xml:space="preserve">(FTE) </w:t>
            </w:r>
            <w:r w:rsidRPr="00F459BD">
              <w:t xml:space="preserve">are calculated </w:t>
            </w:r>
            <w:r w:rsidR="003C1140" w:rsidRPr="00F459BD">
              <w:t xml:space="preserve">in </w:t>
            </w:r>
            <w:r w:rsidRPr="00F459BD">
              <w:t xml:space="preserve">the same way </w:t>
            </w:r>
            <w:r w:rsidR="003C1140" w:rsidRPr="00F459BD">
              <w:t>as FWE except that FTE are</w:t>
            </w:r>
            <w:r w:rsidRPr="00F459BD">
              <w:t xml:space="preserve"> capped at 1 </w:t>
            </w:r>
            <w:r w:rsidR="00B4358E" w:rsidRPr="00F459BD">
              <w:t>per</w:t>
            </w:r>
            <w:r w:rsidRPr="00F459BD">
              <w:t xml:space="preserve"> practitioner.</w:t>
            </w:r>
          </w:p>
        </w:tc>
      </w:tr>
      <w:tr w:rsidR="00182D9A" w:rsidRPr="00F459BD" w:rsidTr="0039681F">
        <w:tc>
          <w:tcPr>
            <w:tcW w:w="2410" w:type="dxa"/>
            <w:shd w:val="clear" w:color="auto" w:fill="auto"/>
            <w:tcMar>
              <w:left w:w="0" w:type="dxa"/>
            </w:tcMar>
          </w:tcPr>
          <w:p w:rsidR="00182D9A" w:rsidRPr="00F459BD" w:rsidRDefault="00182D9A" w:rsidP="00E51597">
            <w:pPr>
              <w:pStyle w:val="TableBodyText"/>
              <w:spacing w:before="60" w:after="60"/>
              <w:ind w:left="0"/>
              <w:jc w:val="left"/>
            </w:pPr>
            <w:r w:rsidRPr="00F459BD">
              <w:t>Fully immunised at 12 months</w:t>
            </w:r>
          </w:p>
        </w:tc>
        <w:tc>
          <w:tcPr>
            <w:tcW w:w="6379" w:type="dxa"/>
            <w:shd w:val="clear" w:color="auto" w:fill="auto"/>
          </w:tcPr>
          <w:p w:rsidR="00182D9A" w:rsidRPr="00F459BD" w:rsidRDefault="00940ED7" w:rsidP="00D90B51">
            <w:pPr>
              <w:pStyle w:val="TableBodyText"/>
              <w:spacing w:before="60" w:after="60"/>
              <w:jc w:val="left"/>
            </w:pPr>
            <w:r w:rsidRPr="00F459BD">
              <w:t>A child who has</w:t>
            </w:r>
            <w:r w:rsidR="00CB301D">
              <w:t>, by</w:t>
            </w:r>
            <w:r w:rsidR="006D1C4D">
              <w:t xml:space="preserve"> the age of</w:t>
            </w:r>
            <w:r w:rsidR="00CB301D">
              <w:t xml:space="preserve"> 1 year, </w:t>
            </w:r>
            <w:r w:rsidRPr="00F459BD">
              <w:t>completed</w:t>
            </w:r>
            <w:r w:rsidR="00CB301D">
              <w:t>:</w:t>
            </w:r>
            <w:r w:rsidRPr="00F459BD">
              <w:t xml:space="preserve"> three doses of diphtheria, tetanus, pertussis vaccine</w:t>
            </w:r>
            <w:r w:rsidR="00CB301D">
              <w:t>;</w:t>
            </w:r>
            <w:r w:rsidRPr="00F459BD">
              <w:t xml:space="preserve"> three doses of polio vaccine</w:t>
            </w:r>
            <w:r w:rsidR="00CB301D">
              <w:t>;</w:t>
            </w:r>
            <w:r w:rsidR="00EE5E37">
              <w:t xml:space="preserve"> two or three doses </w:t>
            </w:r>
            <w:r w:rsidR="00CB301D">
              <w:t xml:space="preserve">(depending on the type of vaccine used) </w:t>
            </w:r>
            <w:r w:rsidR="00EE5E37">
              <w:t xml:space="preserve">of </w:t>
            </w:r>
            <w:r w:rsidR="00EE5E37" w:rsidRPr="00C83E45">
              <w:t>Hepatitis B vaccine</w:t>
            </w:r>
            <w:r w:rsidR="00CB301D">
              <w:t>; two or</w:t>
            </w:r>
            <w:r w:rsidR="00EE5E37" w:rsidRPr="00C83E45">
              <w:t xml:space="preserve"> three doses</w:t>
            </w:r>
            <w:r w:rsidR="00CB301D">
              <w:t xml:space="preserve"> doses (depending on the type of vaccine used) </w:t>
            </w:r>
            <w:r w:rsidR="00EE5E37" w:rsidRPr="00C83E45">
              <w:t xml:space="preserve"> of </w:t>
            </w:r>
            <w:r w:rsidR="00EE5E37" w:rsidRPr="00E51597">
              <w:rPr>
                <w:i/>
              </w:rPr>
              <w:t>Haemophilus influenzae</w:t>
            </w:r>
            <w:r w:rsidR="00EE5E37" w:rsidRPr="00C83E45">
              <w:t xml:space="preserve"> type B</w:t>
            </w:r>
            <w:r w:rsidR="00CB301D">
              <w:t xml:space="preserve"> vaccine</w:t>
            </w:r>
            <w:r w:rsidR="008362A5">
              <w:t>; and, from</w:t>
            </w:r>
            <w:r w:rsidR="00D90B51">
              <w:t xml:space="preserve"> the quarter ending 31 December  2013</w:t>
            </w:r>
            <w:r w:rsidR="008362A5">
              <w:t xml:space="preserve">, </w:t>
            </w:r>
            <w:r w:rsidR="006134EF">
              <w:t>pneumococcal disease</w:t>
            </w:r>
            <w:r w:rsidR="007F43D6">
              <w:t>.</w:t>
            </w:r>
          </w:p>
        </w:tc>
      </w:tr>
      <w:tr w:rsidR="00182D9A" w:rsidRPr="00F459BD" w:rsidTr="00931CC9">
        <w:tc>
          <w:tcPr>
            <w:tcW w:w="2410" w:type="dxa"/>
            <w:shd w:val="clear" w:color="auto" w:fill="auto"/>
            <w:tcMar>
              <w:left w:w="0" w:type="dxa"/>
            </w:tcMar>
          </w:tcPr>
          <w:p w:rsidR="00182D9A" w:rsidRPr="00F459BD" w:rsidRDefault="00182D9A" w:rsidP="00E51597">
            <w:pPr>
              <w:pStyle w:val="TableBodyText"/>
              <w:spacing w:before="60" w:after="60"/>
              <w:ind w:left="0"/>
              <w:jc w:val="left"/>
            </w:pPr>
            <w:r w:rsidRPr="00F459BD">
              <w:t>Fully immunised at 24 months</w:t>
            </w:r>
          </w:p>
        </w:tc>
        <w:tc>
          <w:tcPr>
            <w:tcW w:w="6379" w:type="dxa"/>
            <w:shd w:val="clear" w:color="auto" w:fill="auto"/>
          </w:tcPr>
          <w:p w:rsidR="00182D9A" w:rsidRPr="00F459BD" w:rsidRDefault="00940ED7" w:rsidP="006D1C4D">
            <w:pPr>
              <w:pStyle w:val="TableBodyText"/>
              <w:spacing w:before="60" w:after="60"/>
              <w:jc w:val="left"/>
            </w:pPr>
            <w:r w:rsidRPr="00F459BD">
              <w:t>A child who has</w:t>
            </w:r>
            <w:r w:rsidR="006D1C4D">
              <w:t>, by the age of 2 years,</w:t>
            </w:r>
            <w:r w:rsidRPr="00F459BD">
              <w:t xml:space="preserve"> received </w:t>
            </w:r>
            <w:r w:rsidR="006D1C4D">
              <w:t xml:space="preserve">three or </w:t>
            </w:r>
            <w:r w:rsidRPr="00F459BD">
              <w:t xml:space="preserve">four doses </w:t>
            </w:r>
            <w:r w:rsidR="006D1C4D">
              <w:t xml:space="preserve">(depending on the type of vaccine used) </w:t>
            </w:r>
            <w:r w:rsidRPr="00F459BD">
              <w:t xml:space="preserve">of diphtheria, tetanus, pertussis vaccine, three doses of polio vaccine, </w:t>
            </w:r>
            <w:r w:rsidR="00146FBD" w:rsidRPr="00146FBD">
              <w:t xml:space="preserve">three doses of Hepatitis B vaccine, </w:t>
            </w:r>
            <w:r w:rsidR="006D1C4D">
              <w:t xml:space="preserve">three or </w:t>
            </w:r>
            <w:r w:rsidR="006D1C4D" w:rsidRPr="00F459BD">
              <w:t xml:space="preserve">four doses </w:t>
            </w:r>
            <w:r w:rsidR="006D1C4D">
              <w:t xml:space="preserve">(depending on the type of vaccine used) </w:t>
            </w:r>
            <w:r w:rsidR="00146FBD" w:rsidRPr="00146FBD">
              <w:t xml:space="preserve">of </w:t>
            </w:r>
            <w:r w:rsidR="00146FBD" w:rsidRPr="00E51597">
              <w:rPr>
                <w:i/>
              </w:rPr>
              <w:t>Haemophilus influenzae</w:t>
            </w:r>
            <w:r w:rsidR="00146FBD" w:rsidRPr="00146FBD">
              <w:t xml:space="preserve"> type B and one dose of measles, mumps and rubella vaccine.</w:t>
            </w:r>
          </w:p>
        </w:tc>
      </w:tr>
      <w:tr w:rsidR="005D4736" w:rsidRPr="00F459BD" w:rsidTr="006D1C4D">
        <w:tc>
          <w:tcPr>
            <w:tcW w:w="2410" w:type="dxa"/>
            <w:shd w:val="clear" w:color="auto" w:fill="auto"/>
            <w:tcMar>
              <w:left w:w="0" w:type="dxa"/>
            </w:tcMar>
          </w:tcPr>
          <w:p w:rsidR="005D4736" w:rsidRPr="00F459BD" w:rsidRDefault="005D4736" w:rsidP="00E51597">
            <w:pPr>
              <w:pStyle w:val="TableBodyText"/>
              <w:spacing w:before="60" w:after="60"/>
              <w:ind w:left="0"/>
              <w:jc w:val="left"/>
            </w:pPr>
            <w:r w:rsidRPr="00F459BD">
              <w:t>Fully immunised at 60 months</w:t>
            </w:r>
          </w:p>
        </w:tc>
        <w:tc>
          <w:tcPr>
            <w:tcW w:w="6379" w:type="dxa"/>
            <w:shd w:val="clear" w:color="auto" w:fill="auto"/>
            <w:vAlign w:val="center"/>
          </w:tcPr>
          <w:p w:rsidR="005D4736" w:rsidRPr="00E52E8A" w:rsidRDefault="006B4004" w:rsidP="00E52E8A">
            <w:pPr>
              <w:pStyle w:val="TableBodyText"/>
              <w:jc w:val="left"/>
            </w:pPr>
            <w:r w:rsidRPr="00D351DC">
              <w:t>A child who has</w:t>
            </w:r>
            <w:r w:rsidR="006D1C4D">
              <w:t>, by the age of 5 years,</w:t>
            </w:r>
            <w:r w:rsidRPr="00D351DC">
              <w:t xml:space="preserve"> </w:t>
            </w:r>
            <w:r w:rsidR="006D1C4D" w:rsidRPr="00D351DC">
              <w:t>received</w:t>
            </w:r>
            <w:r w:rsidR="006D1C4D">
              <w:t xml:space="preserve"> </w:t>
            </w:r>
            <w:r w:rsidR="006D1C4D" w:rsidRPr="00D351DC">
              <w:t>the necessary doses of diphtheria, tetanus, whooping cough, polio, and meas</w:t>
            </w:r>
            <w:r w:rsidR="006D1C4D">
              <w:t>les, mumps and rubella vaccines — four or five</w:t>
            </w:r>
            <w:r w:rsidR="006D1C4D" w:rsidRPr="00F459BD">
              <w:t xml:space="preserve"> doses </w:t>
            </w:r>
            <w:r w:rsidR="006D1C4D">
              <w:t xml:space="preserve">(depending on the type of vaccine used) </w:t>
            </w:r>
            <w:r w:rsidR="006D1C4D" w:rsidRPr="00F459BD">
              <w:t xml:space="preserve">of diphtheria, tetanus, pertussis vaccine, </w:t>
            </w:r>
            <w:r w:rsidR="006D1C4D">
              <w:t>four</w:t>
            </w:r>
            <w:r w:rsidR="006D1C4D" w:rsidRPr="00F459BD">
              <w:t xml:space="preserve"> doses of polio vaccine, </w:t>
            </w:r>
            <w:r w:rsidR="006D1C4D" w:rsidRPr="00146FBD">
              <w:t xml:space="preserve">three doses of Hepatitis B vaccine, </w:t>
            </w:r>
            <w:r w:rsidR="006D1C4D">
              <w:t xml:space="preserve">three or </w:t>
            </w:r>
            <w:r w:rsidR="006D1C4D" w:rsidRPr="00F459BD">
              <w:t xml:space="preserve">four doses </w:t>
            </w:r>
            <w:r w:rsidR="006D1C4D">
              <w:t xml:space="preserve">(depending on the type of vaccine used) </w:t>
            </w:r>
            <w:r w:rsidR="006D1C4D" w:rsidRPr="00146FBD">
              <w:t xml:space="preserve">of </w:t>
            </w:r>
            <w:r w:rsidR="006D1C4D" w:rsidRPr="00E51597">
              <w:rPr>
                <w:i/>
              </w:rPr>
              <w:t>Haemophilus influenzae</w:t>
            </w:r>
            <w:r w:rsidR="006D1C4D" w:rsidRPr="00146FBD">
              <w:t xml:space="preserve"> type B and </w:t>
            </w:r>
            <w:r w:rsidR="006D1C4D">
              <w:t>two</w:t>
            </w:r>
            <w:r w:rsidR="006D1C4D" w:rsidRPr="00146FBD">
              <w:t xml:space="preserve"> dose</w:t>
            </w:r>
            <w:r w:rsidR="006D1C4D">
              <w:t>s</w:t>
            </w:r>
            <w:r w:rsidR="006D1C4D" w:rsidRPr="00146FBD">
              <w:t xml:space="preserve"> of measles, mumps and rubella vaccine.</w:t>
            </w:r>
            <w:r w:rsidR="006D1C4D">
              <w:t xml:space="preserve"> </w:t>
            </w:r>
          </w:p>
        </w:tc>
      </w:tr>
      <w:tr w:rsidR="00182D9A" w:rsidRPr="00F459BD" w:rsidTr="00931CC9">
        <w:tc>
          <w:tcPr>
            <w:tcW w:w="2410" w:type="dxa"/>
            <w:shd w:val="clear" w:color="auto" w:fill="auto"/>
            <w:tcMar>
              <w:left w:w="0" w:type="dxa"/>
            </w:tcMar>
          </w:tcPr>
          <w:p w:rsidR="00182D9A" w:rsidRPr="00F459BD" w:rsidRDefault="00940ED7" w:rsidP="00E51597">
            <w:pPr>
              <w:pStyle w:val="TableBodyText"/>
              <w:spacing w:before="60" w:after="60"/>
              <w:ind w:left="0"/>
              <w:jc w:val="left"/>
            </w:pPr>
            <w:r w:rsidRPr="00F459BD">
              <w:t>General practice</w:t>
            </w:r>
          </w:p>
        </w:tc>
        <w:tc>
          <w:tcPr>
            <w:tcW w:w="6379" w:type="dxa"/>
            <w:shd w:val="clear" w:color="auto" w:fill="auto"/>
          </w:tcPr>
          <w:p w:rsidR="00182D9A" w:rsidRPr="00F459BD" w:rsidRDefault="00940ED7" w:rsidP="00E51597">
            <w:pPr>
              <w:pStyle w:val="TableBodyText"/>
              <w:spacing w:before="60" w:after="60"/>
              <w:ind w:left="0"/>
              <w:jc w:val="left"/>
            </w:pPr>
            <w:r w:rsidRPr="00F459BD">
              <w:t xml:space="preserve">The organisational structure with one or more GPs and other staff such as practice nurses. A general practice provides and supervises healthcare for a ‘population’ of patients and may include services for specific populations, such as women's health or </w:t>
            </w:r>
            <w:r w:rsidR="00D16EBA">
              <w:t>Aboriginal and Torres Strait Islander</w:t>
            </w:r>
            <w:r w:rsidRPr="00F459BD">
              <w:t xml:space="preserve"> health.</w:t>
            </w:r>
          </w:p>
        </w:tc>
      </w:tr>
      <w:tr w:rsidR="00182D9A" w:rsidRPr="00F459BD" w:rsidTr="00931CC9">
        <w:tc>
          <w:tcPr>
            <w:tcW w:w="2410" w:type="dxa"/>
            <w:shd w:val="clear" w:color="auto" w:fill="auto"/>
            <w:tcMar>
              <w:left w:w="0" w:type="dxa"/>
            </w:tcMar>
          </w:tcPr>
          <w:p w:rsidR="00182D9A" w:rsidRPr="00F459BD" w:rsidRDefault="00182D9A" w:rsidP="00E51597">
            <w:pPr>
              <w:pStyle w:val="TableBodyText"/>
              <w:spacing w:before="60" w:after="60"/>
              <w:ind w:left="0"/>
              <w:jc w:val="left"/>
            </w:pPr>
            <w:r w:rsidRPr="00F459BD">
              <w:t>General practitioner (GP)</w:t>
            </w:r>
          </w:p>
        </w:tc>
        <w:tc>
          <w:tcPr>
            <w:tcW w:w="6379" w:type="dxa"/>
            <w:shd w:val="clear" w:color="auto" w:fill="auto"/>
          </w:tcPr>
          <w:p w:rsidR="00CF7C08" w:rsidRPr="00F459BD" w:rsidRDefault="00557713" w:rsidP="00E51597">
            <w:pPr>
              <w:pStyle w:val="TableBodyText"/>
              <w:spacing w:before="60" w:after="60"/>
              <w:ind w:left="0"/>
              <w:jc w:val="left"/>
            </w:pPr>
            <w:r w:rsidRPr="00F459BD">
              <w:t xml:space="preserve">Vocationally </w:t>
            </w:r>
            <w:r w:rsidR="000B2487" w:rsidRPr="000B2487">
              <w:t>registered</w:t>
            </w:r>
            <w:r w:rsidR="000465F0" w:rsidRPr="000465F0">
              <w:t xml:space="preserve"> </w:t>
            </w:r>
            <w:r w:rsidRPr="00F459BD">
              <w:t xml:space="preserve">GPs — </w:t>
            </w:r>
            <w:r w:rsidRPr="00931CC9">
              <w:t xml:space="preserve">medical practitioners who are vocationally </w:t>
            </w:r>
            <w:r w:rsidR="000B2487" w:rsidRPr="000B2487">
              <w:t xml:space="preserve">registered </w:t>
            </w:r>
            <w:r w:rsidRPr="00931CC9">
              <w:t xml:space="preserve">under s.3F of the </w:t>
            </w:r>
            <w:r w:rsidRPr="00931CC9">
              <w:rPr>
                <w:i/>
              </w:rPr>
              <w:t>Health Insurance Act 1973</w:t>
            </w:r>
            <w:r w:rsidRPr="00931CC9">
              <w:t xml:space="preserve"> (Cwlth), hold Fellowship of th</w:t>
            </w:r>
            <w:r w:rsidR="002D1E08" w:rsidRPr="00931CC9">
              <w:t>e RACGP</w:t>
            </w:r>
            <w:r w:rsidR="00C0068F" w:rsidRPr="00931CC9">
              <w:t xml:space="preserve"> </w:t>
            </w:r>
            <w:r w:rsidR="00907984" w:rsidRPr="00931CC9">
              <w:t>or the</w:t>
            </w:r>
            <w:r w:rsidR="002D1E08" w:rsidRPr="00931CC9">
              <w:t xml:space="preserve"> </w:t>
            </w:r>
            <w:r w:rsidR="00BB2DCF" w:rsidRPr="00931CC9">
              <w:t>Australian College of Rural and Remote Medicine (</w:t>
            </w:r>
            <w:r w:rsidR="002D1E08" w:rsidRPr="00931CC9">
              <w:t>ACRRM</w:t>
            </w:r>
            <w:r w:rsidR="00BB2DCF" w:rsidRPr="00931CC9">
              <w:t>)</w:t>
            </w:r>
            <w:r w:rsidR="00C0068F" w:rsidRPr="00931CC9">
              <w:t xml:space="preserve"> </w:t>
            </w:r>
            <w:r w:rsidR="002D1E08" w:rsidRPr="00931CC9">
              <w:t>or equivalent</w:t>
            </w:r>
            <w:r w:rsidR="00537F76" w:rsidRPr="00931CC9">
              <w:t>, or hold a recognised training placement.</w:t>
            </w:r>
            <w:r w:rsidR="002D1E08" w:rsidRPr="00F459BD">
              <w:t xml:space="preserve"> </w:t>
            </w:r>
            <w:r w:rsidR="00537F76">
              <w:t>F</w:t>
            </w:r>
            <w:r w:rsidR="002D1E08" w:rsidRPr="00F459BD">
              <w:t>rom 1996</w:t>
            </w:r>
            <w:r w:rsidRPr="00F459BD">
              <w:t xml:space="preserve"> vocational registration </w:t>
            </w:r>
            <w:r w:rsidR="00C0068F">
              <w:t>is</w:t>
            </w:r>
            <w:r w:rsidRPr="00F459BD">
              <w:t xml:space="preserve"> available only to GPs who attain</w:t>
            </w:r>
            <w:r w:rsidR="00C0068F">
              <w:t xml:space="preserve"> Fellowship of the RACGP</w:t>
            </w:r>
            <w:r w:rsidR="000465F0">
              <w:t xml:space="preserve"> or (from April 2007)</w:t>
            </w:r>
            <w:r w:rsidRPr="00F459BD">
              <w:t xml:space="preserve"> the ACRRM</w:t>
            </w:r>
            <w:r w:rsidR="00F87DE2">
              <w:t>, or</w:t>
            </w:r>
            <w:r w:rsidR="00F87DE2" w:rsidRPr="00F87DE2">
              <w:t xml:space="preserve"> hold a recognised training placement</w:t>
            </w:r>
            <w:r w:rsidRPr="00F459BD">
              <w:t>.</w:t>
            </w:r>
          </w:p>
          <w:p w:rsidR="00557713" w:rsidRPr="00F459BD" w:rsidRDefault="00557713" w:rsidP="00FA14E0">
            <w:pPr>
              <w:pStyle w:val="TableBodyText"/>
              <w:spacing w:before="60" w:after="60"/>
              <w:ind w:left="0"/>
              <w:jc w:val="left"/>
            </w:pPr>
            <w:r w:rsidRPr="00F459BD">
              <w:t>Other medical practitioners</w:t>
            </w:r>
            <w:r w:rsidR="00396E9C" w:rsidRPr="00F459BD">
              <w:t xml:space="preserve"> (OMP)</w:t>
            </w:r>
            <w:r w:rsidRPr="00F459BD">
              <w:t xml:space="preserve"> — medical practitioners who are not vocationally </w:t>
            </w:r>
            <w:r w:rsidR="000B2487" w:rsidRPr="000B2487">
              <w:t xml:space="preserve">registered </w:t>
            </w:r>
            <w:r w:rsidRPr="00F459BD">
              <w:t>GPs.</w:t>
            </w:r>
          </w:p>
        </w:tc>
      </w:tr>
      <w:tr w:rsidR="00807170" w:rsidRPr="00F459BD" w:rsidTr="00E51597">
        <w:tc>
          <w:tcPr>
            <w:tcW w:w="2410" w:type="dxa"/>
            <w:shd w:val="clear" w:color="auto" w:fill="auto"/>
            <w:tcMar>
              <w:left w:w="0" w:type="dxa"/>
            </w:tcMar>
          </w:tcPr>
          <w:p w:rsidR="00807170" w:rsidRPr="00F459BD" w:rsidRDefault="00396E9C" w:rsidP="00E51597">
            <w:pPr>
              <w:pStyle w:val="TableBodyText"/>
              <w:spacing w:before="60" w:after="60"/>
              <w:ind w:left="0"/>
              <w:jc w:val="left"/>
            </w:pPr>
            <w:r w:rsidRPr="00F459BD">
              <w:t>G</w:t>
            </w:r>
            <w:r w:rsidR="00E16C45" w:rsidRPr="00F459BD">
              <w:t>P</w:t>
            </w:r>
            <w:r w:rsidRPr="00F459BD">
              <w:noBreakHyphen/>
              <w:t>type services</w:t>
            </w:r>
          </w:p>
        </w:tc>
        <w:tc>
          <w:tcPr>
            <w:tcW w:w="6379" w:type="dxa"/>
            <w:shd w:val="clear" w:color="auto" w:fill="auto"/>
          </w:tcPr>
          <w:p w:rsidR="00807170" w:rsidRPr="00F459BD" w:rsidRDefault="00396E9C" w:rsidP="00E51597">
            <w:pPr>
              <w:pStyle w:val="TableBodyText"/>
              <w:spacing w:before="60" w:after="60"/>
              <w:ind w:left="0"/>
              <w:jc w:val="left"/>
            </w:pPr>
            <w:r w:rsidRPr="00F459BD">
              <w:t>Non</w:t>
            </w:r>
            <w:r w:rsidRPr="00F459BD">
              <w:noBreakHyphen/>
              <w:t xml:space="preserve">referred attendances by vocationally </w:t>
            </w:r>
            <w:r w:rsidR="000B2487" w:rsidRPr="000B2487">
              <w:t xml:space="preserve">registered </w:t>
            </w:r>
            <w:r w:rsidRPr="00F459BD">
              <w:t>GPs and OMPs, and practice nurses</w:t>
            </w:r>
            <w:r w:rsidR="008D426A" w:rsidRPr="00F459BD">
              <w:t>.</w:t>
            </w:r>
          </w:p>
        </w:tc>
      </w:tr>
      <w:tr w:rsidR="00640438" w:rsidRPr="00F459BD" w:rsidTr="00E51597">
        <w:tc>
          <w:tcPr>
            <w:tcW w:w="2410" w:type="dxa"/>
            <w:shd w:val="clear" w:color="auto" w:fill="auto"/>
            <w:tcMar>
              <w:left w:w="0" w:type="dxa"/>
            </w:tcMar>
          </w:tcPr>
          <w:p w:rsidR="00640438" w:rsidRPr="00F459BD" w:rsidRDefault="00640438" w:rsidP="00E51597">
            <w:pPr>
              <w:pStyle w:val="TableBodyText"/>
              <w:spacing w:before="60" w:after="60"/>
              <w:ind w:left="0"/>
              <w:jc w:val="left"/>
            </w:pPr>
            <w:r w:rsidRPr="00E51597">
              <w:rPr>
                <w:i/>
              </w:rPr>
              <w:t>Haemophilus influenzae</w:t>
            </w:r>
            <w:r w:rsidRPr="00F459BD">
              <w:t xml:space="preserve"> type b</w:t>
            </w:r>
          </w:p>
        </w:tc>
        <w:tc>
          <w:tcPr>
            <w:tcW w:w="6379" w:type="dxa"/>
            <w:shd w:val="clear" w:color="auto" w:fill="auto"/>
          </w:tcPr>
          <w:p w:rsidR="00640438" w:rsidRPr="00F459BD" w:rsidRDefault="00640438" w:rsidP="00681023">
            <w:pPr>
              <w:pStyle w:val="TableBodyText"/>
              <w:spacing w:before="60" w:after="60"/>
              <w:ind w:left="0"/>
              <w:jc w:val="left"/>
            </w:pPr>
            <w:r w:rsidRPr="00F459BD">
              <w:t>A bacterium which causes bloodstream infection, meningitis, epiglottitis, and pneumonia (</w:t>
            </w:r>
            <w:r w:rsidR="006C2E5E">
              <w:t>Department of Health</w:t>
            </w:r>
            <w:r w:rsidRPr="00F459BD">
              <w:t xml:space="preserve"> 20</w:t>
            </w:r>
            <w:r w:rsidR="00094998">
              <w:t>13</w:t>
            </w:r>
            <w:r w:rsidR="00E631C6">
              <w:t>b</w:t>
            </w:r>
            <w:r w:rsidRPr="00F459BD">
              <w:t>).</w:t>
            </w:r>
          </w:p>
        </w:tc>
      </w:tr>
      <w:tr w:rsidR="00182D9A" w:rsidRPr="00F459BD" w:rsidTr="00E51597">
        <w:tc>
          <w:tcPr>
            <w:tcW w:w="2410" w:type="dxa"/>
            <w:shd w:val="clear" w:color="auto" w:fill="auto"/>
            <w:tcMar>
              <w:left w:w="0" w:type="dxa"/>
            </w:tcMar>
          </w:tcPr>
          <w:p w:rsidR="00182D9A" w:rsidRPr="00F459BD" w:rsidRDefault="00182D9A" w:rsidP="00E51597">
            <w:pPr>
              <w:pStyle w:val="TableBodyText"/>
              <w:spacing w:before="60" w:after="60"/>
              <w:ind w:left="0"/>
              <w:jc w:val="left"/>
            </w:pPr>
            <w:r w:rsidRPr="00F459BD">
              <w:t>Immunisation coverage</w:t>
            </w:r>
          </w:p>
        </w:tc>
        <w:tc>
          <w:tcPr>
            <w:tcW w:w="6379" w:type="dxa"/>
            <w:shd w:val="clear" w:color="auto" w:fill="auto"/>
          </w:tcPr>
          <w:p w:rsidR="00182D9A" w:rsidRPr="00F459BD" w:rsidRDefault="00BB50BD" w:rsidP="00E51597">
            <w:pPr>
              <w:pStyle w:val="TableBodyText"/>
              <w:spacing w:before="60" w:after="60"/>
              <w:ind w:left="0"/>
              <w:jc w:val="left"/>
            </w:pPr>
            <w:r w:rsidRPr="00F459BD">
              <w:t>T</w:t>
            </w:r>
            <w:r w:rsidR="00557713" w:rsidRPr="00F459BD">
              <w:t xml:space="preserve">he proportion of a target population fully immunised with </w:t>
            </w:r>
            <w:r w:rsidR="005719A0" w:rsidRPr="00F459BD">
              <w:t xml:space="preserve">National Immunisation Program specified </w:t>
            </w:r>
            <w:r w:rsidR="00557713" w:rsidRPr="00F459BD">
              <w:t>vaccines for that age group.</w:t>
            </w:r>
          </w:p>
        </w:tc>
      </w:tr>
      <w:tr w:rsidR="00182D9A" w:rsidRPr="00F459BD" w:rsidTr="00931CC9">
        <w:tc>
          <w:tcPr>
            <w:tcW w:w="2410" w:type="dxa"/>
            <w:shd w:val="clear" w:color="auto" w:fill="auto"/>
            <w:tcMar>
              <w:left w:w="0" w:type="dxa"/>
            </w:tcMar>
          </w:tcPr>
          <w:p w:rsidR="00182D9A" w:rsidRPr="00F459BD" w:rsidRDefault="00182D9A" w:rsidP="00E51597">
            <w:pPr>
              <w:pStyle w:val="TableBodyText"/>
              <w:spacing w:before="60" w:after="60"/>
              <w:ind w:left="0"/>
              <w:jc w:val="left"/>
            </w:pPr>
            <w:r w:rsidRPr="00F459BD">
              <w:t>Management of upper respiratory tract infections</w:t>
            </w:r>
          </w:p>
        </w:tc>
        <w:tc>
          <w:tcPr>
            <w:tcW w:w="6379" w:type="dxa"/>
            <w:shd w:val="clear" w:color="auto" w:fill="auto"/>
          </w:tcPr>
          <w:p w:rsidR="00182D9A" w:rsidRPr="00F459BD" w:rsidRDefault="00557713" w:rsidP="00E51597">
            <w:pPr>
              <w:pStyle w:val="TableBodyText"/>
              <w:spacing w:before="60" w:after="60"/>
              <w:ind w:left="0"/>
              <w:jc w:val="left"/>
            </w:pPr>
            <w:r w:rsidRPr="00F459BD">
              <w:t>Number of prescriptions ordered by GPs for the oral antibiotics most commonly used in the treatment of upper respiratory tract infections per 1000 people with PBS concession cards.</w:t>
            </w:r>
          </w:p>
        </w:tc>
      </w:tr>
      <w:tr w:rsidR="00F97661" w:rsidRPr="00F459BD" w:rsidTr="00931CC9">
        <w:tc>
          <w:tcPr>
            <w:tcW w:w="2410" w:type="dxa"/>
            <w:shd w:val="clear" w:color="auto" w:fill="auto"/>
            <w:tcMar>
              <w:left w:w="0" w:type="dxa"/>
            </w:tcMar>
          </w:tcPr>
          <w:p w:rsidR="00F97661" w:rsidRPr="00F459BD" w:rsidRDefault="00F97661" w:rsidP="00E51597">
            <w:pPr>
              <w:pStyle w:val="TableBodyText"/>
              <w:spacing w:before="60" w:after="60"/>
              <w:ind w:left="0"/>
              <w:jc w:val="left"/>
            </w:pPr>
            <w:r>
              <w:t>Medicare Locals</w:t>
            </w:r>
          </w:p>
        </w:tc>
        <w:tc>
          <w:tcPr>
            <w:tcW w:w="6379" w:type="dxa"/>
            <w:shd w:val="clear" w:color="auto" w:fill="auto"/>
          </w:tcPr>
          <w:p w:rsidR="00103FFB" w:rsidRDefault="00F97661" w:rsidP="00103FFB">
            <w:pPr>
              <w:pStyle w:val="TableBodyText"/>
              <w:spacing w:before="60" w:after="60"/>
              <w:ind w:left="0"/>
              <w:jc w:val="left"/>
            </w:pPr>
            <w:r w:rsidRPr="00F97661">
              <w:t xml:space="preserve">Medicare Locals (MLs) </w:t>
            </w:r>
            <w:r w:rsidR="00811643">
              <w:t xml:space="preserve">are </w:t>
            </w:r>
            <w:r w:rsidR="00652D09" w:rsidRPr="00A73D31">
              <w:t>independent</w:t>
            </w:r>
            <w:r w:rsidR="00811643">
              <w:t xml:space="preserve"> </w:t>
            </w:r>
            <w:r w:rsidR="00811643" w:rsidRPr="00F97661">
              <w:t>regional primary health care organisations</w:t>
            </w:r>
            <w:r w:rsidR="00811643">
              <w:t xml:space="preserve"> with responsibility for supporting improved co</w:t>
            </w:r>
            <w:r w:rsidR="00811643">
              <w:noBreakHyphen/>
              <w:t xml:space="preserve">ordination of primary health care service delivery, as well as identifying and addressing gaps in primary health care services, </w:t>
            </w:r>
            <w:r w:rsidR="0007460F">
              <w:t>across their region</w:t>
            </w:r>
            <w:r w:rsidR="00652D09">
              <w:t>s</w:t>
            </w:r>
            <w:r w:rsidR="0007460F">
              <w:t xml:space="preserve"> (www.amlalliance.com.au/about-us, accessed 2</w:t>
            </w:r>
            <w:r w:rsidR="00652D09">
              <w:t>5</w:t>
            </w:r>
            <w:r w:rsidR="0007460F">
              <w:t xml:space="preserve"> November 201</w:t>
            </w:r>
            <w:r w:rsidR="00652D09">
              <w:t>3</w:t>
            </w:r>
            <w:r w:rsidR="0007460F">
              <w:t>)</w:t>
            </w:r>
            <w:r w:rsidR="00811643">
              <w:t>.</w:t>
            </w:r>
          </w:p>
          <w:p w:rsidR="00F97661" w:rsidRPr="00F459BD" w:rsidRDefault="00BA7916" w:rsidP="00652D09">
            <w:pPr>
              <w:pStyle w:val="TableBodyText"/>
              <w:spacing w:before="60" w:after="60"/>
              <w:ind w:left="0"/>
              <w:jc w:val="left"/>
            </w:pPr>
            <w:r>
              <w:t xml:space="preserve">Established </w:t>
            </w:r>
            <w:r w:rsidR="00652D09">
              <w:t>progressively from 1 July 2011 under</w:t>
            </w:r>
            <w:r>
              <w:t xml:space="preserve"> </w:t>
            </w:r>
            <w:r w:rsidR="007A5F4D">
              <w:t xml:space="preserve">the </w:t>
            </w:r>
            <w:r>
              <w:t>National Health Reform</w:t>
            </w:r>
            <w:r w:rsidR="007A5F4D">
              <w:t xml:space="preserve"> agenda</w:t>
            </w:r>
            <w:r w:rsidR="00652D09">
              <w:t>, the</w:t>
            </w:r>
            <w:r w:rsidR="00811643">
              <w:t xml:space="preserve"> </w:t>
            </w:r>
            <w:r w:rsidR="00F97661" w:rsidRPr="00F97661">
              <w:t xml:space="preserve">national network </w:t>
            </w:r>
            <w:r w:rsidR="00652D09">
              <w:t>of</w:t>
            </w:r>
            <w:r w:rsidR="00811643">
              <w:t xml:space="preserve"> 61 MLs </w:t>
            </w:r>
            <w:r w:rsidR="00F97661" w:rsidRPr="00F97661">
              <w:t xml:space="preserve">and </w:t>
            </w:r>
            <w:r w:rsidR="00811643">
              <w:t>a national body</w:t>
            </w:r>
            <w:r w:rsidR="00F97661" w:rsidRPr="00F97661">
              <w:t>, the Australian Medicare Local Alliance (AML Alliance)</w:t>
            </w:r>
            <w:r w:rsidR="00103FFB">
              <w:t xml:space="preserve">, </w:t>
            </w:r>
            <w:r w:rsidR="00652D09">
              <w:t>were</w:t>
            </w:r>
            <w:r w:rsidR="00456645">
              <w:t xml:space="preserve"> operational at 1 </w:t>
            </w:r>
            <w:r w:rsidR="007A5F4D" w:rsidRPr="007A5F4D">
              <w:t>July 2012</w:t>
            </w:r>
            <w:r w:rsidR="00811643">
              <w:t>.</w:t>
            </w:r>
          </w:p>
        </w:tc>
      </w:tr>
      <w:tr w:rsidR="00182D9A" w:rsidRPr="00F459BD" w:rsidTr="00E51597">
        <w:tc>
          <w:tcPr>
            <w:tcW w:w="2410" w:type="dxa"/>
            <w:shd w:val="clear" w:color="auto" w:fill="auto"/>
            <w:tcMar>
              <w:left w:w="0" w:type="dxa"/>
            </w:tcMar>
          </w:tcPr>
          <w:p w:rsidR="00127AD7" w:rsidRDefault="00182D9A" w:rsidP="00E51597">
            <w:pPr>
              <w:pStyle w:val="TableBodyText"/>
              <w:spacing w:before="60" w:after="60"/>
              <w:ind w:left="0"/>
              <w:jc w:val="left"/>
            </w:pPr>
            <w:r w:rsidRPr="00F459BD">
              <w:t>Non-referred attendances</w:t>
            </w:r>
          </w:p>
          <w:p w:rsidR="00127AD7" w:rsidRDefault="00127AD7" w:rsidP="00127AD7"/>
          <w:p w:rsidR="00182D9A" w:rsidRPr="00127AD7" w:rsidRDefault="00182D9A" w:rsidP="00127AD7">
            <w:pPr>
              <w:jc w:val="right"/>
            </w:pPr>
          </w:p>
        </w:tc>
        <w:tc>
          <w:tcPr>
            <w:tcW w:w="6379" w:type="dxa"/>
            <w:shd w:val="clear" w:color="auto" w:fill="auto"/>
          </w:tcPr>
          <w:p w:rsidR="00864A84" w:rsidRPr="00F459BD" w:rsidRDefault="00557713" w:rsidP="00E51597">
            <w:pPr>
              <w:pStyle w:val="TableBodyText"/>
              <w:spacing w:before="60" w:after="60"/>
              <w:ind w:left="0"/>
              <w:jc w:val="left"/>
            </w:pPr>
            <w:r w:rsidRPr="00F459BD">
              <w:t xml:space="preserve">GP services, emergency attendances after hours, other prolonged attendances, group therapy and acupuncture. All attendances for specialist services are excluded because these must be ‘referred’ to receive </w:t>
            </w:r>
            <w:r w:rsidR="00A663F4">
              <w:t>DHS</w:t>
            </w:r>
            <w:r w:rsidR="002D7882" w:rsidRPr="002D7882">
              <w:t xml:space="preserve"> Medicare </w:t>
            </w:r>
            <w:r w:rsidRPr="00F459BD">
              <w:t>reimbursement.</w:t>
            </w:r>
          </w:p>
        </w:tc>
      </w:tr>
      <w:tr w:rsidR="00182D9A" w:rsidRPr="00F459BD" w:rsidTr="008A07CC">
        <w:trPr>
          <w:trHeight w:val="753"/>
        </w:trPr>
        <w:tc>
          <w:tcPr>
            <w:tcW w:w="2410" w:type="dxa"/>
            <w:shd w:val="clear" w:color="auto" w:fill="auto"/>
            <w:tcMar>
              <w:left w:w="0" w:type="dxa"/>
            </w:tcMar>
          </w:tcPr>
          <w:p w:rsidR="00182D9A" w:rsidRPr="00F459BD" w:rsidRDefault="00182D9A" w:rsidP="00127AD7">
            <w:pPr>
              <w:pStyle w:val="TableBodyText"/>
              <w:spacing w:before="60" w:after="60"/>
              <w:ind w:left="0"/>
              <w:jc w:val="left"/>
            </w:pPr>
            <w:r w:rsidRPr="00F459BD">
              <w:t>Non-referred attendances that are bulk billed</w:t>
            </w:r>
          </w:p>
        </w:tc>
        <w:tc>
          <w:tcPr>
            <w:tcW w:w="6379" w:type="dxa"/>
            <w:shd w:val="clear" w:color="auto" w:fill="auto"/>
          </w:tcPr>
          <w:p w:rsidR="00182D9A" w:rsidRPr="00F459BD" w:rsidRDefault="00557713" w:rsidP="00127AD7">
            <w:pPr>
              <w:pStyle w:val="TableBodyText"/>
              <w:spacing w:before="60" w:after="60"/>
              <w:ind w:left="0"/>
              <w:jc w:val="left"/>
            </w:pPr>
            <w:r w:rsidRPr="00F459BD">
              <w:t>Number of non-referred attendances that are bulk billed and provided by medical practitioners, divided by the total number of non-referred non-specialist attendances.</w:t>
            </w:r>
          </w:p>
        </w:tc>
      </w:tr>
      <w:tr w:rsidR="00182D9A" w:rsidRPr="00F459BD" w:rsidTr="00E51597">
        <w:tc>
          <w:tcPr>
            <w:tcW w:w="2410" w:type="dxa"/>
            <w:shd w:val="clear" w:color="auto" w:fill="auto"/>
            <w:tcMar>
              <w:left w:w="0" w:type="dxa"/>
            </w:tcMar>
          </w:tcPr>
          <w:p w:rsidR="00182D9A" w:rsidRPr="00F459BD" w:rsidRDefault="00182D9A" w:rsidP="00E51597">
            <w:pPr>
              <w:pStyle w:val="TableBodyText"/>
              <w:spacing w:before="60" w:after="60"/>
              <w:ind w:left="0"/>
              <w:jc w:val="left"/>
            </w:pPr>
            <w:r w:rsidRPr="00F459BD">
              <w:t xml:space="preserve">Nationally notifiable disease </w:t>
            </w:r>
          </w:p>
        </w:tc>
        <w:tc>
          <w:tcPr>
            <w:tcW w:w="6379" w:type="dxa"/>
            <w:shd w:val="clear" w:color="auto" w:fill="auto"/>
          </w:tcPr>
          <w:p w:rsidR="00133D04" w:rsidRPr="00F459BD" w:rsidRDefault="00557713" w:rsidP="00E631C6">
            <w:pPr>
              <w:pStyle w:val="TableBodyText"/>
              <w:spacing w:before="60" w:after="60"/>
              <w:ind w:left="0"/>
              <w:jc w:val="left"/>
            </w:pPr>
            <w:r w:rsidRPr="00F459BD">
              <w:t>A communicable disease that is on the Communicable Diseases Network Australia’s endorsed list of diseases to be notified nationally (</w:t>
            </w:r>
            <w:r w:rsidR="006C2E5E">
              <w:t>Department of Health</w:t>
            </w:r>
            <w:r w:rsidR="00094998">
              <w:t xml:space="preserve"> 2013</w:t>
            </w:r>
            <w:r w:rsidR="00E631C6">
              <w:t>c</w:t>
            </w:r>
            <w:r w:rsidRPr="00F459BD">
              <w:t>). On diagnosis of these diseases, there is a requirement to notify the relevant State or Territory health authority.</w:t>
            </w:r>
          </w:p>
        </w:tc>
      </w:tr>
      <w:tr w:rsidR="00182D9A" w:rsidRPr="00F459BD" w:rsidTr="00E51597">
        <w:tc>
          <w:tcPr>
            <w:tcW w:w="2410" w:type="dxa"/>
            <w:shd w:val="clear" w:color="auto" w:fill="auto"/>
            <w:tcMar>
              <w:left w:w="0" w:type="dxa"/>
            </w:tcMar>
          </w:tcPr>
          <w:p w:rsidR="00182D9A" w:rsidRPr="00F459BD" w:rsidRDefault="00182D9A" w:rsidP="00E51597">
            <w:pPr>
              <w:pStyle w:val="TableBodyText"/>
              <w:spacing w:before="60" w:after="60"/>
              <w:ind w:left="0"/>
              <w:jc w:val="left"/>
            </w:pPr>
            <w:r w:rsidRPr="00F459BD">
              <w:t>Notifications of selected childhood diseases</w:t>
            </w:r>
          </w:p>
        </w:tc>
        <w:tc>
          <w:tcPr>
            <w:tcW w:w="6379" w:type="dxa"/>
            <w:shd w:val="clear" w:color="auto" w:fill="auto"/>
          </w:tcPr>
          <w:p w:rsidR="003C1140" w:rsidRPr="00F459BD" w:rsidRDefault="00557713" w:rsidP="00E51597">
            <w:pPr>
              <w:pStyle w:val="TableBodyText"/>
              <w:spacing w:before="60" w:after="60"/>
              <w:ind w:left="0"/>
              <w:jc w:val="left"/>
            </w:pPr>
            <w:r w:rsidRPr="00F459BD">
              <w:t xml:space="preserve">Number of cases of measles, pertussis and </w:t>
            </w:r>
            <w:r w:rsidRPr="00E51597">
              <w:rPr>
                <w:i/>
              </w:rPr>
              <w:t>Haemophilus influenzae</w:t>
            </w:r>
            <w:r w:rsidRPr="00F459BD">
              <w:t xml:space="preserve"> type b </w:t>
            </w:r>
            <w:r w:rsidR="001E35FA" w:rsidRPr="00F459BD">
              <w:t xml:space="preserve">reported to the National Notifiable Diseases Surveillance System by </w:t>
            </w:r>
            <w:r w:rsidRPr="00F459BD">
              <w:t>State and Territory health authorities.</w:t>
            </w:r>
          </w:p>
        </w:tc>
      </w:tr>
      <w:tr w:rsidR="00182D9A" w:rsidRPr="00F459BD" w:rsidTr="00E51597">
        <w:tc>
          <w:tcPr>
            <w:tcW w:w="2410" w:type="dxa"/>
            <w:shd w:val="clear" w:color="auto" w:fill="auto"/>
            <w:tcMar>
              <w:left w:w="0" w:type="dxa"/>
            </w:tcMar>
          </w:tcPr>
          <w:p w:rsidR="00182D9A" w:rsidRPr="00F459BD" w:rsidRDefault="00182D9A" w:rsidP="00E51597">
            <w:pPr>
              <w:pStyle w:val="TableBodyText"/>
              <w:tabs>
                <w:tab w:val="left" w:pos="585"/>
              </w:tabs>
              <w:spacing w:before="60" w:after="60"/>
              <w:ind w:left="0"/>
              <w:jc w:val="left"/>
            </w:pPr>
            <w:r w:rsidRPr="00F459BD">
              <w:t>Other medical practitioner (OMP)</w:t>
            </w:r>
          </w:p>
        </w:tc>
        <w:tc>
          <w:tcPr>
            <w:tcW w:w="6379" w:type="dxa"/>
            <w:shd w:val="clear" w:color="auto" w:fill="auto"/>
          </w:tcPr>
          <w:p w:rsidR="0074551E" w:rsidRPr="00F459BD" w:rsidRDefault="00557713" w:rsidP="00A663F4">
            <w:pPr>
              <w:pStyle w:val="TableBodyText"/>
              <w:spacing w:before="60" w:after="60"/>
              <w:ind w:left="0"/>
              <w:jc w:val="left"/>
            </w:pPr>
            <w:r w:rsidRPr="00F459BD">
              <w:t xml:space="preserve">A medical practitioner other than a vocationally </w:t>
            </w:r>
            <w:r w:rsidR="000B2487" w:rsidRPr="000B2487">
              <w:t>registered</w:t>
            </w:r>
            <w:r w:rsidRPr="00F459BD">
              <w:t xml:space="preserve"> GP who has at least half of the schedule fee value of his/her </w:t>
            </w:r>
            <w:r w:rsidR="002D7882" w:rsidRPr="002D7882">
              <w:t xml:space="preserve">DHS Medicare </w:t>
            </w:r>
            <w:r w:rsidRPr="00F459BD">
              <w:t xml:space="preserve">billing from non-referred attendances. These practitioners are able to access only the lower A2 </w:t>
            </w:r>
            <w:r w:rsidR="002D7882" w:rsidRPr="002D7882">
              <w:t xml:space="preserve">DHS Medicare </w:t>
            </w:r>
            <w:r w:rsidRPr="00F459BD">
              <w:t>rebate for general practice services they provide, unless the services are provided through certain Departmental incen</w:t>
            </w:r>
            <w:r w:rsidR="00A06509">
              <w:t>tive programs.</w:t>
            </w:r>
          </w:p>
        </w:tc>
      </w:tr>
      <w:tr w:rsidR="00182D9A" w:rsidRPr="00F459BD" w:rsidTr="00E51597">
        <w:tc>
          <w:tcPr>
            <w:tcW w:w="2410" w:type="dxa"/>
            <w:shd w:val="clear" w:color="auto" w:fill="auto"/>
            <w:tcMar>
              <w:left w:w="0" w:type="dxa"/>
            </w:tcMar>
          </w:tcPr>
          <w:p w:rsidR="00182D9A" w:rsidRPr="00F459BD" w:rsidRDefault="00557713" w:rsidP="00E51597">
            <w:pPr>
              <w:pStyle w:val="TableBodyText"/>
              <w:spacing w:before="60" w:after="60"/>
              <w:ind w:left="0"/>
              <w:jc w:val="left"/>
            </w:pPr>
            <w:r w:rsidRPr="00F459BD">
              <w:t>Pap smear</w:t>
            </w:r>
          </w:p>
        </w:tc>
        <w:tc>
          <w:tcPr>
            <w:tcW w:w="6379" w:type="dxa"/>
            <w:shd w:val="clear" w:color="auto" w:fill="auto"/>
          </w:tcPr>
          <w:p w:rsidR="00170FA9" w:rsidRPr="00F459BD" w:rsidRDefault="00557713" w:rsidP="00E51597">
            <w:pPr>
              <w:pStyle w:val="TableBodyText"/>
              <w:spacing w:before="60" w:after="60"/>
              <w:ind w:left="0"/>
              <w:jc w:val="left"/>
            </w:pPr>
            <w:r w:rsidRPr="00F459BD">
              <w:t>A procedure for the detection of cancer and pre-cancerous conditions of the female cervix.</w:t>
            </w:r>
          </w:p>
        </w:tc>
      </w:tr>
      <w:tr w:rsidR="00AF3FA5" w:rsidRPr="00E51597" w:rsidTr="00E51597">
        <w:tc>
          <w:tcPr>
            <w:tcW w:w="2410" w:type="dxa"/>
            <w:shd w:val="clear" w:color="auto" w:fill="auto"/>
            <w:tcMar>
              <w:left w:w="0" w:type="dxa"/>
            </w:tcMar>
          </w:tcPr>
          <w:p w:rsidR="00AF3FA5" w:rsidRPr="00F459BD" w:rsidRDefault="00AF3FA5" w:rsidP="00E51597">
            <w:pPr>
              <w:pStyle w:val="TableBodyText"/>
              <w:spacing w:before="60" w:after="60"/>
              <w:ind w:left="0"/>
              <w:jc w:val="left"/>
            </w:pPr>
            <w:r w:rsidRPr="00AF3FA5">
              <w:t>PBS doctor’s bag</w:t>
            </w:r>
          </w:p>
        </w:tc>
        <w:tc>
          <w:tcPr>
            <w:tcW w:w="6379" w:type="dxa"/>
            <w:shd w:val="clear" w:color="auto" w:fill="auto"/>
          </w:tcPr>
          <w:p w:rsidR="00AF3FA5" w:rsidRPr="00F459BD" w:rsidRDefault="00AF3FA5" w:rsidP="00AF3FA5">
            <w:pPr>
              <w:pStyle w:val="TableBodyText"/>
              <w:spacing w:before="60" w:after="60"/>
              <w:jc w:val="left"/>
            </w:pPr>
            <w:r>
              <w:t xml:space="preserve">Emergency drug supplies provided without charge to prescribers for use in </w:t>
            </w:r>
            <w:r w:rsidRPr="00AF3FA5">
              <w:t>medical emergencies in the clinic or the community</w:t>
            </w:r>
            <w:r>
              <w:t xml:space="preserve"> at no charge to the patient.</w:t>
            </w:r>
          </w:p>
        </w:tc>
      </w:tr>
      <w:tr w:rsidR="00182D9A" w:rsidRPr="00E51597" w:rsidTr="00E51597">
        <w:tc>
          <w:tcPr>
            <w:tcW w:w="2410" w:type="dxa"/>
            <w:shd w:val="clear" w:color="auto" w:fill="auto"/>
            <w:tcMar>
              <w:left w:w="0" w:type="dxa"/>
            </w:tcMar>
          </w:tcPr>
          <w:p w:rsidR="00182D9A" w:rsidRPr="00F459BD" w:rsidRDefault="00557713" w:rsidP="00E51597">
            <w:pPr>
              <w:pStyle w:val="TableBodyText"/>
              <w:spacing w:before="60" w:after="60"/>
              <w:ind w:left="0"/>
              <w:jc w:val="left"/>
            </w:pPr>
            <w:r w:rsidRPr="00F459BD">
              <w:t xml:space="preserve">Per person benefits paid for GP ordered pathology </w:t>
            </w:r>
          </w:p>
        </w:tc>
        <w:tc>
          <w:tcPr>
            <w:tcW w:w="6379" w:type="dxa"/>
            <w:shd w:val="clear" w:color="auto" w:fill="auto"/>
          </w:tcPr>
          <w:p w:rsidR="00182D9A" w:rsidRPr="00F459BD" w:rsidRDefault="00557713" w:rsidP="00A663F4">
            <w:pPr>
              <w:pStyle w:val="TableBodyText"/>
              <w:spacing w:before="60" w:after="60"/>
              <w:ind w:left="0"/>
              <w:jc w:val="left"/>
            </w:pPr>
            <w:r w:rsidRPr="00F459BD">
              <w:t xml:space="preserve">Total benefits paid </w:t>
            </w:r>
            <w:r w:rsidR="00C90EA8">
              <w:t xml:space="preserve">under </w:t>
            </w:r>
            <w:r w:rsidR="002D7882" w:rsidRPr="002D7882">
              <w:t xml:space="preserve">DHS Medicare </w:t>
            </w:r>
            <w:r w:rsidRPr="00F459BD">
              <w:t xml:space="preserve">for pathology tests </w:t>
            </w:r>
            <w:r w:rsidR="00C90EA8">
              <w:t>requested</w:t>
            </w:r>
            <w:r w:rsidRPr="00F459BD">
              <w:t xml:space="preserve"> by GPs, divided by the population.</w:t>
            </w:r>
          </w:p>
        </w:tc>
      </w:tr>
      <w:tr w:rsidR="00182D9A" w:rsidRPr="00E51597" w:rsidTr="00E51597">
        <w:tc>
          <w:tcPr>
            <w:tcW w:w="2410" w:type="dxa"/>
            <w:shd w:val="clear" w:color="auto" w:fill="auto"/>
            <w:tcMar>
              <w:left w:w="0" w:type="dxa"/>
            </w:tcMar>
          </w:tcPr>
          <w:p w:rsidR="0002634A" w:rsidRPr="00F459BD" w:rsidRDefault="00557713" w:rsidP="00E51597">
            <w:pPr>
              <w:pStyle w:val="TableBodyText"/>
              <w:spacing w:before="60" w:after="60"/>
              <w:ind w:left="0"/>
              <w:jc w:val="left"/>
            </w:pPr>
            <w:r w:rsidRPr="00F459BD">
              <w:t>Per person benefits paid for GP referred diagnostic imaging</w:t>
            </w:r>
          </w:p>
        </w:tc>
        <w:tc>
          <w:tcPr>
            <w:tcW w:w="6379" w:type="dxa"/>
            <w:shd w:val="clear" w:color="auto" w:fill="auto"/>
          </w:tcPr>
          <w:p w:rsidR="00182D9A" w:rsidRPr="00F459BD" w:rsidRDefault="00557713" w:rsidP="00E51597">
            <w:pPr>
              <w:pStyle w:val="TableBodyText"/>
              <w:spacing w:before="60" w:after="60"/>
              <w:ind w:left="0"/>
              <w:jc w:val="left"/>
            </w:pPr>
            <w:r w:rsidRPr="00F459BD">
              <w:t xml:space="preserve">Total benefits paid for diagnostic imaging </w:t>
            </w:r>
            <w:r w:rsidR="00C90EA8">
              <w:t>services</w:t>
            </w:r>
            <w:r w:rsidR="00A77C1D">
              <w:t xml:space="preserve"> performed on ref</w:t>
            </w:r>
            <w:r w:rsidRPr="00F459BD">
              <w:t>err</w:t>
            </w:r>
            <w:r w:rsidR="00A77C1D">
              <w:t>al</w:t>
            </w:r>
            <w:r w:rsidRPr="00F459BD">
              <w:t xml:space="preserve"> by GPs, divided by the population.</w:t>
            </w:r>
          </w:p>
        </w:tc>
      </w:tr>
      <w:tr w:rsidR="00557713" w:rsidRPr="00E51597" w:rsidTr="00E51597">
        <w:tc>
          <w:tcPr>
            <w:tcW w:w="2410" w:type="dxa"/>
            <w:shd w:val="clear" w:color="auto" w:fill="auto"/>
            <w:tcMar>
              <w:left w:w="0" w:type="dxa"/>
            </w:tcMar>
          </w:tcPr>
          <w:p w:rsidR="00557713" w:rsidRPr="00F459BD" w:rsidRDefault="00557713" w:rsidP="00E51597">
            <w:pPr>
              <w:pStyle w:val="TableBodyText"/>
              <w:spacing w:before="60" w:after="60"/>
              <w:ind w:left="0"/>
              <w:jc w:val="left"/>
            </w:pPr>
            <w:r w:rsidRPr="00F459BD">
              <w:t>Primary healthcare</w:t>
            </w:r>
          </w:p>
        </w:tc>
        <w:tc>
          <w:tcPr>
            <w:tcW w:w="6379" w:type="dxa"/>
            <w:shd w:val="clear" w:color="auto" w:fill="auto"/>
          </w:tcPr>
          <w:p w:rsidR="00557713" w:rsidRPr="00F459BD" w:rsidRDefault="00557713" w:rsidP="00E51597">
            <w:pPr>
              <w:pStyle w:val="TableBodyText"/>
              <w:spacing w:before="60" w:after="60"/>
              <w:ind w:left="0"/>
              <w:jc w:val="left"/>
            </w:pPr>
            <w:r w:rsidRPr="00F459BD">
              <w:t>The primary and community healthcare sector includes services that:</w:t>
            </w:r>
          </w:p>
          <w:p w:rsidR="00557713" w:rsidRPr="00F459BD" w:rsidRDefault="00557713" w:rsidP="002D6D02">
            <w:pPr>
              <w:pStyle w:val="TableBullet"/>
            </w:pPr>
            <w:r w:rsidRPr="00F459BD">
              <w:t>provide the first point of contact with the health system</w:t>
            </w:r>
          </w:p>
          <w:p w:rsidR="00557713" w:rsidRPr="00F459BD" w:rsidRDefault="00557713" w:rsidP="002D6D02">
            <w:pPr>
              <w:pStyle w:val="TableBullet"/>
            </w:pPr>
            <w:r w:rsidRPr="00F459BD">
              <w:t>have a particular focus on illness prevention or early intervention</w:t>
            </w:r>
          </w:p>
          <w:p w:rsidR="00557713" w:rsidRPr="00F459BD" w:rsidRDefault="00557713" w:rsidP="002D6D02">
            <w:pPr>
              <w:pStyle w:val="TableBullet"/>
            </w:pPr>
            <w:r w:rsidRPr="00F459BD">
              <w:t>are intended to maintain people’s independence and maximise their quality of life through care and support at home or in local community settings.</w:t>
            </w:r>
          </w:p>
        </w:tc>
      </w:tr>
      <w:tr w:rsidR="00557713" w:rsidRPr="00E51597" w:rsidTr="00E51597">
        <w:trPr>
          <w:trHeight w:val="282"/>
        </w:trPr>
        <w:tc>
          <w:tcPr>
            <w:tcW w:w="2410" w:type="dxa"/>
            <w:shd w:val="clear" w:color="auto" w:fill="auto"/>
            <w:tcMar>
              <w:left w:w="0" w:type="dxa"/>
            </w:tcMar>
          </w:tcPr>
          <w:p w:rsidR="00557713" w:rsidRPr="00F459BD" w:rsidRDefault="00557713" w:rsidP="00E51597">
            <w:pPr>
              <w:pStyle w:val="TableBodyText"/>
              <w:spacing w:before="60" w:after="60"/>
              <w:ind w:left="0"/>
              <w:jc w:val="left"/>
            </w:pPr>
            <w:r w:rsidRPr="00F459BD">
              <w:t>Prevalence</w:t>
            </w:r>
          </w:p>
        </w:tc>
        <w:tc>
          <w:tcPr>
            <w:tcW w:w="6379" w:type="dxa"/>
            <w:shd w:val="clear" w:color="auto" w:fill="auto"/>
          </w:tcPr>
          <w:p w:rsidR="00557713" w:rsidRPr="00F459BD" w:rsidRDefault="00557713" w:rsidP="00E51597">
            <w:pPr>
              <w:pStyle w:val="TableBodyText"/>
              <w:spacing w:before="60" w:after="60"/>
              <w:ind w:left="0"/>
              <w:jc w:val="left"/>
            </w:pPr>
            <w:r w:rsidRPr="00F459BD">
              <w:t>The proportion of the population suffering from a disorder at a given point in time (point prevalence) o</w:t>
            </w:r>
            <w:r w:rsidR="0002634A" w:rsidRPr="00F459BD">
              <w:t>r given period (period </w:t>
            </w:r>
            <w:r w:rsidRPr="00F459BD">
              <w:t>prevalence).</w:t>
            </w:r>
          </w:p>
        </w:tc>
      </w:tr>
      <w:tr w:rsidR="00557713" w:rsidRPr="00E51597" w:rsidTr="00E51597">
        <w:tc>
          <w:tcPr>
            <w:tcW w:w="2410" w:type="dxa"/>
            <w:shd w:val="clear" w:color="auto" w:fill="auto"/>
            <w:tcMar>
              <w:left w:w="0" w:type="dxa"/>
            </w:tcMar>
          </w:tcPr>
          <w:p w:rsidR="00557713" w:rsidRPr="00F459BD" w:rsidRDefault="00557713" w:rsidP="00E51597">
            <w:pPr>
              <w:pStyle w:val="TableBodyText"/>
              <w:spacing w:before="60" w:after="60"/>
              <w:ind w:left="0"/>
              <w:jc w:val="left"/>
            </w:pPr>
            <w:r w:rsidRPr="00F459BD">
              <w:t>Proportion of GPs who are female</w:t>
            </w:r>
          </w:p>
        </w:tc>
        <w:tc>
          <w:tcPr>
            <w:tcW w:w="6379" w:type="dxa"/>
            <w:shd w:val="clear" w:color="auto" w:fill="auto"/>
          </w:tcPr>
          <w:p w:rsidR="00557713" w:rsidRPr="00F459BD" w:rsidRDefault="00557713" w:rsidP="00E51597">
            <w:pPr>
              <w:pStyle w:val="TableBodyText"/>
              <w:spacing w:before="60" w:after="60"/>
              <w:ind w:left="0"/>
              <w:jc w:val="left"/>
            </w:pPr>
            <w:r w:rsidRPr="00F459BD">
              <w:t>Number of all FWE GPs who are female, divided by the total number of FWE GPs.</w:t>
            </w:r>
          </w:p>
        </w:tc>
      </w:tr>
      <w:tr w:rsidR="00557713" w:rsidRPr="00E51597" w:rsidTr="00E51597">
        <w:tc>
          <w:tcPr>
            <w:tcW w:w="2410" w:type="dxa"/>
            <w:shd w:val="clear" w:color="auto" w:fill="auto"/>
            <w:tcMar>
              <w:left w:w="0" w:type="dxa"/>
            </w:tcMar>
          </w:tcPr>
          <w:p w:rsidR="00557713" w:rsidRPr="00F459BD" w:rsidRDefault="00557713" w:rsidP="00E51597">
            <w:pPr>
              <w:pStyle w:val="TableBodyText"/>
              <w:spacing w:before="60" w:after="60"/>
              <w:ind w:left="0"/>
              <w:jc w:val="left"/>
            </w:pPr>
            <w:r w:rsidRPr="00F459BD">
              <w:t>Proportion of GPs with vocational recognition</w:t>
            </w:r>
          </w:p>
        </w:tc>
        <w:tc>
          <w:tcPr>
            <w:tcW w:w="6379" w:type="dxa"/>
            <w:shd w:val="clear" w:color="auto" w:fill="auto"/>
          </w:tcPr>
          <w:p w:rsidR="00557713" w:rsidRPr="00F459BD" w:rsidRDefault="00557713" w:rsidP="00E51597">
            <w:pPr>
              <w:pStyle w:val="TableBodyText"/>
              <w:spacing w:before="60" w:after="60"/>
              <w:ind w:left="0"/>
              <w:jc w:val="left"/>
            </w:pPr>
            <w:r w:rsidRPr="00F459BD">
              <w:t xml:space="preserve">Number of FWE GPs who are vocationally </w:t>
            </w:r>
            <w:r w:rsidR="000B2487" w:rsidRPr="000B2487">
              <w:t>registered</w:t>
            </w:r>
            <w:r w:rsidRPr="00F459BD">
              <w:t>, divided by the total number of FWE GPs.</w:t>
            </w:r>
          </w:p>
        </w:tc>
      </w:tr>
      <w:tr w:rsidR="00557713" w:rsidRPr="00E51597" w:rsidTr="00E51597">
        <w:tc>
          <w:tcPr>
            <w:tcW w:w="2410" w:type="dxa"/>
            <w:shd w:val="clear" w:color="auto" w:fill="auto"/>
            <w:tcMar>
              <w:left w:w="0" w:type="dxa"/>
            </w:tcMar>
          </w:tcPr>
          <w:p w:rsidR="00557713" w:rsidRPr="00F459BD" w:rsidRDefault="00557713" w:rsidP="00E51597">
            <w:pPr>
              <w:pStyle w:val="TableBodyText"/>
              <w:spacing w:before="60" w:after="60"/>
              <w:ind w:left="0"/>
              <w:jc w:val="left"/>
            </w:pPr>
            <w:r w:rsidRPr="00F459BD">
              <w:t>Proportion of general practices registered for accreditation</w:t>
            </w:r>
          </w:p>
        </w:tc>
        <w:tc>
          <w:tcPr>
            <w:tcW w:w="6379" w:type="dxa"/>
            <w:shd w:val="clear" w:color="auto" w:fill="auto"/>
          </w:tcPr>
          <w:p w:rsidR="00557713" w:rsidRPr="00F459BD" w:rsidRDefault="00557713" w:rsidP="005C678C">
            <w:pPr>
              <w:pStyle w:val="TableBodyText"/>
              <w:spacing w:before="60" w:after="60"/>
              <w:ind w:left="0"/>
              <w:jc w:val="left"/>
            </w:pPr>
            <w:r w:rsidRPr="00F459BD">
              <w:t xml:space="preserve">Number of practices registered for accreditation through either of the two accreditation bodies </w:t>
            </w:r>
            <w:r w:rsidR="00290739" w:rsidRPr="00F459BD">
              <w:t>(</w:t>
            </w:r>
            <w:r w:rsidRPr="00F459BD">
              <w:t xml:space="preserve">AGPAL and </w:t>
            </w:r>
            <w:r w:rsidR="00D27986" w:rsidRPr="00D27986">
              <w:t>Quality Practice Accreditation Pty Ltd</w:t>
            </w:r>
            <w:r w:rsidR="00290739" w:rsidRPr="00F459BD">
              <w:t>)</w:t>
            </w:r>
            <w:r w:rsidRPr="00F459BD">
              <w:t>, divided by the total number of practices.</w:t>
            </w:r>
          </w:p>
        </w:tc>
      </w:tr>
      <w:tr w:rsidR="00557713" w:rsidRPr="00E51597" w:rsidTr="00E51597">
        <w:tc>
          <w:tcPr>
            <w:tcW w:w="2410" w:type="dxa"/>
            <w:shd w:val="clear" w:color="auto" w:fill="auto"/>
            <w:tcMar>
              <w:left w:w="0" w:type="dxa"/>
            </w:tcMar>
          </w:tcPr>
          <w:p w:rsidR="00557713" w:rsidRPr="00F459BD" w:rsidRDefault="00557713" w:rsidP="00E51597">
            <w:pPr>
              <w:pStyle w:val="TableBodyText"/>
              <w:spacing w:before="60" w:after="60"/>
              <w:ind w:left="0"/>
              <w:jc w:val="left"/>
            </w:pPr>
            <w:r w:rsidRPr="00F459BD">
              <w:t xml:space="preserve">Proportion of general practices with electronic </w:t>
            </w:r>
            <w:r w:rsidR="00201E79" w:rsidRPr="00F459BD">
              <w:t xml:space="preserve">health </w:t>
            </w:r>
            <w:r w:rsidRPr="00F459BD">
              <w:t>information systems</w:t>
            </w:r>
          </w:p>
        </w:tc>
        <w:tc>
          <w:tcPr>
            <w:tcW w:w="6379" w:type="dxa"/>
            <w:shd w:val="clear" w:color="auto" w:fill="auto"/>
          </w:tcPr>
          <w:p w:rsidR="00557713" w:rsidRDefault="00557713" w:rsidP="00E51597">
            <w:pPr>
              <w:pStyle w:val="TableBodyText"/>
              <w:spacing w:before="60" w:after="60"/>
              <w:ind w:left="0"/>
              <w:jc w:val="left"/>
            </w:pPr>
            <w:r w:rsidRPr="00F459BD">
              <w:t xml:space="preserve">Number of </w:t>
            </w:r>
            <w:r w:rsidR="00201E79" w:rsidRPr="00F459BD">
              <w:t>PIP-registered</w:t>
            </w:r>
            <w:r w:rsidR="00513FE1" w:rsidRPr="00F459BD">
              <w:t xml:space="preserve"> </w:t>
            </w:r>
            <w:r w:rsidRPr="00F459BD">
              <w:t xml:space="preserve">practices that </w:t>
            </w:r>
            <w:r w:rsidR="00201E79" w:rsidRPr="00F459BD">
              <w:t>have taken up the eHealth PIP incentive</w:t>
            </w:r>
            <w:r w:rsidRPr="00F459BD">
              <w:t>, divided by the total number of practices registered.</w:t>
            </w:r>
          </w:p>
          <w:p w:rsidR="00864A84" w:rsidRPr="00F459BD" w:rsidRDefault="00864A84" w:rsidP="00E51597">
            <w:pPr>
              <w:pStyle w:val="TableBodyText"/>
              <w:spacing w:before="60" w:after="60"/>
              <w:ind w:left="0"/>
              <w:jc w:val="left"/>
            </w:pPr>
          </w:p>
        </w:tc>
      </w:tr>
      <w:tr w:rsidR="00557713" w:rsidRPr="00E51597" w:rsidTr="00E51597">
        <w:tc>
          <w:tcPr>
            <w:tcW w:w="2410" w:type="dxa"/>
            <w:shd w:val="clear" w:color="auto" w:fill="auto"/>
            <w:tcMar>
              <w:left w:w="0" w:type="dxa"/>
            </w:tcMar>
          </w:tcPr>
          <w:p w:rsidR="00557713" w:rsidRPr="00F459BD" w:rsidRDefault="00557713" w:rsidP="00E51597">
            <w:pPr>
              <w:pStyle w:val="TableBodyText"/>
              <w:spacing w:before="60" w:after="60"/>
              <w:ind w:left="0"/>
              <w:jc w:val="left"/>
            </w:pPr>
            <w:r w:rsidRPr="00F459BD">
              <w:t>Public health</w:t>
            </w:r>
          </w:p>
        </w:tc>
        <w:tc>
          <w:tcPr>
            <w:tcW w:w="6379" w:type="dxa"/>
            <w:shd w:val="clear" w:color="auto" w:fill="auto"/>
          </w:tcPr>
          <w:p w:rsidR="00557713" w:rsidRPr="00F459BD" w:rsidRDefault="00557713" w:rsidP="00E51597">
            <w:pPr>
              <w:pStyle w:val="TableBodyText"/>
              <w:spacing w:before="60" w:after="60"/>
              <w:ind w:left="0"/>
              <w:jc w:val="left"/>
            </w:pPr>
            <w:r w:rsidRPr="00F459BD">
              <w:t>The organised, social response to protect and promote health and to prevent illness, injury and disability. The starting point for identifying public health issues, problems and priorities, and for designing and implementing interventions, is the population as a whole or population subgroups. Public health is characterised by a focus on the health of the population (and particular at-risk groups) and complements clinical provision of healthcare services.</w:t>
            </w:r>
          </w:p>
        </w:tc>
      </w:tr>
      <w:tr w:rsidR="00557713" w:rsidRPr="00E51597" w:rsidTr="00931CC9">
        <w:tc>
          <w:tcPr>
            <w:tcW w:w="2410" w:type="dxa"/>
            <w:shd w:val="clear" w:color="auto" w:fill="auto"/>
            <w:tcMar>
              <w:left w:w="0" w:type="dxa"/>
            </w:tcMar>
          </w:tcPr>
          <w:p w:rsidR="00557713" w:rsidRPr="00F459BD" w:rsidRDefault="00557713" w:rsidP="00E51597">
            <w:pPr>
              <w:pStyle w:val="TableBodyText"/>
              <w:spacing w:before="60" w:after="60"/>
              <w:ind w:left="0"/>
              <w:jc w:val="left"/>
            </w:pPr>
            <w:r w:rsidRPr="00F459BD">
              <w:t>Recognised immunisation provider</w:t>
            </w:r>
          </w:p>
        </w:tc>
        <w:tc>
          <w:tcPr>
            <w:tcW w:w="6379" w:type="dxa"/>
            <w:shd w:val="clear" w:color="auto" w:fill="auto"/>
          </w:tcPr>
          <w:p w:rsidR="00557713" w:rsidRPr="00F459BD" w:rsidRDefault="00557713" w:rsidP="00A663F4">
            <w:pPr>
              <w:pStyle w:val="TableBodyText"/>
              <w:spacing w:before="60" w:after="60"/>
              <w:ind w:left="0"/>
              <w:jc w:val="left"/>
            </w:pPr>
            <w:r w:rsidRPr="00F459BD">
              <w:t xml:space="preserve">A provider recognised by </w:t>
            </w:r>
            <w:r w:rsidR="002D7882" w:rsidRPr="002D7882">
              <w:t xml:space="preserve">DHS Medicare </w:t>
            </w:r>
            <w:r w:rsidRPr="00F459BD">
              <w:t>as a provider of immunisation to children.</w:t>
            </w:r>
          </w:p>
        </w:tc>
      </w:tr>
      <w:tr w:rsidR="00557713" w:rsidRPr="00E51597" w:rsidTr="00931CC9">
        <w:tc>
          <w:tcPr>
            <w:tcW w:w="2410" w:type="dxa"/>
            <w:shd w:val="clear" w:color="auto" w:fill="auto"/>
            <w:tcMar>
              <w:left w:w="0" w:type="dxa"/>
            </w:tcMar>
          </w:tcPr>
          <w:p w:rsidR="00557713" w:rsidRPr="00F459BD" w:rsidRDefault="00557713" w:rsidP="00E51597">
            <w:pPr>
              <w:pStyle w:val="TableBodyText"/>
              <w:spacing w:before="60" w:after="60"/>
              <w:ind w:left="0"/>
              <w:jc w:val="left"/>
            </w:pPr>
            <w:r w:rsidRPr="00F459BD">
              <w:t>Recognised specialist</w:t>
            </w:r>
          </w:p>
        </w:tc>
        <w:tc>
          <w:tcPr>
            <w:tcW w:w="6379" w:type="dxa"/>
            <w:shd w:val="clear" w:color="auto" w:fill="auto"/>
          </w:tcPr>
          <w:p w:rsidR="00557713" w:rsidRPr="006764BC" w:rsidRDefault="00557713" w:rsidP="00A663F4">
            <w:pPr>
              <w:pStyle w:val="TableBodyText"/>
              <w:spacing w:before="60" w:after="60"/>
              <w:ind w:left="0"/>
              <w:jc w:val="left"/>
              <w:rPr>
                <w:highlight w:val="yellow"/>
              </w:rPr>
            </w:pPr>
            <w:r w:rsidRPr="00931CC9">
              <w:t xml:space="preserve">A medical practitioner classified as a specialist </w:t>
            </w:r>
            <w:r w:rsidR="001177EC" w:rsidRPr="00931CC9">
              <w:t xml:space="preserve">by the Medical Board of Australia </w:t>
            </w:r>
            <w:r w:rsidR="006764BC" w:rsidRPr="00931CC9">
              <w:t xml:space="preserve">and </w:t>
            </w:r>
            <w:r w:rsidRPr="00931CC9">
              <w:t xml:space="preserve">on the </w:t>
            </w:r>
            <w:r w:rsidR="002D7882" w:rsidRPr="00931CC9">
              <w:t xml:space="preserve">DHS Medicare </w:t>
            </w:r>
            <w:r w:rsidRPr="00931CC9">
              <w:t xml:space="preserve">database earning at least half of his or her income from relevant specialist items in the schedule, having regard to the practitioner’s </w:t>
            </w:r>
            <w:r w:rsidR="006764BC" w:rsidRPr="00931CC9">
              <w:t>field of specialist recognition.</w:t>
            </w:r>
          </w:p>
        </w:tc>
      </w:tr>
      <w:tr w:rsidR="00557713" w:rsidRPr="00E51597" w:rsidTr="00E51597">
        <w:trPr>
          <w:trHeight w:val="266"/>
        </w:trPr>
        <w:tc>
          <w:tcPr>
            <w:tcW w:w="2410" w:type="dxa"/>
            <w:shd w:val="clear" w:color="auto" w:fill="auto"/>
            <w:tcMar>
              <w:left w:w="0" w:type="dxa"/>
            </w:tcMar>
          </w:tcPr>
          <w:p w:rsidR="00557713" w:rsidRPr="00F459BD" w:rsidRDefault="00557713" w:rsidP="00E51597">
            <w:pPr>
              <w:pStyle w:val="TableBodyText"/>
              <w:spacing w:before="60" w:after="60"/>
              <w:ind w:left="0"/>
              <w:jc w:val="left"/>
            </w:pPr>
            <w:r w:rsidRPr="00F459BD">
              <w:t>Screening</w:t>
            </w:r>
          </w:p>
        </w:tc>
        <w:tc>
          <w:tcPr>
            <w:tcW w:w="6379" w:type="dxa"/>
            <w:shd w:val="clear" w:color="auto" w:fill="auto"/>
          </w:tcPr>
          <w:p w:rsidR="00174257" w:rsidRPr="00F459BD" w:rsidRDefault="00557713" w:rsidP="00E51597">
            <w:pPr>
              <w:pStyle w:val="TableBodyText"/>
              <w:spacing w:before="60" w:after="60"/>
              <w:ind w:left="0"/>
              <w:jc w:val="left"/>
            </w:pPr>
            <w:r w:rsidRPr="00F459BD">
              <w:t xml:space="preserve">The performance of tests on apparently well people to detect a medical condition </w:t>
            </w:r>
            <w:r w:rsidR="00900FDC" w:rsidRPr="00F459BD">
              <w:t>earlier than would otherwise be possible</w:t>
            </w:r>
            <w:r w:rsidRPr="00F459BD">
              <w:t>.</w:t>
            </w:r>
          </w:p>
        </w:tc>
      </w:tr>
      <w:tr w:rsidR="002B2E0C" w:rsidRPr="00F459BD" w:rsidTr="00E51597">
        <w:tc>
          <w:tcPr>
            <w:tcW w:w="2410" w:type="dxa"/>
            <w:shd w:val="clear" w:color="auto" w:fill="auto"/>
            <w:tcMar>
              <w:left w:w="0" w:type="dxa"/>
            </w:tcMar>
          </w:tcPr>
          <w:p w:rsidR="002B2E0C" w:rsidRPr="00F459BD" w:rsidRDefault="002B2E0C" w:rsidP="00E51597">
            <w:pPr>
              <w:pStyle w:val="TableBodyText"/>
              <w:jc w:val="left"/>
            </w:pPr>
            <w:r w:rsidRPr="00F459BD">
              <w:t>Triage category</w:t>
            </w:r>
          </w:p>
        </w:tc>
        <w:tc>
          <w:tcPr>
            <w:tcW w:w="6379" w:type="dxa"/>
            <w:shd w:val="clear" w:color="auto" w:fill="auto"/>
          </w:tcPr>
          <w:p w:rsidR="002B2E0C" w:rsidRPr="00F459BD" w:rsidRDefault="002B2E0C" w:rsidP="00E51597">
            <w:pPr>
              <w:pStyle w:val="TableBodyText"/>
              <w:jc w:val="left"/>
            </w:pPr>
            <w:r w:rsidRPr="00F459BD">
              <w:t>The urgency of the patient’s need for medical and nursing care:</w:t>
            </w:r>
          </w:p>
          <w:p w:rsidR="002B2E0C" w:rsidRPr="00F459BD" w:rsidRDefault="002B2E0C" w:rsidP="006B4004">
            <w:pPr>
              <w:pStyle w:val="TableBullet"/>
            </w:pPr>
            <w:r w:rsidRPr="00F459BD">
              <w:t>category 1 — resuscitation (immediate within seconds)</w:t>
            </w:r>
          </w:p>
          <w:p w:rsidR="002B2E0C" w:rsidRPr="00F459BD" w:rsidRDefault="002B2E0C" w:rsidP="006B4004">
            <w:pPr>
              <w:pStyle w:val="TableBullet"/>
            </w:pPr>
            <w:r w:rsidRPr="00F459BD">
              <w:t>category 2 — emergency (within 10 minutes)</w:t>
            </w:r>
          </w:p>
          <w:p w:rsidR="002B2E0C" w:rsidRPr="00F459BD" w:rsidRDefault="002B2E0C" w:rsidP="006B4004">
            <w:pPr>
              <w:pStyle w:val="TableBullet"/>
            </w:pPr>
            <w:r w:rsidRPr="00F459BD">
              <w:t>category 3 — urgent (within 30 minutes)</w:t>
            </w:r>
          </w:p>
          <w:p w:rsidR="002B2E0C" w:rsidRPr="00F459BD" w:rsidRDefault="002B2E0C" w:rsidP="006B4004">
            <w:pPr>
              <w:pStyle w:val="TableBullet"/>
            </w:pPr>
            <w:r w:rsidRPr="00F459BD">
              <w:t>category 4 — semi-urgent (within 60 minutes)</w:t>
            </w:r>
          </w:p>
          <w:p w:rsidR="002B2E0C" w:rsidRPr="00F459BD" w:rsidRDefault="002B2E0C" w:rsidP="006B4004">
            <w:pPr>
              <w:pStyle w:val="TableBullet"/>
            </w:pPr>
            <w:r w:rsidRPr="00F459BD">
              <w:t>category 5 — non-urgent (within 120 minutes).</w:t>
            </w:r>
          </w:p>
        </w:tc>
      </w:tr>
      <w:tr w:rsidR="00557713" w:rsidRPr="00F459BD" w:rsidTr="00E51597">
        <w:tc>
          <w:tcPr>
            <w:tcW w:w="2410" w:type="dxa"/>
            <w:shd w:val="clear" w:color="auto" w:fill="auto"/>
            <w:tcMar>
              <w:left w:w="0" w:type="dxa"/>
            </w:tcMar>
          </w:tcPr>
          <w:p w:rsidR="00557713" w:rsidRPr="00F459BD" w:rsidRDefault="00557713" w:rsidP="001177EC">
            <w:pPr>
              <w:pStyle w:val="TableBodyText"/>
              <w:spacing w:before="60" w:after="60"/>
              <w:ind w:left="0"/>
              <w:jc w:val="left"/>
            </w:pPr>
            <w:r w:rsidRPr="00F459BD">
              <w:t xml:space="preserve">Vocationally </w:t>
            </w:r>
            <w:r w:rsidR="001177EC">
              <w:t>registered</w:t>
            </w:r>
            <w:r w:rsidRPr="00F459BD">
              <w:t xml:space="preserve"> general practitioner</w:t>
            </w:r>
          </w:p>
        </w:tc>
        <w:tc>
          <w:tcPr>
            <w:tcW w:w="6379" w:type="dxa"/>
            <w:shd w:val="clear" w:color="auto" w:fill="auto"/>
          </w:tcPr>
          <w:p w:rsidR="00557713" w:rsidRPr="00F459BD" w:rsidRDefault="00557713" w:rsidP="00A663F4">
            <w:pPr>
              <w:pStyle w:val="TableBodyText"/>
              <w:spacing w:before="60" w:after="60"/>
              <w:ind w:left="0"/>
              <w:jc w:val="left"/>
            </w:pPr>
            <w:r w:rsidRPr="00F459BD">
              <w:t xml:space="preserve">A medical practitioner who is vocationally </w:t>
            </w:r>
            <w:r w:rsidR="000B2487" w:rsidRPr="000B2487">
              <w:t xml:space="preserve">registered </w:t>
            </w:r>
            <w:r w:rsidRPr="00F459BD">
              <w:t xml:space="preserve">under s.3F of the </w:t>
            </w:r>
            <w:r w:rsidRPr="00E51597">
              <w:rPr>
                <w:i/>
              </w:rPr>
              <w:t>Health Insurance Act 1973</w:t>
            </w:r>
            <w:r w:rsidRPr="00F459BD">
              <w:t xml:space="preserve"> (Cwlth), holds Fellowship of the RACGP, ACRRM, or equivalent, or holds a recognised training placement, and who has at least half of the schedule fee value of his/her </w:t>
            </w:r>
            <w:r w:rsidR="002D7882" w:rsidRPr="002D7882">
              <w:t>DHS Medicare</w:t>
            </w:r>
            <w:r w:rsidRPr="00F459BD">
              <w:t xml:space="preserve"> billin</w:t>
            </w:r>
            <w:r w:rsidR="001177EC">
              <w:t>g from non-referred attendances.</w:t>
            </w:r>
          </w:p>
        </w:tc>
      </w:tr>
    </w:tbl>
    <w:p w:rsidR="0060104B" w:rsidRDefault="00BA49FA" w:rsidP="00BA49FA">
      <w:pPr>
        <w:pStyle w:val="Heading2"/>
      </w:pPr>
      <w:r w:rsidRPr="00F459BD">
        <w:br w:type="page"/>
      </w:r>
      <w:bookmarkStart w:id="30" w:name="_Toc208034416"/>
      <w:bookmarkStart w:id="31" w:name="_Toc274941104"/>
    </w:p>
    <w:p w:rsidR="00BB7C13" w:rsidRPr="00BC1CC1" w:rsidRDefault="00EC42DB" w:rsidP="00BC1CC1">
      <w:pPr>
        <w:pStyle w:val="Heading2"/>
      </w:pPr>
      <w:bookmarkStart w:id="32" w:name="_Toc396916151"/>
      <w:r w:rsidRPr="00BC1CC1">
        <w:t>1</w:t>
      </w:r>
      <w:r w:rsidR="006A586C" w:rsidRPr="00BC1CC1">
        <w:t>0</w:t>
      </w:r>
      <w:r w:rsidRPr="00BC1CC1">
        <w:t>.</w:t>
      </w:r>
      <w:r w:rsidR="00C44281" w:rsidRPr="00BC1CC1">
        <w:t>6</w:t>
      </w:r>
      <w:r w:rsidR="003D3E53" w:rsidRPr="00BC1CC1">
        <w:tab/>
      </w:r>
      <w:r w:rsidR="00756E53" w:rsidRPr="00BC1CC1">
        <w:t>List of a</w:t>
      </w:r>
      <w:r w:rsidR="00BB7C13" w:rsidRPr="00BC1CC1">
        <w:t>ttachment tables</w:t>
      </w:r>
      <w:bookmarkEnd w:id="30"/>
      <w:bookmarkEnd w:id="31"/>
      <w:bookmarkEnd w:id="32"/>
    </w:p>
    <w:p w:rsidR="0059366F" w:rsidRPr="00E52E8A" w:rsidRDefault="00BB7C13" w:rsidP="00E52E8A">
      <w:pPr>
        <w:pStyle w:val="BodyText"/>
        <w:rPr>
          <w:rStyle w:val="DraftingNote"/>
          <w:b w:val="0"/>
          <w:color w:val="auto"/>
          <w:u w:val="none"/>
        </w:rPr>
      </w:pPr>
      <w:r w:rsidRPr="00F459BD">
        <w:t>Attachment tables are identified in references throu</w:t>
      </w:r>
      <w:r w:rsidR="001559E7">
        <w:t>ghout this chapter by a ‘1</w:t>
      </w:r>
      <w:r w:rsidR="00737BD6">
        <w:t>0</w:t>
      </w:r>
      <w:r w:rsidR="001559E7">
        <w:t>A’ pre</w:t>
      </w:r>
      <w:r w:rsidRPr="00F459BD">
        <w:t xml:space="preserve">fix (for example, table </w:t>
      </w:r>
      <w:r w:rsidR="00C9076B">
        <w:t>10A.</w:t>
      </w:r>
      <w:r w:rsidR="00F60BCB">
        <w:t>1</w:t>
      </w:r>
      <w:r w:rsidRPr="00F459BD">
        <w:t xml:space="preserve">). Attachment tables are </w:t>
      </w:r>
      <w:r w:rsidR="004430E0" w:rsidRPr="00F459BD">
        <w:t>available</w:t>
      </w:r>
      <w:r w:rsidRPr="00F459BD">
        <w:t xml:space="preserve"> on the Review we</w:t>
      </w:r>
      <w:r w:rsidR="004659E4">
        <w:t>bsite (</w:t>
      </w:r>
      <w:r w:rsidR="00456645" w:rsidRPr="00456645">
        <w:t>www.pc.gov.au/gsp</w:t>
      </w:r>
      <w:r w:rsidR="004659E4">
        <w:t>).</w:t>
      </w:r>
    </w:p>
    <w:p w:rsidR="0059366F" w:rsidRPr="00F459BD" w:rsidRDefault="0059366F" w:rsidP="003D6F16">
      <w:pPr>
        <w:pStyle w:val="BodyText"/>
        <w:spacing w:before="0"/>
      </w:pPr>
    </w:p>
    <w:tbl>
      <w:tblPr>
        <w:tblW w:w="8789" w:type="dxa"/>
        <w:tblCellMar>
          <w:left w:w="0" w:type="dxa"/>
          <w:right w:w="0" w:type="dxa"/>
        </w:tblCellMar>
        <w:tblLook w:val="04A0" w:firstRow="1" w:lastRow="0" w:firstColumn="1" w:lastColumn="0" w:noHBand="0" w:noVBand="1"/>
      </w:tblPr>
      <w:tblGrid>
        <w:gridCol w:w="1879"/>
        <w:gridCol w:w="6910"/>
      </w:tblGrid>
      <w:tr w:rsidR="00B21E52" w:rsidTr="003A0C00">
        <w:trPr>
          <w:trHeight w:val="227"/>
        </w:trPr>
        <w:tc>
          <w:tcPr>
            <w:tcW w:w="1866" w:type="dxa"/>
            <w:tcBorders>
              <w:top w:val="nil"/>
              <w:left w:val="nil"/>
              <w:bottom w:val="nil"/>
              <w:right w:val="nil"/>
            </w:tcBorders>
            <w:shd w:val="clear" w:color="auto" w:fill="auto"/>
            <w:noWrap/>
            <w:hideMark/>
          </w:tcPr>
          <w:p w:rsidR="00B21E52" w:rsidRPr="00737BD6" w:rsidRDefault="00B21E52" w:rsidP="005C1F25">
            <w:pPr>
              <w:rPr>
                <w:rFonts w:ascii="Arial" w:hAnsi="Arial" w:cs="Arial"/>
                <w:b/>
                <w:sz w:val="20"/>
                <w:szCs w:val="20"/>
              </w:rPr>
            </w:pPr>
            <w:r w:rsidRPr="00737BD6">
              <w:rPr>
                <w:rFonts w:ascii="Arial" w:hAnsi="Arial" w:cs="Arial"/>
                <w:b/>
                <w:sz w:val="20"/>
                <w:szCs w:val="20"/>
              </w:rPr>
              <w:t>Table 10A.1</w:t>
            </w:r>
          </w:p>
        </w:tc>
        <w:tc>
          <w:tcPr>
            <w:tcW w:w="6923" w:type="dxa"/>
            <w:tcBorders>
              <w:top w:val="nil"/>
              <w:left w:val="nil"/>
              <w:bottom w:val="nil"/>
              <w:right w:val="nil"/>
            </w:tcBorders>
            <w:shd w:val="clear" w:color="auto" w:fill="auto"/>
            <w:hideMark/>
          </w:tcPr>
          <w:p w:rsidR="00B21E52" w:rsidRPr="00B21E52" w:rsidRDefault="00B21E52" w:rsidP="003A0C00">
            <w:pPr>
              <w:spacing w:afterLines="40" w:after="96"/>
              <w:rPr>
                <w:rFonts w:ascii="Arial" w:hAnsi="Arial" w:cs="Arial"/>
                <w:sz w:val="20"/>
                <w:szCs w:val="20"/>
              </w:rPr>
            </w:pPr>
            <w:r w:rsidRPr="00B21E52">
              <w:rPr>
                <w:rFonts w:ascii="Arial" w:hAnsi="Arial" w:cs="Arial"/>
                <w:sz w:val="20"/>
                <w:szCs w:val="20"/>
              </w:rPr>
              <w:t xml:space="preserve">Types of encounter where a payment source was recorded, 2013-14  </w:t>
            </w:r>
          </w:p>
        </w:tc>
      </w:tr>
      <w:tr w:rsidR="00B21E52" w:rsidTr="00361582">
        <w:trPr>
          <w:trHeight w:val="360"/>
        </w:trPr>
        <w:tc>
          <w:tcPr>
            <w:tcW w:w="1866" w:type="dxa"/>
            <w:tcBorders>
              <w:top w:val="nil"/>
              <w:left w:val="nil"/>
              <w:bottom w:val="nil"/>
              <w:right w:val="nil"/>
            </w:tcBorders>
            <w:shd w:val="clear" w:color="auto" w:fill="auto"/>
            <w:noWrap/>
            <w:hideMark/>
          </w:tcPr>
          <w:p w:rsidR="00B21E52" w:rsidRPr="00737BD6" w:rsidRDefault="00B21E52" w:rsidP="005C1F25">
            <w:pPr>
              <w:rPr>
                <w:rFonts w:ascii="Arial" w:hAnsi="Arial" w:cs="Arial"/>
                <w:b/>
                <w:sz w:val="20"/>
                <w:szCs w:val="20"/>
              </w:rPr>
            </w:pPr>
            <w:r w:rsidRPr="00737BD6">
              <w:rPr>
                <w:rFonts w:ascii="Arial" w:hAnsi="Arial" w:cs="Arial"/>
                <w:b/>
                <w:sz w:val="20"/>
                <w:szCs w:val="20"/>
              </w:rPr>
              <w:t>Table 10A.2</w:t>
            </w:r>
          </w:p>
        </w:tc>
        <w:tc>
          <w:tcPr>
            <w:tcW w:w="6923" w:type="dxa"/>
            <w:tcBorders>
              <w:top w:val="nil"/>
              <w:left w:val="nil"/>
              <w:bottom w:val="nil"/>
              <w:right w:val="nil"/>
            </w:tcBorders>
            <w:shd w:val="clear" w:color="auto" w:fill="auto"/>
            <w:hideMark/>
          </w:tcPr>
          <w:p w:rsidR="00B21E52" w:rsidRPr="00B21E52" w:rsidRDefault="00B21E52" w:rsidP="003A0C00">
            <w:pPr>
              <w:spacing w:afterLines="40" w:after="96"/>
              <w:rPr>
                <w:rFonts w:ascii="Arial" w:hAnsi="Arial" w:cs="Arial"/>
                <w:sz w:val="20"/>
                <w:szCs w:val="20"/>
              </w:rPr>
            </w:pPr>
            <w:r w:rsidRPr="00B21E52">
              <w:rPr>
                <w:rFonts w:ascii="Arial" w:hAnsi="Arial" w:cs="Arial"/>
                <w:sz w:val="20"/>
                <w:szCs w:val="20"/>
              </w:rPr>
              <w:t xml:space="preserve">Australian Government expenditure on GPs through DHS Medicare (fee-for-service) and age standardised expenditure per person (2013-14 dollars)   </w:t>
            </w:r>
          </w:p>
        </w:tc>
      </w:tr>
      <w:tr w:rsidR="00B21E52" w:rsidTr="00361582">
        <w:trPr>
          <w:trHeight w:val="359"/>
        </w:trPr>
        <w:tc>
          <w:tcPr>
            <w:tcW w:w="1866" w:type="dxa"/>
            <w:tcBorders>
              <w:top w:val="nil"/>
              <w:left w:val="nil"/>
              <w:bottom w:val="nil"/>
              <w:right w:val="nil"/>
            </w:tcBorders>
            <w:shd w:val="clear" w:color="auto" w:fill="auto"/>
            <w:noWrap/>
            <w:hideMark/>
          </w:tcPr>
          <w:p w:rsidR="00B21E52" w:rsidRPr="00737BD6" w:rsidRDefault="00B21E52" w:rsidP="005C1F25">
            <w:pPr>
              <w:rPr>
                <w:rFonts w:ascii="Arial" w:hAnsi="Arial" w:cs="Arial"/>
                <w:b/>
                <w:sz w:val="20"/>
                <w:szCs w:val="20"/>
              </w:rPr>
            </w:pPr>
            <w:r w:rsidRPr="00737BD6">
              <w:rPr>
                <w:rFonts w:ascii="Arial" w:hAnsi="Arial" w:cs="Arial"/>
                <w:b/>
                <w:sz w:val="20"/>
                <w:szCs w:val="20"/>
              </w:rPr>
              <w:t>Table 10A.3</w:t>
            </w:r>
          </w:p>
        </w:tc>
        <w:tc>
          <w:tcPr>
            <w:tcW w:w="6923" w:type="dxa"/>
            <w:tcBorders>
              <w:top w:val="nil"/>
              <w:left w:val="nil"/>
              <w:bottom w:val="nil"/>
              <w:right w:val="nil"/>
            </w:tcBorders>
            <w:shd w:val="clear" w:color="auto" w:fill="auto"/>
            <w:hideMark/>
          </w:tcPr>
          <w:p w:rsidR="00B21E52" w:rsidRPr="00B21E52" w:rsidRDefault="00B21E52" w:rsidP="003A0C00">
            <w:pPr>
              <w:spacing w:afterLines="40" w:after="96"/>
              <w:rPr>
                <w:rFonts w:ascii="Arial" w:hAnsi="Arial" w:cs="Arial"/>
                <w:sz w:val="20"/>
                <w:szCs w:val="20"/>
              </w:rPr>
            </w:pPr>
            <w:r w:rsidRPr="00B21E52">
              <w:rPr>
                <w:rFonts w:ascii="Arial" w:hAnsi="Arial" w:cs="Arial"/>
                <w:sz w:val="20"/>
                <w:szCs w:val="20"/>
              </w:rPr>
              <w:t xml:space="preserve">Australian Government total expenditure on GPs and expenditure per person (crude rates) (2013-14 dollars)     </w:t>
            </w:r>
          </w:p>
        </w:tc>
      </w:tr>
      <w:tr w:rsidR="00B21E52" w:rsidTr="00361582">
        <w:trPr>
          <w:trHeight w:val="357"/>
        </w:trPr>
        <w:tc>
          <w:tcPr>
            <w:tcW w:w="1866" w:type="dxa"/>
            <w:tcBorders>
              <w:top w:val="nil"/>
              <w:left w:val="nil"/>
              <w:bottom w:val="nil"/>
              <w:right w:val="nil"/>
            </w:tcBorders>
            <w:shd w:val="clear" w:color="auto" w:fill="auto"/>
            <w:noWrap/>
            <w:hideMark/>
          </w:tcPr>
          <w:p w:rsidR="00B21E52" w:rsidRPr="00737BD6" w:rsidRDefault="00B21E52" w:rsidP="005C1F25">
            <w:pPr>
              <w:rPr>
                <w:rFonts w:ascii="Arial" w:hAnsi="Arial" w:cs="Arial"/>
                <w:b/>
                <w:sz w:val="20"/>
                <w:szCs w:val="20"/>
              </w:rPr>
            </w:pPr>
            <w:r w:rsidRPr="00737BD6">
              <w:rPr>
                <w:rFonts w:ascii="Arial" w:hAnsi="Arial" w:cs="Arial"/>
                <w:b/>
                <w:sz w:val="20"/>
                <w:szCs w:val="20"/>
              </w:rPr>
              <w:t>Table 10A.4</w:t>
            </w:r>
          </w:p>
        </w:tc>
        <w:tc>
          <w:tcPr>
            <w:tcW w:w="6923" w:type="dxa"/>
            <w:tcBorders>
              <w:top w:val="nil"/>
              <w:left w:val="nil"/>
              <w:bottom w:val="nil"/>
              <w:right w:val="nil"/>
            </w:tcBorders>
            <w:shd w:val="clear" w:color="auto" w:fill="auto"/>
            <w:hideMark/>
          </w:tcPr>
          <w:p w:rsidR="00B21E52" w:rsidRPr="00B21E52" w:rsidRDefault="00B21E52" w:rsidP="003A0C00">
            <w:pPr>
              <w:spacing w:afterLines="40" w:after="96"/>
              <w:rPr>
                <w:rFonts w:ascii="Arial" w:hAnsi="Arial" w:cs="Arial"/>
                <w:sz w:val="20"/>
                <w:szCs w:val="20"/>
              </w:rPr>
            </w:pPr>
            <w:r w:rsidRPr="00B21E52">
              <w:rPr>
                <w:rFonts w:ascii="Arial" w:hAnsi="Arial" w:cs="Arial"/>
                <w:sz w:val="20"/>
                <w:szCs w:val="20"/>
              </w:rPr>
              <w:t xml:space="preserve">Australian government expenditure on the Pharmaceutical Benefits Scheme (2013-14 dollars)   </w:t>
            </w:r>
          </w:p>
        </w:tc>
      </w:tr>
      <w:tr w:rsidR="00B21E52" w:rsidTr="00361582">
        <w:trPr>
          <w:trHeight w:val="357"/>
        </w:trPr>
        <w:tc>
          <w:tcPr>
            <w:tcW w:w="1866" w:type="dxa"/>
            <w:tcBorders>
              <w:top w:val="nil"/>
              <w:left w:val="nil"/>
              <w:bottom w:val="nil"/>
              <w:right w:val="nil"/>
            </w:tcBorders>
            <w:shd w:val="clear" w:color="auto" w:fill="auto"/>
            <w:noWrap/>
            <w:hideMark/>
          </w:tcPr>
          <w:p w:rsidR="00B21E52" w:rsidRPr="00737BD6" w:rsidRDefault="00B21E52" w:rsidP="005C1F25">
            <w:pPr>
              <w:rPr>
                <w:rFonts w:ascii="Arial" w:hAnsi="Arial" w:cs="Arial"/>
                <w:b/>
                <w:sz w:val="20"/>
                <w:szCs w:val="20"/>
              </w:rPr>
            </w:pPr>
            <w:r w:rsidRPr="00737BD6">
              <w:rPr>
                <w:rFonts w:ascii="Arial" w:hAnsi="Arial" w:cs="Arial"/>
                <w:b/>
                <w:sz w:val="20"/>
                <w:szCs w:val="20"/>
              </w:rPr>
              <w:t>Table 10A.5</w:t>
            </w:r>
          </w:p>
        </w:tc>
        <w:tc>
          <w:tcPr>
            <w:tcW w:w="6923" w:type="dxa"/>
            <w:tcBorders>
              <w:top w:val="nil"/>
              <w:left w:val="nil"/>
              <w:bottom w:val="nil"/>
              <w:right w:val="nil"/>
            </w:tcBorders>
            <w:shd w:val="clear" w:color="auto" w:fill="auto"/>
            <w:hideMark/>
          </w:tcPr>
          <w:p w:rsidR="00B21E52" w:rsidRPr="00B21E52" w:rsidRDefault="00B21E52" w:rsidP="003A0C00">
            <w:pPr>
              <w:spacing w:afterLines="40" w:after="96"/>
              <w:rPr>
                <w:rFonts w:ascii="Arial" w:hAnsi="Arial" w:cs="Arial"/>
                <w:sz w:val="20"/>
                <w:szCs w:val="20"/>
              </w:rPr>
            </w:pPr>
            <w:r w:rsidRPr="00B21E52">
              <w:rPr>
                <w:rFonts w:ascii="Arial" w:hAnsi="Arial" w:cs="Arial"/>
                <w:sz w:val="20"/>
                <w:szCs w:val="20"/>
              </w:rPr>
              <w:t xml:space="preserve">Australian government expenditure on the Pharmaceutical Benefits Scheme, by type of service (2013-14 dollars)   </w:t>
            </w:r>
          </w:p>
        </w:tc>
      </w:tr>
      <w:tr w:rsidR="00B21E52" w:rsidTr="00361582">
        <w:trPr>
          <w:trHeight w:val="357"/>
        </w:trPr>
        <w:tc>
          <w:tcPr>
            <w:tcW w:w="1866" w:type="dxa"/>
            <w:tcBorders>
              <w:top w:val="nil"/>
              <w:left w:val="nil"/>
              <w:bottom w:val="nil"/>
              <w:right w:val="nil"/>
            </w:tcBorders>
            <w:shd w:val="clear" w:color="auto" w:fill="auto"/>
            <w:noWrap/>
            <w:hideMark/>
          </w:tcPr>
          <w:p w:rsidR="00B21E52" w:rsidRPr="00737BD6" w:rsidRDefault="00B21E52" w:rsidP="005C1F25">
            <w:pPr>
              <w:rPr>
                <w:rFonts w:ascii="Arial" w:hAnsi="Arial" w:cs="Arial"/>
                <w:b/>
                <w:sz w:val="20"/>
                <w:szCs w:val="20"/>
              </w:rPr>
            </w:pPr>
            <w:r w:rsidRPr="00737BD6">
              <w:rPr>
                <w:rFonts w:ascii="Arial" w:hAnsi="Arial" w:cs="Arial"/>
                <w:b/>
                <w:sz w:val="20"/>
                <w:szCs w:val="20"/>
              </w:rPr>
              <w:t>Table 10A.6</w:t>
            </w:r>
          </w:p>
        </w:tc>
        <w:tc>
          <w:tcPr>
            <w:tcW w:w="6923" w:type="dxa"/>
            <w:tcBorders>
              <w:top w:val="nil"/>
              <w:left w:val="nil"/>
              <w:bottom w:val="nil"/>
              <w:right w:val="nil"/>
            </w:tcBorders>
            <w:shd w:val="clear" w:color="auto" w:fill="auto"/>
            <w:hideMark/>
          </w:tcPr>
          <w:p w:rsidR="00B21E52" w:rsidRPr="00B21E52" w:rsidRDefault="00B21E52" w:rsidP="003A0C00">
            <w:pPr>
              <w:spacing w:afterLines="40" w:after="96"/>
              <w:rPr>
                <w:rFonts w:ascii="Arial" w:hAnsi="Arial" w:cs="Arial"/>
                <w:sz w:val="20"/>
                <w:szCs w:val="20"/>
              </w:rPr>
            </w:pPr>
            <w:r w:rsidRPr="00B21E52">
              <w:rPr>
                <w:rFonts w:ascii="Arial" w:hAnsi="Arial" w:cs="Arial"/>
                <w:sz w:val="20"/>
                <w:szCs w:val="20"/>
              </w:rPr>
              <w:t xml:space="preserve">Australian Government expenditure on PBS medicines supplied to Aboriginal Health Services in remote areas    </w:t>
            </w:r>
          </w:p>
        </w:tc>
      </w:tr>
      <w:tr w:rsidR="00B21E52" w:rsidTr="003A0C00">
        <w:trPr>
          <w:trHeight w:val="152"/>
        </w:trPr>
        <w:tc>
          <w:tcPr>
            <w:tcW w:w="1866" w:type="dxa"/>
            <w:tcBorders>
              <w:top w:val="nil"/>
              <w:left w:val="nil"/>
              <w:bottom w:val="nil"/>
              <w:right w:val="nil"/>
            </w:tcBorders>
            <w:shd w:val="clear" w:color="auto" w:fill="auto"/>
            <w:noWrap/>
            <w:hideMark/>
          </w:tcPr>
          <w:p w:rsidR="00B21E52" w:rsidRPr="00737BD6" w:rsidRDefault="00B21E52" w:rsidP="005C1F25">
            <w:pPr>
              <w:rPr>
                <w:rFonts w:ascii="Arial" w:hAnsi="Arial" w:cs="Arial"/>
                <w:b/>
                <w:sz w:val="20"/>
                <w:szCs w:val="20"/>
              </w:rPr>
            </w:pPr>
            <w:r w:rsidRPr="00737BD6">
              <w:rPr>
                <w:rFonts w:ascii="Arial" w:hAnsi="Arial" w:cs="Arial"/>
                <w:b/>
                <w:sz w:val="20"/>
                <w:szCs w:val="20"/>
              </w:rPr>
              <w:t>Table 10A.7</w:t>
            </w:r>
          </w:p>
        </w:tc>
        <w:tc>
          <w:tcPr>
            <w:tcW w:w="6923" w:type="dxa"/>
            <w:tcBorders>
              <w:top w:val="nil"/>
              <w:left w:val="nil"/>
              <w:bottom w:val="nil"/>
              <w:right w:val="nil"/>
            </w:tcBorders>
            <w:shd w:val="clear" w:color="auto" w:fill="auto"/>
            <w:hideMark/>
          </w:tcPr>
          <w:p w:rsidR="00B21E52" w:rsidRPr="00B21E52" w:rsidRDefault="00B21E52" w:rsidP="003A0C00">
            <w:pPr>
              <w:spacing w:afterLines="40" w:after="96"/>
              <w:rPr>
                <w:rFonts w:ascii="Arial" w:hAnsi="Arial" w:cs="Arial"/>
                <w:sz w:val="20"/>
                <w:szCs w:val="20"/>
              </w:rPr>
            </w:pPr>
            <w:r w:rsidRPr="00B21E52">
              <w:rPr>
                <w:rFonts w:ascii="Arial" w:hAnsi="Arial" w:cs="Arial"/>
                <w:sz w:val="20"/>
                <w:szCs w:val="20"/>
              </w:rPr>
              <w:t>Expenditure on dental services (2012-13 dollars) ($ million)</w:t>
            </w:r>
          </w:p>
        </w:tc>
      </w:tr>
      <w:tr w:rsidR="00B21E52" w:rsidTr="00361582">
        <w:trPr>
          <w:trHeight w:val="277"/>
        </w:trPr>
        <w:tc>
          <w:tcPr>
            <w:tcW w:w="1866" w:type="dxa"/>
            <w:tcBorders>
              <w:top w:val="nil"/>
              <w:left w:val="nil"/>
              <w:bottom w:val="nil"/>
              <w:right w:val="nil"/>
            </w:tcBorders>
            <w:shd w:val="clear" w:color="auto" w:fill="auto"/>
            <w:noWrap/>
            <w:hideMark/>
          </w:tcPr>
          <w:p w:rsidR="00B21E52" w:rsidRPr="00737BD6" w:rsidRDefault="00B21E52" w:rsidP="005C1F25">
            <w:pPr>
              <w:rPr>
                <w:rFonts w:ascii="Arial" w:hAnsi="Arial" w:cs="Arial"/>
                <w:b/>
                <w:sz w:val="20"/>
                <w:szCs w:val="20"/>
              </w:rPr>
            </w:pPr>
            <w:r w:rsidRPr="00737BD6">
              <w:rPr>
                <w:rFonts w:ascii="Arial" w:hAnsi="Arial" w:cs="Arial"/>
                <w:b/>
                <w:sz w:val="20"/>
                <w:szCs w:val="20"/>
              </w:rPr>
              <w:t>Table 10A.8</w:t>
            </w:r>
          </w:p>
        </w:tc>
        <w:tc>
          <w:tcPr>
            <w:tcW w:w="6923" w:type="dxa"/>
            <w:tcBorders>
              <w:top w:val="nil"/>
              <w:left w:val="nil"/>
              <w:bottom w:val="nil"/>
              <w:right w:val="nil"/>
            </w:tcBorders>
            <w:shd w:val="clear" w:color="auto" w:fill="auto"/>
            <w:hideMark/>
          </w:tcPr>
          <w:p w:rsidR="00B21E52" w:rsidRPr="00B21E52" w:rsidRDefault="00B21E52" w:rsidP="003A0C00">
            <w:pPr>
              <w:spacing w:afterLines="40" w:after="96"/>
              <w:rPr>
                <w:rFonts w:ascii="Arial" w:hAnsi="Arial" w:cs="Arial"/>
                <w:sz w:val="20"/>
                <w:szCs w:val="20"/>
              </w:rPr>
            </w:pPr>
            <w:r w:rsidRPr="00B21E52">
              <w:rPr>
                <w:rFonts w:ascii="Arial" w:hAnsi="Arial" w:cs="Arial"/>
                <w:sz w:val="20"/>
                <w:szCs w:val="20"/>
              </w:rPr>
              <w:t xml:space="preserve">Australian Government funding of Aboriginal and Torres Strait Islander Primary Health Care Services    </w:t>
            </w:r>
          </w:p>
        </w:tc>
      </w:tr>
      <w:tr w:rsidR="00B21E52" w:rsidTr="003A0C00">
        <w:trPr>
          <w:trHeight w:val="376"/>
        </w:trPr>
        <w:tc>
          <w:tcPr>
            <w:tcW w:w="1866" w:type="dxa"/>
            <w:tcBorders>
              <w:top w:val="nil"/>
              <w:left w:val="nil"/>
              <w:bottom w:val="nil"/>
              <w:right w:val="nil"/>
            </w:tcBorders>
            <w:shd w:val="clear" w:color="auto" w:fill="auto"/>
            <w:noWrap/>
            <w:hideMark/>
          </w:tcPr>
          <w:p w:rsidR="00B21E52" w:rsidRPr="00737BD6" w:rsidRDefault="00B21E52" w:rsidP="005C1F25">
            <w:pPr>
              <w:rPr>
                <w:rFonts w:ascii="Arial" w:hAnsi="Arial" w:cs="Arial"/>
                <w:b/>
                <w:sz w:val="20"/>
                <w:szCs w:val="20"/>
              </w:rPr>
            </w:pPr>
            <w:r w:rsidRPr="00737BD6">
              <w:rPr>
                <w:rFonts w:ascii="Arial" w:hAnsi="Arial" w:cs="Arial"/>
                <w:b/>
                <w:sz w:val="20"/>
                <w:szCs w:val="20"/>
              </w:rPr>
              <w:t>Table 10A.9</w:t>
            </w:r>
          </w:p>
        </w:tc>
        <w:tc>
          <w:tcPr>
            <w:tcW w:w="6923" w:type="dxa"/>
            <w:tcBorders>
              <w:top w:val="nil"/>
              <w:left w:val="nil"/>
              <w:bottom w:val="nil"/>
              <w:right w:val="nil"/>
            </w:tcBorders>
            <w:shd w:val="clear" w:color="auto" w:fill="auto"/>
            <w:hideMark/>
          </w:tcPr>
          <w:p w:rsidR="00B21E52" w:rsidRPr="00B21E52" w:rsidRDefault="00B21E52" w:rsidP="003A0C00">
            <w:pPr>
              <w:spacing w:afterLines="40" w:after="96"/>
              <w:rPr>
                <w:rFonts w:ascii="Arial" w:hAnsi="Arial" w:cs="Arial"/>
                <w:sz w:val="20"/>
                <w:szCs w:val="20"/>
              </w:rPr>
            </w:pPr>
            <w:r w:rsidRPr="00B21E52">
              <w:rPr>
                <w:rFonts w:ascii="Arial" w:hAnsi="Arial" w:cs="Arial"/>
                <w:sz w:val="20"/>
                <w:szCs w:val="20"/>
              </w:rPr>
              <w:t xml:space="preserve">Medical practitioners billing Medicare and full time workload equivalent (FWE) GPs    </w:t>
            </w:r>
          </w:p>
        </w:tc>
      </w:tr>
      <w:tr w:rsidR="00B21E52" w:rsidTr="00361582">
        <w:trPr>
          <w:trHeight w:val="231"/>
        </w:trPr>
        <w:tc>
          <w:tcPr>
            <w:tcW w:w="1866" w:type="dxa"/>
            <w:tcBorders>
              <w:top w:val="nil"/>
              <w:left w:val="nil"/>
              <w:bottom w:val="nil"/>
              <w:right w:val="nil"/>
            </w:tcBorders>
            <w:shd w:val="clear" w:color="auto" w:fill="auto"/>
            <w:noWrap/>
            <w:hideMark/>
          </w:tcPr>
          <w:p w:rsidR="00B21E52" w:rsidRPr="00737BD6" w:rsidRDefault="00B21E52" w:rsidP="005C1F25">
            <w:pPr>
              <w:rPr>
                <w:rFonts w:ascii="Arial" w:hAnsi="Arial" w:cs="Arial"/>
                <w:b/>
                <w:sz w:val="20"/>
                <w:szCs w:val="20"/>
              </w:rPr>
            </w:pPr>
            <w:r w:rsidRPr="00737BD6">
              <w:rPr>
                <w:rFonts w:ascii="Arial" w:hAnsi="Arial" w:cs="Arial"/>
                <w:b/>
                <w:sz w:val="20"/>
                <w:szCs w:val="20"/>
              </w:rPr>
              <w:t>Table 10A.10</w:t>
            </w:r>
          </w:p>
        </w:tc>
        <w:tc>
          <w:tcPr>
            <w:tcW w:w="6923" w:type="dxa"/>
            <w:tcBorders>
              <w:top w:val="nil"/>
              <w:left w:val="nil"/>
              <w:bottom w:val="nil"/>
              <w:right w:val="nil"/>
            </w:tcBorders>
            <w:shd w:val="clear" w:color="auto" w:fill="auto"/>
            <w:hideMark/>
          </w:tcPr>
          <w:p w:rsidR="00B21E52" w:rsidRPr="00B21E52" w:rsidRDefault="00B21E52" w:rsidP="003A0C00">
            <w:pPr>
              <w:spacing w:afterLines="40" w:after="96"/>
              <w:rPr>
                <w:rFonts w:ascii="Arial" w:hAnsi="Arial" w:cs="Arial"/>
                <w:sz w:val="20"/>
                <w:szCs w:val="20"/>
              </w:rPr>
            </w:pPr>
            <w:r w:rsidRPr="00B21E52">
              <w:rPr>
                <w:rFonts w:ascii="Arial" w:hAnsi="Arial" w:cs="Arial"/>
                <w:sz w:val="20"/>
                <w:szCs w:val="20"/>
              </w:rPr>
              <w:t xml:space="preserve">Number of GP-type services used per 1000 people    </w:t>
            </w:r>
          </w:p>
        </w:tc>
      </w:tr>
      <w:tr w:rsidR="00B21E52" w:rsidTr="00361582">
        <w:trPr>
          <w:trHeight w:val="283"/>
        </w:trPr>
        <w:tc>
          <w:tcPr>
            <w:tcW w:w="1866" w:type="dxa"/>
            <w:tcBorders>
              <w:top w:val="nil"/>
              <w:left w:val="nil"/>
              <w:bottom w:val="nil"/>
              <w:right w:val="nil"/>
            </w:tcBorders>
            <w:shd w:val="clear" w:color="auto" w:fill="auto"/>
            <w:noWrap/>
            <w:hideMark/>
          </w:tcPr>
          <w:p w:rsidR="00B21E52" w:rsidRPr="00737BD6" w:rsidRDefault="00B21E52" w:rsidP="005C1F25">
            <w:pPr>
              <w:rPr>
                <w:rFonts w:ascii="Arial" w:hAnsi="Arial" w:cs="Arial"/>
                <w:b/>
                <w:sz w:val="20"/>
                <w:szCs w:val="20"/>
              </w:rPr>
            </w:pPr>
            <w:r w:rsidRPr="00737BD6">
              <w:rPr>
                <w:rFonts w:ascii="Arial" w:hAnsi="Arial" w:cs="Arial"/>
                <w:b/>
                <w:sz w:val="20"/>
                <w:szCs w:val="20"/>
              </w:rPr>
              <w:t>Table 10A.11</w:t>
            </w:r>
          </w:p>
        </w:tc>
        <w:tc>
          <w:tcPr>
            <w:tcW w:w="6923" w:type="dxa"/>
            <w:tcBorders>
              <w:top w:val="nil"/>
              <w:left w:val="nil"/>
              <w:bottom w:val="nil"/>
              <w:right w:val="nil"/>
            </w:tcBorders>
            <w:shd w:val="clear" w:color="auto" w:fill="auto"/>
            <w:hideMark/>
          </w:tcPr>
          <w:p w:rsidR="00B21E52" w:rsidRPr="00B21E52" w:rsidRDefault="00B21E52" w:rsidP="003A0C00">
            <w:pPr>
              <w:spacing w:afterLines="40" w:after="96"/>
              <w:rPr>
                <w:rFonts w:ascii="Arial" w:hAnsi="Arial" w:cs="Arial"/>
                <w:sz w:val="20"/>
                <w:szCs w:val="20"/>
              </w:rPr>
            </w:pPr>
            <w:r w:rsidRPr="00B21E52">
              <w:rPr>
                <w:rFonts w:ascii="Arial" w:hAnsi="Arial" w:cs="Arial"/>
                <w:sz w:val="20"/>
                <w:szCs w:val="20"/>
              </w:rPr>
              <w:t>PBS services</w:t>
            </w:r>
          </w:p>
        </w:tc>
      </w:tr>
      <w:tr w:rsidR="00B21E52" w:rsidTr="00361582">
        <w:trPr>
          <w:trHeight w:val="357"/>
        </w:trPr>
        <w:tc>
          <w:tcPr>
            <w:tcW w:w="1866" w:type="dxa"/>
            <w:tcBorders>
              <w:top w:val="nil"/>
              <w:left w:val="nil"/>
              <w:bottom w:val="nil"/>
              <w:right w:val="nil"/>
            </w:tcBorders>
            <w:shd w:val="clear" w:color="auto" w:fill="auto"/>
            <w:noWrap/>
            <w:hideMark/>
          </w:tcPr>
          <w:p w:rsidR="00B21E52" w:rsidRPr="00737BD6" w:rsidRDefault="00B21E52" w:rsidP="005C1F25">
            <w:pPr>
              <w:rPr>
                <w:rFonts w:ascii="Arial" w:hAnsi="Arial" w:cs="Arial"/>
                <w:b/>
                <w:sz w:val="20"/>
                <w:szCs w:val="20"/>
              </w:rPr>
            </w:pPr>
            <w:r w:rsidRPr="00737BD6">
              <w:rPr>
                <w:rFonts w:ascii="Arial" w:hAnsi="Arial" w:cs="Arial"/>
                <w:b/>
                <w:sz w:val="20"/>
                <w:szCs w:val="20"/>
              </w:rPr>
              <w:t>Table 10A.12</w:t>
            </w:r>
          </w:p>
        </w:tc>
        <w:tc>
          <w:tcPr>
            <w:tcW w:w="6923" w:type="dxa"/>
            <w:tcBorders>
              <w:top w:val="nil"/>
              <w:left w:val="nil"/>
              <w:bottom w:val="nil"/>
              <w:right w:val="nil"/>
            </w:tcBorders>
            <w:shd w:val="clear" w:color="auto" w:fill="auto"/>
            <w:hideMark/>
          </w:tcPr>
          <w:p w:rsidR="00B21E52" w:rsidRPr="00B21E52" w:rsidRDefault="00B21E52" w:rsidP="003A0C00">
            <w:pPr>
              <w:spacing w:afterLines="40" w:after="96"/>
              <w:rPr>
                <w:rFonts w:ascii="Arial" w:hAnsi="Arial" w:cs="Arial"/>
                <w:sz w:val="20"/>
                <w:szCs w:val="20"/>
              </w:rPr>
            </w:pPr>
            <w:r w:rsidRPr="00B21E52">
              <w:rPr>
                <w:rFonts w:ascii="Arial" w:hAnsi="Arial" w:cs="Arial"/>
                <w:sz w:val="20"/>
                <w:szCs w:val="20"/>
              </w:rPr>
              <w:t>PBS services, by service type ('000)</w:t>
            </w:r>
          </w:p>
        </w:tc>
      </w:tr>
      <w:tr w:rsidR="00B21E52" w:rsidTr="003A0C00">
        <w:trPr>
          <w:trHeight w:val="240"/>
        </w:trPr>
        <w:tc>
          <w:tcPr>
            <w:tcW w:w="1866" w:type="dxa"/>
            <w:tcBorders>
              <w:top w:val="nil"/>
              <w:left w:val="nil"/>
              <w:bottom w:val="nil"/>
              <w:right w:val="nil"/>
            </w:tcBorders>
            <w:shd w:val="clear" w:color="auto" w:fill="auto"/>
            <w:noWrap/>
            <w:hideMark/>
          </w:tcPr>
          <w:p w:rsidR="00B21E52" w:rsidRPr="00737BD6" w:rsidRDefault="00B21E52" w:rsidP="005C1F25">
            <w:pPr>
              <w:rPr>
                <w:rFonts w:ascii="Arial" w:hAnsi="Arial" w:cs="Arial"/>
                <w:b/>
                <w:sz w:val="20"/>
                <w:szCs w:val="20"/>
              </w:rPr>
            </w:pPr>
            <w:r w:rsidRPr="00737BD6">
              <w:rPr>
                <w:rFonts w:ascii="Arial" w:hAnsi="Arial" w:cs="Arial"/>
                <w:b/>
                <w:sz w:val="20"/>
                <w:szCs w:val="20"/>
              </w:rPr>
              <w:t>Table 10A.13</w:t>
            </w:r>
          </w:p>
        </w:tc>
        <w:tc>
          <w:tcPr>
            <w:tcW w:w="6923" w:type="dxa"/>
            <w:tcBorders>
              <w:top w:val="nil"/>
              <w:left w:val="nil"/>
              <w:bottom w:val="nil"/>
              <w:right w:val="nil"/>
            </w:tcBorders>
            <w:shd w:val="clear" w:color="auto" w:fill="auto"/>
            <w:hideMark/>
          </w:tcPr>
          <w:p w:rsidR="00B21E52" w:rsidRPr="00B21E52" w:rsidRDefault="00B21E52" w:rsidP="003A0C00">
            <w:pPr>
              <w:spacing w:afterLines="40" w:after="96"/>
              <w:rPr>
                <w:rFonts w:ascii="Arial" w:hAnsi="Arial" w:cs="Arial"/>
                <w:sz w:val="20"/>
                <w:szCs w:val="20"/>
              </w:rPr>
            </w:pPr>
            <w:r w:rsidRPr="00B21E52">
              <w:rPr>
                <w:rFonts w:ascii="Arial" w:hAnsi="Arial" w:cs="Arial"/>
                <w:sz w:val="20"/>
                <w:szCs w:val="20"/>
              </w:rPr>
              <w:t xml:space="preserve">Use of public dental services, by service type, 2010    </w:t>
            </w:r>
          </w:p>
        </w:tc>
      </w:tr>
      <w:tr w:rsidR="00B21E52" w:rsidTr="00361582">
        <w:trPr>
          <w:trHeight w:val="357"/>
        </w:trPr>
        <w:tc>
          <w:tcPr>
            <w:tcW w:w="1866" w:type="dxa"/>
            <w:tcBorders>
              <w:top w:val="nil"/>
              <w:left w:val="nil"/>
              <w:bottom w:val="nil"/>
              <w:right w:val="nil"/>
            </w:tcBorders>
            <w:shd w:val="clear" w:color="auto" w:fill="auto"/>
            <w:noWrap/>
            <w:hideMark/>
          </w:tcPr>
          <w:p w:rsidR="00B21E52" w:rsidRPr="00737BD6" w:rsidRDefault="00B21E52" w:rsidP="005C1F25">
            <w:pPr>
              <w:rPr>
                <w:rFonts w:ascii="Arial" w:hAnsi="Arial" w:cs="Arial"/>
                <w:b/>
                <w:sz w:val="20"/>
                <w:szCs w:val="20"/>
              </w:rPr>
            </w:pPr>
            <w:r w:rsidRPr="00737BD6">
              <w:rPr>
                <w:rFonts w:ascii="Arial" w:hAnsi="Arial" w:cs="Arial"/>
                <w:b/>
                <w:sz w:val="20"/>
                <w:szCs w:val="20"/>
              </w:rPr>
              <w:t>Table 10A.14</w:t>
            </w:r>
          </w:p>
        </w:tc>
        <w:tc>
          <w:tcPr>
            <w:tcW w:w="6923" w:type="dxa"/>
            <w:tcBorders>
              <w:top w:val="nil"/>
              <w:left w:val="nil"/>
              <w:bottom w:val="nil"/>
              <w:right w:val="nil"/>
            </w:tcBorders>
            <w:shd w:val="clear" w:color="auto" w:fill="auto"/>
            <w:hideMark/>
          </w:tcPr>
          <w:p w:rsidR="00B21E52" w:rsidRPr="00B21E52" w:rsidRDefault="00B21E52" w:rsidP="003A0C00">
            <w:pPr>
              <w:spacing w:afterLines="40" w:after="96"/>
              <w:rPr>
                <w:rFonts w:ascii="Arial" w:hAnsi="Arial" w:cs="Arial"/>
                <w:sz w:val="20"/>
                <w:szCs w:val="20"/>
              </w:rPr>
            </w:pPr>
            <w:r w:rsidRPr="00B21E52">
              <w:rPr>
                <w:rFonts w:ascii="Arial" w:hAnsi="Arial" w:cs="Arial"/>
                <w:sz w:val="20"/>
                <w:szCs w:val="20"/>
              </w:rPr>
              <w:t xml:space="preserve">Alcohol and other drug treatment services, 2012-13 (number) </w:t>
            </w:r>
          </w:p>
        </w:tc>
      </w:tr>
      <w:tr w:rsidR="00B21E52" w:rsidTr="00361582">
        <w:trPr>
          <w:trHeight w:val="357"/>
        </w:trPr>
        <w:tc>
          <w:tcPr>
            <w:tcW w:w="1866" w:type="dxa"/>
            <w:tcBorders>
              <w:top w:val="nil"/>
              <w:left w:val="nil"/>
              <w:bottom w:val="nil"/>
              <w:right w:val="nil"/>
            </w:tcBorders>
            <w:shd w:val="clear" w:color="auto" w:fill="auto"/>
            <w:noWrap/>
            <w:hideMark/>
          </w:tcPr>
          <w:p w:rsidR="00B21E52" w:rsidRPr="00737BD6" w:rsidRDefault="00B21E52" w:rsidP="005C1F25">
            <w:pPr>
              <w:rPr>
                <w:rFonts w:ascii="Arial" w:hAnsi="Arial" w:cs="Arial"/>
                <w:b/>
                <w:sz w:val="20"/>
                <w:szCs w:val="20"/>
              </w:rPr>
            </w:pPr>
            <w:r w:rsidRPr="00737BD6">
              <w:rPr>
                <w:rFonts w:ascii="Arial" w:hAnsi="Arial" w:cs="Arial"/>
                <w:b/>
                <w:sz w:val="20"/>
                <w:szCs w:val="20"/>
              </w:rPr>
              <w:t>Table 10A.15</w:t>
            </w:r>
          </w:p>
        </w:tc>
        <w:tc>
          <w:tcPr>
            <w:tcW w:w="6923" w:type="dxa"/>
            <w:tcBorders>
              <w:top w:val="nil"/>
              <w:left w:val="nil"/>
              <w:bottom w:val="nil"/>
              <w:right w:val="nil"/>
            </w:tcBorders>
            <w:shd w:val="clear" w:color="auto" w:fill="auto"/>
            <w:hideMark/>
          </w:tcPr>
          <w:p w:rsidR="00B21E52" w:rsidRPr="00B21E52" w:rsidRDefault="00B21E52" w:rsidP="003A0C00">
            <w:pPr>
              <w:spacing w:afterLines="40" w:after="96"/>
              <w:rPr>
                <w:rFonts w:ascii="Arial" w:hAnsi="Arial" w:cs="Arial"/>
                <w:sz w:val="20"/>
                <w:szCs w:val="20"/>
              </w:rPr>
            </w:pPr>
            <w:r w:rsidRPr="00B21E52">
              <w:rPr>
                <w:rFonts w:ascii="Arial" w:hAnsi="Arial" w:cs="Arial"/>
                <w:sz w:val="20"/>
                <w:szCs w:val="20"/>
              </w:rPr>
              <w:t xml:space="preserve">Aboriginal and Torres Strait Islander primary healthcare services and episodes of healthcare (number)     </w:t>
            </w:r>
          </w:p>
        </w:tc>
      </w:tr>
      <w:tr w:rsidR="00B21E52" w:rsidTr="00361582">
        <w:trPr>
          <w:trHeight w:val="357"/>
        </w:trPr>
        <w:tc>
          <w:tcPr>
            <w:tcW w:w="1866" w:type="dxa"/>
            <w:tcBorders>
              <w:top w:val="nil"/>
              <w:left w:val="nil"/>
              <w:bottom w:val="nil"/>
              <w:right w:val="nil"/>
            </w:tcBorders>
            <w:shd w:val="clear" w:color="auto" w:fill="auto"/>
            <w:noWrap/>
            <w:hideMark/>
          </w:tcPr>
          <w:p w:rsidR="00B21E52" w:rsidRPr="00737BD6" w:rsidRDefault="00B21E52" w:rsidP="005C1F25">
            <w:pPr>
              <w:rPr>
                <w:rFonts w:ascii="Arial" w:hAnsi="Arial" w:cs="Arial"/>
                <w:b/>
                <w:sz w:val="20"/>
                <w:szCs w:val="20"/>
              </w:rPr>
            </w:pPr>
            <w:r w:rsidRPr="00737BD6">
              <w:rPr>
                <w:rFonts w:ascii="Arial" w:hAnsi="Arial" w:cs="Arial"/>
                <w:b/>
                <w:sz w:val="20"/>
                <w:szCs w:val="20"/>
              </w:rPr>
              <w:t>Table 10A.16</w:t>
            </w:r>
          </w:p>
        </w:tc>
        <w:tc>
          <w:tcPr>
            <w:tcW w:w="6923" w:type="dxa"/>
            <w:tcBorders>
              <w:top w:val="nil"/>
              <w:left w:val="nil"/>
              <w:bottom w:val="nil"/>
              <w:right w:val="nil"/>
            </w:tcBorders>
            <w:shd w:val="clear" w:color="auto" w:fill="auto"/>
            <w:hideMark/>
          </w:tcPr>
          <w:p w:rsidR="00B21E52" w:rsidRPr="00B21E52" w:rsidRDefault="00B21E52" w:rsidP="003A0C00">
            <w:pPr>
              <w:spacing w:afterLines="40" w:after="96"/>
              <w:rPr>
                <w:rFonts w:ascii="Arial" w:hAnsi="Arial" w:cs="Arial"/>
                <w:sz w:val="20"/>
                <w:szCs w:val="20"/>
              </w:rPr>
            </w:pPr>
            <w:r w:rsidRPr="00B21E52">
              <w:rPr>
                <w:rFonts w:ascii="Arial" w:hAnsi="Arial" w:cs="Arial"/>
                <w:sz w:val="20"/>
                <w:szCs w:val="20"/>
              </w:rPr>
              <w:t xml:space="preserve">Aboriginal and Torres Strait Islander primary healthcare services and episodes of healthcare, by remoteness category (number)     </w:t>
            </w:r>
          </w:p>
        </w:tc>
      </w:tr>
      <w:tr w:rsidR="00B21E52" w:rsidTr="00361582">
        <w:trPr>
          <w:trHeight w:val="357"/>
        </w:trPr>
        <w:tc>
          <w:tcPr>
            <w:tcW w:w="1866" w:type="dxa"/>
            <w:tcBorders>
              <w:top w:val="nil"/>
              <w:left w:val="nil"/>
              <w:bottom w:val="nil"/>
              <w:right w:val="nil"/>
            </w:tcBorders>
            <w:shd w:val="clear" w:color="auto" w:fill="auto"/>
            <w:noWrap/>
            <w:hideMark/>
          </w:tcPr>
          <w:p w:rsidR="00B21E52" w:rsidRPr="00737BD6" w:rsidRDefault="00B21E52" w:rsidP="005C1F25">
            <w:pPr>
              <w:rPr>
                <w:rFonts w:ascii="Arial" w:hAnsi="Arial" w:cs="Arial"/>
                <w:b/>
                <w:sz w:val="20"/>
                <w:szCs w:val="20"/>
              </w:rPr>
            </w:pPr>
            <w:r w:rsidRPr="00737BD6">
              <w:rPr>
                <w:rFonts w:ascii="Arial" w:hAnsi="Arial" w:cs="Arial"/>
                <w:b/>
                <w:sz w:val="20"/>
                <w:szCs w:val="20"/>
              </w:rPr>
              <w:t>Table 10A.17</w:t>
            </w:r>
          </w:p>
        </w:tc>
        <w:tc>
          <w:tcPr>
            <w:tcW w:w="6923" w:type="dxa"/>
            <w:tcBorders>
              <w:top w:val="nil"/>
              <w:left w:val="nil"/>
              <w:bottom w:val="nil"/>
              <w:right w:val="nil"/>
            </w:tcBorders>
            <w:shd w:val="clear" w:color="auto" w:fill="auto"/>
            <w:hideMark/>
          </w:tcPr>
          <w:p w:rsidR="00B21E52" w:rsidRPr="00B21E52" w:rsidRDefault="00B21E52" w:rsidP="003A0C00">
            <w:pPr>
              <w:spacing w:afterLines="40" w:after="96"/>
              <w:rPr>
                <w:rFonts w:ascii="Arial" w:hAnsi="Arial" w:cs="Arial"/>
                <w:sz w:val="20"/>
                <w:szCs w:val="20"/>
              </w:rPr>
            </w:pPr>
            <w:r w:rsidRPr="00B21E52">
              <w:rPr>
                <w:rFonts w:ascii="Arial" w:hAnsi="Arial" w:cs="Arial"/>
                <w:sz w:val="20"/>
                <w:szCs w:val="20"/>
              </w:rPr>
              <w:t xml:space="preserve">Proportion of Aboriginal and Torres Strait Islander primary healthcare services that undertook selected health related activities, 2012-13 (per cent)    </w:t>
            </w:r>
          </w:p>
        </w:tc>
      </w:tr>
      <w:tr w:rsidR="00B21E52" w:rsidTr="00361582">
        <w:trPr>
          <w:trHeight w:val="357"/>
        </w:trPr>
        <w:tc>
          <w:tcPr>
            <w:tcW w:w="1866" w:type="dxa"/>
            <w:tcBorders>
              <w:top w:val="nil"/>
              <w:left w:val="nil"/>
              <w:bottom w:val="nil"/>
              <w:right w:val="nil"/>
            </w:tcBorders>
            <w:shd w:val="clear" w:color="auto" w:fill="auto"/>
            <w:noWrap/>
            <w:hideMark/>
          </w:tcPr>
          <w:p w:rsidR="00B21E52" w:rsidRPr="00737BD6" w:rsidRDefault="00B21E52" w:rsidP="005C1F25">
            <w:pPr>
              <w:rPr>
                <w:rFonts w:ascii="Arial" w:hAnsi="Arial" w:cs="Arial"/>
                <w:b/>
                <w:sz w:val="20"/>
                <w:szCs w:val="20"/>
              </w:rPr>
            </w:pPr>
            <w:r w:rsidRPr="00737BD6">
              <w:rPr>
                <w:rFonts w:ascii="Arial" w:hAnsi="Arial" w:cs="Arial"/>
                <w:b/>
                <w:sz w:val="20"/>
                <w:szCs w:val="20"/>
              </w:rPr>
              <w:t>Table 10A.18</w:t>
            </w:r>
          </w:p>
        </w:tc>
        <w:tc>
          <w:tcPr>
            <w:tcW w:w="6923" w:type="dxa"/>
            <w:tcBorders>
              <w:top w:val="nil"/>
              <w:left w:val="nil"/>
              <w:bottom w:val="nil"/>
              <w:right w:val="nil"/>
            </w:tcBorders>
            <w:shd w:val="clear" w:color="auto" w:fill="auto"/>
            <w:hideMark/>
          </w:tcPr>
          <w:p w:rsidR="00B21E52" w:rsidRPr="00B21E52" w:rsidRDefault="00B21E52" w:rsidP="003A0C00">
            <w:pPr>
              <w:spacing w:afterLines="40" w:after="96"/>
              <w:rPr>
                <w:rFonts w:ascii="Arial" w:hAnsi="Arial" w:cs="Arial"/>
                <w:sz w:val="20"/>
                <w:szCs w:val="20"/>
              </w:rPr>
            </w:pPr>
            <w:r w:rsidRPr="00B21E52">
              <w:rPr>
                <w:rFonts w:ascii="Arial" w:hAnsi="Arial" w:cs="Arial"/>
                <w:sz w:val="20"/>
                <w:szCs w:val="20"/>
              </w:rPr>
              <w:t xml:space="preserve">Proportion of Aboriginal and Torres Strait Islander primary healthcare services that undertook selected health related activities, 2008-09 to 2011-12 (per cent)     </w:t>
            </w:r>
          </w:p>
        </w:tc>
      </w:tr>
      <w:tr w:rsidR="00B21E52" w:rsidTr="00361582">
        <w:trPr>
          <w:trHeight w:val="357"/>
        </w:trPr>
        <w:tc>
          <w:tcPr>
            <w:tcW w:w="1866" w:type="dxa"/>
            <w:tcBorders>
              <w:top w:val="nil"/>
              <w:left w:val="nil"/>
              <w:bottom w:val="nil"/>
              <w:right w:val="nil"/>
            </w:tcBorders>
            <w:shd w:val="clear" w:color="auto" w:fill="auto"/>
            <w:noWrap/>
            <w:hideMark/>
          </w:tcPr>
          <w:p w:rsidR="00B21E52" w:rsidRPr="00737BD6" w:rsidRDefault="00B21E52" w:rsidP="005C1F25">
            <w:pPr>
              <w:rPr>
                <w:rFonts w:ascii="Arial" w:hAnsi="Arial" w:cs="Arial"/>
                <w:b/>
                <w:sz w:val="20"/>
                <w:szCs w:val="20"/>
              </w:rPr>
            </w:pPr>
            <w:r w:rsidRPr="00737BD6">
              <w:rPr>
                <w:rFonts w:ascii="Arial" w:hAnsi="Arial" w:cs="Arial"/>
                <w:b/>
                <w:sz w:val="20"/>
                <w:szCs w:val="20"/>
              </w:rPr>
              <w:t>Table 10A.19</w:t>
            </w:r>
          </w:p>
        </w:tc>
        <w:tc>
          <w:tcPr>
            <w:tcW w:w="6923" w:type="dxa"/>
            <w:tcBorders>
              <w:top w:val="nil"/>
              <w:left w:val="nil"/>
              <w:bottom w:val="nil"/>
              <w:right w:val="nil"/>
            </w:tcBorders>
            <w:shd w:val="clear" w:color="auto" w:fill="auto"/>
            <w:hideMark/>
          </w:tcPr>
          <w:p w:rsidR="00B21E52" w:rsidRPr="00B21E52" w:rsidRDefault="00B21E52" w:rsidP="003A0C00">
            <w:pPr>
              <w:spacing w:afterLines="40" w:after="96"/>
              <w:rPr>
                <w:rFonts w:ascii="Arial" w:hAnsi="Arial" w:cs="Arial"/>
                <w:sz w:val="20"/>
                <w:szCs w:val="20"/>
              </w:rPr>
            </w:pPr>
            <w:r w:rsidRPr="00B21E52">
              <w:rPr>
                <w:rFonts w:ascii="Arial" w:hAnsi="Arial" w:cs="Arial"/>
                <w:sz w:val="20"/>
                <w:szCs w:val="20"/>
              </w:rPr>
              <w:t xml:space="preserve">Full time equivalent (FTE) health staff employed by Aboriginal and Torres Strait Islander primary healthcare services which provide data for Online Services Reporting (OSR) as at 30 June (number)  </w:t>
            </w:r>
          </w:p>
        </w:tc>
      </w:tr>
      <w:tr w:rsidR="00B21E52" w:rsidTr="00361582">
        <w:trPr>
          <w:trHeight w:val="309"/>
        </w:trPr>
        <w:tc>
          <w:tcPr>
            <w:tcW w:w="1866" w:type="dxa"/>
            <w:tcBorders>
              <w:top w:val="nil"/>
              <w:left w:val="nil"/>
              <w:bottom w:val="nil"/>
              <w:right w:val="nil"/>
            </w:tcBorders>
            <w:shd w:val="clear" w:color="auto" w:fill="auto"/>
            <w:noWrap/>
            <w:hideMark/>
          </w:tcPr>
          <w:p w:rsidR="00B21E52" w:rsidRPr="00737BD6" w:rsidRDefault="00B21E52" w:rsidP="005C1F25">
            <w:pPr>
              <w:rPr>
                <w:rFonts w:ascii="Arial" w:hAnsi="Arial" w:cs="Arial"/>
                <w:b/>
                <w:sz w:val="20"/>
                <w:szCs w:val="20"/>
              </w:rPr>
            </w:pPr>
            <w:r w:rsidRPr="00737BD6">
              <w:rPr>
                <w:rFonts w:ascii="Arial" w:hAnsi="Arial" w:cs="Arial"/>
                <w:b/>
                <w:sz w:val="20"/>
                <w:szCs w:val="20"/>
              </w:rPr>
              <w:t>Table 10A.20</w:t>
            </w:r>
          </w:p>
        </w:tc>
        <w:tc>
          <w:tcPr>
            <w:tcW w:w="6923" w:type="dxa"/>
            <w:tcBorders>
              <w:top w:val="nil"/>
              <w:left w:val="nil"/>
              <w:bottom w:val="nil"/>
              <w:right w:val="nil"/>
            </w:tcBorders>
            <w:shd w:val="clear" w:color="auto" w:fill="auto"/>
            <w:hideMark/>
          </w:tcPr>
          <w:p w:rsidR="00B21E52" w:rsidRPr="00B21E52" w:rsidRDefault="00B21E52" w:rsidP="003A0C00">
            <w:pPr>
              <w:spacing w:afterLines="40" w:after="96"/>
              <w:rPr>
                <w:rFonts w:ascii="Arial" w:hAnsi="Arial" w:cs="Arial"/>
                <w:sz w:val="20"/>
                <w:szCs w:val="20"/>
              </w:rPr>
            </w:pPr>
            <w:r w:rsidRPr="00B21E52">
              <w:rPr>
                <w:rFonts w:ascii="Arial" w:hAnsi="Arial" w:cs="Arial"/>
                <w:sz w:val="20"/>
                <w:szCs w:val="20"/>
              </w:rPr>
              <w:t xml:space="preserve">Approved providers of PBS medicines, by urban and rural location, at 30 June  </w:t>
            </w:r>
          </w:p>
        </w:tc>
      </w:tr>
      <w:tr w:rsidR="00B21E52" w:rsidTr="00361582">
        <w:trPr>
          <w:trHeight w:val="318"/>
        </w:trPr>
        <w:tc>
          <w:tcPr>
            <w:tcW w:w="1866" w:type="dxa"/>
            <w:tcBorders>
              <w:top w:val="nil"/>
              <w:left w:val="nil"/>
              <w:bottom w:val="nil"/>
              <w:right w:val="nil"/>
            </w:tcBorders>
            <w:shd w:val="clear" w:color="auto" w:fill="auto"/>
            <w:noWrap/>
            <w:hideMark/>
          </w:tcPr>
          <w:p w:rsidR="00B21E52" w:rsidRPr="00737BD6" w:rsidRDefault="00B21E52" w:rsidP="005C1F25">
            <w:pPr>
              <w:rPr>
                <w:rFonts w:ascii="Arial" w:hAnsi="Arial" w:cs="Arial"/>
                <w:b/>
                <w:sz w:val="20"/>
                <w:szCs w:val="20"/>
              </w:rPr>
            </w:pPr>
            <w:r w:rsidRPr="00737BD6">
              <w:rPr>
                <w:rFonts w:ascii="Arial" w:hAnsi="Arial" w:cs="Arial"/>
                <w:b/>
                <w:sz w:val="20"/>
                <w:szCs w:val="20"/>
              </w:rPr>
              <w:t>Table 10A.21</w:t>
            </w:r>
          </w:p>
        </w:tc>
        <w:tc>
          <w:tcPr>
            <w:tcW w:w="6923" w:type="dxa"/>
            <w:tcBorders>
              <w:top w:val="nil"/>
              <w:left w:val="nil"/>
              <w:bottom w:val="nil"/>
              <w:right w:val="nil"/>
            </w:tcBorders>
            <w:shd w:val="clear" w:color="auto" w:fill="auto"/>
            <w:hideMark/>
          </w:tcPr>
          <w:p w:rsidR="00B21E52" w:rsidRPr="00B21E52" w:rsidRDefault="00B21E52" w:rsidP="003A0C00">
            <w:pPr>
              <w:spacing w:afterLines="40" w:after="96"/>
              <w:rPr>
                <w:rFonts w:ascii="Arial" w:hAnsi="Arial" w:cs="Arial"/>
                <w:sz w:val="20"/>
                <w:szCs w:val="20"/>
              </w:rPr>
            </w:pPr>
            <w:r w:rsidRPr="00B21E52">
              <w:rPr>
                <w:rFonts w:ascii="Arial" w:hAnsi="Arial" w:cs="Arial"/>
                <w:sz w:val="20"/>
                <w:szCs w:val="20"/>
              </w:rPr>
              <w:t xml:space="preserve">PBS expenditure per person, by remoteness area (2013-14 dollars)     </w:t>
            </w:r>
          </w:p>
        </w:tc>
      </w:tr>
      <w:tr w:rsidR="00B21E52" w:rsidTr="003A0C00">
        <w:trPr>
          <w:trHeight w:val="455"/>
        </w:trPr>
        <w:tc>
          <w:tcPr>
            <w:tcW w:w="1866" w:type="dxa"/>
            <w:tcBorders>
              <w:top w:val="nil"/>
              <w:left w:val="nil"/>
              <w:bottom w:val="nil"/>
              <w:right w:val="nil"/>
            </w:tcBorders>
            <w:shd w:val="clear" w:color="auto" w:fill="auto"/>
            <w:noWrap/>
            <w:hideMark/>
          </w:tcPr>
          <w:p w:rsidR="00B21E52" w:rsidRPr="00737BD6" w:rsidRDefault="00B21E52" w:rsidP="005C1F25">
            <w:pPr>
              <w:rPr>
                <w:rFonts w:ascii="Arial" w:hAnsi="Arial" w:cs="Arial"/>
                <w:b/>
                <w:sz w:val="20"/>
                <w:szCs w:val="20"/>
              </w:rPr>
            </w:pPr>
            <w:r w:rsidRPr="00737BD6">
              <w:rPr>
                <w:rFonts w:ascii="Arial" w:hAnsi="Arial" w:cs="Arial"/>
                <w:b/>
                <w:sz w:val="20"/>
                <w:szCs w:val="20"/>
              </w:rPr>
              <w:t>Table 10A.22</w:t>
            </w:r>
          </w:p>
        </w:tc>
        <w:tc>
          <w:tcPr>
            <w:tcW w:w="6923" w:type="dxa"/>
            <w:tcBorders>
              <w:top w:val="nil"/>
              <w:left w:val="nil"/>
              <w:bottom w:val="nil"/>
              <w:right w:val="nil"/>
            </w:tcBorders>
            <w:shd w:val="clear" w:color="auto" w:fill="auto"/>
            <w:hideMark/>
          </w:tcPr>
          <w:p w:rsidR="00B21E52" w:rsidRPr="00B21E52" w:rsidRDefault="00B21E52" w:rsidP="003A0C00">
            <w:pPr>
              <w:spacing w:afterLines="40" w:after="96"/>
              <w:rPr>
                <w:rFonts w:ascii="Arial" w:hAnsi="Arial" w:cs="Arial"/>
                <w:sz w:val="20"/>
                <w:szCs w:val="20"/>
              </w:rPr>
            </w:pPr>
            <w:r w:rsidRPr="00B21E52">
              <w:rPr>
                <w:rFonts w:ascii="Arial" w:hAnsi="Arial" w:cs="Arial"/>
                <w:sz w:val="20"/>
                <w:szCs w:val="20"/>
              </w:rPr>
              <w:t xml:space="preserve">PBS expenditure per person, by urban and rural location, 2009-10 to 2011-12 (2013-14 dollars)    </w:t>
            </w:r>
          </w:p>
        </w:tc>
      </w:tr>
      <w:tr w:rsidR="00B21E52" w:rsidTr="003A0C00">
        <w:trPr>
          <w:trHeight w:val="166"/>
        </w:trPr>
        <w:tc>
          <w:tcPr>
            <w:tcW w:w="1866" w:type="dxa"/>
            <w:tcBorders>
              <w:top w:val="nil"/>
              <w:left w:val="nil"/>
              <w:bottom w:val="nil"/>
              <w:right w:val="nil"/>
            </w:tcBorders>
            <w:shd w:val="clear" w:color="auto" w:fill="auto"/>
            <w:noWrap/>
            <w:hideMark/>
          </w:tcPr>
          <w:p w:rsidR="00B21E52" w:rsidRPr="00737BD6" w:rsidRDefault="00B21E52" w:rsidP="005C1F25">
            <w:pPr>
              <w:rPr>
                <w:rFonts w:ascii="Arial" w:hAnsi="Arial" w:cs="Arial"/>
                <w:b/>
                <w:sz w:val="20"/>
                <w:szCs w:val="20"/>
              </w:rPr>
            </w:pPr>
            <w:r w:rsidRPr="00737BD6">
              <w:rPr>
                <w:rFonts w:ascii="Arial" w:hAnsi="Arial" w:cs="Arial"/>
                <w:b/>
                <w:sz w:val="20"/>
                <w:szCs w:val="20"/>
              </w:rPr>
              <w:t>Table 10A.23</w:t>
            </w:r>
          </w:p>
        </w:tc>
        <w:tc>
          <w:tcPr>
            <w:tcW w:w="6923" w:type="dxa"/>
            <w:tcBorders>
              <w:top w:val="nil"/>
              <w:left w:val="nil"/>
              <w:bottom w:val="nil"/>
              <w:right w:val="nil"/>
            </w:tcBorders>
            <w:shd w:val="clear" w:color="auto" w:fill="auto"/>
            <w:hideMark/>
          </w:tcPr>
          <w:p w:rsidR="00B21E52" w:rsidRPr="00B21E52" w:rsidRDefault="00B21E52" w:rsidP="003A0C00">
            <w:pPr>
              <w:spacing w:afterLines="40" w:after="96"/>
              <w:rPr>
                <w:rFonts w:ascii="Arial" w:hAnsi="Arial" w:cs="Arial"/>
                <w:sz w:val="20"/>
                <w:szCs w:val="20"/>
              </w:rPr>
            </w:pPr>
            <w:r w:rsidRPr="00B21E52">
              <w:rPr>
                <w:rFonts w:ascii="Arial" w:hAnsi="Arial" w:cs="Arial"/>
                <w:sz w:val="20"/>
                <w:szCs w:val="20"/>
              </w:rPr>
              <w:t xml:space="preserve">Availability of GPs by region, 2013-14      </w:t>
            </w:r>
          </w:p>
        </w:tc>
      </w:tr>
      <w:tr w:rsidR="00B21E52" w:rsidTr="00361582">
        <w:trPr>
          <w:trHeight w:val="303"/>
        </w:trPr>
        <w:tc>
          <w:tcPr>
            <w:tcW w:w="1866" w:type="dxa"/>
            <w:tcBorders>
              <w:top w:val="nil"/>
              <w:left w:val="nil"/>
              <w:bottom w:val="nil"/>
              <w:right w:val="nil"/>
            </w:tcBorders>
            <w:shd w:val="clear" w:color="auto" w:fill="auto"/>
            <w:noWrap/>
            <w:hideMark/>
          </w:tcPr>
          <w:p w:rsidR="00B21E52" w:rsidRPr="00737BD6" w:rsidRDefault="00B21E52" w:rsidP="005C1F25">
            <w:pPr>
              <w:rPr>
                <w:rFonts w:ascii="Arial" w:hAnsi="Arial" w:cs="Arial"/>
                <w:b/>
                <w:sz w:val="20"/>
                <w:szCs w:val="20"/>
              </w:rPr>
            </w:pPr>
            <w:r w:rsidRPr="00737BD6">
              <w:rPr>
                <w:rFonts w:ascii="Arial" w:hAnsi="Arial" w:cs="Arial"/>
                <w:b/>
                <w:sz w:val="20"/>
                <w:szCs w:val="20"/>
              </w:rPr>
              <w:t>Table 10A.24</w:t>
            </w:r>
          </w:p>
        </w:tc>
        <w:tc>
          <w:tcPr>
            <w:tcW w:w="6923" w:type="dxa"/>
            <w:tcBorders>
              <w:top w:val="nil"/>
              <w:left w:val="nil"/>
              <w:bottom w:val="nil"/>
              <w:right w:val="nil"/>
            </w:tcBorders>
            <w:shd w:val="clear" w:color="auto" w:fill="auto"/>
            <w:hideMark/>
          </w:tcPr>
          <w:p w:rsidR="00B21E52" w:rsidRPr="00B21E52" w:rsidRDefault="00B21E52" w:rsidP="003A0C00">
            <w:pPr>
              <w:spacing w:afterLines="40" w:after="96"/>
              <w:rPr>
                <w:rFonts w:ascii="Arial" w:hAnsi="Arial" w:cs="Arial"/>
                <w:sz w:val="20"/>
                <w:szCs w:val="20"/>
              </w:rPr>
            </w:pPr>
            <w:r w:rsidRPr="00B21E52">
              <w:rPr>
                <w:rFonts w:ascii="Arial" w:hAnsi="Arial" w:cs="Arial"/>
                <w:sz w:val="20"/>
                <w:szCs w:val="20"/>
              </w:rPr>
              <w:t xml:space="preserve">Availability of GPs by region, 2004-05 to 2011-12    </w:t>
            </w:r>
          </w:p>
        </w:tc>
      </w:tr>
      <w:tr w:rsidR="00B21E52" w:rsidTr="00361582">
        <w:trPr>
          <w:trHeight w:val="265"/>
        </w:trPr>
        <w:tc>
          <w:tcPr>
            <w:tcW w:w="1866" w:type="dxa"/>
            <w:tcBorders>
              <w:top w:val="nil"/>
              <w:left w:val="nil"/>
              <w:bottom w:val="nil"/>
              <w:right w:val="nil"/>
            </w:tcBorders>
            <w:shd w:val="clear" w:color="auto" w:fill="auto"/>
            <w:noWrap/>
            <w:hideMark/>
          </w:tcPr>
          <w:p w:rsidR="00B21E52" w:rsidRPr="00737BD6" w:rsidRDefault="00B21E52" w:rsidP="005C1F25">
            <w:pPr>
              <w:rPr>
                <w:rFonts w:ascii="Arial" w:hAnsi="Arial" w:cs="Arial"/>
                <w:b/>
                <w:sz w:val="20"/>
                <w:szCs w:val="20"/>
              </w:rPr>
            </w:pPr>
            <w:r w:rsidRPr="00737BD6">
              <w:rPr>
                <w:rFonts w:ascii="Arial" w:hAnsi="Arial" w:cs="Arial"/>
                <w:b/>
                <w:sz w:val="20"/>
                <w:szCs w:val="20"/>
              </w:rPr>
              <w:t>Table 10A.25</w:t>
            </w:r>
          </w:p>
        </w:tc>
        <w:tc>
          <w:tcPr>
            <w:tcW w:w="6923" w:type="dxa"/>
            <w:tcBorders>
              <w:top w:val="nil"/>
              <w:left w:val="nil"/>
              <w:bottom w:val="nil"/>
              <w:right w:val="nil"/>
            </w:tcBorders>
            <w:shd w:val="clear" w:color="auto" w:fill="auto"/>
            <w:hideMark/>
          </w:tcPr>
          <w:p w:rsidR="00B21E52" w:rsidRPr="00B21E52" w:rsidRDefault="00B21E52" w:rsidP="003A0C00">
            <w:pPr>
              <w:spacing w:afterLines="40" w:after="96"/>
              <w:rPr>
                <w:rFonts w:ascii="Arial" w:hAnsi="Arial" w:cs="Arial"/>
                <w:sz w:val="20"/>
                <w:szCs w:val="20"/>
              </w:rPr>
            </w:pPr>
            <w:r w:rsidRPr="00B21E52">
              <w:rPr>
                <w:rFonts w:ascii="Arial" w:hAnsi="Arial" w:cs="Arial"/>
                <w:sz w:val="20"/>
                <w:szCs w:val="20"/>
              </w:rPr>
              <w:t xml:space="preserve">Availability of female GPs    </w:t>
            </w:r>
          </w:p>
        </w:tc>
      </w:tr>
      <w:tr w:rsidR="00B21E52" w:rsidTr="003A0C00">
        <w:trPr>
          <w:trHeight w:val="215"/>
        </w:trPr>
        <w:tc>
          <w:tcPr>
            <w:tcW w:w="1866" w:type="dxa"/>
            <w:tcBorders>
              <w:top w:val="nil"/>
              <w:left w:val="nil"/>
              <w:bottom w:val="nil"/>
              <w:right w:val="nil"/>
            </w:tcBorders>
            <w:shd w:val="clear" w:color="auto" w:fill="auto"/>
            <w:noWrap/>
            <w:hideMark/>
          </w:tcPr>
          <w:p w:rsidR="00B21E52" w:rsidRPr="00737BD6" w:rsidRDefault="00B21E52" w:rsidP="005C1F25">
            <w:pPr>
              <w:rPr>
                <w:rFonts w:ascii="Arial" w:hAnsi="Arial" w:cs="Arial"/>
                <w:b/>
                <w:sz w:val="20"/>
                <w:szCs w:val="20"/>
              </w:rPr>
            </w:pPr>
            <w:r w:rsidRPr="00737BD6">
              <w:rPr>
                <w:rFonts w:ascii="Arial" w:hAnsi="Arial" w:cs="Arial"/>
                <w:b/>
                <w:sz w:val="20"/>
                <w:szCs w:val="20"/>
              </w:rPr>
              <w:t>Table 10A.26</w:t>
            </w:r>
          </w:p>
        </w:tc>
        <w:tc>
          <w:tcPr>
            <w:tcW w:w="6923" w:type="dxa"/>
            <w:tcBorders>
              <w:top w:val="nil"/>
              <w:left w:val="nil"/>
              <w:bottom w:val="nil"/>
              <w:right w:val="nil"/>
            </w:tcBorders>
            <w:shd w:val="clear" w:color="auto" w:fill="auto"/>
            <w:hideMark/>
          </w:tcPr>
          <w:p w:rsidR="00B21E52" w:rsidRPr="00B21E52" w:rsidRDefault="00B21E52" w:rsidP="003A0C00">
            <w:pPr>
              <w:spacing w:afterLines="40" w:after="96"/>
              <w:rPr>
                <w:rFonts w:ascii="Arial" w:hAnsi="Arial" w:cs="Arial"/>
                <w:sz w:val="20"/>
                <w:szCs w:val="20"/>
              </w:rPr>
            </w:pPr>
            <w:r w:rsidRPr="00B21E52">
              <w:rPr>
                <w:rFonts w:ascii="Arial" w:hAnsi="Arial" w:cs="Arial"/>
                <w:sz w:val="20"/>
                <w:szCs w:val="20"/>
              </w:rPr>
              <w:t xml:space="preserve">Availability of male GPs    </w:t>
            </w:r>
          </w:p>
        </w:tc>
      </w:tr>
      <w:tr w:rsidR="00B21E52" w:rsidTr="003A0C00">
        <w:trPr>
          <w:trHeight w:val="177"/>
        </w:trPr>
        <w:tc>
          <w:tcPr>
            <w:tcW w:w="1866" w:type="dxa"/>
            <w:tcBorders>
              <w:top w:val="nil"/>
              <w:left w:val="nil"/>
              <w:bottom w:val="nil"/>
              <w:right w:val="nil"/>
            </w:tcBorders>
            <w:shd w:val="clear" w:color="auto" w:fill="auto"/>
            <w:noWrap/>
            <w:hideMark/>
          </w:tcPr>
          <w:p w:rsidR="00B21E52" w:rsidRPr="00737BD6" w:rsidRDefault="00B21E52" w:rsidP="005C1F25">
            <w:pPr>
              <w:rPr>
                <w:rFonts w:ascii="Arial" w:hAnsi="Arial" w:cs="Arial"/>
                <w:b/>
                <w:sz w:val="20"/>
                <w:szCs w:val="20"/>
              </w:rPr>
            </w:pPr>
            <w:r w:rsidRPr="00737BD6">
              <w:rPr>
                <w:rFonts w:ascii="Arial" w:hAnsi="Arial" w:cs="Arial"/>
                <w:b/>
                <w:sz w:val="20"/>
                <w:szCs w:val="20"/>
              </w:rPr>
              <w:t>Table 10A.27</w:t>
            </w:r>
          </w:p>
        </w:tc>
        <w:tc>
          <w:tcPr>
            <w:tcW w:w="6923" w:type="dxa"/>
            <w:tcBorders>
              <w:top w:val="nil"/>
              <w:left w:val="nil"/>
              <w:bottom w:val="nil"/>
              <w:right w:val="nil"/>
            </w:tcBorders>
            <w:shd w:val="clear" w:color="auto" w:fill="auto"/>
            <w:hideMark/>
          </w:tcPr>
          <w:p w:rsidR="00B21E52" w:rsidRPr="00B21E52" w:rsidRDefault="00B21E52" w:rsidP="003A0C00">
            <w:pPr>
              <w:spacing w:afterLines="40" w:after="96"/>
              <w:rPr>
                <w:rFonts w:ascii="Arial" w:hAnsi="Arial" w:cs="Arial"/>
                <w:sz w:val="20"/>
                <w:szCs w:val="20"/>
              </w:rPr>
            </w:pPr>
            <w:r w:rsidRPr="00B21E52">
              <w:rPr>
                <w:rFonts w:ascii="Arial" w:hAnsi="Arial" w:cs="Arial"/>
                <w:sz w:val="20"/>
                <w:szCs w:val="20"/>
              </w:rPr>
              <w:t xml:space="preserve">Availability of public dentists (per 100 000 people)      </w:t>
            </w:r>
          </w:p>
        </w:tc>
      </w:tr>
      <w:tr w:rsidR="00B21E52" w:rsidTr="00361582">
        <w:trPr>
          <w:trHeight w:val="357"/>
        </w:trPr>
        <w:tc>
          <w:tcPr>
            <w:tcW w:w="1866" w:type="dxa"/>
            <w:tcBorders>
              <w:top w:val="nil"/>
              <w:left w:val="nil"/>
              <w:bottom w:val="nil"/>
              <w:right w:val="nil"/>
            </w:tcBorders>
            <w:shd w:val="clear" w:color="auto" w:fill="auto"/>
            <w:noWrap/>
            <w:hideMark/>
          </w:tcPr>
          <w:p w:rsidR="00B21E52" w:rsidRPr="00737BD6" w:rsidRDefault="00B21E52" w:rsidP="005C1F25">
            <w:pPr>
              <w:rPr>
                <w:rFonts w:ascii="Arial" w:hAnsi="Arial" w:cs="Arial"/>
                <w:b/>
                <w:sz w:val="20"/>
                <w:szCs w:val="20"/>
              </w:rPr>
            </w:pPr>
            <w:r w:rsidRPr="00737BD6">
              <w:rPr>
                <w:rFonts w:ascii="Arial" w:hAnsi="Arial" w:cs="Arial"/>
                <w:b/>
                <w:sz w:val="20"/>
                <w:szCs w:val="20"/>
              </w:rPr>
              <w:t>Table 10A.28</w:t>
            </w:r>
          </w:p>
        </w:tc>
        <w:tc>
          <w:tcPr>
            <w:tcW w:w="6923" w:type="dxa"/>
            <w:tcBorders>
              <w:top w:val="nil"/>
              <w:left w:val="nil"/>
              <w:bottom w:val="nil"/>
              <w:right w:val="nil"/>
            </w:tcBorders>
            <w:shd w:val="clear" w:color="auto" w:fill="auto"/>
            <w:hideMark/>
          </w:tcPr>
          <w:p w:rsidR="00B21E52" w:rsidRPr="00B21E52" w:rsidRDefault="00B21E52" w:rsidP="003A0C00">
            <w:pPr>
              <w:spacing w:afterLines="40" w:after="96"/>
              <w:rPr>
                <w:rFonts w:ascii="Arial" w:hAnsi="Arial" w:cs="Arial"/>
                <w:sz w:val="20"/>
                <w:szCs w:val="20"/>
              </w:rPr>
            </w:pPr>
            <w:r w:rsidRPr="00B21E52">
              <w:rPr>
                <w:rFonts w:ascii="Arial" w:hAnsi="Arial" w:cs="Arial"/>
                <w:sz w:val="20"/>
                <w:szCs w:val="20"/>
              </w:rPr>
              <w:t xml:space="preserve">Availability of public dental hygienists and dental therapists (per 100 000 people)       </w:t>
            </w:r>
          </w:p>
        </w:tc>
      </w:tr>
      <w:tr w:rsidR="00B21E52" w:rsidRPr="00BB79D9" w:rsidTr="00361582">
        <w:trPr>
          <w:trHeight w:val="300"/>
        </w:trPr>
        <w:tc>
          <w:tcPr>
            <w:tcW w:w="1866" w:type="dxa"/>
            <w:tcBorders>
              <w:top w:val="nil"/>
              <w:left w:val="nil"/>
              <w:bottom w:val="nil"/>
              <w:right w:val="nil"/>
            </w:tcBorders>
            <w:shd w:val="clear" w:color="auto" w:fill="auto"/>
            <w:noWrap/>
          </w:tcPr>
          <w:p w:rsidR="00B21E52" w:rsidRPr="00737BD6" w:rsidRDefault="00B21E52" w:rsidP="00803B7A">
            <w:pPr>
              <w:rPr>
                <w:rFonts w:ascii="Arial" w:hAnsi="Arial" w:cs="Arial"/>
                <w:b/>
                <w:sz w:val="20"/>
                <w:szCs w:val="20"/>
              </w:rPr>
            </w:pPr>
            <w:r w:rsidRPr="00737BD6">
              <w:rPr>
                <w:rFonts w:ascii="Arial" w:hAnsi="Arial" w:cs="Arial"/>
                <w:b/>
                <w:sz w:val="20"/>
                <w:szCs w:val="20"/>
              </w:rPr>
              <w:t>Table 10A.29</w:t>
            </w:r>
          </w:p>
        </w:tc>
        <w:tc>
          <w:tcPr>
            <w:tcW w:w="6923" w:type="dxa"/>
            <w:tcBorders>
              <w:top w:val="nil"/>
              <w:left w:val="nil"/>
              <w:bottom w:val="nil"/>
              <w:right w:val="nil"/>
            </w:tcBorders>
            <w:shd w:val="clear" w:color="auto" w:fill="auto"/>
          </w:tcPr>
          <w:p w:rsidR="00B21E52" w:rsidRPr="00B21E52" w:rsidRDefault="00AE3E2D" w:rsidP="003A0C00">
            <w:pPr>
              <w:spacing w:afterLines="40" w:after="96"/>
              <w:rPr>
                <w:rFonts w:ascii="Arial" w:hAnsi="Arial" w:cs="Arial"/>
                <w:sz w:val="20"/>
                <w:szCs w:val="20"/>
              </w:rPr>
            </w:pPr>
            <w:r>
              <w:rPr>
                <w:rFonts w:ascii="Arial" w:hAnsi="Arial" w:cs="Arial"/>
                <w:sz w:val="20"/>
                <w:szCs w:val="20"/>
              </w:rPr>
              <w:t>Availability of public occupational therapists and p</w:t>
            </w:r>
            <w:r w:rsidR="00B21E52" w:rsidRPr="00B21E52">
              <w:rPr>
                <w:rFonts w:ascii="Arial" w:hAnsi="Arial" w:cs="Arial"/>
                <w:sz w:val="20"/>
                <w:szCs w:val="20"/>
              </w:rPr>
              <w:t xml:space="preserve">sychologists (per 100 000 people)      </w:t>
            </w:r>
          </w:p>
        </w:tc>
      </w:tr>
      <w:tr w:rsidR="00B21E52" w:rsidRPr="00BB79D9" w:rsidTr="00361582">
        <w:trPr>
          <w:trHeight w:val="300"/>
        </w:trPr>
        <w:tc>
          <w:tcPr>
            <w:tcW w:w="1866" w:type="dxa"/>
            <w:tcBorders>
              <w:top w:val="nil"/>
              <w:left w:val="nil"/>
              <w:bottom w:val="nil"/>
              <w:right w:val="nil"/>
            </w:tcBorders>
            <w:shd w:val="clear" w:color="auto" w:fill="auto"/>
            <w:noWrap/>
            <w:hideMark/>
          </w:tcPr>
          <w:p w:rsidR="00B21E52" w:rsidRPr="00737BD6" w:rsidRDefault="00B21E52" w:rsidP="00803B7A">
            <w:pPr>
              <w:rPr>
                <w:rFonts w:ascii="Arial" w:hAnsi="Arial" w:cs="Arial"/>
                <w:b/>
                <w:sz w:val="20"/>
                <w:szCs w:val="20"/>
              </w:rPr>
            </w:pPr>
            <w:r w:rsidRPr="00737BD6">
              <w:rPr>
                <w:rFonts w:ascii="Arial" w:hAnsi="Arial" w:cs="Arial"/>
                <w:b/>
                <w:sz w:val="20"/>
                <w:szCs w:val="20"/>
              </w:rPr>
              <w:t>Table 10A.30</w:t>
            </w:r>
          </w:p>
        </w:tc>
        <w:tc>
          <w:tcPr>
            <w:tcW w:w="6923" w:type="dxa"/>
            <w:tcBorders>
              <w:top w:val="nil"/>
              <w:left w:val="nil"/>
              <w:bottom w:val="nil"/>
              <w:right w:val="nil"/>
            </w:tcBorders>
            <w:shd w:val="clear" w:color="auto" w:fill="auto"/>
            <w:hideMark/>
          </w:tcPr>
          <w:p w:rsidR="00B21E52" w:rsidRPr="00B21E52" w:rsidRDefault="00B21E52" w:rsidP="003A0C00">
            <w:pPr>
              <w:spacing w:afterLines="40" w:after="96"/>
              <w:rPr>
                <w:rFonts w:ascii="Arial" w:hAnsi="Arial" w:cs="Arial"/>
                <w:sz w:val="20"/>
                <w:szCs w:val="20"/>
              </w:rPr>
            </w:pPr>
            <w:r w:rsidRPr="00B21E52">
              <w:rPr>
                <w:rFonts w:ascii="Arial" w:hAnsi="Arial" w:cs="Arial"/>
                <w:sz w:val="20"/>
                <w:szCs w:val="20"/>
              </w:rPr>
              <w:t xml:space="preserve">Annual health assessments for older people by Indigenous status (per cent)      </w:t>
            </w:r>
          </w:p>
        </w:tc>
      </w:tr>
      <w:tr w:rsidR="00B21E52" w:rsidTr="00361582">
        <w:trPr>
          <w:trHeight w:val="554"/>
        </w:trPr>
        <w:tc>
          <w:tcPr>
            <w:tcW w:w="1866" w:type="dxa"/>
            <w:tcBorders>
              <w:top w:val="nil"/>
              <w:left w:val="nil"/>
              <w:bottom w:val="nil"/>
              <w:right w:val="nil"/>
            </w:tcBorders>
            <w:shd w:val="clear" w:color="auto" w:fill="auto"/>
            <w:noWrap/>
            <w:hideMark/>
          </w:tcPr>
          <w:p w:rsidR="00B21E52" w:rsidRPr="00737BD6" w:rsidRDefault="00B21E52" w:rsidP="00803B7A">
            <w:pPr>
              <w:rPr>
                <w:rFonts w:ascii="Arial" w:hAnsi="Arial" w:cs="Arial"/>
                <w:b/>
                <w:sz w:val="20"/>
                <w:szCs w:val="20"/>
              </w:rPr>
            </w:pPr>
            <w:r w:rsidRPr="00737BD6">
              <w:rPr>
                <w:rFonts w:ascii="Arial" w:hAnsi="Arial" w:cs="Arial"/>
                <w:b/>
                <w:sz w:val="20"/>
                <w:szCs w:val="20"/>
              </w:rPr>
              <w:t>Table 10A.31</w:t>
            </w:r>
          </w:p>
        </w:tc>
        <w:tc>
          <w:tcPr>
            <w:tcW w:w="6923" w:type="dxa"/>
            <w:tcBorders>
              <w:top w:val="nil"/>
              <w:left w:val="nil"/>
              <w:bottom w:val="nil"/>
              <w:right w:val="nil"/>
            </w:tcBorders>
            <w:shd w:val="clear" w:color="auto" w:fill="auto"/>
            <w:hideMark/>
          </w:tcPr>
          <w:p w:rsidR="00B21E52" w:rsidRPr="00B21E52" w:rsidRDefault="00B21E52" w:rsidP="003A0C00">
            <w:pPr>
              <w:spacing w:afterLines="40" w:after="96"/>
              <w:rPr>
                <w:rFonts w:ascii="Arial" w:hAnsi="Arial" w:cs="Arial"/>
                <w:sz w:val="20"/>
                <w:szCs w:val="20"/>
              </w:rPr>
            </w:pPr>
            <w:r w:rsidRPr="00B21E52">
              <w:rPr>
                <w:rFonts w:ascii="Arial" w:hAnsi="Arial" w:cs="Arial"/>
                <w:sz w:val="20"/>
                <w:szCs w:val="20"/>
              </w:rPr>
              <w:t xml:space="preserve">Older Aboriginal and Torres Strait Islander people who received an annual health assessment (per cent)      </w:t>
            </w:r>
          </w:p>
        </w:tc>
      </w:tr>
      <w:tr w:rsidR="00B21E52" w:rsidTr="00361582">
        <w:trPr>
          <w:trHeight w:val="491"/>
        </w:trPr>
        <w:tc>
          <w:tcPr>
            <w:tcW w:w="1866" w:type="dxa"/>
            <w:tcBorders>
              <w:top w:val="nil"/>
              <w:left w:val="nil"/>
              <w:bottom w:val="nil"/>
              <w:right w:val="nil"/>
            </w:tcBorders>
            <w:shd w:val="clear" w:color="auto" w:fill="auto"/>
            <w:noWrap/>
            <w:hideMark/>
          </w:tcPr>
          <w:p w:rsidR="00B21E52" w:rsidRPr="00737BD6" w:rsidRDefault="00B21E52" w:rsidP="00803B7A">
            <w:pPr>
              <w:rPr>
                <w:rFonts w:ascii="Arial" w:hAnsi="Arial" w:cs="Arial"/>
                <w:b/>
                <w:sz w:val="20"/>
                <w:szCs w:val="20"/>
              </w:rPr>
            </w:pPr>
            <w:r w:rsidRPr="00737BD6">
              <w:rPr>
                <w:rFonts w:ascii="Arial" w:hAnsi="Arial" w:cs="Arial"/>
                <w:b/>
                <w:sz w:val="20"/>
                <w:szCs w:val="20"/>
              </w:rPr>
              <w:t>Table 10A.32</w:t>
            </w:r>
          </w:p>
        </w:tc>
        <w:tc>
          <w:tcPr>
            <w:tcW w:w="6923" w:type="dxa"/>
            <w:tcBorders>
              <w:top w:val="nil"/>
              <w:left w:val="nil"/>
              <w:bottom w:val="nil"/>
              <w:right w:val="nil"/>
            </w:tcBorders>
            <w:shd w:val="clear" w:color="auto" w:fill="auto"/>
            <w:hideMark/>
          </w:tcPr>
          <w:p w:rsidR="00B21E52" w:rsidRPr="00B21E52" w:rsidRDefault="00B21E52" w:rsidP="003A0C00">
            <w:pPr>
              <w:spacing w:afterLines="40" w:after="96"/>
              <w:rPr>
                <w:rFonts w:ascii="Arial" w:hAnsi="Arial" w:cs="Arial"/>
                <w:sz w:val="20"/>
                <w:szCs w:val="20"/>
              </w:rPr>
            </w:pPr>
            <w:r w:rsidRPr="00B21E52">
              <w:rPr>
                <w:rFonts w:ascii="Arial" w:hAnsi="Arial" w:cs="Arial"/>
                <w:sz w:val="20"/>
                <w:szCs w:val="20"/>
              </w:rPr>
              <w:t xml:space="preserve">Aboriginal and Torres Strait Islander people who received a health check or assessment, by age (per cent)    </w:t>
            </w:r>
          </w:p>
        </w:tc>
      </w:tr>
      <w:tr w:rsidR="00B21E52" w:rsidTr="00361582">
        <w:trPr>
          <w:trHeight w:val="355"/>
        </w:trPr>
        <w:tc>
          <w:tcPr>
            <w:tcW w:w="1866" w:type="dxa"/>
            <w:tcBorders>
              <w:top w:val="nil"/>
              <w:left w:val="nil"/>
              <w:bottom w:val="nil"/>
              <w:right w:val="nil"/>
            </w:tcBorders>
            <w:shd w:val="clear" w:color="auto" w:fill="auto"/>
            <w:noWrap/>
            <w:hideMark/>
          </w:tcPr>
          <w:p w:rsidR="00B21E52" w:rsidRPr="00737BD6" w:rsidRDefault="00B21E52" w:rsidP="00803B7A">
            <w:pPr>
              <w:rPr>
                <w:rFonts w:ascii="Arial" w:hAnsi="Arial" w:cs="Arial"/>
                <w:b/>
                <w:sz w:val="20"/>
                <w:szCs w:val="20"/>
              </w:rPr>
            </w:pPr>
            <w:r w:rsidRPr="00737BD6">
              <w:rPr>
                <w:rFonts w:ascii="Arial" w:hAnsi="Arial" w:cs="Arial"/>
                <w:b/>
                <w:sz w:val="20"/>
                <w:szCs w:val="20"/>
              </w:rPr>
              <w:t>Table 10A.33</w:t>
            </w:r>
          </w:p>
        </w:tc>
        <w:tc>
          <w:tcPr>
            <w:tcW w:w="6923" w:type="dxa"/>
            <w:tcBorders>
              <w:top w:val="nil"/>
              <w:left w:val="nil"/>
              <w:bottom w:val="nil"/>
              <w:right w:val="nil"/>
            </w:tcBorders>
            <w:shd w:val="clear" w:color="auto" w:fill="auto"/>
            <w:hideMark/>
          </w:tcPr>
          <w:p w:rsidR="00B21E52" w:rsidRPr="00B21E52" w:rsidRDefault="00B21E52" w:rsidP="003A0C00">
            <w:pPr>
              <w:spacing w:afterLines="40" w:after="96"/>
              <w:rPr>
                <w:rFonts w:ascii="Arial" w:hAnsi="Arial" w:cs="Arial"/>
                <w:sz w:val="20"/>
                <w:szCs w:val="20"/>
              </w:rPr>
            </w:pPr>
            <w:r w:rsidRPr="00B21E52">
              <w:rPr>
                <w:rFonts w:ascii="Arial" w:hAnsi="Arial" w:cs="Arial"/>
                <w:sz w:val="20"/>
                <w:szCs w:val="20"/>
              </w:rPr>
              <w:t xml:space="preserve">Proportion of children receiving a fourth year developmental health check, by type of health check (per cent)     </w:t>
            </w:r>
          </w:p>
        </w:tc>
      </w:tr>
      <w:tr w:rsidR="00B21E52" w:rsidTr="00361582">
        <w:trPr>
          <w:trHeight w:val="369"/>
        </w:trPr>
        <w:tc>
          <w:tcPr>
            <w:tcW w:w="1866" w:type="dxa"/>
            <w:tcBorders>
              <w:top w:val="nil"/>
              <w:left w:val="nil"/>
              <w:bottom w:val="nil"/>
              <w:right w:val="nil"/>
            </w:tcBorders>
            <w:shd w:val="clear" w:color="auto" w:fill="auto"/>
            <w:noWrap/>
            <w:hideMark/>
          </w:tcPr>
          <w:p w:rsidR="00B21E52" w:rsidRPr="00737BD6" w:rsidRDefault="00B21E52" w:rsidP="00803B7A">
            <w:pPr>
              <w:rPr>
                <w:rFonts w:ascii="Arial" w:hAnsi="Arial" w:cs="Arial"/>
                <w:b/>
                <w:sz w:val="20"/>
                <w:szCs w:val="20"/>
              </w:rPr>
            </w:pPr>
            <w:r w:rsidRPr="00737BD6">
              <w:rPr>
                <w:rFonts w:ascii="Arial" w:hAnsi="Arial" w:cs="Arial"/>
                <w:b/>
                <w:sz w:val="20"/>
                <w:szCs w:val="20"/>
              </w:rPr>
              <w:t>Table 10A.34</w:t>
            </w:r>
          </w:p>
        </w:tc>
        <w:tc>
          <w:tcPr>
            <w:tcW w:w="6923" w:type="dxa"/>
            <w:tcBorders>
              <w:top w:val="nil"/>
              <w:left w:val="nil"/>
              <w:bottom w:val="nil"/>
              <w:right w:val="nil"/>
            </w:tcBorders>
            <w:shd w:val="clear" w:color="auto" w:fill="auto"/>
            <w:hideMark/>
          </w:tcPr>
          <w:p w:rsidR="00B21E52" w:rsidRPr="00B21E52" w:rsidRDefault="00B21E52" w:rsidP="003A0C00">
            <w:pPr>
              <w:spacing w:afterLines="40" w:after="96"/>
              <w:rPr>
                <w:rFonts w:ascii="Arial" w:hAnsi="Arial" w:cs="Arial"/>
                <w:sz w:val="20"/>
                <w:szCs w:val="20"/>
              </w:rPr>
            </w:pPr>
            <w:r w:rsidRPr="00B21E52">
              <w:rPr>
                <w:rFonts w:ascii="Arial" w:hAnsi="Arial" w:cs="Arial"/>
                <w:sz w:val="20"/>
                <w:szCs w:val="20"/>
              </w:rPr>
              <w:t xml:space="preserve">Non-referred attendances that were bulk billed, by region and age (per cent)    </w:t>
            </w:r>
          </w:p>
        </w:tc>
      </w:tr>
      <w:tr w:rsidR="00B21E52" w:rsidRPr="00AC310C" w:rsidTr="003A0C00">
        <w:trPr>
          <w:trHeight w:val="343"/>
        </w:trPr>
        <w:tc>
          <w:tcPr>
            <w:tcW w:w="1866" w:type="dxa"/>
            <w:tcBorders>
              <w:top w:val="nil"/>
              <w:left w:val="nil"/>
              <w:bottom w:val="nil"/>
              <w:right w:val="nil"/>
            </w:tcBorders>
            <w:shd w:val="clear" w:color="auto" w:fill="auto"/>
            <w:noWrap/>
          </w:tcPr>
          <w:p w:rsidR="00B21E52" w:rsidRPr="00737BD6" w:rsidRDefault="00B21E52" w:rsidP="00803B7A">
            <w:pPr>
              <w:rPr>
                <w:rFonts w:ascii="Arial" w:hAnsi="Arial" w:cs="Arial"/>
                <w:b/>
                <w:sz w:val="20"/>
                <w:szCs w:val="20"/>
              </w:rPr>
            </w:pPr>
            <w:r w:rsidRPr="00737BD6">
              <w:rPr>
                <w:rFonts w:ascii="Arial" w:hAnsi="Arial" w:cs="Arial"/>
                <w:b/>
                <w:sz w:val="20"/>
                <w:szCs w:val="20"/>
              </w:rPr>
              <w:t>Table 10A.35</w:t>
            </w:r>
          </w:p>
        </w:tc>
        <w:tc>
          <w:tcPr>
            <w:tcW w:w="6923" w:type="dxa"/>
            <w:tcBorders>
              <w:top w:val="nil"/>
              <w:left w:val="nil"/>
              <w:bottom w:val="nil"/>
              <w:right w:val="nil"/>
            </w:tcBorders>
            <w:shd w:val="clear" w:color="auto" w:fill="auto"/>
          </w:tcPr>
          <w:p w:rsidR="00B21E52" w:rsidRPr="00B21E52" w:rsidRDefault="00B21E52" w:rsidP="003A0C00">
            <w:pPr>
              <w:spacing w:afterLines="40" w:after="96"/>
              <w:rPr>
                <w:rFonts w:ascii="Arial" w:hAnsi="Arial" w:cs="Arial"/>
                <w:sz w:val="20"/>
                <w:szCs w:val="20"/>
              </w:rPr>
            </w:pPr>
            <w:r w:rsidRPr="00B21E52">
              <w:rPr>
                <w:rFonts w:ascii="Arial" w:hAnsi="Arial" w:cs="Arial"/>
                <w:sz w:val="20"/>
                <w:szCs w:val="20"/>
              </w:rPr>
              <w:t xml:space="preserve">Non-referred attendances that were bulk billed, by region and age, 2006-07 to 2011-12 (per cent)     </w:t>
            </w:r>
          </w:p>
        </w:tc>
      </w:tr>
      <w:tr w:rsidR="00B21E52" w:rsidTr="00361582">
        <w:trPr>
          <w:trHeight w:val="297"/>
        </w:trPr>
        <w:tc>
          <w:tcPr>
            <w:tcW w:w="1866" w:type="dxa"/>
            <w:tcBorders>
              <w:top w:val="nil"/>
              <w:left w:val="nil"/>
              <w:bottom w:val="nil"/>
              <w:right w:val="nil"/>
            </w:tcBorders>
            <w:shd w:val="clear" w:color="auto" w:fill="auto"/>
            <w:noWrap/>
            <w:hideMark/>
          </w:tcPr>
          <w:p w:rsidR="00B21E52" w:rsidRPr="00737BD6" w:rsidRDefault="00B21E52" w:rsidP="00803B7A">
            <w:pPr>
              <w:rPr>
                <w:rFonts w:ascii="Arial" w:hAnsi="Arial" w:cs="Arial"/>
                <w:b/>
                <w:sz w:val="20"/>
                <w:szCs w:val="20"/>
              </w:rPr>
            </w:pPr>
            <w:r w:rsidRPr="00737BD6">
              <w:rPr>
                <w:rFonts w:ascii="Arial" w:hAnsi="Arial" w:cs="Arial"/>
                <w:b/>
                <w:sz w:val="20"/>
                <w:szCs w:val="20"/>
              </w:rPr>
              <w:t>Table 10A.36</w:t>
            </w:r>
          </w:p>
        </w:tc>
        <w:tc>
          <w:tcPr>
            <w:tcW w:w="6923" w:type="dxa"/>
            <w:tcBorders>
              <w:top w:val="nil"/>
              <w:left w:val="nil"/>
              <w:bottom w:val="nil"/>
              <w:right w:val="nil"/>
            </w:tcBorders>
            <w:shd w:val="clear" w:color="auto" w:fill="auto"/>
            <w:hideMark/>
          </w:tcPr>
          <w:p w:rsidR="00B21E52" w:rsidRPr="00B21E52" w:rsidRDefault="00B21E52" w:rsidP="003A0C00">
            <w:pPr>
              <w:spacing w:afterLines="40" w:after="96"/>
              <w:rPr>
                <w:rFonts w:ascii="Arial" w:hAnsi="Arial" w:cs="Arial"/>
                <w:sz w:val="20"/>
                <w:szCs w:val="20"/>
              </w:rPr>
            </w:pPr>
            <w:r w:rsidRPr="00B21E52">
              <w:rPr>
                <w:rFonts w:ascii="Arial" w:hAnsi="Arial" w:cs="Arial"/>
                <w:sz w:val="20"/>
                <w:szCs w:val="20"/>
              </w:rPr>
              <w:t xml:space="preserve">Non-referred attendances that were bulk billed by age (per cent)    </w:t>
            </w:r>
          </w:p>
        </w:tc>
      </w:tr>
      <w:tr w:rsidR="00B21E52" w:rsidTr="00361582">
        <w:trPr>
          <w:trHeight w:val="245"/>
        </w:trPr>
        <w:tc>
          <w:tcPr>
            <w:tcW w:w="1866" w:type="dxa"/>
            <w:tcBorders>
              <w:top w:val="nil"/>
              <w:left w:val="nil"/>
              <w:bottom w:val="nil"/>
              <w:right w:val="nil"/>
            </w:tcBorders>
            <w:shd w:val="clear" w:color="auto" w:fill="auto"/>
            <w:noWrap/>
            <w:hideMark/>
          </w:tcPr>
          <w:p w:rsidR="00B21E52" w:rsidRPr="00737BD6" w:rsidRDefault="00B21E52" w:rsidP="00803B7A">
            <w:pPr>
              <w:rPr>
                <w:rFonts w:ascii="Arial" w:hAnsi="Arial" w:cs="Arial"/>
                <w:b/>
                <w:sz w:val="20"/>
                <w:szCs w:val="20"/>
              </w:rPr>
            </w:pPr>
            <w:r w:rsidRPr="00737BD6">
              <w:rPr>
                <w:rFonts w:ascii="Arial" w:hAnsi="Arial" w:cs="Arial"/>
                <w:b/>
                <w:sz w:val="20"/>
                <w:szCs w:val="20"/>
              </w:rPr>
              <w:t>Table 10A.37</w:t>
            </w:r>
          </w:p>
        </w:tc>
        <w:tc>
          <w:tcPr>
            <w:tcW w:w="6923" w:type="dxa"/>
            <w:tcBorders>
              <w:top w:val="nil"/>
              <w:left w:val="nil"/>
              <w:bottom w:val="nil"/>
              <w:right w:val="nil"/>
            </w:tcBorders>
            <w:shd w:val="clear" w:color="auto" w:fill="auto"/>
            <w:hideMark/>
          </w:tcPr>
          <w:p w:rsidR="00B21E52" w:rsidRPr="00B21E52" w:rsidRDefault="00B21E52" w:rsidP="003A0C00">
            <w:pPr>
              <w:spacing w:afterLines="40" w:after="96"/>
              <w:rPr>
                <w:rFonts w:ascii="Arial" w:hAnsi="Arial" w:cs="Arial"/>
                <w:sz w:val="20"/>
                <w:szCs w:val="20"/>
              </w:rPr>
            </w:pPr>
            <w:r w:rsidRPr="00B21E52">
              <w:rPr>
                <w:rFonts w:ascii="Arial" w:hAnsi="Arial" w:cs="Arial"/>
                <w:sz w:val="20"/>
                <w:szCs w:val="20"/>
              </w:rPr>
              <w:t xml:space="preserve">People deferring access to GPs due to cost (per cent)       </w:t>
            </w:r>
          </w:p>
        </w:tc>
      </w:tr>
      <w:tr w:rsidR="00B21E52" w:rsidTr="00361582">
        <w:trPr>
          <w:trHeight w:val="349"/>
        </w:trPr>
        <w:tc>
          <w:tcPr>
            <w:tcW w:w="1866" w:type="dxa"/>
            <w:tcBorders>
              <w:top w:val="nil"/>
              <w:left w:val="nil"/>
              <w:bottom w:val="nil"/>
              <w:right w:val="nil"/>
            </w:tcBorders>
            <w:shd w:val="clear" w:color="auto" w:fill="auto"/>
            <w:noWrap/>
            <w:hideMark/>
          </w:tcPr>
          <w:p w:rsidR="00B21E52" w:rsidRPr="00737BD6" w:rsidRDefault="00B21E52" w:rsidP="00803B7A">
            <w:pPr>
              <w:rPr>
                <w:rFonts w:ascii="Arial" w:hAnsi="Arial" w:cs="Arial"/>
                <w:b/>
                <w:sz w:val="20"/>
                <w:szCs w:val="20"/>
              </w:rPr>
            </w:pPr>
            <w:r w:rsidRPr="00737BD6">
              <w:rPr>
                <w:rFonts w:ascii="Arial" w:hAnsi="Arial" w:cs="Arial"/>
                <w:b/>
                <w:sz w:val="20"/>
                <w:szCs w:val="20"/>
              </w:rPr>
              <w:t>Table 10A.38</w:t>
            </w:r>
          </w:p>
        </w:tc>
        <w:tc>
          <w:tcPr>
            <w:tcW w:w="6923" w:type="dxa"/>
            <w:tcBorders>
              <w:top w:val="nil"/>
              <w:left w:val="nil"/>
              <w:bottom w:val="nil"/>
              <w:right w:val="nil"/>
            </w:tcBorders>
            <w:shd w:val="clear" w:color="auto" w:fill="auto"/>
            <w:hideMark/>
          </w:tcPr>
          <w:p w:rsidR="00B21E52" w:rsidRPr="00B21E52" w:rsidRDefault="00B21E52" w:rsidP="003A0C00">
            <w:pPr>
              <w:spacing w:afterLines="40" w:after="96"/>
              <w:rPr>
                <w:rFonts w:ascii="Arial" w:hAnsi="Arial" w:cs="Arial"/>
                <w:sz w:val="20"/>
                <w:szCs w:val="20"/>
              </w:rPr>
            </w:pPr>
            <w:r w:rsidRPr="00B21E52">
              <w:rPr>
                <w:rFonts w:ascii="Arial" w:hAnsi="Arial" w:cs="Arial"/>
                <w:sz w:val="20"/>
                <w:szCs w:val="20"/>
              </w:rPr>
              <w:t xml:space="preserve">Aboriginal and Torres Strait Islander people deferring access to GPs due to cost, 2012-13 (per cent)     </w:t>
            </w:r>
          </w:p>
        </w:tc>
      </w:tr>
      <w:tr w:rsidR="00B21E52" w:rsidTr="003A0C00">
        <w:trPr>
          <w:trHeight w:val="285"/>
        </w:trPr>
        <w:tc>
          <w:tcPr>
            <w:tcW w:w="1866" w:type="dxa"/>
            <w:tcBorders>
              <w:top w:val="nil"/>
              <w:left w:val="nil"/>
              <w:bottom w:val="nil"/>
              <w:right w:val="nil"/>
            </w:tcBorders>
            <w:shd w:val="clear" w:color="auto" w:fill="auto"/>
            <w:noWrap/>
            <w:hideMark/>
          </w:tcPr>
          <w:p w:rsidR="00B21E52" w:rsidRPr="00737BD6" w:rsidRDefault="00B21E52" w:rsidP="00803B7A">
            <w:pPr>
              <w:rPr>
                <w:rFonts w:ascii="Arial" w:hAnsi="Arial" w:cs="Arial"/>
                <w:b/>
                <w:sz w:val="20"/>
                <w:szCs w:val="20"/>
              </w:rPr>
            </w:pPr>
            <w:r w:rsidRPr="00737BD6">
              <w:rPr>
                <w:rFonts w:ascii="Arial" w:hAnsi="Arial" w:cs="Arial"/>
                <w:b/>
                <w:sz w:val="20"/>
                <w:szCs w:val="20"/>
              </w:rPr>
              <w:t>Table 10A.39</w:t>
            </w:r>
          </w:p>
        </w:tc>
        <w:tc>
          <w:tcPr>
            <w:tcW w:w="6923" w:type="dxa"/>
            <w:tcBorders>
              <w:top w:val="nil"/>
              <w:left w:val="nil"/>
              <w:bottom w:val="nil"/>
              <w:right w:val="nil"/>
            </w:tcBorders>
            <w:shd w:val="clear" w:color="auto" w:fill="auto"/>
            <w:hideMark/>
          </w:tcPr>
          <w:p w:rsidR="00B21E52" w:rsidRPr="00B21E52" w:rsidRDefault="00B21E52" w:rsidP="003A0C00">
            <w:pPr>
              <w:spacing w:afterLines="40" w:after="96"/>
              <w:rPr>
                <w:rFonts w:ascii="Arial" w:hAnsi="Arial" w:cs="Arial"/>
                <w:sz w:val="20"/>
                <w:szCs w:val="20"/>
              </w:rPr>
            </w:pPr>
            <w:r w:rsidRPr="00B21E52">
              <w:rPr>
                <w:rFonts w:ascii="Arial" w:hAnsi="Arial" w:cs="Arial"/>
                <w:sz w:val="20"/>
                <w:szCs w:val="20"/>
              </w:rPr>
              <w:t xml:space="preserve">Waiting time for GPs for an urgent appointment (per cent)       </w:t>
            </w:r>
          </w:p>
        </w:tc>
      </w:tr>
      <w:tr w:rsidR="00B21E52" w:rsidTr="00361582">
        <w:trPr>
          <w:trHeight w:val="576"/>
        </w:trPr>
        <w:tc>
          <w:tcPr>
            <w:tcW w:w="1866" w:type="dxa"/>
            <w:tcBorders>
              <w:top w:val="nil"/>
              <w:left w:val="nil"/>
              <w:bottom w:val="nil"/>
              <w:right w:val="nil"/>
            </w:tcBorders>
            <w:shd w:val="clear" w:color="auto" w:fill="auto"/>
            <w:noWrap/>
            <w:hideMark/>
          </w:tcPr>
          <w:p w:rsidR="00B21E52" w:rsidRPr="00737BD6" w:rsidRDefault="00B21E52" w:rsidP="00803B7A">
            <w:pPr>
              <w:rPr>
                <w:rFonts w:ascii="Arial" w:hAnsi="Arial" w:cs="Arial"/>
                <w:b/>
                <w:sz w:val="20"/>
                <w:szCs w:val="20"/>
              </w:rPr>
            </w:pPr>
            <w:r w:rsidRPr="00737BD6">
              <w:rPr>
                <w:rFonts w:ascii="Arial" w:hAnsi="Arial" w:cs="Arial"/>
                <w:b/>
                <w:sz w:val="20"/>
                <w:szCs w:val="20"/>
              </w:rPr>
              <w:t>Table 10A.40</w:t>
            </w:r>
          </w:p>
        </w:tc>
        <w:tc>
          <w:tcPr>
            <w:tcW w:w="6923" w:type="dxa"/>
            <w:tcBorders>
              <w:top w:val="nil"/>
              <w:left w:val="nil"/>
              <w:bottom w:val="nil"/>
              <w:right w:val="nil"/>
            </w:tcBorders>
            <w:shd w:val="clear" w:color="auto" w:fill="auto"/>
            <w:hideMark/>
          </w:tcPr>
          <w:p w:rsidR="00B21E52" w:rsidRPr="00B21E52" w:rsidRDefault="00B21E52" w:rsidP="003A0C00">
            <w:pPr>
              <w:spacing w:afterLines="40" w:after="96"/>
              <w:rPr>
                <w:rFonts w:ascii="Arial" w:hAnsi="Arial" w:cs="Arial"/>
                <w:sz w:val="20"/>
                <w:szCs w:val="20"/>
              </w:rPr>
            </w:pPr>
            <w:r w:rsidRPr="00B21E52">
              <w:rPr>
                <w:rFonts w:ascii="Arial" w:hAnsi="Arial" w:cs="Arial"/>
                <w:sz w:val="20"/>
                <w:szCs w:val="20"/>
              </w:rPr>
              <w:t xml:space="preserve">Proportion of people who saw a GP in the previous 12 months who waited longer than felt acceptable to get an appointment (per cent)    </w:t>
            </w:r>
          </w:p>
        </w:tc>
      </w:tr>
      <w:tr w:rsidR="00B21E52" w:rsidTr="00361582">
        <w:trPr>
          <w:trHeight w:val="558"/>
        </w:trPr>
        <w:tc>
          <w:tcPr>
            <w:tcW w:w="1866" w:type="dxa"/>
            <w:tcBorders>
              <w:top w:val="nil"/>
              <w:left w:val="nil"/>
              <w:bottom w:val="nil"/>
              <w:right w:val="nil"/>
            </w:tcBorders>
            <w:shd w:val="clear" w:color="auto" w:fill="auto"/>
            <w:noWrap/>
            <w:hideMark/>
          </w:tcPr>
          <w:p w:rsidR="00B21E52" w:rsidRPr="00737BD6" w:rsidRDefault="00B21E52" w:rsidP="00803B7A">
            <w:pPr>
              <w:rPr>
                <w:rFonts w:ascii="Arial" w:hAnsi="Arial" w:cs="Arial"/>
                <w:b/>
                <w:sz w:val="20"/>
                <w:szCs w:val="20"/>
              </w:rPr>
            </w:pPr>
            <w:r w:rsidRPr="00737BD6">
              <w:rPr>
                <w:rFonts w:ascii="Arial" w:hAnsi="Arial" w:cs="Arial"/>
                <w:b/>
                <w:sz w:val="20"/>
                <w:szCs w:val="20"/>
              </w:rPr>
              <w:t>Table 10A.41</w:t>
            </w:r>
          </w:p>
        </w:tc>
        <w:tc>
          <w:tcPr>
            <w:tcW w:w="6923" w:type="dxa"/>
            <w:tcBorders>
              <w:top w:val="nil"/>
              <w:left w:val="nil"/>
              <w:bottom w:val="nil"/>
              <w:right w:val="nil"/>
            </w:tcBorders>
            <w:shd w:val="clear" w:color="auto" w:fill="auto"/>
            <w:hideMark/>
          </w:tcPr>
          <w:p w:rsidR="00B21E52" w:rsidRPr="00B21E52" w:rsidRDefault="00B21E52" w:rsidP="003A0C00">
            <w:pPr>
              <w:spacing w:afterLines="40" w:after="96"/>
              <w:rPr>
                <w:rFonts w:ascii="Arial" w:hAnsi="Arial" w:cs="Arial"/>
                <w:sz w:val="20"/>
                <w:szCs w:val="20"/>
              </w:rPr>
            </w:pPr>
            <w:r w:rsidRPr="00B21E52">
              <w:rPr>
                <w:rFonts w:ascii="Arial" w:hAnsi="Arial" w:cs="Arial"/>
                <w:sz w:val="20"/>
                <w:szCs w:val="20"/>
              </w:rPr>
              <w:t xml:space="preserve">Selected potentially avoidable GP-type presentations to emergency departments (number)   </w:t>
            </w:r>
          </w:p>
        </w:tc>
      </w:tr>
      <w:tr w:rsidR="00B21E52" w:rsidTr="00361582">
        <w:trPr>
          <w:trHeight w:val="393"/>
        </w:trPr>
        <w:tc>
          <w:tcPr>
            <w:tcW w:w="1866" w:type="dxa"/>
            <w:tcBorders>
              <w:top w:val="nil"/>
              <w:left w:val="nil"/>
              <w:bottom w:val="nil"/>
              <w:right w:val="nil"/>
            </w:tcBorders>
            <w:shd w:val="clear" w:color="auto" w:fill="auto"/>
            <w:noWrap/>
            <w:hideMark/>
          </w:tcPr>
          <w:p w:rsidR="00B21E52" w:rsidRPr="00737BD6" w:rsidRDefault="00B21E52" w:rsidP="00803B7A">
            <w:pPr>
              <w:rPr>
                <w:rFonts w:ascii="Arial" w:hAnsi="Arial" w:cs="Arial"/>
                <w:b/>
                <w:sz w:val="20"/>
                <w:szCs w:val="20"/>
              </w:rPr>
            </w:pPr>
            <w:r w:rsidRPr="00737BD6">
              <w:rPr>
                <w:rFonts w:ascii="Arial" w:hAnsi="Arial" w:cs="Arial"/>
                <w:b/>
                <w:sz w:val="20"/>
                <w:szCs w:val="20"/>
              </w:rPr>
              <w:t>Table 10A.42</w:t>
            </w:r>
          </w:p>
        </w:tc>
        <w:tc>
          <w:tcPr>
            <w:tcW w:w="6923" w:type="dxa"/>
            <w:tcBorders>
              <w:top w:val="nil"/>
              <w:left w:val="nil"/>
              <w:bottom w:val="nil"/>
              <w:right w:val="nil"/>
            </w:tcBorders>
            <w:shd w:val="clear" w:color="auto" w:fill="auto"/>
            <w:hideMark/>
          </w:tcPr>
          <w:p w:rsidR="00B21E52" w:rsidRPr="00B21E52" w:rsidRDefault="00B21E52" w:rsidP="003A0C00">
            <w:pPr>
              <w:spacing w:afterLines="40" w:after="96"/>
              <w:rPr>
                <w:rFonts w:ascii="Arial" w:hAnsi="Arial" w:cs="Arial"/>
                <w:sz w:val="20"/>
                <w:szCs w:val="20"/>
              </w:rPr>
            </w:pPr>
            <w:r w:rsidRPr="00B21E52">
              <w:rPr>
                <w:rFonts w:ascii="Arial" w:hAnsi="Arial" w:cs="Arial"/>
                <w:sz w:val="20"/>
                <w:szCs w:val="20"/>
              </w:rPr>
              <w:t xml:space="preserve">People attending a hospital emergency department who thought the care could have been provided at a general practice    </w:t>
            </w:r>
          </w:p>
        </w:tc>
      </w:tr>
      <w:tr w:rsidR="00B21E52" w:rsidTr="003A0C00">
        <w:trPr>
          <w:trHeight w:val="228"/>
        </w:trPr>
        <w:tc>
          <w:tcPr>
            <w:tcW w:w="1866" w:type="dxa"/>
            <w:tcBorders>
              <w:top w:val="nil"/>
              <w:left w:val="nil"/>
              <w:bottom w:val="nil"/>
              <w:right w:val="nil"/>
            </w:tcBorders>
            <w:shd w:val="clear" w:color="auto" w:fill="auto"/>
            <w:noWrap/>
            <w:hideMark/>
          </w:tcPr>
          <w:p w:rsidR="00B21E52" w:rsidRPr="00737BD6" w:rsidRDefault="00B21E52" w:rsidP="00803B7A">
            <w:pPr>
              <w:rPr>
                <w:rFonts w:ascii="Arial" w:hAnsi="Arial" w:cs="Arial"/>
                <w:b/>
                <w:sz w:val="20"/>
                <w:szCs w:val="20"/>
              </w:rPr>
            </w:pPr>
            <w:r w:rsidRPr="00737BD6">
              <w:rPr>
                <w:rFonts w:ascii="Arial" w:hAnsi="Arial" w:cs="Arial"/>
                <w:b/>
                <w:sz w:val="20"/>
                <w:szCs w:val="20"/>
              </w:rPr>
              <w:t>Table 10A.43</w:t>
            </w:r>
          </w:p>
        </w:tc>
        <w:tc>
          <w:tcPr>
            <w:tcW w:w="6923" w:type="dxa"/>
            <w:tcBorders>
              <w:top w:val="nil"/>
              <w:left w:val="nil"/>
              <w:bottom w:val="nil"/>
              <w:right w:val="nil"/>
            </w:tcBorders>
            <w:shd w:val="clear" w:color="auto" w:fill="auto"/>
            <w:hideMark/>
          </w:tcPr>
          <w:p w:rsidR="00B21E52" w:rsidRPr="00B21E52" w:rsidRDefault="00B21E52" w:rsidP="003A0C00">
            <w:pPr>
              <w:spacing w:afterLines="40" w:after="96"/>
              <w:rPr>
                <w:rFonts w:ascii="Arial" w:hAnsi="Arial" w:cs="Arial"/>
                <w:sz w:val="20"/>
                <w:szCs w:val="20"/>
              </w:rPr>
            </w:pPr>
            <w:r w:rsidRPr="00B21E52">
              <w:rPr>
                <w:rFonts w:ascii="Arial" w:hAnsi="Arial" w:cs="Arial"/>
                <w:sz w:val="20"/>
                <w:szCs w:val="20"/>
              </w:rPr>
              <w:t xml:space="preserve">People deferring access to prescribed medication due to cost (per cent)      </w:t>
            </w:r>
          </w:p>
        </w:tc>
      </w:tr>
      <w:tr w:rsidR="00B21E52" w:rsidTr="00361582">
        <w:trPr>
          <w:trHeight w:val="357"/>
        </w:trPr>
        <w:tc>
          <w:tcPr>
            <w:tcW w:w="1866" w:type="dxa"/>
            <w:tcBorders>
              <w:top w:val="nil"/>
              <w:left w:val="nil"/>
              <w:bottom w:val="nil"/>
              <w:right w:val="nil"/>
            </w:tcBorders>
            <w:shd w:val="clear" w:color="auto" w:fill="auto"/>
            <w:noWrap/>
            <w:hideMark/>
          </w:tcPr>
          <w:p w:rsidR="00B21E52" w:rsidRPr="00737BD6" w:rsidRDefault="00B21E52" w:rsidP="00803B7A">
            <w:pPr>
              <w:rPr>
                <w:rFonts w:ascii="Arial" w:hAnsi="Arial" w:cs="Arial"/>
                <w:b/>
                <w:sz w:val="20"/>
                <w:szCs w:val="20"/>
              </w:rPr>
            </w:pPr>
            <w:r w:rsidRPr="00737BD6">
              <w:rPr>
                <w:rFonts w:ascii="Arial" w:hAnsi="Arial" w:cs="Arial"/>
                <w:b/>
                <w:sz w:val="20"/>
                <w:szCs w:val="20"/>
              </w:rPr>
              <w:t>Table 10A.44</w:t>
            </w:r>
          </w:p>
        </w:tc>
        <w:tc>
          <w:tcPr>
            <w:tcW w:w="6923" w:type="dxa"/>
            <w:tcBorders>
              <w:top w:val="nil"/>
              <w:left w:val="nil"/>
              <w:bottom w:val="nil"/>
              <w:right w:val="nil"/>
            </w:tcBorders>
            <w:shd w:val="clear" w:color="auto" w:fill="auto"/>
            <w:hideMark/>
          </w:tcPr>
          <w:p w:rsidR="00B21E52" w:rsidRPr="00B21E52" w:rsidRDefault="00B21E52" w:rsidP="003A0C00">
            <w:pPr>
              <w:spacing w:afterLines="40" w:after="96"/>
              <w:rPr>
                <w:rFonts w:ascii="Arial" w:hAnsi="Arial" w:cs="Arial"/>
                <w:sz w:val="20"/>
                <w:szCs w:val="20"/>
              </w:rPr>
            </w:pPr>
            <w:r w:rsidRPr="00B21E52">
              <w:rPr>
                <w:rFonts w:ascii="Arial" w:hAnsi="Arial" w:cs="Arial"/>
                <w:sz w:val="20"/>
                <w:szCs w:val="20"/>
              </w:rPr>
              <w:t xml:space="preserve">Aboriginal and Torres Strait Islander people deferring access to prescribed medication due to cost, 2012-13 (per cent)      </w:t>
            </w:r>
          </w:p>
        </w:tc>
      </w:tr>
      <w:tr w:rsidR="00B21E52" w:rsidTr="00361582">
        <w:trPr>
          <w:trHeight w:val="357"/>
        </w:trPr>
        <w:tc>
          <w:tcPr>
            <w:tcW w:w="1866" w:type="dxa"/>
            <w:tcBorders>
              <w:top w:val="nil"/>
              <w:left w:val="nil"/>
              <w:bottom w:val="nil"/>
              <w:right w:val="nil"/>
            </w:tcBorders>
            <w:shd w:val="clear" w:color="auto" w:fill="auto"/>
            <w:noWrap/>
            <w:hideMark/>
          </w:tcPr>
          <w:p w:rsidR="00B21E52" w:rsidRPr="00737BD6" w:rsidRDefault="00B21E52" w:rsidP="00803B7A">
            <w:pPr>
              <w:rPr>
                <w:rFonts w:ascii="Arial" w:hAnsi="Arial" w:cs="Arial"/>
                <w:b/>
                <w:sz w:val="20"/>
                <w:szCs w:val="20"/>
              </w:rPr>
            </w:pPr>
            <w:r w:rsidRPr="00737BD6">
              <w:rPr>
                <w:rFonts w:ascii="Arial" w:hAnsi="Arial" w:cs="Arial"/>
                <w:b/>
                <w:sz w:val="20"/>
                <w:szCs w:val="20"/>
              </w:rPr>
              <w:t>Table 10A.45</w:t>
            </w:r>
          </w:p>
        </w:tc>
        <w:tc>
          <w:tcPr>
            <w:tcW w:w="6923" w:type="dxa"/>
            <w:tcBorders>
              <w:top w:val="nil"/>
              <w:left w:val="nil"/>
              <w:bottom w:val="nil"/>
              <w:right w:val="nil"/>
            </w:tcBorders>
            <w:shd w:val="clear" w:color="auto" w:fill="auto"/>
            <w:hideMark/>
          </w:tcPr>
          <w:p w:rsidR="00B21E52" w:rsidRPr="00B21E52" w:rsidRDefault="00B21E52" w:rsidP="003A0C00">
            <w:pPr>
              <w:spacing w:afterLines="40" w:after="96"/>
              <w:rPr>
                <w:rFonts w:ascii="Arial" w:hAnsi="Arial" w:cs="Arial"/>
                <w:sz w:val="20"/>
                <w:szCs w:val="20"/>
              </w:rPr>
            </w:pPr>
            <w:r w:rsidRPr="00B21E52">
              <w:rPr>
                <w:rFonts w:ascii="Arial" w:hAnsi="Arial" w:cs="Arial"/>
                <w:sz w:val="20"/>
                <w:szCs w:val="20"/>
              </w:rPr>
              <w:t xml:space="preserve">Waiting time for public dentistry (per cent)      </w:t>
            </w:r>
          </w:p>
        </w:tc>
      </w:tr>
      <w:tr w:rsidR="00B26D34" w:rsidTr="00361582">
        <w:trPr>
          <w:trHeight w:val="362"/>
        </w:trPr>
        <w:tc>
          <w:tcPr>
            <w:tcW w:w="1866" w:type="dxa"/>
            <w:tcBorders>
              <w:top w:val="nil"/>
              <w:left w:val="nil"/>
              <w:bottom w:val="nil"/>
              <w:right w:val="nil"/>
            </w:tcBorders>
            <w:shd w:val="clear" w:color="auto" w:fill="auto"/>
            <w:noWrap/>
            <w:hideMark/>
          </w:tcPr>
          <w:p w:rsidR="00B26D34" w:rsidRPr="00737BD6" w:rsidRDefault="00B26D34" w:rsidP="00803B7A">
            <w:pPr>
              <w:rPr>
                <w:rFonts w:ascii="Arial" w:hAnsi="Arial" w:cs="Arial"/>
                <w:b/>
                <w:sz w:val="20"/>
                <w:szCs w:val="20"/>
              </w:rPr>
            </w:pPr>
            <w:r w:rsidRPr="00737BD6">
              <w:rPr>
                <w:rFonts w:ascii="Arial" w:hAnsi="Arial" w:cs="Arial"/>
                <w:b/>
                <w:sz w:val="20"/>
                <w:szCs w:val="20"/>
              </w:rPr>
              <w:t>Table 10A.46</w:t>
            </w:r>
          </w:p>
        </w:tc>
        <w:tc>
          <w:tcPr>
            <w:tcW w:w="6923" w:type="dxa"/>
            <w:tcBorders>
              <w:top w:val="nil"/>
              <w:left w:val="nil"/>
              <w:bottom w:val="nil"/>
              <w:right w:val="nil"/>
            </w:tcBorders>
            <w:shd w:val="clear" w:color="auto" w:fill="auto"/>
            <w:hideMark/>
          </w:tcPr>
          <w:p w:rsidR="00B26D34" w:rsidRPr="00B26D34" w:rsidRDefault="00B26D34" w:rsidP="003A0C00">
            <w:pPr>
              <w:spacing w:afterLines="40" w:after="96"/>
              <w:rPr>
                <w:rFonts w:ascii="Arial" w:hAnsi="Arial" w:cs="Arial"/>
                <w:sz w:val="20"/>
                <w:szCs w:val="20"/>
              </w:rPr>
            </w:pPr>
            <w:r w:rsidRPr="00B26D34">
              <w:rPr>
                <w:rFonts w:ascii="Arial" w:hAnsi="Arial" w:cs="Arial"/>
                <w:sz w:val="20"/>
                <w:szCs w:val="20"/>
              </w:rPr>
              <w:t xml:space="preserve">Waiting time for public dentistry by remoteness, Australia      </w:t>
            </w:r>
          </w:p>
        </w:tc>
      </w:tr>
      <w:tr w:rsidR="00B26D34" w:rsidTr="00361582">
        <w:trPr>
          <w:trHeight w:val="526"/>
        </w:trPr>
        <w:tc>
          <w:tcPr>
            <w:tcW w:w="1866" w:type="dxa"/>
            <w:tcBorders>
              <w:top w:val="nil"/>
              <w:left w:val="nil"/>
              <w:bottom w:val="nil"/>
              <w:right w:val="nil"/>
            </w:tcBorders>
            <w:shd w:val="clear" w:color="auto" w:fill="auto"/>
            <w:noWrap/>
            <w:hideMark/>
          </w:tcPr>
          <w:p w:rsidR="00B26D34" w:rsidRPr="00737BD6" w:rsidRDefault="00B26D34" w:rsidP="00803B7A">
            <w:pPr>
              <w:rPr>
                <w:rFonts w:ascii="Arial" w:hAnsi="Arial" w:cs="Arial"/>
                <w:b/>
                <w:sz w:val="20"/>
                <w:szCs w:val="20"/>
              </w:rPr>
            </w:pPr>
            <w:r w:rsidRPr="00737BD6">
              <w:rPr>
                <w:rFonts w:ascii="Arial" w:hAnsi="Arial" w:cs="Arial"/>
                <w:b/>
                <w:sz w:val="20"/>
                <w:szCs w:val="20"/>
              </w:rPr>
              <w:t>Table 10A.47</w:t>
            </w:r>
          </w:p>
        </w:tc>
        <w:tc>
          <w:tcPr>
            <w:tcW w:w="6923" w:type="dxa"/>
            <w:tcBorders>
              <w:top w:val="nil"/>
              <w:left w:val="nil"/>
              <w:bottom w:val="nil"/>
              <w:right w:val="nil"/>
            </w:tcBorders>
            <w:shd w:val="clear" w:color="auto" w:fill="auto"/>
            <w:hideMark/>
          </w:tcPr>
          <w:p w:rsidR="00B26D34" w:rsidRPr="00B26D34" w:rsidRDefault="00B26D34" w:rsidP="003A0C00">
            <w:pPr>
              <w:spacing w:afterLines="40" w:after="96"/>
              <w:rPr>
                <w:rFonts w:ascii="Arial" w:hAnsi="Arial" w:cs="Arial"/>
                <w:sz w:val="20"/>
                <w:szCs w:val="20"/>
              </w:rPr>
            </w:pPr>
            <w:r w:rsidRPr="00B26D34">
              <w:rPr>
                <w:rFonts w:ascii="Arial" w:hAnsi="Arial" w:cs="Arial"/>
                <w:sz w:val="20"/>
                <w:szCs w:val="20"/>
              </w:rPr>
              <w:t xml:space="preserve">Waiting times for public dentistry, Aboriginal and Torres Strait Islander people, by remoteness, Australia, 2012-13 (per cent)     </w:t>
            </w:r>
          </w:p>
        </w:tc>
      </w:tr>
      <w:tr w:rsidR="00B26D34" w:rsidTr="00361582">
        <w:trPr>
          <w:trHeight w:val="357"/>
        </w:trPr>
        <w:tc>
          <w:tcPr>
            <w:tcW w:w="1866" w:type="dxa"/>
            <w:tcBorders>
              <w:top w:val="nil"/>
              <w:left w:val="nil"/>
              <w:bottom w:val="nil"/>
              <w:right w:val="nil"/>
            </w:tcBorders>
            <w:shd w:val="clear" w:color="auto" w:fill="auto"/>
            <w:noWrap/>
            <w:hideMark/>
          </w:tcPr>
          <w:p w:rsidR="00B26D34" w:rsidRPr="00737BD6" w:rsidRDefault="00B26D34" w:rsidP="00803B7A">
            <w:pPr>
              <w:rPr>
                <w:rFonts w:ascii="Arial" w:hAnsi="Arial" w:cs="Arial"/>
                <w:b/>
                <w:sz w:val="20"/>
                <w:szCs w:val="20"/>
              </w:rPr>
            </w:pPr>
            <w:r w:rsidRPr="00737BD6">
              <w:rPr>
                <w:rFonts w:ascii="Arial" w:hAnsi="Arial" w:cs="Arial"/>
                <w:b/>
                <w:sz w:val="20"/>
                <w:szCs w:val="20"/>
              </w:rPr>
              <w:t>Table 10A.48</w:t>
            </w:r>
          </w:p>
        </w:tc>
        <w:tc>
          <w:tcPr>
            <w:tcW w:w="6923" w:type="dxa"/>
            <w:tcBorders>
              <w:top w:val="nil"/>
              <w:left w:val="nil"/>
              <w:bottom w:val="nil"/>
              <w:right w:val="nil"/>
            </w:tcBorders>
            <w:shd w:val="clear" w:color="auto" w:fill="auto"/>
            <w:hideMark/>
          </w:tcPr>
          <w:p w:rsidR="00B26D34" w:rsidRPr="00B26D34" w:rsidRDefault="00B26D34" w:rsidP="003A0C00">
            <w:pPr>
              <w:spacing w:afterLines="40" w:after="96"/>
              <w:rPr>
                <w:rFonts w:ascii="Arial" w:hAnsi="Arial" w:cs="Arial"/>
                <w:sz w:val="20"/>
                <w:szCs w:val="20"/>
              </w:rPr>
            </w:pPr>
            <w:r w:rsidRPr="00B26D34">
              <w:rPr>
                <w:rFonts w:ascii="Arial" w:hAnsi="Arial" w:cs="Arial"/>
                <w:sz w:val="20"/>
                <w:szCs w:val="20"/>
              </w:rPr>
              <w:t xml:space="preserve">Proportion of full time workload equivalent (FWE) GPs with vocational registration by region (per cent)    </w:t>
            </w:r>
          </w:p>
        </w:tc>
      </w:tr>
      <w:tr w:rsidR="00B26D34" w:rsidTr="00361582">
        <w:trPr>
          <w:trHeight w:val="357"/>
        </w:trPr>
        <w:tc>
          <w:tcPr>
            <w:tcW w:w="1866" w:type="dxa"/>
            <w:tcBorders>
              <w:top w:val="nil"/>
              <w:left w:val="nil"/>
              <w:bottom w:val="nil"/>
              <w:right w:val="nil"/>
            </w:tcBorders>
            <w:shd w:val="clear" w:color="auto" w:fill="auto"/>
            <w:noWrap/>
            <w:hideMark/>
          </w:tcPr>
          <w:p w:rsidR="00B26D34" w:rsidRPr="00737BD6" w:rsidRDefault="00B26D34" w:rsidP="00803B7A">
            <w:pPr>
              <w:rPr>
                <w:rFonts w:ascii="Arial" w:hAnsi="Arial" w:cs="Arial"/>
                <w:b/>
                <w:sz w:val="20"/>
                <w:szCs w:val="20"/>
              </w:rPr>
            </w:pPr>
            <w:r w:rsidRPr="00737BD6">
              <w:rPr>
                <w:rFonts w:ascii="Arial" w:hAnsi="Arial" w:cs="Arial"/>
                <w:b/>
                <w:sz w:val="20"/>
                <w:szCs w:val="20"/>
              </w:rPr>
              <w:t>Table 10A.49</w:t>
            </w:r>
          </w:p>
        </w:tc>
        <w:tc>
          <w:tcPr>
            <w:tcW w:w="6923" w:type="dxa"/>
            <w:tcBorders>
              <w:top w:val="nil"/>
              <w:left w:val="nil"/>
              <w:bottom w:val="nil"/>
              <w:right w:val="nil"/>
            </w:tcBorders>
            <w:shd w:val="clear" w:color="auto" w:fill="auto"/>
            <w:hideMark/>
          </w:tcPr>
          <w:p w:rsidR="00B26D34" w:rsidRPr="00B26D34" w:rsidRDefault="00B26D34" w:rsidP="003A0C00">
            <w:pPr>
              <w:spacing w:afterLines="40" w:after="96"/>
              <w:rPr>
                <w:rFonts w:ascii="Arial" w:hAnsi="Arial" w:cs="Arial"/>
                <w:sz w:val="20"/>
                <w:szCs w:val="20"/>
              </w:rPr>
            </w:pPr>
            <w:r w:rsidRPr="00B26D34">
              <w:rPr>
                <w:rFonts w:ascii="Arial" w:hAnsi="Arial" w:cs="Arial"/>
                <w:sz w:val="20"/>
                <w:szCs w:val="20"/>
              </w:rPr>
              <w:t xml:space="preserve">Proportion of full time workload equivalent (FWE) GPs with vocational registration, by region, 2003-04 to 2011-12 (per cent)    </w:t>
            </w:r>
          </w:p>
        </w:tc>
      </w:tr>
      <w:tr w:rsidR="00B26D34" w:rsidTr="00361582">
        <w:trPr>
          <w:trHeight w:val="357"/>
        </w:trPr>
        <w:tc>
          <w:tcPr>
            <w:tcW w:w="1866" w:type="dxa"/>
            <w:tcBorders>
              <w:top w:val="nil"/>
              <w:left w:val="nil"/>
              <w:bottom w:val="nil"/>
              <w:right w:val="nil"/>
            </w:tcBorders>
            <w:shd w:val="clear" w:color="auto" w:fill="auto"/>
            <w:noWrap/>
            <w:hideMark/>
          </w:tcPr>
          <w:p w:rsidR="00B26D34" w:rsidRPr="00737BD6" w:rsidRDefault="00B26D34" w:rsidP="00803B7A">
            <w:pPr>
              <w:rPr>
                <w:rFonts w:ascii="Arial" w:hAnsi="Arial" w:cs="Arial"/>
                <w:b/>
                <w:sz w:val="20"/>
                <w:szCs w:val="20"/>
              </w:rPr>
            </w:pPr>
            <w:r w:rsidRPr="00737BD6">
              <w:rPr>
                <w:rFonts w:ascii="Arial" w:hAnsi="Arial" w:cs="Arial"/>
                <w:b/>
                <w:sz w:val="20"/>
                <w:szCs w:val="20"/>
              </w:rPr>
              <w:t>Table 10A.50</w:t>
            </w:r>
          </w:p>
        </w:tc>
        <w:tc>
          <w:tcPr>
            <w:tcW w:w="6923" w:type="dxa"/>
            <w:tcBorders>
              <w:top w:val="nil"/>
              <w:left w:val="nil"/>
              <w:bottom w:val="nil"/>
              <w:right w:val="nil"/>
            </w:tcBorders>
            <w:shd w:val="clear" w:color="auto" w:fill="auto"/>
            <w:hideMark/>
          </w:tcPr>
          <w:p w:rsidR="00B26D34" w:rsidRPr="00B26D34" w:rsidRDefault="00B26D34" w:rsidP="003A0C00">
            <w:pPr>
              <w:spacing w:afterLines="40" w:after="96"/>
              <w:rPr>
                <w:rFonts w:ascii="Arial" w:hAnsi="Arial" w:cs="Arial"/>
                <w:sz w:val="20"/>
                <w:szCs w:val="20"/>
              </w:rPr>
            </w:pPr>
            <w:r w:rsidRPr="00B26D34">
              <w:rPr>
                <w:rFonts w:ascii="Arial" w:hAnsi="Arial" w:cs="Arial"/>
                <w:sz w:val="20"/>
                <w:szCs w:val="20"/>
              </w:rPr>
              <w:t xml:space="preserve">Number and proportion of full time workload equivalent (FWE) GPs with vocational registration   </w:t>
            </w:r>
          </w:p>
        </w:tc>
      </w:tr>
      <w:tr w:rsidR="00B26D34" w:rsidTr="003A0C00">
        <w:trPr>
          <w:trHeight w:val="226"/>
        </w:trPr>
        <w:tc>
          <w:tcPr>
            <w:tcW w:w="1866" w:type="dxa"/>
            <w:tcBorders>
              <w:top w:val="nil"/>
              <w:left w:val="nil"/>
              <w:bottom w:val="nil"/>
              <w:right w:val="nil"/>
            </w:tcBorders>
            <w:shd w:val="clear" w:color="auto" w:fill="auto"/>
            <w:noWrap/>
            <w:hideMark/>
          </w:tcPr>
          <w:p w:rsidR="00B26D34" w:rsidRPr="00737BD6" w:rsidRDefault="00B26D34" w:rsidP="00803B7A">
            <w:pPr>
              <w:rPr>
                <w:rFonts w:ascii="Arial" w:hAnsi="Arial" w:cs="Arial"/>
                <w:b/>
                <w:sz w:val="20"/>
                <w:szCs w:val="20"/>
              </w:rPr>
            </w:pPr>
            <w:r w:rsidRPr="00737BD6">
              <w:rPr>
                <w:rFonts w:ascii="Arial" w:hAnsi="Arial" w:cs="Arial"/>
                <w:b/>
                <w:sz w:val="20"/>
                <w:szCs w:val="20"/>
              </w:rPr>
              <w:t>Table 10A.51</w:t>
            </w:r>
          </w:p>
        </w:tc>
        <w:tc>
          <w:tcPr>
            <w:tcW w:w="6923" w:type="dxa"/>
            <w:tcBorders>
              <w:top w:val="nil"/>
              <w:left w:val="nil"/>
              <w:bottom w:val="nil"/>
              <w:right w:val="nil"/>
            </w:tcBorders>
            <w:shd w:val="clear" w:color="auto" w:fill="auto"/>
            <w:hideMark/>
          </w:tcPr>
          <w:p w:rsidR="00B26D34" w:rsidRPr="00B26D34" w:rsidRDefault="00B26D34" w:rsidP="003A0C00">
            <w:pPr>
              <w:spacing w:afterLines="40" w:after="96"/>
              <w:rPr>
                <w:rFonts w:ascii="Arial" w:hAnsi="Arial" w:cs="Arial"/>
                <w:sz w:val="20"/>
                <w:szCs w:val="20"/>
              </w:rPr>
            </w:pPr>
            <w:r w:rsidRPr="00B26D34">
              <w:rPr>
                <w:rFonts w:ascii="Arial" w:hAnsi="Arial" w:cs="Arial"/>
                <w:sz w:val="20"/>
                <w:szCs w:val="20"/>
              </w:rPr>
              <w:t xml:space="preserve">General practices that are accredited at 30 June </w:t>
            </w:r>
          </w:p>
        </w:tc>
      </w:tr>
      <w:tr w:rsidR="00B26D34" w:rsidTr="003A0C00">
        <w:trPr>
          <w:trHeight w:val="160"/>
        </w:trPr>
        <w:tc>
          <w:tcPr>
            <w:tcW w:w="1866" w:type="dxa"/>
            <w:tcBorders>
              <w:top w:val="nil"/>
              <w:left w:val="nil"/>
              <w:bottom w:val="nil"/>
              <w:right w:val="nil"/>
            </w:tcBorders>
            <w:shd w:val="clear" w:color="auto" w:fill="auto"/>
            <w:noWrap/>
            <w:hideMark/>
          </w:tcPr>
          <w:p w:rsidR="00B26D34" w:rsidRPr="00737BD6" w:rsidRDefault="00B26D34" w:rsidP="00803B7A">
            <w:pPr>
              <w:rPr>
                <w:rFonts w:ascii="Arial" w:hAnsi="Arial" w:cs="Arial"/>
                <w:b/>
                <w:sz w:val="20"/>
                <w:szCs w:val="20"/>
              </w:rPr>
            </w:pPr>
            <w:r w:rsidRPr="00737BD6">
              <w:rPr>
                <w:rFonts w:ascii="Arial" w:hAnsi="Arial" w:cs="Arial"/>
                <w:b/>
                <w:sz w:val="20"/>
                <w:szCs w:val="20"/>
              </w:rPr>
              <w:t>Table 10A.52</w:t>
            </w:r>
          </w:p>
        </w:tc>
        <w:tc>
          <w:tcPr>
            <w:tcW w:w="6923" w:type="dxa"/>
            <w:tcBorders>
              <w:top w:val="nil"/>
              <w:left w:val="nil"/>
              <w:bottom w:val="nil"/>
              <w:right w:val="nil"/>
            </w:tcBorders>
            <w:shd w:val="clear" w:color="auto" w:fill="auto"/>
            <w:hideMark/>
          </w:tcPr>
          <w:p w:rsidR="00B26D34" w:rsidRPr="00B26D34" w:rsidRDefault="00B26D34" w:rsidP="003A0C00">
            <w:pPr>
              <w:spacing w:afterLines="40" w:after="96"/>
              <w:rPr>
                <w:rFonts w:ascii="Arial" w:hAnsi="Arial" w:cs="Arial"/>
                <w:sz w:val="20"/>
                <w:szCs w:val="20"/>
              </w:rPr>
            </w:pPr>
            <w:r w:rsidRPr="00B26D34">
              <w:rPr>
                <w:rFonts w:ascii="Arial" w:hAnsi="Arial" w:cs="Arial"/>
                <w:sz w:val="20"/>
                <w:szCs w:val="20"/>
              </w:rPr>
              <w:t>General practice activity in PIP practices (per cent)</w:t>
            </w:r>
          </w:p>
        </w:tc>
      </w:tr>
      <w:tr w:rsidR="00B26D34" w:rsidTr="00361582">
        <w:trPr>
          <w:trHeight w:val="279"/>
        </w:trPr>
        <w:tc>
          <w:tcPr>
            <w:tcW w:w="1866" w:type="dxa"/>
            <w:tcBorders>
              <w:top w:val="nil"/>
              <w:left w:val="nil"/>
              <w:bottom w:val="nil"/>
              <w:right w:val="nil"/>
            </w:tcBorders>
            <w:shd w:val="clear" w:color="auto" w:fill="auto"/>
            <w:noWrap/>
            <w:hideMark/>
          </w:tcPr>
          <w:p w:rsidR="00B26D34" w:rsidRPr="00737BD6" w:rsidRDefault="00B26D34" w:rsidP="00803B7A">
            <w:pPr>
              <w:rPr>
                <w:rFonts w:ascii="Arial" w:hAnsi="Arial" w:cs="Arial"/>
                <w:b/>
                <w:sz w:val="20"/>
                <w:szCs w:val="20"/>
              </w:rPr>
            </w:pPr>
            <w:r w:rsidRPr="00737BD6">
              <w:rPr>
                <w:rFonts w:ascii="Arial" w:hAnsi="Arial" w:cs="Arial"/>
                <w:b/>
                <w:sz w:val="20"/>
                <w:szCs w:val="20"/>
              </w:rPr>
              <w:t>Table 10A.53</w:t>
            </w:r>
          </w:p>
        </w:tc>
        <w:tc>
          <w:tcPr>
            <w:tcW w:w="6923" w:type="dxa"/>
            <w:tcBorders>
              <w:top w:val="nil"/>
              <w:left w:val="nil"/>
              <w:bottom w:val="nil"/>
              <w:right w:val="nil"/>
            </w:tcBorders>
            <w:shd w:val="clear" w:color="auto" w:fill="auto"/>
            <w:hideMark/>
          </w:tcPr>
          <w:p w:rsidR="00B26D34" w:rsidRPr="00B26D34" w:rsidRDefault="00B26D34" w:rsidP="003A0C00">
            <w:pPr>
              <w:spacing w:afterLines="40" w:after="96"/>
              <w:rPr>
                <w:rFonts w:ascii="Arial" w:hAnsi="Arial" w:cs="Arial"/>
                <w:sz w:val="20"/>
                <w:szCs w:val="20"/>
              </w:rPr>
            </w:pPr>
            <w:r w:rsidRPr="00B26D34">
              <w:rPr>
                <w:rFonts w:ascii="Arial" w:hAnsi="Arial" w:cs="Arial"/>
                <w:sz w:val="20"/>
                <w:szCs w:val="20"/>
              </w:rPr>
              <w:t xml:space="preserve">Filled prescriptions, ordered by GPs, for oral antibiotics that are used most commonly for treatment of upper respiratory tract infections   </w:t>
            </w:r>
          </w:p>
        </w:tc>
      </w:tr>
      <w:tr w:rsidR="00B26D34" w:rsidTr="00361582">
        <w:trPr>
          <w:trHeight w:val="660"/>
        </w:trPr>
        <w:tc>
          <w:tcPr>
            <w:tcW w:w="1866" w:type="dxa"/>
            <w:tcBorders>
              <w:top w:val="nil"/>
              <w:left w:val="nil"/>
              <w:bottom w:val="nil"/>
              <w:right w:val="nil"/>
            </w:tcBorders>
            <w:shd w:val="clear" w:color="auto" w:fill="auto"/>
            <w:noWrap/>
            <w:hideMark/>
          </w:tcPr>
          <w:p w:rsidR="00B26D34" w:rsidRPr="00737BD6" w:rsidRDefault="00B26D34" w:rsidP="00803B7A">
            <w:pPr>
              <w:rPr>
                <w:rFonts w:ascii="Arial" w:hAnsi="Arial" w:cs="Arial"/>
                <w:b/>
                <w:sz w:val="20"/>
                <w:szCs w:val="20"/>
              </w:rPr>
            </w:pPr>
            <w:r w:rsidRPr="00737BD6">
              <w:rPr>
                <w:rFonts w:ascii="Arial" w:hAnsi="Arial" w:cs="Arial"/>
                <w:b/>
                <w:sz w:val="20"/>
                <w:szCs w:val="20"/>
              </w:rPr>
              <w:t>Table 10A.54</w:t>
            </w:r>
          </w:p>
        </w:tc>
        <w:tc>
          <w:tcPr>
            <w:tcW w:w="6923" w:type="dxa"/>
            <w:tcBorders>
              <w:top w:val="nil"/>
              <w:left w:val="nil"/>
              <w:bottom w:val="nil"/>
              <w:right w:val="nil"/>
            </w:tcBorders>
            <w:shd w:val="clear" w:color="auto" w:fill="auto"/>
            <w:hideMark/>
          </w:tcPr>
          <w:p w:rsidR="00B26D34" w:rsidRPr="00B26D34" w:rsidRDefault="00B26D34" w:rsidP="003A0C00">
            <w:pPr>
              <w:spacing w:afterLines="40" w:after="96"/>
              <w:rPr>
                <w:rFonts w:ascii="Arial" w:hAnsi="Arial" w:cs="Arial"/>
                <w:sz w:val="20"/>
                <w:szCs w:val="20"/>
              </w:rPr>
            </w:pPr>
            <w:r w:rsidRPr="00B26D34">
              <w:rPr>
                <w:rFonts w:ascii="Arial" w:hAnsi="Arial" w:cs="Arial"/>
                <w:sz w:val="20"/>
                <w:szCs w:val="20"/>
              </w:rPr>
              <w:t xml:space="preserve">Prescriptions for oral antibiotics used most commonly in the treatment of upper respiratory tract infections ordered by GPs and provided to PBS concession card holders, 2009-10 to 2011-12    </w:t>
            </w:r>
          </w:p>
        </w:tc>
      </w:tr>
      <w:tr w:rsidR="00B26D34" w:rsidTr="00361582">
        <w:trPr>
          <w:trHeight w:val="612"/>
        </w:trPr>
        <w:tc>
          <w:tcPr>
            <w:tcW w:w="1866" w:type="dxa"/>
            <w:tcBorders>
              <w:top w:val="nil"/>
              <w:left w:val="nil"/>
              <w:bottom w:val="nil"/>
              <w:right w:val="nil"/>
            </w:tcBorders>
            <w:shd w:val="clear" w:color="auto" w:fill="auto"/>
            <w:noWrap/>
            <w:hideMark/>
          </w:tcPr>
          <w:p w:rsidR="00B26D34" w:rsidRPr="00737BD6" w:rsidRDefault="00B26D34" w:rsidP="00803B7A">
            <w:pPr>
              <w:rPr>
                <w:rFonts w:ascii="Arial" w:hAnsi="Arial" w:cs="Arial"/>
                <w:b/>
                <w:sz w:val="20"/>
                <w:szCs w:val="20"/>
              </w:rPr>
            </w:pPr>
            <w:r w:rsidRPr="00737BD6">
              <w:rPr>
                <w:rFonts w:ascii="Arial" w:hAnsi="Arial" w:cs="Arial"/>
                <w:b/>
                <w:sz w:val="20"/>
                <w:szCs w:val="20"/>
              </w:rPr>
              <w:t>Table 10A.55</w:t>
            </w:r>
          </w:p>
        </w:tc>
        <w:tc>
          <w:tcPr>
            <w:tcW w:w="6923" w:type="dxa"/>
            <w:tcBorders>
              <w:top w:val="nil"/>
              <w:left w:val="nil"/>
              <w:bottom w:val="nil"/>
              <w:right w:val="nil"/>
            </w:tcBorders>
            <w:shd w:val="clear" w:color="auto" w:fill="auto"/>
            <w:hideMark/>
          </w:tcPr>
          <w:p w:rsidR="00B26D34" w:rsidRPr="00B26D34" w:rsidRDefault="00B26D34" w:rsidP="003A0C00">
            <w:pPr>
              <w:spacing w:afterLines="40" w:after="96"/>
              <w:rPr>
                <w:rFonts w:ascii="Arial" w:hAnsi="Arial" w:cs="Arial"/>
                <w:sz w:val="20"/>
                <w:szCs w:val="20"/>
              </w:rPr>
            </w:pPr>
            <w:r w:rsidRPr="00B26D34">
              <w:rPr>
                <w:rFonts w:ascii="Arial" w:hAnsi="Arial" w:cs="Arial"/>
                <w:sz w:val="20"/>
                <w:szCs w:val="20"/>
              </w:rPr>
              <w:t xml:space="preserve">Proportion of GP encounters for the management of acute URTI where systemic antibiotics were prescribed or supplied   </w:t>
            </w:r>
          </w:p>
        </w:tc>
      </w:tr>
      <w:tr w:rsidR="00B26D34" w:rsidTr="00361582">
        <w:trPr>
          <w:trHeight w:val="612"/>
        </w:trPr>
        <w:tc>
          <w:tcPr>
            <w:tcW w:w="1866" w:type="dxa"/>
            <w:tcBorders>
              <w:top w:val="nil"/>
              <w:left w:val="nil"/>
              <w:bottom w:val="nil"/>
              <w:right w:val="nil"/>
            </w:tcBorders>
            <w:shd w:val="clear" w:color="auto" w:fill="auto"/>
            <w:noWrap/>
            <w:hideMark/>
          </w:tcPr>
          <w:p w:rsidR="00B26D34" w:rsidRPr="00737BD6" w:rsidRDefault="00B26D34" w:rsidP="00803B7A">
            <w:pPr>
              <w:rPr>
                <w:rFonts w:ascii="Arial" w:hAnsi="Arial" w:cs="Arial"/>
                <w:b/>
                <w:sz w:val="20"/>
                <w:szCs w:val="20"/>
              </w:rPr>
            </w:pPr>
            <w:r w:rsidRPr="00737BD6">
              <w:rPr>
                <w:rFonts w:ascii="Arial" w:hAnsi="Arial" w:cs="Arial"/>
                <w:b/>
                <w:sz w:val="20"/>
                <w:szCs w:val="20"/>
              </w:rPr>
              <w:t>Table 10A.56</w:t>
            </w:r>
          </w:p>
        </w:tc>
        <w:tc>
          <w:tcPr>
            <w:tcW w:w="6923" w:type="dxa"/>
            <w:tcBorders>
              <w:top w:val="nil"/>
              <w:left w:val="nil"/>
              <w:bottom w:val="nil"/>
              <w:right w:val="nil"/>
            </w:tcBorders>
            <w:shd w:val="clear" w:color="auto" w:fill="auto"/>
            <w:hideMark/>
          </w:tcPr>
          <w:p w:rsidR="00B26D34" w:rsidRPr="00B26D34" w:rsidRDefault="00B26D34" w:rsidP="003A0C00">
            <w:pPr>
              <w:spacing w:afterLines="40" w:after="96"/>
              <w:rPr>
                <w:rFonts w:ascii="Arial" w:hAnsi="Arial" w:cs="Arial"/>
                <w:sz w:val="20"/>
                <w:szCs w:val="20"/>
              </w:rPr>
            </w:pPr>
            <w:r w:rsidRPr="00B26D34">
              <w:rPr>
                <w:rFonts w:ascii="Arial" w:hAnsi="Arial" w:cs="Arial"/>
                <w:sz w:val="20"/>
                <w:szCs w:val="20"/>
              </w:rPr>
              <w:t xml:space="preserve">Proportion of GP encounters for the management of acute URTI where systemic antibiotics were prescribed or supplied, Australia   </w:t>
            </w:r>
          </w:p>
        </w:tc>
      </w:tr>
      <w:tr w:rsidR="00B26D34" w:rsidTr="00361582">
        <w:trPr>
          <w:trHeight w:val="357"/>
        </w:trPr>
        <w:tc>
          <w:tcPr>
            <w:tcW w:w="1866" w:type="dxa"/>
            <w:tcBorders>
              <w:top w:val="nil"/>
              <w:left w:val="nil"/>
              <w:bottom w:val="nil"/>
              <w:right w:val="nil"/>
            </w:tcBorders>
            <w:shd w:val="clear" w:color="auto" w:fill="auto"/>
            <w:noWrap/>
            <w:hideMark/>
          </w:tcPr>
          <w:p w:rsidR="00B26D34" w:rsidRPr="00737BD6" w:rsidRDefault="00B26D34" w:rsidP="00803B7A">
            <w:pPr>
              <w:rPr>
                <w:rFonts w:ascii="Arial" w:hAnsi="Arial" w:cs="Arial"/>
                <w:b/>
                <w:sz w:val="20"/>
                <w:szCs w:val="20"/>
              </w:rPr>
            </w:pPr>
            <w:r w:rsidRPr="00737BD6">
              <w:rPr>
                <w:rFonts w:ascii="Arial" w:hAnsi="Arial" w:cs="Arial"/>
                <w:b/>
                <w:sz w:val="20"/>
                <w:szCs w:val="20"/>
              </w:rPr>
              <w:t>Table 10A.57</w:t>
            </w:r>
          </w:p>
        </w:tc>
        <w:tc>
          <w:tcPr>
            <w:tcW w:w="6923" w:type="dxa"/>
            <w:tcBorders>
              <w:top w:val="nil"/>
              <w:left w:val="nil"/>
              <w:bottom w:val="nil"/>
              <w:right w:val="nil"/>
            </w:tcBorders>
            <w:shd w:val="clear" w:color="auto" w:fill="auto"/>
            <w:hideMark/>
          </w:tcPr>
          <w:p w:rsidR="00B26D34" w:rsidRPr="00B26D34" w:rsidRDefault="00B26D34" w:rsidP="003A0C00">
            <w:pPr>
              <w:spacing w:afterLines="40" w:after="96"/>
              <w:rPr>
                <w:rFonts w:ascii="Arial" w:hAnsi="Arial" w:cs="Arial"/>
                <w:sz w:val="20"/>
                <w:szCs w:val="20"/>
              </w:rPr>
            </w:pPr>
            <w:r w:rsidRPr="00B26D34">
              <w:rPr>
                <w:rFonts w:ascii="Arial" w:hAnsi="Arial" w:cs="Arial"/>
                <w:sz w:val="20"/>
                <w:szCs w:val="20"/>
              </w:rPr>
              <w:t xml:space="preserve">Uptake by Practices in the Practice Incentives Program (PIP) of the PIP Diabetes Incentive  </w:t>
            </w:r>
          </w:p>
        </w:tc>
      </w:tr>
      <w:tr w:rsidR="00B26D34" w:rsidTr="00361582">
        <w:trPr>
          <w:trHeight w:val="448"/>
        </w:trPr>
        <w:tc>
          <w:tcPr>
            <w:tcW w:w="1866" w:type="dxa"/>
            <w:tcBorders>
              <w:top w:val="nil"/>
              <w:left w:val="nil"/>
              <w:bottom w:val="nil"/>
              <w:right w:val="nil"/>
            </w:tcBorders>
            <w:shd w:val="clear" w:color="auto" w:fill="auto"/>
            <w:noWrap/>
            <w:hideMark/>
          </w:tcPr>
          <w:p w:rsidR="00B26D34" w:rsidRPr="00737BD6" w:rsidRDefault="00B26D34" w:rsidP="00803B7A">
            <w:pPr>
              <w:rPr>
                <w:rFonts w:ascii="Arial" w:hAnsi="Arial" w:cs="Arial"/>
                <w:b/>
                <w:sz w:val="20"/>
                <w:szCs w:val="20"/>
              </w:rPr>
            </w:pPr>
            <w:r w:rsidRPr="00737BD6">
              <w:rPr>
                <w:rFonts w:ascii="Arial" w:hAnsi="Arial" w:cs="Arial"/>
                <w:b/>
                <w:sz w:val="20"/>
                <w:szCs w:val="20"/>
              </w:rPr>
              <w:t>Table 10A.58</w:t>
            </w:r>
          </w:p>
        </w:tc>
        <w:tc>
          <w:tcPr>
            <w:tcW w:w="6923" w:type="dxa"/>
            <w:tcBorders>
              <w:top w:val="nil"/>
              <w:left w:val="nil"/>
              <w:bottom w:val="nil"/>
              <w:right w:val="nil"/>
            </w:tcBorders>
            <w:shd w:val="clear" w:color="auto" w:fill="auto"/>
            <w:hideMark/>
          </w:tcPr>
          <w:p w:rsidR="00B26D34" w:rsidRPr="00B26D34" w:rsidRDefault="00B26D34" w:rsidP="003A0C00">
            <w:pPr>
              <w:spacing w:afterLines="40" w:after="96"/>
              <w:rPr>
                <w:rFonts w:ascii="Arial" w:hAnsi="Arial" w:cs="Arial"/>
                <w:sz w:val="20"/>
                <w:szCs w:val="20"/>
              </w:rPr>
            </w:pPr>
            <w:r w:rsidRPr="00B26D34">
              <w:rPr>
                <w:rFonts w:ascii="Arial" w:hAnsi="Arial" w:cs="Arial"/>
                <w:sz w:val="20"/>
                <w:szCs w:val="20"/>
              </w:rPr>
              <w:t xml:space="preserve">Proportion of people with known diabetes who had a HbA1c test in the last </w:t>
            </w:r>
            <w:r w:rsidR="003A0C00">
              <w:rPr>
                <w:rFonts w:ascii="Arial" w:hAnsi="Arial" w:cs="Arial"/>
                <w:sz w:val="20"/>
                <w:szCs w:val="20"/>
              </w:rPr>
              <w:br/>
            </w:r>
            <w:r w:rsidRPr="00B26D34">
              <w:rPr>
                <w:rFonts w:ascii="Arial" w:hAnsi="Arial" w:cs="Arial"/>
                <w:sz w:val="20"/>
                <w:szCs w:val="20"/>
              </w:rPr>
              <w:t xml:space="preserve">12 months, 2011-12 (per cent)    </w:t>
            </w:r>
          </w:p>
        </w:tc>
      </w:tr>
      <w:tr w:rsidR="00B26D34" w:rsidTr="00361582">
        <w:trPr>
          <w:trHeight w:val="405"/>
        </w:trPr>
        <w:tc>
          <w:tcPr>
            <w:tcW w:w="1866" w:type="dxa"/>
            <w:tcBorders>
              <w:top w:val="nil"/>
              <w:left w:val="nil"/>
              <w:bottom w:val="nil"/>
              <w:right w:val="nil"/>
            </w:tcBorders>
            <w:shd w:val="clear" w:color="auto" w:fill="auto"/>
            <w:noWrap/>
            <w:hideMark/>
          </w:tcPr>
          <w:p w:rsidR="00B26D34" w:rsidRPr="00737BD6" w:rsidRDefault="00B26D34" w:rsidP="00803B7A">
            <w:pPr>
              <w:rPr>
                <w:rFonts w:ascii="Arial" w:hAnsi="Arial" w:cs="Arial"/>
                <w:b/>
                <w:sz w:val="20"/>
                <w:szCs w:val="20"/>
              </w:rPr>
            </w:pPr>
            <w:r w:rsidRPr="00737BD6">
              <w:rPr>
                <w:rFonts w:ascii="Arial" w:hAnsi="Arial" w:cs="Arial"/>
                <w:b/>
                <w:sz w:val="20"/>
                <w:szCs w:val="20"/>
              </w:rPr>
              <w:t>Table 10A.59</w:t>
            </w:r>
          </w:p>
        </w:tc>
        <w:tc>
          <w:tcPr>
            <w:tcW w:w="6923" w:type="dxa"/>
            <w:tcBorders>
              <w:top w:val="nil"/>
              <w:left w:val="nil"/>
              <w:bottom w:val="nil"/>
              <w:right w:val="nil"/>
            </w:tcBorders>
            <w:shd w:val="clear" w:color="auto" w:fill="auto"/>
            <w:hideMark/>
          </w:tcPr>
          <w:p w:rsidR="00B26D34" w:rsidRPr="00B26D34" w:rsidRDefault="00B26D34" w:rsidP="003A0C00">
            <w:pPr>
              <w:spacing w:afterLines="40" w:after="96"/>
              <w:rPr>
                <w:rFonts w:ascii="Arial" w:hAnsi="Arial" w:cs="Arial"/>
                <w:sz w:val="20"/>
                <w:szCs w:val="20"/>
              </w:rPr>
            </w:pPr>
            <w:r w:rsidRPr="00B26D34">
              <w:rPr>
                <w:rFonts w:ascii="Arial" w:hAnsi="Arial" w:cs="Arial"/>
                <w:sz w:val="20"/>
                <w:szCs w:val="20"/>
              </w:rPr>
              <w:t xml:space="preserve">Proportion of people aged 18 to 69 years with known diabetes who have </w:t>
            </w:r>
            <w:r w:rsidR="003A0C00">
              <w:rPr>
                <w:rFonts w:ascii="Arial" w:hAnsi="Arial" w:cs="Arial"/>
                <w:sz w:val="20"/>
                <w:szCs w:val="20"/>
              </w:rPr>
              <w:br/>
            </w:r>
            <w:r w:rsidRPr="00B26D34">
              <w:rPr>
                <w:rFonts w:ascii="Arial" w:hAnsi="Arial" w:cs="Arial"/>
                <w:sz w:val="20"/>
                <w:szCs w:val="20"/>
              </w:rPr>
              <w:t xml:space="preserve">a HbA1c (glycated haemoglobin) level less than or equal to 7.0 per cent, </w:t>
            </w:r>
            <w:r w:rsidR="003A0C00">
              <w:rPr>
                <w:rFonts w:ascii="Arial" w:hAnsi="Arial" w:cs="Arial"/>
                <w:sz w:val="20"/>
                <w:szCs w:val="20"/>
              </w:rPr>
              <w:br/>
            </w:r>
            <w:r w:rsidRPr="00B26D34">
              <w:rPr>
                <w:rFonts w:ascii="Arial" w:hAnsi="Arial" w:cs="Arial"/>
                <w:sz w:val="20"/>
                <w:szCs w:val="20"/>
              </w:rPr>
              <w:t xml:space="preserve">by sex, 2011-12 (per cent)      </w:t>
            </w:r>
          </w:p>
        </w:tc>
      </w:tr>
      <w:tr w:rsidR="00B26D34" w:rsidTr="003A0C00">
        <w:trPr>
          <w:trHeight w:val="508"/>
        </w:trPr>
        <w:tc>
          <w:tcPr>
            <w:tcW w:w="1866" w:type="dxa"/>
            <w:tcBorders>
              <w:top w:val="nil"/>
              <w:left w:val="nil"/>
              <w:bottom w:val="nil"/>
              <w:right w:val="nil"/>
            </w:tcBorders>
            <w:shd w:val="clear" w:color="auto" w:fill="auto"/>
            <w:noWrap/>
            <w:hideMark/>
          </w:tcPr>
          <w:p w:rsidR="00B26D34" w:rsidRPr="00737BD6" w:rsidRDefault="00B26D34" w:rsidP="00803B7A">
            <w:pPr>
              <w:rPr>
                <w:rFonts w:ascii="Arial" w:hAnsi="Arial" w:cs="Arial"/>
                <w:b/>
                <w:sz w:val="20"/>
                <w:szCs w:val="20"/>
              </w:rPr>
            </w:pPr>
            <w:r w:rsidRPr="00737BD6">
              <w:rPr>
                <w:rFonts w:ascii="Arial" w:hAnsi="Arial" w:cs="Arial"/>
                <w:b/>
                <w:sz w:val="20"/>
                <w:szCs w:val="20"/>
              </w:rPr>
              <w:t>Table 10A.60</w:t>
            </w:r>
          </w:p>
        </w:tc>
        <w:tc>
          <w:tcPr>
            <w:tcW w:w="6923" w:type="dxa"/>
            <w:tcBorders>
              <w:top w:val="nil"/>
              <w:left w:val="nil"/>
              <w:bottom w:val="nil"/>
              <w:right w:val="nil"/>
            </w:tcBorders>
            <w:shd w:val="clear" w:color="auto" w:fill="auto"/>
            <w:hideMark/>
          </w:tcPr>
          <w:p w:rsidR="00B26D34" w:rsidRPr="00B26D34" w:rsidRDefault="00B26D34" w:rsidP="003A0C00">
            <w:pPr>
              <w:spacing w:afterLines="40" w:after="96"/>
              <w:rPr>
                <w:rFonts w:ascii="Arial" w:hAnsi="Arial" w:cs="Arial"/>
                <w:sz w:val="20"/>
                <w:szCs w:val="20"/>
              </w:rPr>
            </w:pPr>
            <w:r w:rsidRPr="00B26D34">
              <w:rPr>
                <w:rFonts w:ascii="Arial" w:hAnsi="Arial" w:cs="Arial"/>
                <w:sz w:val="20"/>
                <w:szCs w:val="20"/>
              </w:rPr>
              <w:t xml:space="preserve">Proportion of people with asthma with a written asthma action plan, by age (per cent)  </w:t>
            </w:r>
          </w:p>
        </w:tc>
      </w:tr>
      <w:tr w:rsidR="00B26D34" w:rsidTr="00361582">
        <w:trPr>
          <w:trHeight w:val="361"/>
        </w:trPr>
        <w:tc>
          <w:tcPr>
            <w:tcW w:w="1866" w:type="dxa"/>
            <w:tcBorders>
              <w:top w:val="nil"/>
              <w:left w:val="nil"/>
              <w:bottom w:val="nil"/>
              <w:right w:val="nil"/>
            </w:tcBorders>
            <w:shd w:val="clear" w:color="auto" w:fill="auto"/>
            <w:noWrap/>
            <w:hideMark/>
          </w:tcPr>
          <w:p w:rsidR="00B26D34" w:rsidRPr="00737BD6" w:rsidRDefault="00B26D34" w:rsidP="00803B7A">
            <w:pPr>
              <w:rPr>
                <w:rFonts w:ascii="Arial" w:hAnsi="Arial" w:cs="Arial"/>
                <w:b/>
                <w:sz w:val="20"/>
                <w:szCs w:val="20"/>
              </w:rPr>
            </w:pPr>
            <w:r w:rsidRPr="00737BD6">
              <w:rPr>
                <w:rFonts w:ascii="Arial" w:hAnsi="Arial" w:cs="Arial"/>
                <w:b/>
                <w:sz w:val="20"/>
                <w:szCs w:val="20"/>
              </w:rPr>
              <w:t>Table 10A.61</w:t>
            </w:r>
          </w:p>
        </w:tc>
        <w:tc>
          <w:tcPr>
            <w:tcW w:w="6923" w:type="dxa"/>
            <w:tcBorders>
              <w:top w:val="nil"/>
              <w:left w:val="nil"/>
              <w:bottom w:val="nil"/>
              <w:right w:val="nil"/>
            </w:tcBorders>
            <w:shd w:val="clear" w:color="auto" w:fill="auto"/>
            <w:hideMark/>
          </w:tcPr>
          <w:p w:rsidR="00B26D34" w:rsidRPr="00B26D34" w:rsidRDefault="00B26D34" w:rsidP="003A0C00">
            <w:pPr>
              <w:spacing w:afterLines="40" w:after="96"/>
              <w:rPr>
                <w:rFonts w:ascii="Arial" w:hAnsi="Arial" w:cs="Arial"/>
                <w:sz w:val="20"/>
                <w:szCs w:val="20"/>
              </w:rPr>
            </w:pPr>
            <w:r w:rsidRPr="00B26D34">
              <w:rPr>
                <w:rFonts w:ascii="Arial" w:hAnsi="Arial" w:cs="Arial"/>
                <w:sz w:val="20"/>
                <w:szCs w:val="20"/>
              </w:rPr>
              <w:t xml:space="preserve">Proportion of people with asthma with a written asthma plan, by Indigenous status, by age, 2011-13    </w:t>
            </w:r>
          </w:p>
        </w:tc>
      </w:tr>
      <w:tr w:rsidR="00B26D34" w:rsidTr="003A0C00">
        <w:trPr>
          <w:trHeight w:val="491"/>
        </w:trPr>
        <w:tc>
          <w:tcPr>
            <w:tcW w:w="1866" w:type="dxa"/>
            <w:tcBorders>
              <w:top w:val="nil"/>
              <w:left w:val="nil"/>
              <w:bottom w:val="nil"/>
              <w:right w:val="nil"/>
            </w:tcBorders>
            <w:shd w:val="clear" w:color="auto" w:fill="auto"/>
            <w:noWrap/>
            <w:hideMark/>
          </w:tcPr>
          <w:p w:rsidR="00B26D34" w:rsidRPr="00737BD6" w:rsidRDefault="00B26D34" w:rsidP="00803B7A">
            <w:pPr>
              <w:rPr>
                <w:rFonts w:ascii="Arial" w:hAnsi="Arial" w:cs="Arial"/>
                <w:b/>
                <w:sz w:val="20"/>
                <w:szCs w:val="20"/>
              </w:rPr>
            </w:pPr>
            <w:r w:rsidRPr="00737BD6">
              <w:rPr>
                <w:rFonts w:ascii="Arial" w:hAnsi="Arial" w:cs="Arial"/>
                <w:b/>
                <w:sz w:val="20"/>
                <w:szCs w:val="20"/>
              </w:rPr>
              <w:t>Table 10A.62</w:t>
            </w:r>
          </w:p>
        </w:tc>
        <w:tc>
          <w:tcPr>
            <w:tcW w:w="6923" w:type="dxa"/>
            <w:tcBorders>
              <w:top w:val="nil"/>
              <w:left w:val="nil"/>
              <w:bottom w:val="nil"/>
              <w:right w:val="nil"/>
            </w:tcBorders>
            <w:shd w:val="clear" w:color="auto" w:fill="auto"/>
            <w:hideMark/>
          </w:tcPr>
          <w:p w:rsidR="00B26D34" w:rsidRPr="00B26D34" w:rsidRDefault="00B26D34" w:rsidP="003A0C00">
            <w:pPr>
              <w:spacing w:afterLines="40" w:after="96"/>
              <w:rPr>
                <w:rFonts w:ascii="Arial" w:hAnsi="Arial" w:cs="Arial"/>
                <w:sz w:val="20"/>
                <w:szCs w:val="20"/>
              </w:rPr>
            </w:pPr>
            <w:r w:rsidRPr="00B26D34">
              <w:rPr>
                <w:rFonts w:ascii="Arial" w:hAnsi="Arial" w:cs="Arial"/>
                <w:sz w:val="20"/>
                <w:szCs w:val="20"/>
              </w:rPr>
              <w:t xml:space="preserve">Proportion of people with asthma with a written asthma plan, by Indigenous status   </w:t>
            </w:r>
          </w:p>
        </w:tc>
      </w:tr>
      <w:tr w:rsidR="00B26D34" w:rsidTr="003A0C00">
        <w:trPr>
          <w:trHeight w:val="472"/>
        </w:trPr>
        <w:tc>
          <w:tcPr>
            <w:tcW w:w="1866" w:type="dxa"/>
            <w:tcBorders>
              <w:top w:val="nil"/>
              <w:left w:val="nil"/>
              <w:bottom w:val="nil"/>
              <w:right w:val="nil"/>
            </w:tcBorders>
            <w:shd w:val="clear" w:color="auto" w:fill="auto"/>
            <w:noWrap/>
            <w:hideMark/>
          </w:tcPr>
          <w:p w:rsidR="00B26D34" w:rsidRPr="00737BD6" w:rsidRDefault="00B26D34" w:rsidP="00803B7A">
            <w:pPr>
              <w:rPr>
                <w:rFonts w:ascii="Arial" w:hAnsi="Arial" w:cs="Arial"/>
                <w:b/>
                <w:sz w:val="20"/>
                <w:szCs w:val="20"/>
              </w:rPr>
            </w:pPr>
            <w:r w:rsidRPr="00737BD6">
              <w:rPr>
                <w:rFonts w:ascii="Arial" w:hAnsi="Arial" w:cs="Arial"/>
                <w:b/>
                <w:sz w:val="20"/>
                <w:szCs w:val="20"/>
              </w:rPr>
              <w:t>Table 10A.63</w:t>
            </w:r>
          </w:p>
        </w:tc>
        <w:tc>
          <w:tcPr>
            <w:tcW w:w="6923" w:type="dxa"/>
            <w:tcBorders>
              <w:top w:val="nil"/>
              <w:left w:val="nil"/>
              <w:bottom w:val="nil"/>
              <w:right w:val="nil"/>
            </w:tcBorders>
            <w:shd w:val="clear" w:color="auto" w:fill="auto"/>
            <w:hideMark/>
          </w:tcPr>
          <w:p w:rsidR="00B26D34" w:rsidRPr="00B26D34" w:rsidRDefault="00B26D34" w:rsidP="003A0C00">
            <w:pPr>
              <w:spacing w:afterLines="40" w:after="96"/>
              <w:rPr>
                <w:rFonts w:ascii="Arial" w:hAnsi="Arial" w:cs="Arial"/>
                <w:sz w:val="20"/>
                <w:szCs w:val="20"/>
              </w:rPr>
            </w:pPr>
            <w:r w:rsidRPr="00B26D34">
              <w:rPr>
                <w:rFonts w:ascii="Arial" w:hAnsi="Arial" w:cs="Arial"/>
                <w:sz w:val="20"/>
                <w:szCs w:val="20"/>
              </w:rPr>
              <w:t xml:space="preserve">Proportion of people with asthma with a written asthma plan, by region, </w:t>
            </w:r>
            <w:r w:rsidR="003A0C00">
              <w:rPr>
                <w:rFonts w:ascii="Arial" w:hAnsi="Arial" w:cs="Arial"/>
                <w:sz w:val="20"/>
                <w:szCs w:val="20"/>
              </w:rPr>
              <w:br/>
            </w:r>
            <w:r w:rsidRPr="00B26D34">
              <w:rPr>
                <w:rFonts w:ascii="Arial" w:hAnsi="Arial" w:cs="Arial"/>
                <w:sz w:val="20"/>
                <w:szCs w:val="20"/>
              </w:rPr>
              <w:t xml:space="preserve">2007-08    </w:t>
            </w:r>
          </w:p>
        </w:tc>
      </w:tr>
      <w:tr w:rsidR="00B26D34" w:rsidTr="003A0C00">
        <w:trPr>
          <w:trHeight w:val="462"/>
        </w:trPr>
        <w:tc>
          <w:tcPr>
            <w:tcW w:w="1866" w:type="dxa"/>
            <w:tcBorders>
              <w:top w:val="nil"/>
              <w:left w:val="nil"/>
              <w:bottom w:val="nil"/>
              <w:right w:val="nil"/>
            </w:tcBorders>
            <w:shd w:val="clear" w:color="auto" w:fill="auto"/>
            <w:noWrap/>
            <w:hideMark/>
          </w:tcPr>
          <w:p w:rsidR="00B26D34" w:rsidRPr="00737BD6" w:rsidRDefault="00B26D34" w:rsidP="00803B7A">
            <w:pPr>
              <w:rPr>
                <w:rFonts w:ascii="Arial" w:hAnsi="Arial" w:cs="Arial"/>
                <w:b/>
                <w:sz w:val="20"/>
                <w:szCs w:val="20"/>
              </w:rPr>
            </w:pPr>
            <w:r w:rsidRPr="00737BD6">
              <w:rPr>
                <w:rFonts w:ascii="Arial" w:hAnsi="Arial" w:cs="Arial"/>
                <w:b/>
                <w:sz w:val="20"/>
                <w:szCs w:val="20"/>
              </w:rPr>
              <w:t>Table 10A.64</w:t>
            </w:r>
          </w:p>
        </w:tc>
        <w:tc>
          <w:tcPr>
            <w:tcW w:w="6923" w:type="dxa"/>
            <w:tcBorders>
              <w:top w:val="nil"/>
              <w:left w:val="nil"/>
              <w:bottom w:val="nil"/>
              <w:right w:val="nil"/>
            </w:tcBorders>
            <w:shd w:val="clear" w:color="auto" w:fill="auto"/>
            <w:hideMark/>
          </w:tcPr>
          <w:p w:rsidR="00B26D34" w:rsidRPr="00B26D34" w:rsidRDefault="00B26D34" w:rsidP="003A0C00">
            <w:pPr>
              <w:spacing w:afterLines="40" w:after="96"/>
              <w:rPr>
                <w:rFonts w:ascii="Arial" w:hAnsi="Arial" w:cs="Arial"/>
                <w:sz w:val="20"/>
                <w:szCs w:val="20"/>
              </w:rPr>
            </w:pPr>
            <w:r w:rsidRPr="00B26D34">
              <w:rPr>
                <w:rFonts w:ascii="Arial" w:hAnsi="Arial" w:cs="Arial"/>
                <w:sz w:val="20"/>
                <w:szCs w:val="20"/>
              </w:rPr>
              <w:t xml:space="preserve">GP use of chronic disease management Medicare items for care planning or case conferencing   </w:t>
            </w:r>
          </w:p>
        </w:tc>
      </w:tr>
      <w:tr w:rsidR="00B26D34" w:rsidTr="003A0C00">
        <w:trPr>
          <w:trHeight w:val="514"/>
        </w:trPr>
        <w:tc>
          <w:tcPr>
            <w:tcW w:w="1866" w:type="dxa"/>
            <w:tcBorders>
              <w:top w:val="nil"/>
              <w:left w:val="nil"/>
              <w:bottom w:val="nil"/>
              <w:right w:val="nil"/>
            </w:tcBorders>
            <w:shd w:val="clear" w:color="auto" w:fill="auto"/>
            <w:noWrap/>
            <w:hideMark/>
          </w:tcPr>
          <w:p w:rsidR="00B26D34" w:rsidRPr="00737BD6" w:rsidRDefault="00B26D34" w:rsidP="00803B7A">
            <w:pPr>
              <w:rPr>
                <w:rFonts w:ascii="Arial" w:hAnsi="Arial" w:cs="Arial"/>
                <w:b/>
                <w:sz w:val="20"/>
                <w:szCs w:val="20"/>
              </w:rPr>
            </w:pPr>
            <w:r w:rsidRPr="00737BD6">
              <w:rPr>
                <w:rFonts w:ascii="Arial" w:hAnsi="Arial" w:cs="Arial"/>
                <w:b/>
                <w:sz w:val="20"/>
                <w:szCs w:val="20"/>
              </w:rPr>
              <w:t>Table 10A.65</w:t>
            </w:r>
          </w:p>
        </w:tc>
        <w:tc>
          <w:tcPr>
            <w:tcW w:w="6923" w:type="dxa"/>
            <w:tcBorders>
              <w:top w:val="nil"/>
              <w:left w:val="nil"/>
              <w:bottom w:val="nil"/>
              <w:right w:val="nil"/>
            </w:tcBorders>
            <w:shd w:val="clear" w:color="auto" w:fill="auto"/>
            <w:hideMark/>
          </w:tcPr>
          <w:p w:rsidR="00B26D34" w:rsidRPr="00B26D34" w:rsidRDefault="00B26D34" w:rsidP="003A0C00">
            <w:pPr>
              <w:spacing w:afterLines="40" w:after="96"/>
              <w:rPr>
                <w:rFonts w:ascii="Arial" w:hAnsi="Arial" w:cs="Arial"/>
                <w:sz w:val="20"/>
                <w:szCs w:val="20"/>
              </w:rPr>
            </w:pPr>
            <w:r w:rsidRPr="00B26D34">
              <w:rPr>
                <w:rFonts w:ascii="Arial" w:hAnsi="Arial" w:cs="Arial"/>
                <w:sz w:val="20"/>
                <w:szCs w:val="20"/>
              </w:rPr>
              <w:t xml:space="preserve">Pathology tests requested by GPs, real benefits paid (2013-14 dollars)  and number of rebated MBS pathology items        </w:t>
            </w:r>
          </w:p>
        </w:tc>
      </w:tr>
      <w:tr w:rsidR="00B26D34" w:rsidTr="003A0C00">
        <w:trPr>
          <w:trHeight w:val="503"/>
        </w:trPr>
        <w:tc>
          <w:tcPr>
            <w:tcW w:w="1866" w:type="dxa"/>
            <w:tcBorders>
              <w:top w:val="nil"/>
              <w:left w:val="nil"/>
              <w:bottom w:val="nil"/>
              <w:right w:val="nil"/>
            </w:tcBorders>
            <w:shd w:val="clear" w:color="auto" w:fill="auto"/>
            <w:noWrap/>
            <w:hideMark/>
          </w:tcPr>
          <w:p w:rsidR="00B26D34" w:rsidRPr="00737BD6" w:rsidRDefault="00B26D34" w:rsidP="00803B7A">
            <w:pPr>
              <w:rPr>
                <w:rFonts w:ascii="Arial" w:hAnsi="Arial" w:cs="Arial"/>
                <w:b/>
                <w:sz w:val="20"/>
                <w:szCs w:val="20"/>
              </w:rPr>
            </w:pPr>
            <w:r w:rsidRPr="00737BD6">
              <w:rPr>
                <w:rFonts w:ascii="Arial" w:hAnsi="Arial" w:cs="Arial"/>
                <w:b/>
                <w:sz w:val="20"/>
                <w:szCs w:val="20"/>
              </w:rPr>
              <w:t>Table 10A.66</w:t>
            </w:r>
          </w:p>
        </w:tc>
        <w:tc>
          <w:tcPr>
            <w:tcW w:w="6923" w:type="dxa"/>
            <w:tcBorders>
              <w:top w:val="nil"/>
              <w:left w:val="nil"/>
              <w:bottom w:val="nil"/>
              <w:right w:val="nil"/>
            </w:tcBorders>
            <w:shd w:val="clear" w:color="auto" w:fill="auto"/>
            <w:hideMark/>
          </w:tcPr>
          <w:p w:rsidR="00B26D34" w:rsidRPr="00B26D34" w:rsidRDefault="00B26D34" w:rsidP="003A0C00">
            <w:pPr>
              <w:spacing w:afterLines="40" w:after="96"/>
              <w:rPr>
                <w:rFonts w:ascii="Arial" w:hAnsi="Arial" w:cs="Arial"/>
                <w:sz w:val="20"/>
                <w:szCs w:val="20"/>
              </w:rPr>
            </w:pPr>
            <w:r w:rsidRPr="00B26D34">
              <w:rPr>
                <w:rFonts w:ascii="Arial" w:hAnsi="Arial" w:cs="Arial"/>
                <w:sz w:val="20"/>
                <w:szCs w:val="20"/>
              </w:rPr>
              <w:t xml:space="preserve">Pathology tests requested by GPs, real benefits paid, 2009-10 to 2011-12 (2013-14 dollars)  and number of rebated MBS pathology items         </w:t>
            </w:r>
          </w:p>
        </w:tc>
      </w:tr>
      <w:tr w:rsidR="00B26D34" w:rsidTr="003A0C00">
        <w:trPr>
          <w:trHeight w:val="531"/>
        </w:trPr>
        <w:tc>
          <w:tcPr>
            <w:tcW w:w="1866" w:type="dxa"/>
            <w:tcBorders>
              <w:top w:val="nil"/>
              <w:left w:val="nil"/>
              <w:bottom w:val="nil"/>
              <w:right w:val="nil"/>
            </w:tcBorders>
            <w:shd w:val="clear" w:color="auto" w:fill="auto"/>
            <w:noWrap/>
            <w:hideMark/>
          </w:tcPr>
          <w:p w:rsidR="00B26D34" w:rsidRPr="00737BD6" w:rsidRDefault="00B26D34" w:rsidP="00803B7A">
            <w:pPr>
              <w:rPr>
                <w:rFonts w:ascii="Arial" w:hAnsi="Arial" w:cs="Arial"/>
                <w:b/>
                <w:sz w:val="20"/>
                <w:szCs w:val="20"/>
              </w:rPr>
            </w:pPr>
            <w:r w:rsidRPr="00737BD6">
              <w:rPr>
                <w:rFonts w:ascii="Arial" w:hAnsi="Arial" w:cs="Arial"/>
                <w:b/>
                <w:sz w:val="20"/>
                <w:szCs w:val="20"/>
              </w:rPr>
              <w:t>Table 10A.67</w:t>
            </w:r>
          </w:p>
        </w:tc>
        <w:tc>
          <w:tcPr>
            <w:tcW w:w="6923" w:type="dxa"/>
            <w:tcBorders>
              <w:top w:val="nil"/>
              <w:left w:val="nil"/>
              <w:bottom w:val="nil"/>
              <w:right w:val="nil"/>
            </w:tcBorders>
            <w:shd w:val="clear" w:color="auto" w:fill="auto"/>
            <w:hideMark/>
          </w:tcPr>
          <w:p w:rsidR="00B26D34" w:rsidRPr="00B26D34" w:rsidRDefault="00B26D34" w:rsidP="003A0C00">
            <w:pPr>
              <w:spacing w:afterLines="40" w:after="96"/>
              <w:rPr>
                <w:rFonts w:ascii="Arial" w:hAnsi="Arial" w:cs="Arial"/>
                <w:sz w:val="20"/>
                <w:szCs w:val="20"/>
              </w:rPr>
            </w:pPr>
            <w:r w:rsidRPr="00B26D34">
              <w:rPr>
                <w:rFonts w:ascii="Arial" w:hAnsi="Arial" w:cs="Arial"/>
                <w:sz w:val="20"/>
                <w:szCs w:val="20"/>
              </w:rPr>
              <w:t xml:space="preserve">Diagnostic imaging referred by GPs and rebated through Medicare, real benefits paid (2013-14 dollars) and number of rebated MBS imaging items      </w:t>
            </w:r>
          </w:p>
        </w:tc>
      </w:tr>
      <w:tr w:rsidR="00B26D34" w:rsidTr="003A0C00">
        <w:trPr>
          <w:trHeight w:val="727"/>
        </w:trPr>
        <w:tc>
          <w:tcPr>
            <w:tcW w:w="1866" w:type="dxa"/>
            <w:tcBorders>
              <w:top w:val="nil"/>
              <w:left w:val="nil"/>
              <w:bottom w:val="nil"/>
              <w:right w:val="nil"/>
            </w:tcBorders>
            <w:shd w:val="clear" w:color="auto" w:fill="auto"/>
            <w:noWrap/>
            <w:hideMark/>
          </w:tcPr>
          <w:p w:rsidR="00B26D34" w:rsidRPr="00737BD6" w:rsidRDefault="00B26D34" w:rsidP="00803B7A">
            <w:pPr>
              <w:rPr>
                <w:rFonts w:ascii="Arial" w:hAnsi="Arial" w:cs="Arial"/>
                <w:b/>
                <w:sz w:val="20"/>
                <w:szCs w:val="20"/>
              </w:rPr>
            </w:pPr>
            <w:r w:rsidRPr="00737BD6">
              <w:rPr>
                <w:rFonts w:ascii="Arial" w:hAnsi="Arial" w:cs="Arial"/>
                <w:b/>
                <w:sz w:val="20"/>
                <w:szCs w:val="20"/>
              </w:rPr>
              <w:t>Table 10A.68</w:t>
            </w:r>
          </w:p>
        </w:tc>
        <w:tc>
          <w:tcPr>
            <w:tcW w:w="6923" w:type="dxa"/>
            <w:tcBorders>
              <w:top w:val="nil"/>
              <w:left w:val="nil"/>
              <w:bottom w:val="nil"/>
              <w:right w:val="nil"/>
            </w:tcBorders>
            <w:shd w:val="clear" w:color="auto" w:fill="auto"/>
            <w:hideMark/>
          </w:tcPr>
          <w:p w:rsidR="00B26D34" w:rsidRPr="00B26D34" w:rsidRDefault="00B26D34" w:rsidP="003A0C00">
            <w:pPr>
              <w:spacing w:afterLines="40" w:after="96"/>
              <w:rPr>
                <w:rFonts w:ascii="Arial" w:hAnsi="Arial" w:cs="Arial"/>
                <w:sz w:val="20"/>
                <w:szCs w:val="20"/>
              </w:rPr>
            </w:pPr>
            <w:r w:rsidRPr="00B26D34">
              <w:rPr>
                <w:rFonts w:ascii="Arial" w:hAnsi="Arial" w:cs="Arial"/>
                <w:sz w:val="20"/>
                <w:szCs w:val="20"/>
              </w:rPr>
              <w:t xml:space="preserve">Diagnostic imaging referred by GPs and rebated through Medicare, real benefits paid, 2008-09 to 2011-12 (2013-14 dollars) and number of rebated MBS imaging items       </w:t>
            </w:r>
          </w:p>
        </w:tc>
      </w:tr>
      <w:tr w:rsidR="00B26D34" w:rsidTr="00361582">
        <w:trPr>
          <w:trHeight w:val="430"/>
        </w:trPr>
        <w:tc>
          <w:tcPr>
            <w:tcW w:w="1866" w:type="dxa"/>
            <w:tcBorders>
              <w:top w:val="nil"/>
              <w:left w:val="nil"/>
              <w:bottom w:val="nil"/>
              <w:right w:val="nil"/>
            </w:tcBorders>
            <w:shd w:val="clear" w:color="auto" w:fill="auto"/>
            <w:noWrap/>
            <w:hideMark/>
          </w:tcPr>
          <w:p w:rsidR="00B26D34" w:rsidRPr="00737BD6" w:rsidRDefault="00B26D34" w:rsidP="00803B7A">
            <w:pPr>
              <w:rPr>
                <w:rFonts w:ascii="Arial" w:hAnsi="Arial" w:cs="Arial"/>
                <w:b/>
                <w:sz w:val="20"/>
                <w:szCs w:val="20"/>
              </w:rPr>
            </w:pPr>
            <w:r w:rsidRPr="00737BD6">
              <w:rPr>
                <w:rFonts w:ascii="Arial" w:hAnsi="Arial" w:cs="Arial"/>
                <w:b/>
                <w:sz w:val="20"/>
                <w:szCs w:val="20"/>
              </w:rPr>
              <w:t>Table 10A.69</w:t>
            </w:r>
          </w:p>
        </w:tc>
        <w:tc>
          <w:tcPr>
            <w:tcW w:w="6923" w:type="dxa"/>
            <w:tcBorders>
              <w:top w:val="nil"/>
              <w:left w:val="nil"/>
              <w:bottom w:val="nil"/>
              <w:right w:val="nil"/>
            </w:tcBorders>
            <w:shd w:val="clear" w:color="auto" w:fill="auto"/>
            <w:hideMark/>
          </w:tcPr>
          <w:p w:rsidR="00B26D34" w:rsidRPr="00B26D34" w:rsidRDefault="00B26D34" w:rsidP="003A0C00">
            <w:pPr>
              <w:spacing w:afterLines="40" w:after="96"/>
              <w:rPr>
                <w:rFonts w:ascii="Arial" w:hAnsi="Arial" w:cs="Arial"/>
                <w:sz w:val="20"/>
                <w:szCs w:val="20"/>
              </w:rPr>
            </w:pPr>
            <w:r w:rsidRPr="00B26D34">
              <w:rPr>
                <w:rFonts w:ascii="Arial" w:hAnsi="Arial" w:cs="Arial"/>
                <w:sz w:val="20"/>
                <w:szCs w:val="20"/>
              </w:rPr>
              <w:t xml:space="preserve">Practices in the Practice Incentives Program (PIP) using computers for clinical purposes  </w:t>
            </w:r>
          </w:p>
        </w:tc>
      </w:tr>
      <w:tr w:rsidR="00B26D34" w:rsidTr="003A0C00">
        <w:trPr>
          <w:trHeight w:val="475"/>
        </w:trPr>
        <w:tc>
          <w:tcPr>
            <w:tcW w:w="1866" w:type="dxa"/>
            <w:tcBorders>
              <w:top w:val="nil"/>
              <w:left w:val="nil"/>
              <w:bottom w:val="nil"/>
              <w:right w:val="nil"/>
            </w:tcBorders>
            <w:shd w:val="clear" w:color="auto" w:fill="auto"/>
            <w:noWrap/>
          </w:tcPr>
          <w:p w:rsidR="00B26D34" w:rsidRPr="00737BD6" w:rsidRDefault="00B26D34" w:rsidP="00803B7A">
            <w:pPr>
              <w:rPr>
                <w:rFonts w:ascii="Arial" w:hAnsi="Arial" w:cs="Arial"/>
                <w:b/>
                <w:sz w:val="20"/>
                <w:szCs w:val="20"/>
              </w:rPr>
            </w:pPr>
            <w:r w:rsidRPr="00737BD6">
              <w:rPr>
                <w:rFonts w:ascii="Arial" w:hAnsi="Arial" w:cs="Arial"/>
                <w:b/>
                <w:sz w:val="20"/>
                <w:szCs w:val="20"/>
              </w:rPr>
              <w:t>Table 10A.70</w:t>
            </w:r>
          </w:p>
        </w:tc>
        <w:tc>
          <w:tcPr>
            <w:tcW w:w="6923" w:type="dxa"/>
            <w:tcBorders>
              <w:top w:val="nil"/>
              <w:left w:val="nil"/>
              <w:bottom w:val="nil"/>
              <w:right w:val="nil"/>
            </w:tcBorders>
            <w:shd w:val="clear" w:color="auto" w:fill="auto"/>
          </w:tcPr>
          <w:p w:rsidR="00B26D34" w:rsidRPr="00B26D34" w:rsidRDefault="00B26D34" w:rsidP="003A0C00">
            <w:pPr>
              <w:spacing w:afterLines="40" w:after="96"/>
              <w:rPr>
                <w:rFonts w:ascii="Arial" w:hAnsi="Arial" w:cs="Arial"/>
                <w:sz w:val="20"/>
                <w:szCs w:val="20"/>
              </w:rPr>
            </w:pPr>
            <w:r w:rsidRPr="00B26D34">
              <w:rPr>
                <w:rFonts w:ascii="Arial" w:hAnsi="Arial" w:cs="Arial"/>
                <w:sz w:val="20"/>
                <w:szCs w:val="20"/>
              </w:rPr>
              <w:t xml:space="preserve">Practices in the Practice Incentives Program (PIP) using computers for clinical purposes, by region   </w:t>
            </w:r>
          </w:p>
        </w:tc>
      </w:tr>
      <w:tr w:rsidR="00B26D34" w:rsidTr="003A0C00">
        <w:trPr>
          <w:trHeight w:val="517"/>
        </w:trPr>
        <w:tc>
          <w:tcPr>
            <w:tcW w:w="1866" w:type="dxa"/>
            <w:tcBorders>
              <w:top w:val="nil"/>
              <w:left w:val="nil"/>
              <w:bottom w:val="nil"/>
              <w:right w:val="nil"/>
            </w:tcBorders>
            <w:shd w:val="clear" w:color="auto" w:fill="auto"/>
            <w:noWrap/>
          </w:tcPr>
          <w:p w:rsidR="00B26D34" w:rsidRPr="00737BD6" w:rsidRDefault="00B26D34" w:rsidP="00803B7A">
            <w:pPr>
              <w:rPr>
                <w:rFonts w:ascii="Arial" w:hAnsi="Arial" w:cs="Arial"/>
                <w:b/>
                <w:sz w:val="20"/>
                <w:szCs w:val="20"/>
              </w:rPr>
            </w:pPr>
            <w:r w:rsidRPr="00737BD6">
              <w:rPr>
                <w:rFonts w:ascii="Arial" w:hAnsi="Arial" w:cs="Arial"/>
                <w:b/>
                <w:sz w:val="20"/>
                <w:szCs w:val="20"/>
              </w:rPr>
              <w:t>Table 10A.71</w:t>
            </w:r>
          </w:p>
        </w:tc>
        <w:tc>
          <w:tcPr>
            <w:tcW w:w="6923" w:type="dxa"/>
            <w:tcBorders>
              <w:top w:val="nil"/>
              <w:left w:val="nil"/>
              <w:bottom w:val="nil"/>
              <w:right w:val="nil"/>
            </w:tcBorders>
            <w:shd w:val="clear" w:color="auto" w:fill="auto"/>
          </w:tcPr>
          <w:p w:rsidR="00B26D34" w:rsidRPr="00B26D34" w:rsidRDefault="00B26D34" w:rsidP="003A0C00">
            <w:pPr>
              <w:spacing w:afterLines="40" w:after="96"/>
              <w:rPr>
                <w:rFonts w:ascii="Arial" w:hAnsi="Arial" w:cs="Arial"/>
                <w:sz w:val="20"/>
                <w:szCs w:val="20"/>
              </w:rPr>
            </w:pPr>
            <w:r w:rsidRPr="00B26D34">
              <w:rPr>
                <w:rFonts w:ascii="Arial" w:hAnsi="Arial" w:cs="Arial"/>
                <w:sz w:val="20"/>
                <w:szCs w:val="20"/>
              </w:rPr>
              <w:t xml:space="preserve">Practices in the Practice Incentives Program (PIP) using computers for clinical purposes, by region, 2010 to 2012  </w:t>
            </w:r>
          </w:p>
        </w:tc>
      </w:tr>
      <w:tr w:rsidR="00B26D34" w:rsidTr="003A0C00">
        <w:trPr>
          <w:trHeight w:val="170"/>
        </w:trPr>
        <w:tc>
          <w:tcPr>
            <w:tcW w:w="1866" w:type="dxa"/>
            <w:tcBorders>
              <w:top w:val="nil"/>
              <w:left w:val="nil"/>
              <w:bottom w:val="nil"/>
              <w:right w:val="nil"/>
            </w:tcBorders>
            <w:shd w:val="clear" w:color="auto" w:fill="auto"/>
            <w:noWrap/>
          </w:tcPr>
          <w:p w:rsidR="00B26D34" w:rsidRPr="00737BD6" w:rsidRDefault="00B26D34" w:rsidP="00803B7A">
            <w:pPr>
              <w:rPr>
                <w:rFonts w:ascii="Arial" w:hAnsi="Arial" w:cs="Arial"/>
                <w:b/>
                <w:sz w:val="20"/>
                <w:szCs w:val="20"/>
              </w:rPr>
            </w:pPr>
            <w:r w:rsidRPr="00737BD6">
              <w:rPr>
                <w:rFonts w:ascii="Arial" w:hAnsi="Arial" w:cs="Arial"/>
                <w:b/>
                <w:sz w:val="20"/>
                <w:szCs w:val="20"/>
              </w:rPr>
              <w:t>Table 10A.72</w:t>
            </w:r>
          </w:p>
        </w:tc>
        <w:tc>
          <w:tcPr>
            <w:tcW w:w="6923" w:type="dxa"/>
            <w:tcBorders>
              <w:top w:val="nil"/>
              <w:left w:val="nil"/>
              <w:bottom w:val="nil"/>
              <w:right w:val="nil"/>
            </w:tcBorders>
            <w:shd w:val="clear" w:color="auto" w:fill="auto"/>
          </w:tcPr>
          <w:p w:rsidR="00B26D34" w:rsidRPr="00B26D34" w:rsidRDefault="00B26D34" w:rsidP="003A0C00">
            <w:pPr>
              <w:spacing w:afterLines="40" w:after="96"/>
              <w:rPr>
                <w:rFonts w:ascii="Arial" w:hAnsi="Arial" w:cs="Arial"/>
                <w:sz w:val="20"/>
                <w:szCs w:val="20"/>
              </w:rPr>
            </w:pPr>
            <w:r w:rsidRPr="00B26D34">
              <w:rPr>
                <w:rFonts w:ascii="Arial" w:hAnsi="Arial" w:cs="Arial"/>
                <w:sz w:val="20"/>
                <w:szCs w:val="20"/>
              </w:rPr>
              <w:t xml:space="preserve">Client experience of GPs by remoteness, States and Territories   </w:t>
            </w:r>
          </w:p>
        </w:tc>
      </w:tr>
      <w:tr w:rsidR="00B26D34" w:rsidTr="003A0C00">
        <w:trPr>
          <w:trHeight w:val="260"/>
        </w:trPr>
        <w:tc>
          <w:tcPr>
            <w:tcW w:w="1866" w:type="dxa"/>
            <w:tcBorders>
              <w:top w:val="nil"/>
              <w:left w:val="nil"/>
              <w:bottom w:val="nil"/>
              <w:right w:val="nil"/>
            </w:tcBorders>
            <w:shd w:val="clear" w:color="auto" w:fill="auto"/>
            <w:noWrap/>
          </w:tcPr>
          <w:p w:rsidR="00B26D34" w:rsidRPr="00737BD6" w:rsidRDefault="00B26D34" w:rsidP="00803B7A">
            <w:pPr>
              <w:rPr>
                <w:rFonts w:ascii="Arial" w:hAnsi="Arial" w:cs="Arial"/>
                <w:b/>
                <w:sz w:val="20"/>
                <w:szCs w:val="20"/>
              </w:rPr>
            </w:pPr>
            <w:r w:rsidRPr="00737BD6">
              <w:rPr>
                <w:rFonts w:ascii="Arial" w:hAnsi="Arial" w:cs="Arial"/>
                <w:b/>
                <w:sz w:val="20"/>
                <w:szCs w:val="20"/>
              </w:rPr>
              <w:t>Table 10A.73</w:t>
            </w:r>
          </w:p>
        </w:tc>
        <w:tc>
          <w:tcPr>
            <w:tcW w:w="6923" w:type="dxa"/>
            <w:tcBorders>
              <w:top w:val="nil"/>
              <w:left w:val="nil"/>
              <w:bottom w:val="nil"/>
              <w:right w:val="nil"/>
            </w:tcBorders>
            <w:shd w:val="clear" w:color="auto" w:fill="auto"/>
          </w:tcPr>
          <w:p w:rsidR="00B26D34" w:rsidRPr="00B26D34" w:rsidRDefault="00B26D34" w:rsidP="003A0C00">
            <w:pPr>
              <w:spacing w:afterLines="40" w:after="96"/>
              <w:rPr>
                <w:rFonts w:ascii="Arial" w:hAnsi="Arial" w:cs="Arial"/>
                <w:sz w:val="20"/>
                <w:szCs w:val="20"/>
              </w:rPr>
            </w:pPr>
            <w:r w:rsidRPr="00B26D34">
              <w:rPr>
                <w:rFonts w:ascii="Arial" w:hAnsi="Arial" w:cs="Arial"/>
                <w:sz w:val="20"/>
                <w:szCs w:val="20"/>
              </w:rPr>
              <w:t xml:space="preserve">Client experience of GPs by remoteness, Australia   </w:t>
            </w:r>
          </w:p>
        </w:tc>
      </w:tr>
      <w:tr w:rsidR="00B26D34" w:rsidTr="00361582">
        <w:trPr>
          <w:trHeight w:val="357"/>
        </w:trPr>
        <w:tc>
          <w:tcPr>
            <w:tcW w:w="1866" w:type="dxa"/>
            <w:tcBorders>
              <w:top w:val="nil"/>
              <w:left w:val="nil"/>
              <w:bottom w:val="nil"/>
              <w:right w:val="nil"/>
            </w:tcBorders>
            <w:shd w:val="clear" w:color="auto" w:fill="auto"/>
            <w:noWrap/>
            <w:hideMark/>
          </w:tcPr>
          <w:p w:rsidR="00B26D34" w:rsidRPr="00737BD6" w:rsidRDefault="00B26D34" w:rsidP="00803B7A">
            <w:pPr>
              <w:rPr>
                <w:rFonts w:ascii="Arial" w:hAnsi="Arial" w:cs="Arial"/>
                <w:b/>
                <w:sz w:val="20"/>
                <w:szCs w:val="20"/>
              </w:rPr>
            </w:pPr>
            <w:r w:rsidRPr="00737BD6">
              <w:rPr>
                <w:rFonts w:ascii="Arial" w:hAnsi="Arial" w:cs="Arial"/>
                <w:b/>
                <w:sz w:val="20"/>
                <w:szCs w:val="20"/>
              </w:rPr>
              <w:t>Table 10A.74</w:t>
            </w:r>
          </w:p>
        </w:tc>
        <w:tc>
          <w:tcPr>
            <w:tcW w:w="6923" w:type="dxa"/>
            <w:tcBorders>
              <w:top w:val="nil"/>
              <w:left w:val="nil"/>
              <w:bottom w:val="nil"/>
              <w:right w:val="nil"/>
            </w:tcBorders>
            <w:shd w:val="clear" w:color="auto" w:fill="auto"/>
            <w:hideMark/>
          </w:tcPr>
          <w:p w:rsidR="00B26D34" w:rsidRPr="00B26D34" w:rsidRDefault="00B26D34" w:rsidP="003A0C00">
            <w:pPr>
              <w:spacing w:afterLines="40" w:after="96"/>
              <w:rPr>
                <w:rFonts w:ascii="Arial" w:hAnsi="Arial" w:cs="Arial"/>
                <w:sz w:val="20"/>
                <w:szCs w:val="20"/>
              </w:rPr>
            </w:pPr>
            <w:r w:rsidRPr="00B26D34">
              <w:rPr>
                <w:rFonts w:ascii="Arial" w:hAnsi="Arial" w:cs="Arial"/>
                <w:sz w:val="20"/>
                <w:szCs w:val="20"/>
              </w:rPr>
              <w:t xml:space="preserve">Client experience of GPs by remoteness, Aboriginal and Torres Strait Islander people, Australia, 2012-13    </w:t>
            </w:r>
          </w:p>
        </w:tc>
      </w:tr>
      <w:tr w:rsidR="00B26D34" w:rsidTr="003A0C00">
        <w:trPr>
          <w:trHeight w:val="527"/>
        </w:trPr>
        <w:tc>
          <w:tcPr>
            <w:tcW w:w="1866" w:type="dxa"/>
            <w:tcBorders>
              <w:top w:val="nil"/>
              <w:left w:val="nil"/>
              <w:bottom w:val="nil"/>
              <w:right w:val="nil"/>
            </w:tcBorders>
            <w:shd w:val="clear" w:color="auto" w:fill="auto"/>
            <w:noWrap/>
            <w:hideMark/>
          </w:tcPr>
          <w:p w:rsidR="00B26D34" w:rsidRPr="00737BD6" w:rsidRDefault="00B26D34" w:rsidP="00803B7A">
            <w:pPr>
              <w:rPr>
                <w:rFonts w:ascii="Arial" w:hAnsi="Arial" w:cs="Arial"/>
                <w:b/>
                <w:sz w:val="20"/>
                <w:szCs w:val="20"/>
              </w:rPr>
            </w:pPr>
            <w:r w:rsidRPr="00737BD6">
              <w:rPr>
                <w:rFonts w:ascii="Arial" w:hAnsi="Arial" w:cs="Arial"/>
                <w:b/>
                <w:sz w:val="20"/>
                <w:szCs w:val="20"/>
              </w:rPr>
              <w:t>Table 10A.75</w:t>
            </w:r>
          </w:p>
        </w:tc>
        <w:tc>
          <w:tcPr>
            <w:tcW w:w="6923" w:type="dxa"/>
            <w:tcBorders>
              <w:top w:val="nil"/>
              <w:left w:val="nil"/>
              <w:bottom w:val="nil"/>
              <w:right w:val="nil"/>
            </w:tcBorders>
            <w:shd w:val="clear" w:color="auto" w:fill="auto"/>
            <w:hideMark/>
          </w:tcPr>
          <w:p w:rsidR="00B26D34" w:rsidRPr="00B26D34" w:rsidRDefault="00B26D34" w:rsidP="003A0C00">
            <w:pPr>
              <w:spacing w:afterLines="40" w:after="96"/>
              <w:rPr>
                <w:rFonts w:ascii="Arial" w:hAnsi="Arial" w:cs="Arial"/>
                <w:sz w:val="20"/>
                <w:szCs w:val="20"/>
              </w:rPr>
            </w:pPr>
            <w:r w:rsidRPr="00B26D34">
              <w:rPr>
                <w:rFonts w:ascii="Arial" w:hAnsi="Arial" w:cs="Arial"/>
                <w:sz w:val="20"/>
                <w:szCs w:val="20"/>
              </w:rPr>
              <w:t xml:space="preserve">Client experience of dental professionals by remoteness, States and Territories   </w:t>
            </w:r>
          </w:p>
        </w:tc>
      </w:tr>
      <w:tr w:rsidR="00B26D34" w:rsidTr="003A0C00">
        <w:trPr>
          <w:trHeight w:val="238"/>
        </w:trPr>
        <w:tc>
          <w:tcPr>
            <w:tcW w:w="1866" w:type="dxa"/>
            <w:tcBorders>
              <w:top w:val="nil"/>
              <w:left w:val="nil"/>
              <w:bottom w:val="nil"/>
              <w:right w:val="nil"/>
            </w:tcBorders>
            <w:shd w:val="clear" w:color="auto" w:fill="auto"/>
            <w:noWrap/>
            <w:hideMark/>
          </w:tcPr>
          <w:p w:rsidR="00B26D34" w:rsidRPr="00737BD6" w:rsidRDefault="00B26D34" w:rsidP="00803B7A">
            <w:pPr>
              <w:rPr>
                <w:rFonts w:ascii="Arial" w:hAnsi="Arial" w:cs="Arial"/>
                <w:b/>
                <w:sz w:val="20"/>
                <w:szCs w:val="20"/>
              </w:rPr>
            </w:pPr>
            <w:r w:rsidRPr="00737BD6">
              <w:rPr>
                <w:rFonts w:ascii="Arial" w:hAnsi="Arial" w:cs="Arial"/>
                <w:b/>
                <w:sz w:val="20"/>
                <w:szCs w:val="20"/>
              </w:rPr>
              <w:t>Table 10A.76</w:t>
            </w:r>
          </w:p>
        </w:tc>
        <w:tc>
          <w:tcPr>
            <w:tcW w:w="6923" w:type="dxa"/>
            <w:tcBorders>
              <w:top w:val="nil"/>
              <w:left w:val="nil"/>
              <w:bottom w:val="nil"/>
              <w:right w:val="nil"/>
            </w:tcBorders>
            <w:shd w:val="clear" w:color="auto" w:fill="auto"/>
            <w:hideMark/>
          </w:tcPr>
          <w:p w:rsidR="00B26D34" w:rsidRPr="00B26D34" w:rsidRDefault="00B26D34" w:rsidP="003A0C00">
            <w:pPr>
              <w:spacing w:afterLines="40" w:after="96"/>
              <w:rPr>
                <w:rFonts w:ascii="Arial" w:hAnsi="Arial" w:cs="Arial"/>
                <w:sz w:val="20"/>
                <w:szCs w:val="20"/>
              </w:rPr>
            </w:pPr>
            <w:r w:rsidRPr="00B26D34">
              <w:rPr>
                <w:rFonts w:ascii="Arial" w:hAnsi="Arial" w:cs="Arial"/>
                <w:sz w:val="20"/>
                <w:szCs w:val="20"/>
              </w:rPr>
              <w:t xml:space="preserve">Client experience of dental professionals by remoteness, Australia   </w:t>
            </w:r>
          </w:p>
        </w:tc>
      </w:tr>
      <w:tr w:rsidR="00B26D34" w:rsidTr="003A0C00">
        <w:trPr>
          <w:trHeight w:val="228"/>
        </w:trPr>
        <w:tc>
          <w:tcPr>
            <w:tcW w:w="1866" w:type="dxa"/>
            <w:tcBorders>
              <w:top w:val="nil"/>
              <w:left w:val="nil"/>
              <w:bottom w:val="nil"/>
              <w:right w:val="nil"/>
            </w:tcBorders>
            <w:shd w:val="clear" w:color="auto" w:fill="auto"/>
            <w:noWrap/>
            <w:hideMark/>
          </w:tcPr>
          <w:p w:rsidR="00B26D34" w:rsidRPr="00737BD6" w:rsidRDefault="00B26D34" w:rsidP="00803B7A">
            <w:pPr>
              <w:rPr>
                <w:rFonts w:ascii="Arial" w:hAnsi="Arial" w:cs="Arial"/>
                <w:b/>
                <w:sz w:val="20"/>
                <w:szCs w:val="20"/>
              </w:rPr>
            </w:pPr>
            <w:r w:rsidRPr="00737BD6">
              <w:rPr>
                <w:rFonts w:ascii="Arial" w:hAnsi="Arial" w:cs="Arial"/>
                <w:b/>
                <w:sz w:val="20"/>
                <w:szCs w:val="20"/>
              </w:rPr>
              <w:t>Table 10A.77</w:t>
            </w:r>
          </w:p>
        </w:tc>
        <w:tc>
          <w:tcPr>
            <w:tcW w:w="6923" w:type="dxa"/>
            <w:tcBorders>
              <w:top w:val="nil"/>
              <w:left w:val="nil"/>
              <w:bottom w:val="nil"/>
              <w:right w:val="nil"/>
            </w:tcBorders>
            <w:shd w:val="clear" w:color="auto" w:fill="auto"/>
            <w:hideMark/>
          </w:tcPr>
          <w:p w:rsidR="00B26D34" w:rsidRPr="00B26D34" w:rsidRDefault="00B26D34" w:rsidP="003A0C00">
            <w:pPr>
              <w:spacing w:afterLines="40" w:after="96"/>
              <w:rPr>
                <w:rFonts w:ascii="Arial" w:hAnsi="Arial" w:cs="Arial"/>
                <w:sz w:val="20"/>
                <w:szCs w:val="20"/>
              </w:rPr>
            </w:pPr>
            <w:r w:rsidRPr="00B26D34">
              <w:rPr>
                <w:rFonts w:ascii="Arial" w:hAnsi="Arial" w:cs="Arial"/>
                <w:sz w:val="20"/>
                <w:szCs w:val="20"/>
              </w:rPr>
              <w:t xml:space="preserve">Annual health assessments for older people   </w:t>
            </w:r>
          </w:p>
        </w:tc>
      </w:tr>
      <w:tr w:rsidR="00B26D34" w:rsidTr="003A0C00">
        <w:trPr>
          <w:trHeight w:val="499"/>
        </w:trPr>
        <w:tc>
          <w:tcPr>
            <w:tcW w:w="1866" w:type="dxa"/>
            <w:tcBorders>
              <w:top w:val="nil"/>
              <w:left w:val="nil"/>
              <w:bottom w:val="nil"/>
              <w:right w:val="nil"/>
            </w:tcBorders>
            <w:shd w:val="clear" w:color="auto" w:fill="auto"/>
            <w:noWrap/>
            <w:hideMark/>
          </w:tcPr>
          <w:p w:rsidR="00B26D34" w:rsidRPr="00737BD6" w:rsidRDefault="00B26D34" w:rsidP="00803B7A">
            <w:pPr>
              <w:rPr>
                <w:rFonts w:ascii="Arial" w:hAnsi="Arial" w:cs="Arial"/>
                <w:b/>
                <w:sz w:val="20"/>
                <w:szCs w:val="20"/>
              </w:rPr>
            </w:pPr>
            <w:r w:rsidRPr="00737BD6">
              <w:rPr>
                <w:rFonts w:ascii="Arial" w:hAnsi="Arial" w:cs="Arial"/>
                <w:b/>
                <w:sz w:val="20"/>
                <w:szCs w:val="20"/>
              </w:rPr>
              <w:t>Table 10A.78</w:t>
            </w:r>
          </w:p>
        </w:tc>
        <w:tc>
          <w:tcPr>
            <w:tcW w:w="6923" w:type="dxa"/>
            <w:tcBorders>
              <w:top w:val="nil"/>
              <w:left w:val="nil"/>
              <w:bottom w:val="nil"/>
              <w:right w:val="nil"/>
            </w:tcBorders>
            <w:shd w:val="clear" w:color="auto" w:fill="auto"/>
            <w:hideMark/>
          </w:tcPr>
          <w:p w:rsidR="00B26D34" w:rsidRPr="00B26D34" w:rsidRDefault="00B26D34" w:rsidP="003A0C00">
            <w:pPr>
              <w:spacing w:afterLines="40" w:after="96"/>
              <w:rPr>
                <w:rFonts w:ascii="Arial" w:hAnsi="Arial" w:cs="Arial"/>
                <w:sz w:val="20"/>
                <w:szCs w:val="20"/>
              </w:rPr>
            </w:pPr>
            <w:r w:rsidRPr="00B26D34">
              <w:rPr>
                <w:rFonts w:ascii="Arial" w:hAnsi="Arial" w:cs="Arial"/>
                <w:sz w:val="20"/>
                <w:szCs w:val="20"/>
              </w:rPr>
              <w:t xml:space="preserve">Valid vaccinations supplied to children under seven years of age, by type of provider, 2009–2014   </w:t>
            </w:r>
          </w:p>
        </w:tc>
      </w:tr>
      <w:tr w:rsidR="00B26D34" w:rsidTr="00361582">
        <w:trPr>
          <w:trHeight w:val="357"/>
        </w:trPr>
        <w:tc>
          <w:tcPr>
            <w:tcW w:w="1866" w:type="dxa"/>
            <w:tcBorders>
              <w:top w:val="nil"/>
              <w:left w:val="nil"/>
              <w:bottom w:val="nil"/>
              <w:right w:val="nil"/>
            </w:tcBorders>
            <w:shd w:val="clear" w:color="auto" w:fill="auto"/>
            <w:noWrap/>
            <w:hideMark/>
          </w:tcPr>
          <w:p w:rsidR="00B26D34" w:rsidRPr="00737BD6" w:rsidRDefault="00B26D34" w:rsidP="00803B7A">
            <w:pPr>
              <w:rPr>
                <w:rFonts w:ascii="Arial" w:hAnsi="Arial" w:cs="Arial"/>
                <w:b/>
                <w:sz w:val="20"/>
                <w:szCs w:val="20"/>
              </w:rPr>
            </w:pPr>
            <w:r w:rsidRPr="00737BD6">
              <w:rPr>
                <w:rFonts w:ascii="Arial" w:hAnsi="Arial" w:cs="Arial"/>
                <w:b/>
                <w:sz w:val="20"/>
                <w:szCs w:val="20"/>
              </w:rPr>
              <w:t>Table 10A.79</w:t>
            </w:r>
          </w:p>
        </w:tc>
        <w:tc>
          <w:tcPr>
            <w:tcW w:w="6923" w:type="dxa"/>
            <w:tcBorders>
              <w:top w:val="nil"/>
              <w:left w:val="nil"/>
              <w:bottom w:val="nil"/>
              <w:right w:val="nil"/>
            </w:tcBorders>
            <w:shd w:val="clear" w:color="auto" w:fill="auto"/>
            <w:hideMark/>
          </w:tcPr>
          <w:p w:rsidR="00B26D34" w:rsidRPr="00B26D34" w:rsidRDefault="00B26D34" w:rsidP="003A0C00">
            <w:pPr>
              <w:spacing w:afterLines="40" w:after="96"/>
              <w:rPr>
                <w:rFonts w:ascii="Arial" w:hAnsi="Arial" w:cs="Arial"/>
                <w:sz w:val="20"/>
                <w:szCs w:val="20"/>
              </w:rPr>
            </w:pPr>
            <w:r w:rsidRPr="00B26D34">
              <w:rPr>
                <w:rFonts w:ascii="Arial" w:hAnsi="Arial" w:cs="Arial"/>
                <w:sz w:val="20"/>
                <w:szCs w:val="20"/>
              </w:rPr>
              <w:t xml:space="preserve">Children aged 12 months to less than 15 months who were fully immunised (per cent)    </w:t>
            </w:r>
          </w:p>
        </w:tc>
      </w:tr>
      <w:tr w:rsidR="00B26D34" w:rsidTr="003564F1">
        <w:trPr>
          <w:trHeight w:val="357"/>
        </w:trPr>
        <w:tc>
          <w:tcPr>
            <w:tcW w:w="1866" w:type="dxa"/>
            <w:tcBorders>
              <w:top w:val="nil"/>
              <w:left w:val="nil"/>
              <w:bottom w:val="nil"/>
              <w:right w:val="nil"/>
            </w:tcBorders>
            <w:shd w:val="clear" w:color="auto" w:fill="auto"/>
            <w:noWrap/>
            <w:hideMark/>
          </w:tcPr>
          <w:p w:rsidR="00B26D34" w:rsidRPr="00737BD6" w:rsidRDefault="00B26D34" w:rsidP="00803B7A">
            <w:pPr>
              <w:rPr>
                <w:rFonts w:ascii="Arial" w:hAnsi="Arial" w:cs="Arial"/>
                <w:b/>
                <w:sz w:val="20"/>
                <w:szCs w:val="20"/>
              </w:rPr>
            </w:pPr>
            <w:r w:rsidRPr="00737BD6">
              <w:rPr>
                <w:rFonts w:ascii="Arial" w:hAnsi="Arial" w:cs="Arial"/>
                <w:b/>
                <w:sz w:val="20"/>
                <w:szCs w:val="20"/>
              </w:rPr>
              <w:t>Table 10A.80</w:t>
            </w:r>
          </w:p>
        </w:tc>
        <w:tc>
          <w:tcPr>
            <w:tcW w:w="6923" w:type="dxa"/>
            <w:tcBorders>
              <w:top w:val="nil"/>
              <w:left w:val="nil"/>
              <w:bottom w:val="nil"/>
              <w:right w:val="nil"/>
            </w:tcBorders>
            <w:shd w:val="clear" w:color="auto" w:fill="auto"/>
            <w:hideMark/>
          </w:tcPr>
          <w:p w:rsidR="00B26D34" w:rsidRPr="00B26D34" w:rsidRDefault="00B26D34" w:rsidP="003A0C00">
            <w:pPr>
              <w:spacing w:afterLines="40" w:after="96"/>
              <w:rPr>
                <w:rFonts w:ascii="Arial" w:hAnsi="Arial" w:cs="Arial"/>
                <w:sz w:val="20"/>
                <w:szCs w:val="20"/>
              </w:rPr>
            </w:pPr>
            <w:r w:rsidRPr="00B26D34">
              <w:rPr>
                <w:rFonts w:ascii="Arial" w:hAnsi="Arial" w:cs="Arial"/>
                <w:sz w:val="20"/>
                <w:szCs w:val="20"/>
              </w:rPr>
              <w:t xml:space="preserve">Children aged 24 months to less than 27 months who were fully immunised (per cent)    </w:t>
            </w:r>
          </w:p>
        </w:tc>
      </w:tr>
      <w:tr w:rsidR="00B26D34" w:rsidTr="00361582">
        <w:trPr>
          <w:trHeight w:val="357"/>
        </w:trPr>
        <w:tc>
          <w:tcPr>
            <w:tcW w:w="1866" w:type="dxa"/>
            <w:tcBorders>
              <w:top w:val="nil"/>
              <w:left w:val="nil"/>
              <w:bottom w:val="nil"/>
              <w:right w:val="nil"/>
            </w:tcBorders>
            <w:shd w:val="clear" w:color="auto" w:fill="auto"/>
            <w:noWrap/>
            <w:hideMark/>
          </w:tcPr>
          <w:p w:rsidR="00B26D34" w:rsidRPr="00737BD6" w:rsidRDefault="00B26D34" w:rsidP="00803B7A">
            <w:pPr>
              <w:rPr>
                <w:rFonts w:ascii="Arial" w:hAnsi="Arial" w:cs="Arial"/>
                <w:b/>
                <w:sz w:val="20"/>
                <w:szCs w:val="20"/>
              </w:rPr>
            </w:pPr>
            <w:r w:rsidRPr="00737BD6">
              <w:rPr>
                <w:rFonts w:ascii="Arial" w:hAnsi="Arial" w:cs="Arial"/>
                <w:b/>
                <w:sz w:val="20"/>
                <w:szCs w:val="20"/>
              </w:rPr>
              <w:t>Table 10A.81</w:t>
            </w:r>
          </w:p>
        </w:tc>
        <w:tc>
          <w:tcPr>
            <w:tcW w:w="6923" w:type="dxa"/>
            <w:tcBorders>
              <w:top w:val="nil"/>
              <w:left w:val="nil"/>
              <w:bottom w:val="nil"/>
              <w:right w:val="nil"/>
            </w:tcBorders>
            <w:shd w:val="clear" w:color="auto" w:fill="auto"/>
            <w:hideMark/>
          </w:tcPr>
          <w:p w:rsidR="00B26D34" w:rsidRPr="00B26D34" w:rsidRDefault="00B26D34" w:rsidP="003A0C00">
            <w:pPr>
              <w:spacing w:afterLines="40" w:after="96"/>
              <w:rPr>
                <w:rFonts w:ascii="Arial" w:hAnsi="Arial" w:cs="Arial"/>
                <w:sz w:val="20"/>
                <w:szCs w:val="20"/>
              </w:rPr>
            </w:pPr>
            <w:r w:rsidRPr="00B26D34">
              <w:rPr>
                <w:rFonts w:ascii="Arial" w:hAnsi="Arial" w:cs="Arial"/>
                <w:sz w:val="20"/>
                <w:szCs w:val="20"/>
              </w:rPr>
              <w:t xml:space="preserve">Children aged 60 months to less than 63 months who were fully immunised (per cent)   </w:t>
            </w:r>
          </w:p>
        </w:tc>
      </w:tr>
      <w:tr w:rsidR="00B26D34" w:rsidTr="003A0C00">
        <w:trPr>
          <w:trHeight w:val="260"/>
        </w:trPr>
        <w:tc>
          <w:tcPr>
            <w:tcW w:w="1866" w:type="dxa"/>
            <w:tcBorders>
              <w:top w:val="nil"/>
              <w:left w:val="nil"/>
              <w:bottom w:val="nil"/>
              <w:right w:val="nil"/>
            </w:tcBorders>
            <w:shd w:val="clear" w:color="auto" w:fill="auto"/>
            <w:noWrap/>
          </w:tcPr>
          <w:p w:rsidR="00B26D34" w:rsidRPr="00737BD6" w:rsidRDefault="00B26D34" w:rsidP="00803B7A">
            <w:pPr>
              <w:rPr>
                <w:rFonts w:ascii="Arial" w:hAnsi="Arial" w:cs="Arial"/>
                <w:b/>
                <w:sz w:val="20"/>
                <w:szCs w:val="20"/>
              </w:rPr>
            </w:pPr>
            <w:r w:rsidRPr="00737BD6">
              <w:rPr>
                <w:rFonts w:ascii="Arial" w:hAnsi="Arial" w:cs="Arial"/>
                <w:b/>
                <w:sz w:val="20"/>
                <w:szCs w:val="20"/>
              </w:rPr>
              <w:t>Table 10A.82</w:t>
            </w:r>
          </w:p>
        </w:tc>
        <w:tc>
          <w:tcPr>
            <w:tcW w:w="6923" w:type="dxa"/>
            <w:tcBorders>
              <w:top w:val="nil"/>
              <w:left w:val="nil"/>
              <w:bottom w:val="nil"/>
              <w:right w:val="nil"/>
            </w:tcBorders>
            <w:shd w:val="clear" w:color="auto" w:fill="auto"/>
          </w:tcPr>
          <w:p w:rsidR="00B26D34" w:rsidRPr="00B26D34" w:rsidRDefault="00B26D34" w:rsidP="003A0C00">
            <w:pPr>
              <w:spacing w:afterLines="40" w:after="96"/>
              <w:rPr>
                <w:rFonts w:ascii="Arial" w:hAnsi="Arial" w:cs="Arial"/>
                <w:sz w:val="20"/>
                <w:szCs w:val="20"/>
              </w:rPr>
            </w:pPr>
            <w:r w:rsidRPr="00B26D34">
              <w:rPr>
                <w:rFonts w:ascii="Arial" w:hAnsi="Arial" w:cs="Arial"/>
                <w:sz w:val="20"/>
                <w:szCs w:val="20"/>
              </w:rPr>
              <w:t xml:space="preserve">Notifications of measles, children aged 0–14 years   </w:t>
            </w:r>
          </w:p>
        </w:tc>
      </w:tr>
      <w:tr w:rsidR="00B26D34" w:rsidTr="003A0C00">
        <w:trPr>
          <w:trHeight w:val="107"/>
        </w:trPr>
        <w:tc>
          <w:tcPr>
            <w:tcW w:w="1866" w:type="dxa"/>
            <w:tcBorders>
              <w:top w:val="nil"/>
              <w:left w:val="nil"/>
              <w:bottom w:val="nil"/>
              <w:right w:val="nil"/>
            </w:tcBorders>
            <w:shd w:val="clear" w:color="auto" w:fill="auto"/>
            <w:noWrap/>
          </w:tcPr>
          <w:p w:rsidR="00B26D34" w:rsidRPr="00737BD6" w:rsidRDefault="00B26D34" w:rsidP="00803B7A">
            <w:pPr>
              <w:rPr>
                <w:rFonts w:ascii="Arial" w:hAnsi="Arial" w:cs="Arial"/>
                <w:b/>
                <w:sz w:val="20"/>
                <w:szCs w:val="20"/>
              </w:rPr>
            </w:pPr>
            <w:r w:rsidRPr="00737BD6">
              <w:rPr>
                <w:rFonts w:ascii="Arial" w:hAnsi="Arial" w:cs="Arial"/>
                <w:b/>
                <w:sz w:val="20"/>
                <w:szCs w:val="20"/>
              </w:rPr>
              <w:t>Table 10A.83</w:t>
            </w:r>
          </w:p>
        </w:tc>
        <w:tc>
          <w:tcPr>
            <w:tcW w:w="6923" w:type="dxa"/>
            <w:tcBorders>
              <w:top w:val="nil"/>
              <w:left w:val="nil"/>
              <w:bottom w:val="nil"/>
              <w:right w:val="nil"/>
            </w:tcBorders>
            <w:shd w:val="clear" w:color="auto" w:fill="auto"/>
          </w:tcPr>
          <w:p w:rsidR="00B26D34" w:rsidRPr="00B26D34" w:rsidRDefault="00B26D34" w:rsidP="003A0C00">
            <w:pPr>
              <w:spacing w:afterLines="40" w:after="96"/>
              <w:rPr>
                <w:rFonts w:ascii="Arial" w:hAnsi="Arial" w:cs="Arial"/>
                <w:sz w:val="20"/>
                <w:szCs w:val="20"/>
              </w:rPr>
            </w:pPr>
            <w:r w:rsidRPr="00B26D34">
              <w:rPr>
                <w:rFonts w:ascii="Arial" w:hAnsi="Arial" w:cs="Arial"/>
                <w:sz w:val="20"/>
                <w:szCs w:val="20"/>
              </w:rPr>
              <w:t xml:space="preserve">Notifications of pertussis (whooping cough), children aged 0–14 years   </w:t>
            </w:r>
          </w:p>
        </w:tc>
      </w:tr>
      <w:tr w:rsidR="00B26D34" w:rsidTr="003A0C00">
        <w:trPr>
          <w:trHeight w:val="454"/>
        </w:trPr>
        <w:tc>
          <w:tcPr>
            <w:tcW w:w="1866" w:type="dxa"/>
            <w:tcBorders>
              <w:top w:val="nil"/>
              <w:left w:val="nil"/>
              <w:bottom w:val="nil"/>
              <w:right w:val="nil"/>
            </w:tcBorders>
            <w:shd w:val="clear" w:color="auto" w:fill="auto"/>
            <w:noWrap/>
          </w:tcPr>
          <w:p w:rsidR="00B26D34" w:rsidRPr="00737BD6" w:rsidRDefault="00B26D34" w:rsidP="00803B7A">
            <w:pPr>
              <w:rPr>
                <w:rFonts w:ascii="Arial" w:hAnsi="Arial" w:cs="Arial"/>
                <w:b/>
                <w:sz w:val="20"/>
                <w:szCs w:val="20"/>
              </w:rPr>
            </w:pPr>
            <w:r w:rsidRPr="00737BD6">
              <w:rPr>
                <w:rFonts w:ascii="Arial" w:hAnsi="Arial" w:cs="Arial"/>
                <w:b/>
                <w:sz w:val="20"/>
                <w:szCs w:val="20"/>
              </w:rPr>
              <w:t>Table 10A.84</w:t>
            </w:r>
          </w:p>
        </w:tc>
        <w:tc>
          <w:tcPr>
            <w:tcW w:w="6923" w:type="dxa"/>
            <w:tcBorders>
              <w:top w:val="nil"/>
              <w:left w:val="nil"/>
              <w:bottom w:val="nil"/>
              <w:right w:val="nil"/>
            </w:tcBorders>
            <w:shd w:val="clear" w:color="auto" w:fill="auto"/>
          </w:tcPr>
          <w:p w:rsidR="00B26D34" w:rsidRPr="00B26D34" w:rsidRDefault="00B26D34" w:rsidP="003A0C00">
            <w:pPr>
              <w:spacing w:afterLines="40" w:after="96"/>
              <w:rPr>
                <w:rFonts w:ascii="Arial" w:hAnsi="Arial" w:cs="Arial"/>
                <w:sz w:val="20"/>
                <w:szCs w:val="20"/>
              </w:rPr>
            </w:pPr>
            <w:r w:rsidRPr="00B26D34">
              <w:rPr>
                <w:rFonts w:ascii="Arial" w:hAnsi="Arial" w:cs="Arial"/>
                <w:sz w:val="20"/>
                <w:szCs w:val="20"/>
              </w:rPr>
              <w:t xml:space="preserve">Notifications of invasive Haemophilus influenzae type b, children aged 0–14 years   </w:t>
            </w:r>
          </w:p>
        </w:tc>
      </w:tr>
      <w:tr w:rsidR="00B26D34" w:rsidTr="00361582">
        <w:trPr>
          <w:trHeight w:val="357"/>
        </w:trPr>
        <w:tc>
          <w:tcPr>
            <w:tcW w:w="1866" w:type="dxa"/>
            <w:tcBorders>
              <w:top w:val="nil"/>
              <w:left w:val="nil"/>
              <w:bottom w:val="nil"/>
              <w:right w:val="nil"/>
            </w:tcBorders>
            <w:shd w:val="clear" w:color="auto" w:fill="auto"/>
            <w:noWrap/>
          </w:tcPr>
          <w:p w:rsidR="00B26D34" w:rsidRPr="00737BD6" w:rsidRDefault="00B26D34" w:rsidP="00803B7A">
            <w:pPr>
              <w:rPr>
                <w:rFonts w:ascii="Arial" w:hAnsi="Arial" w:cs="Arial"/>
                <w:b/>
                <w:sz w:val="20"/>
                <w:szCs w:val="20"/>
              </w:rPr>
            </w:pPr>
            <w:r w:rsidRPr="00737BD6">
              <w:rPr>
                <w:rFonts w:ascii="Arial" w:hAnsi="Arial" w:cs="Arial"/>
                <w:b/>
                <w:sz w:val="20"/>
                <w:szCs w:val="20"/>
              </w:rPr>
              <w:t>Table 10A.85</w:t>
            </w:r>
          </w:p>
        </w:tc>
        <w:tc>
          <w:tcPr>
            <w:tcW w:w="6923" w:type="dxa"/>
            <w:tcBorders>
              <w:top w:val="nil"/>
              <w:left w:val="nil"/>
              <w:bottom w:val="nil"/>
              <w:right w:val="nil"/>
            </w:tcBorders>
            <w:shd w:val="clear" w:color="auto" w:fill="auto"/>
          </w:tcPr>
          <w:p w:rsidR="00B26D34" w:rsidRPr="00B26D34" w:rsidRDefault="00B26D34" w:rsidP="003A0C00">
            <w:pPr>
              <w:spacing w:afterLines="40" w:after="96"/>
              <w:rPr>
                <w:rFonts w:ascii="Arial" w:hAnsi="Arial" w:cs="Arial"/>
                <w:sz w:val="20"/>
                <w:szCs w:val="20"/>
              </w:rPr>
            </w:pPr>
            <w:r w:rsidRPr="00B26D34">
              <w:rPr>
                <w:rFonts w:ascii="Arial" w:hAnsi="Arial" w:cs="Arial"/>
                <w:sz w:val="20"/>
                <w:szCs w:val="20"/>
              </w:rPr>
              <w:t>Participation rates for women in BreastScreen Australia</w:t>
            </w:r>
            <w:r w:rsidR="00361582">
              <w:rPr>
                <w:rFonts w:ascii="Arial" w:hAnsi="Arial" w:cs="Arial"/>
                <w:sz w:val="20"/>
                <w:szCs w:val="20"/>
              </w:rPr>
              <w:t xml:space="preserve"> </w:t>
            </w:r>
            <w:r w:rsidR="00361582" w:rsidRPr="00B26D34">
              <w:rPr>
                <w:rFonts w:ascii="Arial" w:hAnsi="Arial" w:cs="Arial"/>
                <w:sz w:val="20"/>
                <w:szCs w:val="20"/>
              </w:rPr>
              <w:t>(24 month period)</w:t>
            </w:r>
          </w:p>
        </w:tc>
      </w:tr>
      <w:tr w:rsidR="00361582" w:rsidTr="00361582">
        <w:trPr>
          <w:trHeight w:val="357"/>
        </w:trPr>
        <w:tc>
          <w:tcPr>
            <w:tcW w:w="1866" w:type="dxa"/>
            <w:tcBorders>
              <w:top w:val="nil"/>
              <w:left w:val="nil"/>
              <w:bottom w:val="nil"/>
              <w:right w:val="nil"/>
            </w:tcBorders>
            <w:shd w:val="clear" w:color="auto" w:fill="auto"/>
            <w:noWrap/>
          </w:tcPr>
          <w:p w:rsidR="00361582" w:rsidRPr="00737BD6" w:rsidRDefault="00361582" w:rsidP="00803B7A">
            <w:pPr>
              <w:rPr>
                <w:rFonts w:ascii="Arial" w:hAnsi="Arial" w:cs="Arial"/>
                <w:b/>
                <w:sz w:val="20"/>
                <w:szCs w:val="20"/>
              </w:rPr>
            </w:pPr>
            <w:r w:rsidRPr="00737BD6">
              <w:rPr>
                <w:rFonts w:ascii="Arial" w:hAnsi="Arial" w:cs="Arial"/>
                <w:b/>
                <w:sz w:val="20"/>
                <w:szCs w:val="20"/>
              </w:rPr>
              <w:t>Table 10A.86</w:t>
            </w:r>
          </w:p>
        </w:tc>
        <w:tc>
          <w:tcPr>
            <w:tcW w:w="6923" w:type="dxa"/>
            <w:tcBorders>
              <w:top w:val="nil"/>
              <w:left w:val="nil"/>
              <w:bottom w:val="nil"/>
              <w:right w:val="nil"/>
            </w:tcBorders>
            <w:shd w:val="clear" w:color="auto" w:fill="auto"/>
          </w:tcPr>
          <w:p w:rsidR="00361582" w:rsidRPr="00B26D34" w:rsidRDefault="00361582" w:rsidP="003A0C00">
            <w:pPr>
              <w:spacing w:afterLines="40" w:after="96"/>
              <w:rPr>
                <w:rFonts w:ascii="Arial" w:hAnsi="Arial" w:cs="Arial"/>
                <w:sz w:val="20"/>
                <w:szCs w:val="20"/>
              </w:rPr>
            </w:pPr>
            <w:r w:rsidRPr="00B26D34">
              <w:rPr>
                <w:rFonts w:ascii="Arial" w:hAnsi="Arial" w:cs="Arial"/>
                <w:sz w:val="20"/>
                <w:szCs w:val="20"/>
              </w:rPr>
              <w:t>Participation rates for women in BreastScreen Australia by residential status, 2012 and 2013 (24 month period)</w:t>
            </w:r>
          </w:p>
        </w:tc>
      </w:tr>
      <w:tr w:rsidR="00361582" w:rsidTr="003A0C00">
        <w:trPr>
          <w:trHeight w:val="404"/>
        </w:trPr>
        <w:tc>
          <w:tcPr>
            <w:tcW w:w="1866" w:type="dxa"/>
            <w:tcBorders>
              <w:top w:val="nil"/>
              <w:left w:val="nil"/>
              <w:bottom w:val="nil"/>
              <w:right w:val="nil"/>
            </w:tcBorders>
            <w:shd w:val="clear" w:color="auto" w:fill="auto"/>
            <w:noWrap/>
          </w:tcPr>
          <w:p w:rsidR="00361582" w:rsidRPr="00737BD6" w:rsidRDefault="00361582" w:rsidP="00803B7A">
            <w:pPr>
              <w:rPr>
                <w:rFonts w:ascii="Arial" w:hAnsi="Arial" w:cs="Arial"/>
                <w:b/>
                <w:sz w:val="20"/>
                <w:szCs w:val="20"/>
              </w:rPr>
            </w:pPr>
            <w:r w:rsidRPr="00737BD6">
              <w:rPr>
                <w:rFonts w:ascii="Arial" w:hAnsi="Arial" w:cs="Arial"/>
                <w:b/>
                <w:sz w:val="20"/>
                <w:szCs w:val="20"/>
              </w:rPr>
              <w:t>Table 10A.87</w:t>
            </w:r>
          </w:p>
        </w:tc>
        <w:tc>
          <w:tcPr>
            <w:tcW w:w="6923" w:type="dxa"/>
            <w:tcBorders>
              <w:top w:val="nil"/>
              <w:left w:val="nil"/>
              <w:bottom w:val="nil"/>
              <w:right w:val="nil"/>
            </w:tcBorders>
            <w:shd w:val="clear" w:color="auto" w:fill="auto"/>
          </w:tcPr>
          <w:p w:rsidR="00361582" w:rsidRPr="00B26D34" w:rsidRDefault="00361582" w:rsidP="003A0C00">
            <w:pPr>
              <w:spacing w:afterLines="40" w:after="96"/>
              <w:rPr>
                <w:rFonts w:ascii="Arial" w:hAnsi="Arial" w:cs="Arial"/>
                <w:sz w:val="20"/>
                <w:szCs w:val="20"/>
              </w:rPr>
            </w:pPr>
            <w:r w:rsidRPr="00B26D34">
              <w:rPr>
                <w:rFonts w:ascii="Arial" w:hAnsi="Arial" w:cs="Arial"/>
                <w:sz w:val="20"/>
                <w:szCs w:val="20"/>
              </w:rPr>
              <w:t xml:space="preserve">Participation rates for Aboriginal and Torres Strait Islander women screened by BreastScreen Australia (24 month period) (first and subsequent rounds) (per cent)   </w:t>
            </w:r>
          </w:p>
        </w:tc>
      </w:tr>
      <w:tr w:rsidR="00361582" w:rsidTr="003A0C00">
        <w:trPr>
          <w:trHeight w:val="472"/>
        </w:trPr>
        <w:tc>
          <w:tcPr>
            <w:tcW w:w="1866" w:type="dxa"/>
            <w:tcBorders>
              <w:top w:val="nil"/>
              <w:left w:val="nil"/>
              <w:bottom w:val="nil"/>
              <w:right w:val="nil"/>
            </w:tcBorders>
            <w:shd w:val="clear" w:color="auto" w:fill="auto"/>
            <w:noWrap/>
          </w:tcPr>
          <w:p w:rsidR="00361582" w:rsidRPr="00737BD6" w:rsidRDefault="00361582" w:rsidP="00803B7A">
            <w:pPr>
              <w:rPr>
                <w:rFonts w:ascii="Arial" w:hAnsi="Arial" w:cs="Arial"/>
                <w:b/>
                <w:sz w:val="20"/>
                <w:szCs w:val="20"/>
              </w:rPr>
            </w:pPr>
            <w:r w:rsidRPr="00737BD6">
              <w:rPr>
                <w:rFonts w:ascii="Arial" w:hAnsi="Arial" w:cs="Arial"/>
                <w:b/>
                <w:sz w:val="20"/>
                <w:szCs w:val="20"/>
              </w:rPr>
              <w:t>Table 10A.88</w:t>
            </w:r>
          </w:p>
        </w:tc>
        <w:tc>
          <w:tcPr>
            <w:tcW w:w="6923" w:type="dxa"/>
            <w:tcBorders>
              <w:top w:val="nil"/>
              <w:left w:val="nil"/>
              <w:bottom w:val="nil"/>
              <w:right w:val="nil"/>
            </w:tcBorders>
            <w:shd w:val="clear" w:color="auto" w:fill="auto"/>
          </w:tcPr>
          <w:p w:rsidR="00361582" w:rsidRPr="00B26D34" w:rsidRDefault="00361582" w:rsidP="003A0C00">
            <w:pPr>
              <w:spacing w:afterLines="40" w:after="96"/>
              <w:rPr>
                <w:rFonts w:ascii="Arial" w:hAnsi="Arial" w:cs="Arial"/>
                <w:sz w:val="20"/>
                <w:szCs w:val="20"/>
              </w:rPr>
            </w:pPr>
            <w:r w:rsidRPr="00B26D34">
              <w:rPr>
                <w:rFonts w:ascii="Arial" w:hAnsi="Arial" w:cs="Arial"/>
                <w:sz w:val="20"/>
                <w:szCs w:val="20"/>
              </w:rPr>
              <w:t xml:space="preserve">Participation rates for NESB women screened by BreastScreen Australia </w:t>
            </w:r>
            <w:r w:rsidR="003A0C00">
              <w:rPr>
                <w:rFonts w:ascii="Arial" w:hAnsi="Arial" w:cs="Arial"/>
                <w:sz w:val="20"/>
                <w:szCs w:val="20"/>
              </w:rPr>
              <w:br/>
            </w:r>
            <w:r w:rsidRPr="00B26D34">
              <w:rPr>
                <w:rFonts w:ascii="Arial" w:hAnsi="Arial" w:cs="Arial"/>
                <w:sz w:val="20"/>
                <w:szCs w:val="20"/>
              </w:rPr>
              <w:t xml:space="preserve">(24 month period) (first and subsequent rounds) (per cent)   </w:t>
            </w:r>
          </w:p>
        </w:tc>
      </w:tr>
      <w:tr w:rsidR="00361582" w:rsidTr="00361582">
        <w:trPr>
          <w:trHeight w:val="357"/>
        </w:trPr>
        <w:tc>
          <w:tcPr>
            <w:tcW w:w="1866" w:type="dxa"/>
            <w:tcBorders>
              <w:top w:val="nil"/>
              <w:left w:val="nil"/>
              <w:bottom w:val="nil"/>
              <w:right w:val="nil"/>
            </w:tcBorders>
            <w:shd w:val="clear" w:color="auto" w:fill="auto"/>
            <w:noWrap/>
          </w:tcPr>
          <w:p w:rsidR="00361582" w:rsidRPr="00737BD6" w:rsidRDefault="00361582" w:rsidP="00803B7A">
            <w:pPr>
              <w:rPr>
                <w:rFonts w:ascii="Arial" w:hAnsi="Arial" w:cs="Arial"/>
                <w:b/>
                <w:sz w:val="20"/>
                <w:szCs w:val="20"/>
              </w:rPr>
            </w:pPr>
            <w:r w:rsidRPr="00737BD6">
              <w:rPr>
                <w:rFonts w:ascii="Arial" w:hAnsi="Arial" w:cs="Arial"/>
                <w:b/>
                <w:sz w:val="20"/>
                <w:szCs w:val="20"/>
              </w:rPr>
              <w:t>Table 10A.89</w:t>
            </w:r>
          </w:p>
        </w:tc>
        <w:tc>
          <w:tcPr>
            <w:tcW w:w="6923" w:type="dxa"/>
            <w:tcBorders>
              <w:top w:val="nil"/>
              <w:left w:val="nil"/>
              <w:bottom w:val="nil"/>
              <w:right w:val="nil"/>
            </w:tcBorders>
            <w:shd w:val="clear" w:color="auto" w:fill="auto"/>
          </w:tcPr>
          <w:p w:rsidR="00361582" w:rsidRPr="00B26D34" w:rsidRDefault="00361582" w:rsidP="003A0C00">
            <w:pPr>
              <w:spacing w:afterLines="40" w:after="96"/>
              <w:rPr>
                <w:rFonts w:ascii="Arial" w:hAnsi="Arial" w:cs="Arial"/>
                <w:sz w:val="20"/>
                <w:szCs w:val="20"/>
              </w:rPr>
            </w:pPr>
            <w:r w:rsidRPr="00B26D34">
              <w:rPr>
                <w:rFonts w:ascii="Arial" w:hAnsi="Arial" w:cs="Arial"/>
                <w:sz w:val="20"/>
                <w:szCs w:val="20"/>
              </w:rPr>
              <w:t xml:space="preserve">Participation rates for women screened by BreastScreen Australia, by geographic location (24 month period) (first and subsequent rounds) </w:t>
            </w:r>
            <w:r w:rsidR="003A0C00">
              <w:rPr>
                <w:rFonts w:ascii="Arial" w:hAnsi="Arial" w:cs="Arial"/>
                <w:sz w:val="20"/>
                <w:szCs w:val="20"/>
              </w:rPr>
              <w:br/>
            </w:r>
            <w:r w:rsidRPr="00B26D34">
              <w:rPr>
                <w:rFonts w:ascii="Arial" w:hAnsi="Arial" w:cs="Arial"/>
                <w:sz w:val="20"/>
                <w:szCs w:val="20"/>
              </w:rPr>
              <w:t xml:space="preserve">(per cent)      </w:t>
            </w:r>
          </w:p>
        </w:tc>
      </w:tr>
      <w:tr w:rsidR="00361582" w:rsidTr="00361582">
        <w:trPr>
          <w:trHeight w:val="357"/>
        </w:trPr>
        <w:tc>
          <w:tcPr>
            <w:tcW w:w="1866" w:type="dxa"/>
            <w:tcBorders>
              <w:top w:val="nil"/>
              <w:left w:val="nil"/>
              <w:bottom w:val="nil"/>
              <w:right w:val="nil"/>
            </w:tcBorders>
            <w:shd w:val="clear" w:color="auto" w:fill="auto"/>
            <w:noWrap/>
          </w:tcPr>
          <w:p w:rsidR="00361582" w:rsidRPr="00737BD6" w:rsidRDefault="00361582" w:rsidP="00803B7A">
            <w:pPr>
              <w:rPr>
                <w:rFonts w:ascii="Arial" w:hAnsi="Arial" w:cs="Arial"/>
                <w:b/>
                <w:sz w:val="20"/>
                <w:szCs w:val="20"/>
              </w:rPr>
            </w:pPr>
            <w:r w:rsidRPr="00737BD6">
              <w:rPr>
                <w:rFonts w:ascii="Arial" w:hAnsi="Arial" w:cs="Arial"/>
                <w:b/>
                <w:sz w:val="20"/>
                <w:szCs w:val="20"/>
              </w:rPr>
              <w:t>Table 10A.90</w:t>
            </w:r>
          </w:p>
        </w:tc>
        <w:tc>
          <w:tcPr>
            <w:tcW w:w="6923" w:type="dxa"/>
            <w:tcBorders>
              <w:top w:val="nil"/>
              <w:left w:val="nil"/>
              <w:bottom w:val="nil"/>
              <w:right w:val="nil"/>
            </w:tcBorders>
            <w:shd w:val="clear" w:color="auto" w:fill="auto"/>
          </w:tcPr>
          <w:p w:rsidR="00361582" w:rsidRPr="00B26D34" w:rsidRDefault="00361582" w:rsidP="003A0C00">
            <w:pPr>
              <w:spacing w:afterLines="40" w:after="96"/>
              <w:rPr>
                <w:rFonts w:ascii="Arial" w:hAnsi="Arial" w:cs="Arial"/>
                <w:sz w:val="20"/>
                <w:szCs w:val="20"/>
              </w:rPr>
            </w:pPr>
            <w:r w:rsidRPr="00B26D34">
              <w:rPr>
                <w:rFonts w:ascii="Arial" w:hAnsi="Arial" w:cs="Arial"/>
                <w:sz w:val="20"/>
                <w:szCs w:val="20"/>
              </w:rPr>
              <w:t xml:space="preserve">Participation rates for women in cervical screening programs, by age group (per cent) (24 month period)      </w:t>
            </w:r>
          </w:p>
        </w:tc>
      </w:tr>
      <w:tr w:rsidR="00361582" w:rsidTr="00361582">
        <w:trPr>
          <w:trHeight w:val="357"/>
        </w:trPr>
        <w:tc>
          <w:tcPr>
            <w:tcW w:w="1866" w:type="dxa"/>
            <w:tcBorders>
              <w:top w:val="nil"/>
              <w:left w:val="nil"/>
              <w:bottom w:val="nil"/>
              <w:right w:val="nil"/>
            </w:tcBorders>
            <w:shd w:val="clear" w:color="auto" w:fill="auto"/>
            <w:noWrap/>
          </w:tcPr>
          <w:p w:rsidR="00361582" w:rsidRPr="00737BD6" w:rsidRDefault="00361582" w:rsidP="00803B7A">
            <w:pPr>
              <w:rPr>
                <w:rFonts w:ascii="Arial" w:hAnsi="Arial" w:cs="Arial"/>
                <w:b/>
                <w:sz w:val="20"/>
                <w:szCs w:val="20"/>
              </w:rPr>
            </w:pPr>
            <w:r w:rsidRPr="00737BD6">
              <w:rPr>
                <w:rFonts w:ascii="Arial" w:hAnsi="Arial" w:cs="Arial"/>
                <w:b/>
                <w:sz w:val="20"/>
                <w:szCs w:val="20"/>
              </w:rPr>
              <w:t>Table 10A.91</w:t>
            </w:r>
          </w:p>
        </w:tc>
        <w:tc>
          <w:tcPr>
            <w:tcW w:w="6923" w:type="dxa"/>
            <w:tcBorders>
              <w:top w:val="nil"/>
              <w:left w:val="nil"/>
              <w:bottom w:val="nil"/>
              <w:right w:val="nil"/>
            </w:tcBorders>
            <w:shd w:val="clear" w:color="auto" w:fill="auto"/>
          </w:tcPr>
          <w:p w:rsidR="00361582" w:rsidRPr="00B26D34" w:rsidRDefault="00361582" w:rsidP="003A0C00">
            <w:pPr>
              <w:spacing w:afterLines="40" w:after="96"/>
              <w:rPr>
                <w:rFonts w:ascii="Arial" w:hAnsi="Arial" w:cs="Arial"/>
                <w:sz w:val="20"/>
                <w:szCs w:val="20"/>
              </w:rPr>
            </w:pPr>
            <w:r w:rsidRPr="00B26D34">
              <w:rPr>
                <w:rFonts w:ascii="Arial" w:hAnsi="Arial" w:cs="Arial"/>
                <w:sz w:val="20"/>
                <w:szCs w:val="20"/>
              </w:rPr>
              <w:t>Cervical screening rates among Aboriginal and Torres Strait Islander women aged 20 to 69 years, who reported having a Pap smear at least every 2 years (per cent)</w:t>
            </w:r>
          </w:p>
        </w:tc>
      </w:tr>
      <w:tr w:rsidR="00361582" w:rsidTr="003A0C00">
        <w:trPr>
          <w:trHeight w:val="198"/>
        </w:trPr>
        <w:tc>
          <w:tcPr>
            <w:tcW w:w="1866" w:type="dxa"/>
            <w:tcBorders>
              <w:top w:val="nil"/>
              <w:left w:val="nil"/>
              <w:bottom w:val="nil"/>
              <w:right w:val="nil"/>
            </w:tcBorders>
            <w:shd w:val="clear" w:color="auto" w:fill="auto"/>
            <w:noWrap/>
          </w:tcPr>
          <w:p w:rsidR="00361582" w:rsidRPr="00737BD6" w:rsidRDefault="00361582" w:rsidP="00803B7A">
            <w:pPr>
              <w:rPr>
                <w:rFonts w:ascii="Arial" w:hAnsi="Arial" w:cs="Arial"/>
                <w:b/>
                <w:sz w:val="20"/>
                <w:szCs w:val="20"/>
              </w:rPr>
            </w:pPr>
            <w:r w:rsidRPr="00737BD6">
              <w:rPr>
                <w:rFonts w:ascii="Arial" w:hAnsi="Arial" w:cs="Arial"/>
                <w:b/>
                <w:sz w:val="20"/>
                <w:szCs w:val="20"/>
              </w:rPr>
              <w:t>Table 10A.92</w:t>
            </w:r>
          </w:p>
        </w:tc>
        <w:tc>
          <w:tcPr>
            <w:tcW w:w="6923" w:type="dxa"/>
            <w:tcBorders>
              <w:top w:val="nil"/>
              <w:left w:val="nil"/>
              <w:bottom w:val="nil"/>
              <w:right w:val="nil"/>
            </w:tcBorders>
            <w:shd w:val="clear" w:color="auto" w:fill="auto"/>
          </w:tcPr>
          <w:p w:rsidR="00361582" w:rsidRPr="00B26D34" w:rsidRDefault="00361582" w:rsidP="003A0C00">
            <w:pPr>
              <w:spacing w:afterLines="40" w:after="96"/>
              <w:rPr>
                <w:rFonts w:ascii="Arial" w:hAnsi="Arial" w:cs="Arial"/>
                <w:sz w:val="20"/>
                <w:szCs w:val="20"/>
              </w:rPr>
            </w:pPr>
            <w:r w:rsidRPr="00B26D34">
              <w:rPr>
                <w:rFonts w:ascii="Arial" w:hAnsi="Arial" w:cs="Arial"/>
                <w:sz w:val="20"/>
                <w:szCs w:val="20"/>
              </w:rPr>
              <w:t xml:space="preserve">Influenza vaccination coverage, people aged 65 years or over  </w:t>
            </w:r>
          </w:p>
        </w:tc>
      </w:tr>
      <w:tr w:rsidR="00361582" w:rsidTr="003A0C00">
        <w:trPr>
          <w:trHeight w:val="443"/>
        </w:trPr>
        <w:tc>
          <w:tcPr>
            <w:tcW w:w="1866" w:type="dxa"/>
            <w:tcBorders>
              <w:top w:val="nil"/>
              <w:left w:val="nil"/>
              <w:bottom w:val="nil"/>
              <w:right w:val="nil"/>
            </w:tcBorders>
            <w:shd w:val="clear" w:color="auto" w:fill="auto"/>
            <w:noWrap/>
          </w:tcPr>
          <w:p w:rsidR="00361582" w:rsidRPr="00737BD6" w:rsidRDefault="00361582" w:rsidP="00803B7A">
            <w:pPr>
              <w:rPr>
                <w:rFonts w:ascii="Arial" w:hAnsi="Arial" w:cs="Arial"/>
                <w:b/>
                <w:sz w:val="20"/>
                <w:szCs w:val="20"/>
              </w:rPr>
            </w:pPr>
            <w:r w:rsidRPr="00737BD6">
              <w:rPr>
                <w:rFonts w:ascii="Arial" w:hAnsi="Arial" w:cs="Arial"/>
                <w:b/>
                <w:sz w:val="20"/>
                <w:szCs w:val="20"/>
              </w:rPr>
              <w:t>Table 10A.93</w:t>
            </w:r>
          </w:p>
        </w:tc>
        <w:tc>
          <w:tcPr>
            <w:tcW w:w="6923" w:type="dxa"/>
            <w:tcBorders>
              <w:top w:val="nil"/>
              <w:left w:val="nil"/>
              <w:bottom w:val="nil"/>
              <w:right w:val="nil"/>
            </w:tcBorders>
            <w:shd w:val="clear" w:color="auto" w:fill="auto"/>
          </w:tcPr>
          <w:p w:rsidR="00361582" w:rsidRPr="00B26D34" w:rsidRDefault="00361582" w:rsidP="003A0C00">
            <w:pPr>
              <w:spacing w:afterLines="40" w:after="96"/>
              <w:rPr>
                <w:rFonts w:ascii="Arial" w:hAnsi="Arial" w:cs="Arial"/>
                <w:sz w:val="20"/>
                <w:szCs w:val="20"/>
              </w:rPr>
            </w:pPr>
            <w:r w:rsidRPr="00B26D34">
              <w:rPr>
                <w:rFonts w:ascii="Arial" w:hAnsi="Arial" w:cs="Arial"/>
                <w:sz w:val="20"/>
                <w:szCs w:val="20"/>
              </w:rPr>
              <w:t xml:space="preserve">Proportion of adults 65 years or over fully vaccinated against influenza and pneumococcal disease, by remoteness, 2009    </w:t>
            </w:r>
          </w:p>
        </w:tc>
      </w:tr>
      <w:tr w:rsidR="00361582" w:rsidTr="00361582">
        <w:trPr>
          <w:trHeight w:val="357"/>
        </w:trPr>
        <w:tc>
          <w:tcPr>
            <w:tcW w:w="1866" w:type="dxa"/>
            <w:tcBorders>
              <w:top w:val="nil"/>
              <w:left w:val="nil"/>
              <w:bottom w:val="nil"/>
              <w:right w:val="nil"/>
            </w:tcBorders>
            <w:shd w:val="clear" w:color="auto" w:fill="auto"/>
            <w:noWrap/>
          </w:tcPr>
          <w:p w:rsidR="00361582" w:rsidRPr="00737BD6" w:rsidRDefault="00361582" w:rsidP="00803B7A">
            <w:pPr>
              <w:rPr>
                <w:rFonts w:ascii="Arial" w:hAnsi="Arial" w:cs="Arial"/>
                <w:b/>
                <w:sz w:val="20"/>
                <w:szCs w:val="20"/>
              </w:rPr>
            </w:pPr>
            <w:r w:rsidRPr="00737BD6">
              <w:rPr>
                <w:rFonts w:ascii="Arial" w:hAnsi="Arial" w:cs="Arial"/>
                <w:b/>
                <w:sz w:val="20"/>
                <w:szCs w:val="20"/>
              </w:rPr>
              <w:t>Table 10A.94</w:t>
            </w:r>
          </w:p>
        </w:tc>
        <w:tc>
          <w:tcPr>
            <w:tcW w:w="6923" w:type="dxa"/>
            <w:tcBorders>
              <w:top w:val="nil"/>
              <w:left w:val="nil"/>
              <w:bottom w:val="nil"/>
              <w:right w:val="nil"/>
            </w:tcBorders>
            <w:shd w:val="clear" w:color="auto" w:fill="auto"/>
          </w:tcPr>
          <w:p w:rsidR="00361582" w:rsidRPr="00B26D34" w:rsidRDefault="00361582" w:rsidP="003A0C00">
            <w:pPr>
              <w:spacing w:afterLines="40" w:after="96"/>
              <w:rPr>
                <w:rFonts w:ascii="Arial" w:hAnsi="Arial" w:cs="Arial"/>
                <w:sz w:val="20"/>
                <w:szCs w:val="20"/>
              </w:rPr>
            </w:pPr>
            <w:r w:rsidRPr="00B26D34">
              <w:rPr>
                <w:rFonts w:ascii="Arial" w:hAnsi="Arial" w:cs="Arial"/>
                <w:sz w:val="20"/>
                <w:szCs w:val="20"/>
              </w:rPr>
              <w:t xml:space="preserve">Proportion of  Aboriginal and Torres Strait Islander people aged 50 years or over who were fully vaccinated against influenza and pneumococcal disease </w:t>
            </w:r>
          </w:p>
        </w:tc>
      </w:tr>
      <w:tr w:rsidR="00361582" w:rsidTr="00361582">
        <w:trPr>
          <w:trHeight w:val="357"/>
        </w:trPr>
        <w:tc>
          <w:tcPr>
            <w:tcW w:w="1866" w:type="dxa"/>
            <w:tcBorders>
              <w:top w:val="nil"/>
              <w:left w:val="nil"/>
              <w:bottom w:val="nil"/>
              <w:right w:val="nil"/>
            </w:tcBorders>
            <w:shd w:val="clear" w:color="auto" w:fill="auto"/>
            <w:noWrap/>
          </w:tcPr>
          <w:p w:rsidR="00361582" w:rsidRPr="00737BD6" w:rsidRDefault="00361582" w:rsidP="00803B7A">
            <w:pPr>
              <w:rPr>
                <w:rFonts w:ascii="Arial" w:hAnsi="Arial" w:cs="Arial"/>
                <w:b/>
                <w:sz w:val="20"/>
                <w:szCs w:val="20"/>
              </w:rPr>
            </w:pPr>
            <w:r w:rsidRPr="00737BD6">
              <w:rPr>
                <w:rFonts w:ascii="Arial" w:hAnsi="Arial" w:cs="Arial"/>
                <w:b/>
                <w:sz w:val="20"/>
                <w:szCs w:val="20"/>
              </w:rPr>
              <w:t>Table 10A.95</w:t>
            </w:r>
          </w:p>
        </w:tc>
        <w:tc>
          <w:tcPr>
            <w:tcW w:w="6923" w:type="dxa"/>
            <w:tcBorders>
              <w:top w:val="nil"/>
              <w:left w:val="nil"/>
              <w:bottom w:val="nil"/>
              <w:right w:val="nil"/>
            </w:tcBorders>
            <w:shd w:val="clear" w:color="auto" w:fill="auto"/>
          </w:tcPr>
          <w:p w:rsidR="00361582" w:rsidRPr="00B26D34" w:rsidRDefault="00361582" w:rsidP="003A0C00">
            <w:pPr>
              <w:spacing w:afterLines="40" w:after="96"/>
              <w:rPr>
                <w:rFonts w:ascii="Arial" w:hAnsi="Arial" w:cs="Arial"/>
                <w:sz w:val="20"/>
                <w:szCs w:val="20"/>
              </w:rPr>
            </w:pPr>
            <w:r w:rsidRPr="00B26D34">
              <w:rPr>
                <w:rFonts w:ascii="Arial" w:hAnsi="Arial" w:cs="Arial"/>
                <w:sz w:val="20"/>
                <w:szCs w:val="20"/>
              </w:rPr>
              <w:t xml:space="preserve">Separations for selected potentially preventable hospitalisations, by State and Territory (per 1000 people)    </w:t>
            </w:r>
          </w:p>
        </w:tc>
      </w:tr>
      <w:tr w:rsidR="00361582" w:rsidTr="00361582">
        <w:trPr>
          <w:trHeight w:val="357"/>
        </w:trPr>
        <w:tc>
          <w:tcPr>
            <w:tcW w:w="1866" w:type="dxa"/>
            <w:tcBorders>
              <w:top w:val="nil"/>
              <w:left w:val="nil"/>
              <w:bottom w:val="nil"/>
              <w:right w:val="nil"/>
            </w:tcBorders>
            <w:shd w:val="clear" w:color="auto" w:fill="auto"/>
            <w:noWrap/>
          </w:tcPr>
          <w:p w:rsidR="00361582" w:rsidRPr="00737BD6" w:rsidRDefault="00361582" w:rsidP="00803B7A">
            <w:pPr>
              <w:rPr>
                <w:rFonts w:ascii="Arial" w:hAnsi="Arial" w:cs="Arial"/>
                <w:b/>
                <w:sz w:val="20"/>
                <w:szCs w:val="20"/>
              </w:rPr>
            </w:pPr>
            <w:r w:rsidRPr="00737BD6">
              <w:rPr>
                <w:rFonts w:ascii="Arial" w:hAnsi="Arial" w:cs="Arial"/>
                <w:b/>
                <w:sz w:val="20"/>
                <w:szCs w:val="20"/>
              </w:rPr>
              <w:t>Table 10A.96</w:t>
            </w:r>
          </w:p>
        </w:tc>
        <w:tc>
          <w:tcPr>
            <w:tcW w:w="6923" w:type="dxa"/>
            <w:tcBorders>
              <w:top w:val="nil"/>
              <w:left w:val="nil"/>
              <w:bottom w:val="nil"/>
              <w:right w:val="nil"/>
            </w:tcBorders>
            <w:shd w:val="clear" w:color="auto" w:fill="auto"/>
          </w:tcPr>
          <w:p w:rsidR="00361582" w:rsidRPr="00B26D34" w:rsidRDefault="00361582" w:rsidP="003A0C00">
            <w:pPr>
              <w:spacing w:afterLines="40" w:after="96"/>
              <w:rPr>
                <w:rFonts w:ascii="Arial" w:hAnsi="Arial" w:cs="Arial"/>
                <w:sz w:val="20"/>
                <w:szCs w:val="20"/>
              </w:rPr>
            </w:pPr>
            <w:r w:rsidRPr="00B26D34">
              <w:rPr>
                <w:rFonts w:ascii="Arial" w:hAnsi="Arial" w:cs="Arial"/>
                <w:sz w:val="20"/>
                <w:szCs w:val="20"/>
              </w:rPr>
              <w:t xml:space="preserve">Separations for selected potentially preventable hospitalisations by Indigenous status (per 1000 people)      </w:t>
            </w:r>
          </w:p>
        </w:tc>
      </w:tr>
      <w:tr w:rsidR="00361582" w:rsidTr="00361582">
        <w:trPr>
          <w:trHeight w:val="357"/>
        </w:trPr>
        <w:tc>
          <w:tcPr>
            <w:tcW w:w="1866" w:type="dxa"/>
            <w:tcBorders>
              <w:top w:val="nil"/>
              <w:left w:val="nil"/>
              <w:bottom w:val="nil"/>
              <w:right w:val="nil"/>
            </w:tcBorders>
            <w:shd w:val="clear" w:color="auto" w:fill="auto"/>
            <w:noWrap/>
          </w:tcPr>
          <w:p w:rsidR="00361582" w:rsidRPr="00737BD6" w:rsidRDefault="00361582" w:rsidP="00803B7A">
            <w:pPr>
              <w:rPr>
                <w:rFonts w:ascii="Arial" w:hAnsi="Arial" w:cs="Arial"/>
                <w:b/>
                <w:sz w:val="20"/>
                <w:szCs w:val="20"/>
              </w:rPr>
            </w:pPr>
            <w:r w:rsidRPr="00737BD6">
              <w:rPr>
                <w:rFonts w:ascii="Arial" w:hAnsi="Arial" w:cs="Arial"/>
                <w:b/>
                <w:sz w:val="20"/>
                <w:szCs w:val="20"/>
              </w:rPr>
              <w:t>Table 10A.97</w:t>
            </w:r>
          </w:p>
        </w:tc>
        <w:tc>
          <w:tcPr>
            <w:tcW w:w="6923" w:type="dxa"/>
            <w:tcBorders>
              <w:top w:val="nil"/>
              <w:left w:val="nil"/>
              <w:bottom w:val="nil"/>
              <w:right w:val="nil"/>
            </w:tcBorders>
            <w:shd w:val="clear" w:color="auto" w:fill="auto"/>
          </w:tcPr>
          <w:p w:rsidR="00361582" w:rsidRPr="00B26D34" w:rsidRDefault="00361582" w:rsidP="003A0C00">
            <w:pPr>
              <w:spacing w:afterLines="40" w:after="96"/>
              <w:rPr>
                <w:rFonts w:ascii="Arial" w:hAnsi="Arial" w:cs="Arial"/>
                <w:sz w:val="20"/>
                <w:szCs w:val="20"/>
              </w:rPr>
            </w:pPr>
            <w:r w:rsidRPr="00B26D34">
              <w:rPr>
                <w:rFonts w:ascii="Arial" w:hAnsi="Arial" w:cs="Arial"/>
                <w:sz w:val="20"/>
                <w:szCs w:val="20"/>
              </w:rPr>
              <w:t xml:space="preserve">Separations for selected potentially preventable hospitalisations by remoteness, 2012-13 (per 1000 people)      </w:t>
            </w:r>
          </w:p>
        </w:tc>
      </w:tr>
      <w:tr w:rsidR="00361582" w:rsidTr="00361582">
        <w:trPr>
          <w:trHeight w:val="357"/>
        </w:trPr>
        <w:tc>
          <w:tcPr>
            <w:tcW w:w="1866" w:type="dxa"/>
            <w:tcBorders>
              <w:top w:val="nil"/>
              <w:left w:val="nil"/>
              <w:bottom w:val="nil"/>
              <w:right w:val="nil"/>
            </w:tcBorders>
            <w:shd w:val="clear" w:color="auto" w:fill="auto"/>
            <w:noWrap/>
          </w:tcPr>
          <w:p w:rsidR="00361582" w:rsidRPr="00737BD6" w:rsidRDefault="00361582" w:rsidP="00803B7A">
            <w:pPr>
              <w:rPr>
                <w:rFonts w:ascii="Arial" w:hAnsi="Arial" w:cs="Arial"/>
                <w:b/>
                <w:sz w:val="20"/>
                <w:szCs w:val="20"/>
              </w:rPr>
            </w:pPr>
            <w:r w:rsidRPr="00737BD6">
              <w:rPr>
                <w:rFonts w:ascii="Arial" w:hAnsi="Arial" w:cs="Arial"/>
                <w:b/>
                <w:sz w:val="20"/>
                <w:szCs w:val="20"/>
              </w:rPr>
              <w:t>Table 10A.98</w:t>
            </w:r>
          </w:p>
        </w:tc>
        <w:tc>
          <w:tcPr>
            <w:tcW w:w="6923" w:type="dxa"/>
            <w:tcBorders>
              <w:top w:val="nil"/>
              <w:left w:val="nil"/>
              <w:bottom w:val="nil"/>
              <w:right w:val="nil"/>
            </w:tcBorders>
            <w:shd w:val="clear" w:color="auto" w:fill="auto"/>
          </w:tcPr>
          <w:p w:rsidR="00361582" w:rsidRPr="00B26D34" w:rsidRDefault="00361582" w:rsidP="003A0C00">
            <w:pPr>
              <w:spacing w:afterLines="40" w:after="96"/>
              <w:rPr>
                <w:rFonts w:ascii="Arial" w:hAnsi="Arial" w:cs="Arial"/>
                <w:sz w:val="20"/>
                <w:szCs w:val="20"/>
              </w:rPr>
            </w:pPr>
            <w:r w:rsidRPr="00B26D34">
              <w:rPr>
                <w:rFonts w:ascii="Arial" w:hAnsi="Arial" w:cs="Arial"/>
                <w:sz w:val="20"/>
                <w:szCs w:val="20"/>
              </w:rPr>
              <w:t xml:space="preserve">Separations for selected potentially preventable hospitalisations by Indigenous status and remoteness, Australia, 2012-13 (per 1000 people)      </w:t>
            </w:r>
          </w:p>
        </w:tc>
      </w:tr>
      <w:tr w:rsidR="00361582" w:rsidTr="00361582">
        <w:trPr>
          <w:trHeight w:val="357"/>
        </w:trPr>
        <w:tc>
          <w:tcPr>
            <w:tcW w:w="1866" w:type="dxa"/>
            <w:tcBorders>
              <w:top w:val="nil"/>
              <w:left w:val="nil"/>
              <w:bottom w:val="nil"/>
              <w:right w:val="nil"/>
            </w:tcBorders>
            <w:shd w:val="clear" w:color="auto" w:fill="auto"/>
            <w:noWrap/>
          </w:tcPr>
          <w:p w:rsidR="00361582" w:rsidRPr="00737BD6" w:rsidRDefault="00361582" w:rsidP="00803B7A">
            <w:pPr>
              <w:rPr>
                <w:rFonts w:ascii="Arial" w:hAnsi="Arial" w:cs="Arial"/>
                <w:b/>
                <w:sz w:val="20"/>
                <w:szCs w:val="20"/>
              </w:rPr>
            </w:pPr>
            <w:r w:rsidRPr="00737BD6">
              <w:rPr>
                <w:rFonts w:ascii="Arial" w:hAnsi="Arial" w:cs="Arial"/>
                <w:b/>
                <w:sz w:val="20"/>
                <w:szCs w:val="20"/>
              </w:rPr>
              <w:t>Table 10A.99</w:t>
            </w:r>
          </w:p>
        </w:tc>
        <w:tc>
          <w:tcPr>
            <w:tcW w:w="6923" w:type="dxa"/>
            <w:tcBorders>
              <w:top w:val="nil"/>
              <w:left w:val="nil"/>
              <w:bottom w:val="nil"/>
              <w:right w:val="nil"/>
            </w:tcBorders>
            <w:shd w:val="clear" w:color="auto" w:fill="auto"/>
          </w:tcPr>
          <w:p w:rsidR="00361582" w:rsidRPr="00B26D34" w:rsidRDefault="00361582" w:rsidP="003A0C00">
            <w:pPr>
              <w:spacing w:afterLines="40" w:after="96"/>
              <w:rPr>
                <w:rFonts w:ascii="Arial" w:hAnsi="Arial" w:cs="Arial"/>
                <w:sz w:val="20"/>
                <w:szCs w:val="20"/>
              </w:rPr>
            </w:pPr>
            <w:r w:rsidRPr="00B26D34">
              <w:rPr>
                <w:rFonts w:ascii="Arial" w:hAnsi="Arial" w:cs="Arial"/>
                <w:sz w:val="20"/>
                <w:szCs w:val="20"/>
              </w:rPr>
              <w:t xml:space="preserve">Separations for selected vaccine preventable conditions by Indigenous status, 2012-13 (per 1000 people)      </w:t>
            </w:r>
          </w:p>
        </w:tc>
      </w:tr>
      <w:tr w:rsidR="00361582" w:rsidTr="003A0C00">
        <w:trPr>
          <w:trHeight w:val="499"/>
        </w:trPr>
        <w:tc>
          <w:tcPr>
            <w:tcW w:w="1866" w:type="dxa"/>
            <w:tcBorders>
              <w:top w:val="nil"/>
              <w:left w:val="nil"/>
              <w:bottom w:val="nil"/>
              <w:right w:val="nil"/>
            </w:tcBorders>
            <w:shd w:val="clear" w:color="auto" w:fill="auto"/>
            <w:noWrap/>
          </w:tcPr>
          <w:p w:rsidR="00361582" w:rsidRPr="00737BD6" w:rsidRDefault="00361582" w:rsidP="00803B7A">
            <w:pPr>
              <w:rPr>
                <w:rFonts w:ascii="Arial" w:hAnsi="Arial" w:cs="Arial"/>
                <w:b/>
                <w:sz w:val="20"/>
                <w:szCs w:val="20"/>
              </w:rPr>
            </w:pPr>
            <w:r w:rsidRPr="00737BD6">
              <w:rPr>
                <w:rFonts w:ascii="Arial" w:hAnsi="Arial" w:cs="Arial"/>
                <w:b/>
                <w:sz w:val="20"/>
                <w:szCs w:val="20"/>
              </w:rPr>
              <w:t>Table 10A.100</w:t>
            </w:r>
          </w:p>
        </w:tc>
        <w:tc>
          <w:tcPr>
            <w:tcW w:w="6923" w:type="dxa"/>
            <w:tcBorders>
              <w:top w:val="nil"/>
              <w:left w:val="nil"/>
              <w:bottom w:val="nil"/>
              <w:right w:val="nil"/>
            </w:tcBorders>
            <w:shd w:val="clear" w:color="auto" w:fill="auto"/>
          </w:tcPr>
          <w:p w:rsidR="00361582" w:rsidRPr="00B26D34" w:rsidRDefault="00361582" w:rsidP="003A0C00">
            <w:pPr>
              <w:spacing w:afterLines="40" w:after="96"/>
              <w:rPr>
                <w:rFonts w:ascii="Arial" w:hAnsi="Arial" w:cs="Arial"/>
                <w:sz w:val="20"/>
                <w:szCs w:val="20"/>
              </w:rPr>
            </w:pPr>
            <w:r w:rsidRPr="00B26D34">
              <w:rPr>
                <w:rFonts w:ascii="Arial" w:hAnsi="Arial" w:cs="Arial"/>
                <w:sz w:val="20"/>
                <w:szCs w:val="20"/>
              </w:rPr>
              <w:t xml:space="preserve">Separations for selected acute conditions by Indigenous status, 2012-13 </w:t>
            </w:r>
            <w:r w:rsidR="003A0C00">
              <w:rPr>
                <w:rFonts w:ascii="Arial" w:hAnsi="Arial" w:cs="Arial"/>
                <w:sz w:val="20"/>
                <w:szCs w:val="20"/>
              </w:rPr>
              <w:br/>
            </w:r>
            <w:r w:rsidRPr="00B26D34">
              <w:rPr>
                <w:rFonts w:ascii="Arial" w:hAnsi="Arial" w:cs="Arial"/>
                <w:sz w:val="20"/>
                <w:szCs w:val="20"/>
              </w:rPr>
              <w:t xml:space="preserve">(per 1000 people)      </w:t>
            </w:r>
          </w:p>
        </w:tc>
      </w:tr>
      <w:tr w:rsidR="00361582" w:rsidTr="00361582">
        <w:trPr>
          <w:trHeight w:val="357"/>
        </w:trPr>
        <w:tc>
          <w:tcPr>
            <w:tcW w:w="1866" w:type="dxa"/>
            <w:tcBorders>
              <w:top w:val="nil"/>
              <w:left w:val="nil"/>
              <w:bottom w:val="nil"/>
              <w:right w:val="nil"/>
            </w:tcBorders>
            <w:shd w:val="clear" w:color="auto" w:fill="auto"/>
            <w:noWrap/>
          </w:tcPr>
          <w:p w:rsidR="00361582" w:rsidRPr="00737BD6" w:rsidRDefault="00361582" w:rsidP="00803B7A">
            <w:pPr>
              <w:rPr>
                <w:rFonts w:ascii="Arial" w:hAnsi="Arial" w:cs="Arial"/>
                <w:b/>
                <w:sz w:val="20"/>
                <w:szCs w:val="20"/>
              </w:rPr>
            </w:pPr>
            <w:r w:rsidRPr="00737BD6">
              <w:rPr>
                <w:rFonts w:ascii="Arial" w:hAnsi="Arial" w:cs="Arial"/>
                <w:b/>
                <w:sz w:val="20"/>
                <w:szCs w:val="20"/>
              </w:rPr>
              <w:t>Table 10A.101</w:t>
            </w:r>
          </w:p>
        </w:tc>
        <w:tc>
          <w:tcPr>
            <w:tcW w:w="6923" w:type="dxa"/>
            <w:tcBorders>
              <w:top w:val="nil"/>
              <w:left w:val="nil"/>
              <w:bottom w:val="nil"/>
              <w:right w:val="nil"/>
            </w:tcBorders>
            <w:shd w:val="clear" w:color="auto" w:fill="auto"/>
          </w:tcPr>
          <w:p w:rsidR="00361582" w:rsidRDefault="00361582" w:rsidP="003A0C00">
            <w:pPr>
              <w:spacing w:afterLines="40" w:after="96"/>
              <w:rPr>
                <w:rFonts w:ascii="Arial" w:hAnsi="Arial" w:cs="Arial"/>
                <w:sz w:val="20"/>
                <w:szCs w:val="20"/>
              </w:rPr>
            </w:pPr>
            <w:r w:rsidRPr="00B26D34">
              <w:rPr>
                <w:rFonts w:ascii="Arial" w:hAnsi="Arial" w:cs="Arial"/>
                <w:sz w:val="20"/>
                <w:szCs w:val="20"/>
              </w:rPr>
              <w:t xml:space="preserve">Separations for selected chronic conditions by Indigenous status, 2012-13 (per 1000 people)      </w:t>
            </w:r>
          </w:p>
          <w:p w:rsidR="003A0C00" w:rsidRPr="00B26D34" w:rsidRDefault="003A0C00" w:rsidP="003A0C00">
            <w:pPr>
              <w:spacing w:afterLines="40" w:after="96"/>
              <w:rPr>
                <w:rFonts w:ascii="Arial" w:hAnsi="Arial" w:cs="Arial"/>
                <w:sz w:val="20"/>
                <w:szCs w:val="20"/>
              </w:rPr>
            </w:pPr>
          </w:p>
        </w:tc>
      </w:tr>
      <w:tr w:rsidR="00361582" w:rsidRPr="002A7C7C" w:rsidTr="003A0C00">
        <w:trPr>
          <w:trHeight w:val="499"/>
        </w:trPr>
        <w:tc>
          <w:tcPr>
            <w:tcW w:w="1866" w:type="dxa"/>
            <w:tcBorders>
              <w:top w:val="nil"/>
              <w:left w:val="nil"/>
              <w:bottom w:val="nil"/>
              <w:right w:val="nil"/>
            </w:tcBorders>
            <w:shd w:val="clear" w:color="auto" w:fill="auto"/>
            <w:noWrap/>
          </w:tcPr>
          <w:p w:rsidR="00361582" w:rsidRPr="00737BD6" w:rsidRDefault="00361582" w:rsidP="00803B7A">
            <w:pPr>
              <w:rPr>
                <w:rFonts w:ascii="Arial" w:hAnsi="Arial" w:cs="Arial"/>
                <w:b/>
                <w:sz w:val="20"/>
                <w:szCs w:val="20"/>
              </w:rPr>
            </w:pPr>
            <w:r w:rsidRPr="00737BD6">
              <w:rPr>
                <w:rFonts w:ascii="Arial" w:hAnsi="Arial" w:cs="Arial"/>
                <w:b/>
                <w:sz w:val="20"/>
                <w:szCs w:val="20"/>
              </w:rPr>
              <w:t>Table 10A.102</w:t>
            </w:r>
          </w:p>
        </w:tc>
        <w:tc>
          <w:tcPr>
            <w:tcW w:w="6923" w:type="dxa"/>
            <w:tcBorders>
              <w:top w:val="nil"/>
              <w:left w:val="nil"/>
              <w:bottom w:val="nil"/>
              <w:right w:val="nil"/>
            </w:tcBorders>
            <w:shd w:val="clear" w:color="auto" w:fill="auto"/>
          </w:tcPr>
          <w:p w:rsidR="00361582" w:rsidRPr="00B26D34" w:rsidRDefault="00361582" w:rsidP="003A0C00">
            <w:pPr>
              <w:spacing w:afterLines="40" w:after="96"/>
              <w:rPr>
                <w:rFonts w:ascii="Arial" w:hAnsi="Arial" w:cs="Arial"/>
                <w:sz w:val="20"/>
                <w:szCs w:val="20"/>
              </w:rPr>
            </w:pPr>
            <w:r w:rsidRPr="00B26D34">
              <w:rPr>
                <w:rFonts w:ascii="Arial" w:hAnsi="Arial" w:cs="Arial"/>
                <w:sz w:val="20"/>
                <w:szCs w:val="20"/>
              </w:rPr>
              <w:t xml:space="preserve">Ratio of separations for Aboriginal and Torres Strait Islander people to all Australians, diabetes, 2012-13       </w:t>
            </w:r>
          </w:p>
        </w:tc>
      </w:tr>
      <w:tr w:rsidR="00361582" w:rsidTr="00361582">
        <w:trPr>
          <w:trHeight w:val="357"/>
        </w:trPr>
        <w:tc>
          <w:tcPr>
            <w:tcW w:w="1866" w:type="dxa"/>
            <w:tcBorders>
              <w:top w:val="nil"/>
              <w:left w:val="nil"/>
              <w:bottom w:val="nil"/>
              <w:right w:val="nil"/>
            </w:tcBorders>
            <w:shd w:val="clear" w:color="auto" w:fill="auto"/>
            <w:noWrap/>
          </w:tcPr>
          <w:p w:rsidR="00361582" w:rsidRPr="00737BD6" w:rsidRDefault="00361582" w:rsidP="00803B7A">
            <w:pPr>
              <w:rPr>
                <w:rFonts w:ascii="Arial" w:hAnsi="Arial" w:cs="Arial"/>
                <w:b/>
                <w:sz w:val="20"/>
                <w:szCs w:val="20"/>
              </w:rPr>
            </w:pPr>
            <w:r w:rsidRPr="00737BD6">
              <w:rPr>
                <w:rFonts w:ascii="Arial" w:hAnsi="Arial" w:cs="Arial"/>
                <w:b/>
                <w:sz w:val="20"/>
                <w:szCs w:val="20"/>
              </w:rPr>
              <w:t>Table 10A.103</w:t>
            </w:r>
          </w:p>
        </w:tc>
        <w:tc>
          <w:tcPr>
            <w:tcW w:w="6923" w:type="dxa"/>
            <w:tcBorders>
              <w:top w:val="nil"/>
              <w:left w:val="nil"/>
              <w:bottom w:val="nil"/>
              <w:right w:val="nil"/>
            </w:tcBorders>
            <w:shd w:val="clear" w:color="auto" w:fill="auto"/>
          </w:tcPr>
          <w:p w:rsidR="00361582" w:rsidRPr="00B26D34" w:rsidRDefault="00361582" w:rsidP="003A0C00">
            <w:pPr>
              <w:spacing w:afterLines="40" w:after="96"/>
              <w:rPr>
                <w:rFonts w:ascii="Arial" w:hAnsi="Arial" w:cs="Arial"/>
                <w:sz w:val="20"/>
                <w:szCs w:val="20"/>
              </w:rPr>
            </w:pPr>
            <w:r w:rsidRPr="00B26D34">
              <w:rPr>
                <w:rFonts w:ascii="Arial" w:hAnsi="Arial" w:cs="Arial"/>
                <w:sz w:val="20"/>
                <w:szCs w:val="20"/>
              </w:rPr>
              <w:t xml:space="preserve">Separations for Type 2 diabetes mellitus as principal diagnosis by complication, all hospitals, 2012-13 (per 100 000 people)        </w:t>
            </w:r>
          </w:p>
        </w:tc>
      </w:tr>
      <w:tr w:rsidR="00361582" w:rsidTr="00361582">
        <w:trPr>
          <w:trHeight w:val="357"/>
        </w:trPr>
        <w:tc>
          <w:tcPr>
            <w:tcW w:w="1866" w:type="dxa"/>
            <w:tcBorders>
              <w:top w:val="nil"/>
              <w:left w:val="nil"/>
              <w:bottom w:val="nil"/>
              <w:right w:val="nil"/>
            </w:tcBorders>
            <w:shd w:val="clear" w:color="auto" w:fill="auto"/>
            <w:noWrap/>
          </w:tcPr>
          <w:p w:rsidR="00361582" w:rsidRPr="00737BD6" w:rsidRDefault="00361582" w:rsidP="00803B7A">
            <w:pPr>
              <w:rPr>
                <w:rFonts w:ascii="Arial" w:hAnsi="Arial" w:cs="Arial"/>
                <w:b/>
                <w:sz w:val="20"/>
                <w:szCs w:val="20"/>
              </w:rPr>
            </w:pPr>
            <w:r w:rsidRPr="00737BD6">
              <w:rPr>
                <w:rFonts w:ascii="Arial" w:hAnsi="Arial" w:cs="Arial"/>
                <w:b/>
                <w:sz w:val="20"/>
                <w:szCs w:val="20"/>
              </w:rPr>
              <w:t>Table 10A.104</w:t>
            </w:r>
          </w:p>
        </w:tc>
        <w:tc>
          <w:tcPr>
            <w:tcW w:w="6923" w:type="dxa"/>
            <w:tcBorders>
              <w:top w:val="nil"/>
              <w:left w:val="nil"/>
              <w:bottom w:val="nil"/>
              <w:right w:val="nil"/>
            </w:tcBorders>
            <w:shd w:val="clear" w:color="auto" w:fill="auto"/>
          </w:tcPr>
          <w:p w:rsidR="00361582" w:rsidRPr="00B26D34" w:rsidRDefault="00361582" w:rsidP="003A0C00">
            <w:pPr>
              <w:spacing w:afterLines="40" w:after="96"/>
              <w:rPr>
                <w:rFonts w:ascii="Arial" w:hAnsi="Arial" w:cs="Arial"/>
                <w:sz w:val="20"/>
                <w:szCs w:val="20"/>
              </w:rPr>
            </w:pPr>
            <w:r w:rsidRPr="00B26D34">
              <w:rPr>
                <w:rFonts w:ascii="Arial" w:hAnsi="Arial" w:cs="Arial"/>
                <w:sz w:val="20"/>
                <w:szCs w:val="20"/>
              </w:rPr>
              <w:t xml:space="preserve">Proportion of separations for principal diagnosis of Type 2 diabetes mellitus that were same day by complication, all hospitals, 2012-13 (per cent)        </w:t>
            </w:r>
          </w:p>
        </w:tc>
      </w:tr>
      <w:tr w:rsidR="00361582" w:rsidTr="00361582">
        <w:trPr>
          <w:trHeight w:val="357"/>
        </w:trPr>
        <w:tc>
          <w:tcPr>
            <w:tcW w:w="1866" w:type="dxa"/>
            <w:tcBorders>
              <w:top w:val="nil"/>
              <w:left w:val="nil"/>
              <w:bottom w:val="nil"/>
              <w:right w:val="nil"/>
            </w:tcBorders>
            <w:shd w:val="clear" w:color="auto" w:fill="auto"/>
            <w:noWrap/>
          </w:tcPr>
          <w:p w:rsidR="00361582" w:rsidRPr="00737BD6" w:rsidRDefault="00361582" w:rsidP="00803B7A">
            <w:pPr>
              <w:rPr>
                <w:rFonts w:ascii="Arial" w:hAnsi="Arial" w:cs="Arial"/>
                <w:b/>
                <w:sz w:val="20"/>
                <w:szCs w:val="20"/>
              </w:rPr>
            </w:pPr>
            <w:r w:rsidRPr="00737BD6">
              <w:rPr>
                <w:rFonts w:ascii="Arial" w:hAnsi="Arial" w:cs="Arial"/>
                <w:b/>
                <w:sz w:val="20"/>
                <w:szCs w:val="20"/>
              </w:rPr>
              <w:t>Table 10A.105</w:t>
            </w:r>
          </w:p>
        </w:tc>
        <w:tc>
          <w:tcPr>
            <w:tcW w:w="6923" w:type="dxa"/>
            <w:tcBorders>
              <w:top w:val="nil"/>
              <w:left w:val="nil"/>
              <w:bottom w:val="nil"/>
              <w:right w:val="nil"/>
            </w:tcBorders>
            <w:shd w:val="clear" w:color="auto" w:fill="auto"/>
          </w:tcPr>
          <w:p w:rsidR="00361582" w:rsidRPr="00B21E52" w:rsidRDefault="00361582" w:rsidP="003A0C00">
            <w:pPr>
              <w:spacing w:afterLines="40" w:after="96"/>
              <w:rPr>
                <w:rFonts w:ascii="Arial" w:hAnsi="Arial" w:cs="Arial"/>
                <w:sz w:val="20"/>
                <w:szCs w:val="20"/>
              </w:rPr>
            </w:pPr>
            <w:r w:rsidRPr="00361582">
              <w:rPr>
                <w:rFonts w:ascii="Arial" w:hAnsi="Arial" w:cs="Arial"/>
                <w:sz w:val="20"/>
                <w:szCs w:val="20"/>
              </w:rPr>
              <w:t>Separations for lower limb amputation with principal or additional diagnosis of Type 2 diabe</w:t>
            </w:r>
            <w:r>
              <w:rPr>
                <w:rFonts w:ascii="Arial" w:hAnsi="Arial" w:cs="Arial"/>
                <w:sz w:val="20"/>
                <w:szCs w:val="20"/>
              </w:rPr>
              <w:t>tes, all hospitals, 2012-13</w:t>
            </w:r>
          </w:p>
        </w:tc>
      </w:tr>
      <w:tr w:rsidR="00361582" w:rsidTr="003A0C00">
        <w:trPr>
          <w:trHeight w:val="260"/>
        </w:trPr>
        <w:tc>
          <w:tcPr>
            <w:tcW w:w="1866" w:type="dxa"/>
            <w:tcBorders>
              <w:top w:val="nil"/>
              <w:left w:val="nil"/>
              <w:bottom w:val="nil"/>
              <w:right w:val="nil"/>
            </w:tcBorders>
            <w:shd w:val="clear" w:color="auto" w:fill="auto"/>
            <w:noWrap/>
          </w:tcPr>
          <w:p w:rsidR="00361582" w:rsidRPr="00737BD6" w:rsidRDefault="00361582" w:rsidP="005C1F25">
            <w:pPr>
              <w:rPr>
                <w:rFonts w:ascii="Arial" w:hAnsi="Arial" w:cs="Arial"/>
                <w:b/>
                <w:sz w:val="20"/>
                <w:szCs w:val="20"/>
              </w:rPr>
            </w:pPr>
            <w:r>
              <w:rPr>
                <w:rFonts w:ascii="Arial" w:hAnsi="Arial" w:cs="Arial"/>
                <w:b/>
                <w:sz w:val="20"/>
                <w:szCs w:val="20"/>
              </w:rPr>
              <w:t>Table 10A.106</w:t>
            </w:r>
          </w:p>
        </w:tc>
        <w:tc>
          <w:tcPr>
            <w:tcW w:w="6923" w:type="dxa"/>
            <w:tcBorders>
              <w:top w:val="nil"/>
              <w:left w:val="nil"/>
              <w:bottom w:val="nil"/>
              <w:right w:val="nil"/>
            </w:tcBorders>
            <w:shd w:val="clear" w:color="auto" w:fill="auto"/>
          </w:tcPr>
          <w:p w:rsidR="00361582" w:rsidRPr="00B21E52" w:rsidRDefault="004914D8" w:rsidP="003A0C00">
            <w:pPr>
              <w:spacing w:afterLines="40" w:after="96"/>
              <w:rPr>
                <w:rFonts w:ascii="Arial" w:hAnsi="Arial" w:cs="Arial"/>
                <w:sz w:val="20"/>
                <w:szCs w:val="20"/>
              </w:rPr>
            </w:pPr>
            <w:r w:rsidRPr="004914D8">
              <w:rPr>
                <w:rFonts w:ascii="Arial" w:hAnsi="Arial" w:cs="Arial"/>
                <w:sz w:val="20"/>
                <w:szCs w:val="20"/>
              </w:rPr>
              <w:t xml:space="preserve">Separation rates </w:t>
            </w:r>
            <w:r w:rsidR="00D0022E">
              <w:rPr>
                <w:rFonts w:ascii="Arial" w:hAnsi="Arial" w:cs="Arial"/>
                <w:sz w:val="20"/>
                <w:szCs w:val="20"/>
              </w:rPr>
              <w:t>for</w:t>
            </w:r>
            <w:r w:rsidRPr="004914D8">
              <w:rPr>
                <w:rFonts w:ascii="Arial" w:hAnsi="Arial" w:cs="Arial"/>
                <w:sz w:val="20"/>
                <w:szCs w:val="20"/>
              </w:rPr>
              <w:t xml:space="preserve"> older people for injuries due to falls   </w:t>
            </w:r>
          </w:p>
        </w:tc>
      </w:tr>
      <w:tr w:rsidR="00361582" w:rsidRPr="004650A8" w:rsidTr="005C1F25">
        <w:trPr>
          <w:trHeight w:val="357"/>
        </w:trPr>
        <w:tc>
          <w:tcPr>
            <w:tcW w:w="8789" w:type="dxa"/>
            <w:gridSpan w:val="2"/>
            <w:tcBorders>
              <w:top w:val="nil"/>
              <w:left w:val="nil"/>
              <w:bottom w:val="nil"/>
              <w:right w:val="nil"/>
            </w:tcBorders>
            <w:shd w:val="clear" w:color="auto" w:fill="auto"/>
            <w:noWrap/>
          </w:tcPr>
          <w:p w:rsidR="00361582" w:rsidRPr="00737BD6" w:rsidRDefault="00361582" w:rsidP="003A0C00">
            <w:pPr>
              <w:spacing w:afterLines="40" w:after="96"/>
              <w:rPr>
                <w:rFonts w:asciiTheme="minorHAnsi" w:hAnsiTheme="minorHAnsi" w:cstheme="minorHAnsi"/>
                <w:b/>
                <w:sz w:val="20"/>
                <w:szCs w:val="20"/>
              </w:rPr>
            </w:pPr>
            <w:r w:rsidRPr="00737BD6">
              <w:rPr>
                <w:rFonts w:asciiTheme="minorHAnsi" w:hAnsiTheme="minorHAnsi" w:cstheme="minorHAnsi"/>
                <w:b/>
                <w:sz w:val="20"/>
                <w:szCs w:val="20"/>
              </w:rPr>
              <w:t>Community health services programs</w:t>
            </w:r>
          </w:p>
        </w:tc>
      </w:tr>
      <w:tr w:rsidR="00361582" w:rsidTr="00361582">
        <w:trPr>
          <w:trHeight w:val="357"/>
        </w:trPr>
        <w:tc>
          <w:tcPr>
            <w:tcW w:w="1866" w:type="dxa"/>
            <w:tcBorders>
              <w:top w:val="nil"/>
              <w:left w:val="nil"/>
              <w:bottom w:val="nil"/>
              <w:right w:val="nil"/>
            </w:tcBorders>
            <w:shd w:val="clear" w:color="auto" w:fill="auto"/>
            <w:noWrap/>
          </w:tcPr>
          <w:p w:rsidR="00361582" w:rsidRPr="00737BD6" w:rsidRDefault="00361582" w:rsidP="00803B7A">
            <w:pPr>
              <w:rPr>
                <w:rFonts w:asciiTheme="minorHAnsi" w:hAnsiTheme="minorHAnsi" w:cstheme="minorHAnsi"/>
                <w:b/>
                <w:sz w:val="20"/>
                <w:szCs w:val="20"/>
              </w:rPr>
            </w:pPr>
            <w:r w:rsidRPr="00737BD6">
              <w:rPr>
                <w:rFonts w:asciiTheme="minorHAnsi" w:hAnsiTheme="minorHAnsi" w:cstheme="minorHAnsi"/>
                <w:b/>
                <w:sz w:val="20"/>
                <w:szCs w:val="20"/>
              </w:rPr>
              <w:t>Table 10A.107</w:t>
            </w:r>
          </w:p>
        </w:tc>
        <w:tc>
          <w:tcPr>
            <w:tcW w:w="6923" w:type="dxa"/>
            <w:tcBorders>
              <w:top w:val="nil"/>
              <w:left w:val="nil"/>
              <w:bottom w:val="nil"/>
              <w:right w:val="nil"/>
            </w:tcBorders>
            <w:shd w:val="clear" w:color="auto" w:fill="auto"/>
          </w:tcPr>
          <w:p w:rsidR="00361582" w:rsidRPr="002612B3" w:rsidRDefault="00361582" w:rsidP="003A0C00">
            <w:pPr>
              <w:spacing w:afterLines="40" w:after="96"/>
              <w:rPr>
                <w:rFonts w:ascii="Arial" w:hAnsi="Arial" w:cs="Arial"/>
                <w:sz w:val="20"/>
                <w:szCs w:val="20"/>
              </w:rPr>
            </w:pPr>
            <w:r w:rsidRPr="002612B3">
              <w:rPr>
                <w:rFonts w:ascii="Arial" w:hAnsi="Arial" w:cs="Arial"/>
                <w:sz w:val="20"/>
                <w:szCs w:val="20"/>
              </w:rPr>
              <w:t>Australian Government, community health services programs</w:t>
            </w:r>
          </w:p>
        </w:tc>
      </w:tr>
      <w:tr w:rsidR="00361582" w:rsidTr="00361582">
        <w:trPr>
          <w:trHeight w:val="357"/>
        </w:trPr>
        <w:tc>
          <w:tcPr>
            <w:tcW w:w="1866" w:type="dxa"/>
            <w:tcBorders>
              <w:top w:val="nil"/>
              <w:left w:val="nil"/>
              <w:bottom w:val="nil"/>
              <w:right w:val="nil"/>
            </w:tcBorders>
            <w:shd w:val="clear" w:color="auto" w:fill="auto"/>
            <w:noWrap/>
          </w:tcPr>
          <w:p w:rsidR="00361582" w:rsidRPr="00737BD6" w:rsidRDefault="00361582" w:rsidP="00803B7A">
            <w:pPr>
              <w:rPr>
                <w:rFonts w:asciiTheme="minorHAnsi" w:hAnsiTheme="minorHAnsi" w:cstheme="minorHAnsi"/>
                <w:b/>
                <w:sz w:val="20"/>
                <w:szCs w:val="20"/>
              </w:rPr>
            </w:pPr>
            <w:r w:rsidRPr="00737BD6">
              <w:rPr>
                <w:rFonts w:asciiTheme="minorHAnsi" w:hAnsiTheme="minorHAnsi" w:cstheme="minorHAnsi"/>
                <w:b/>
                <w:sz w:val="20"/>
                <w:szCs w:val="20"/>
              </w:rPr>
              <w:t>Table 10A.108</w:t>
            </w:r>
          </w:p>
        </w:tc>
        <w:tc>
          <w:tcPr>
            <w:tcW w:w="6923" w:type="dxa"/>
            <w:tcBorders>
              <w:top w:val="nil"/>
              <w:left w:val="nil"/>
              <w:bottom w:val="nil"/>
              <w:right w:val="nil"/>
            </w:tcBorders>
            <w:shd w:val="clear" w:color="auto" w:fill="auto"/>
          </w:tcPr>
          <w:p w:rsidR="00361582" w:rsidRPr="002612B3" w:rsidRDefault="00361582" w:rsidP="003A0C00">
            <w:pPr>
              <w:spacing w:afterLines="40" w:after="96"/>
              <w:rPr>
                <w:rFonts w:ascii="Arial" w:hAnsi="Arial" w:cs="Arial"/>
                <w:sz w:val="20"/>
                <w:szCs w:val="20"/>
              </w:rPr>
            </w:pPr>
            <w:r w:rsidRPr="002612B3">
              <w:rPr>
                <w:rFonts w:ascii="Arial" w:hAnsi="Arial" w:cs="Arial"/>
                <w:sz w:val="20"/>
                <w:szCs w:val="20"/>
              </w:rPr>
              <w:t>New South Wales, community health services programs</w:t>
            </w:r>
          </w:p>
        </w:tc>
      </w:tr>
      <w:tr w:rsidR="00361582" w:rsidTr="00361582">
        <w:trPr>
          <w:trHeight w:val="357"/>
        </w:trPr>
        <w:tc>
          <w:tcPr>
            <w:tcW w:w="1866" w:type="dxa"/>
            <w:tcBorders>
              <w:top w:val="nil"/>
              <w:left w:val="nil"/>
              <w:bottom w:val="nil"/>
              <w:right w:val="nil"/>
            </w:tcBorders>
            <w:shd w:val="clear" w:color="auto" w:fill="auto"/>
            <w:noWrap/>
          </w:tcPr>
          <w:p w:rsidR="00361582" w:rsidRPr="00737BD6" w:rsidRDefault="00361582" w:rsidP="00803B7A">
            <w:pPr>
              <w:rPr>
                <w:rFonts w:asciiTheme="minorHAnsi" w:hAnsiTheme="minorHAnsi" w:cstheme="minorHAnsi"/>
                <w:b/>
                <w:sz w:val="20"/>
                <w:szCs w:val="20"/>
              </w:rPr>
            </w:pPr>
            <w:r w:rsidRPr="00737BD6">
              <w:rPr>
                <w:rFonts w:asciiTheme="minorHAnsi" w:hAnsiTheme="minorHAnsi" w:cstheme="minorHAnsi"/>
                <w:b/>
                <w:sz w:val="20"/>
                <w:szCs w:val="20"/>
              </w:rPr>
              <w:t>Table 10A.109</w:t>
            </w:r>
          </w:p>
        </w:tc>
        <w:tc>
          <w:tcPr>
            <w:tcW w:w="6923" w:type="dxa"/>
            <w:tcBorders>
              <w:top w:val="nil"/>
              <w:left w:val="nil"/>
              <w:bottom w:val="nil"/>
              <w:right w:val="nil"/>
            </w:tcBorders>
            <w:shd w:val="clear" w:color="auto" w:fill="auto"/>
          </w:tcPr>
          <w:p w:rsidR="00361582" w:rsidRPr="002612B3" w:rsidRDefault="00361582" w:rsidP="003A0C00">
            <w:pPr>
              <w:spacing w:afterLines="40" w:after="96"/>
              <w:rPr>
                <w:rFonts w:ascii="Arial" w:hAnsi="Arial" w:cs="Arial"/>
                <w:sz w:val="20"/>
                <w:szCs w:val="20"/>
              </w:rPr>
            </w:pPr>
            <w:r w:rsidRPr="002612B3">
              <w:rPr>
                <w:rFonts w:ascii="Arial" w:hAnsi="Arial" w:cs="Arial"/>
                <w:sz w:val="20"/>
                <w:szCs w:val="20"/>
              </w:rPr>
              <w:t>Victoria, community health services programs</w:t>
            </w:r>
          </w:p>
        </w:tc>
      </w:tr>
      <w:tr w:rsidR="00361582" w:rsidTr="00361582">
        <w:trPr>
          <w:trHeight w:val="357"/>
        </w:trPr>
        <w:tc>
          <w:tcPr>
            <w:tcW w:w="1866" w:type="dxa"/>
            <w:tcBorders>
              <w:top w:val="nil"/>
              <w:left w:val="nil"/>
              <w:bottom w:val="nil"/>
              <w:right w:val="nil"/>
            </w:tcBorders>
            <w:shd w:val="clear" w:color="auto" w:fill="auto"/>
            <w:noWrap/>
          </w:tcPr>
          <w:p w:rsidR="00361582" w:rsidRPr="00737BD6" w:rsidRDefault="00361582" w:rsidP="00803B7A">
            <w:pPr>
              <w:rPr>
                <w:rFonts w:asciiTheme="minorHAnsi" w:hAnsiTheme="minorHAnsi" w:cstheme="minorHAnsi"/>
                <w:b/>
                <w:sz w:val="20"/>
                <w:szCs w:val="20"/>
              </w:rPr>
            </w:pPr>
            <w:r w:rsidRPr="00737BD6">
              <w:rPr>
                <w:rFonts w:asciiTheme="minorHAnsi" w:hAnsiTheme="minorHAnsi" w:cstheme="minorHAnsi"/>
                <w:b/>
                <w:sz w:val="20"/>
                <w:szCs w:val="20"/>
              </w:rPr>
              <w:t>Table 10A.110</w:t>
            </w:r>
          </w:p>
        </w:tc>
        <w:tc>
          <w:tcPr>
            <w:tcW w:w="6923" w:type="dxa"/>
            <w:tcBorders>
              <w:top w:val="nil"/>
              <w:left w:val="nil"/>
              <w:bottom w:val="nil"/>
              <w:right w:val="nil"/>
            </w:tcBorders>
            <w:shd w:val="clear" w:color="auto" w:fill="auto"/>
          </w:tcPr>
          <w:p w:rsidR="00361582" w:rsidRPr="002612B3" w:rsidRDefault="00361582" w:rsidP="003A0C00">
            <w:pPr>
              <w:spacing w:afterLines="40" w:after="96"/>
              <w:rPr>
                <w:rFonts w:ascii="Arial" w:hAnsi="Arial" w:cs="Arial"/>
                <w:sz w:val="20"/>
                <w:szCs w:val="20"/>
              </w:rPr>
            </w:pPr>
            <w:r w:rsidRPr="002612B3">
              <w:rPr>
                <w:rFonts w:ascii="Arial" w:hAnsi="Arial" w:cs="Arial"/>
                <w:sz w:val="20"/>
                <w:szCs w:val="20"/>
              </w:rPr>
              <w:t>Queensland, community health services programs</w:t>
            </w:r>
          </w:p>
        </w:tc>
      </w:tr>
      <w:tr w:rsidR="00361582" w:rsidTr="00361582">
        <w:trPr>
          <w:trHeight w:val="357"/>
        </w:trPr>
        <w:tc>
          <w:tcPr>
            <w:tcW w:w="1866" w:type="dxa"/>
            <w:tcBorders>
              <w:top w:val="nil"/>
              <w:left w:val="nil"/>
              <w:bottom w:val="nil"/>
              <w:right w:val="nil"/>
            </w:tcBorders>
            <w:shd w:val="clear" w:color="auto" w:fill="auto"/>
            <w:noWrap/>
          </w:tcPr>
          <w:p w:rsidR="00361582" w:rsidRPr="00737BD6" w:rsidRDefault="00361582" w:rsidP="00803B7A">
            <w:pPr>
              <w:rPr>
                <w:rFonts w:asciiTheme="minorHAnsi" w:hAnsiTheme="minorHAnsi" w:cstheme="minorHAnsi"/>
                <w:b/>
                <w:sz w:val="20"/>
                <w:szCs w:val="20"/>
              </w:rPr>
            </w:pPr>
            <w:r w:rsidRPr="00737BD6">
              <w:rPr>
                <w:rFonts w:asciiTheme="minorHAnsi" w:hAnsiTheme="minorHAnsi" w:cstheme="minorHAnsi"/>
                <w:b/>
                <w:sz w:val="20"/>
                <w:szCs w:val="20"/>
              </w:rPr>
              <w:t>Table 10A.111</w:t>
            </w:r>
          </w:p>
        </w:tc>
        <w:tc>
          <w:tcPr>
            <w:tcW w:w="6923" w:type="dxa"/>
            <w:tcBorders>
              <w:top w:val="nil"/>
              <w:left w:val="nil"/>
              <w:bottom w:val="nil"/>
              <w:right w:val="nil"/>
            </w:tcBorders>
            <w:shd w:val="clear" w:color="auto" w:fill="auto"/>
          </w:tcPr>
          <w:p w:rsidR="00361582" w:rsidRPr="002612B3" w:rsidRDefault="00361582" w:rsidP="003A0C00">
            <w:pPr>
              <w:spacing w:afterLines="40" w:after="96"/>
              <w:rPr>
                <w:rFonts w:ascii="Arial" w:hAnsi="Arial" w:cs="Arial"/>
                <w:sz w:val="20"/>
                <w:szCs w:val="20"/>
              </w:rPr>
            </w:pPr>
            <w:r w:rsidRPr="002612B3">
              <w:rPr>
                <w:rFonts w:ascii="Arial" w:hAnsi="Arial" w:cs="Arial"/>
                <w:sz w:val="20"/>
                <w:szCs w:val="20"/>
              </w:rPr>
              <w:t>Western Australia, community health services programs</w:t>
            </w:r>
          </w:p>
        </w:tc>
      </w:tr>
      <w:tr w:rsidR="00361582" w:rsidRPr="002A7C7C" w:rsidTr="00361582">
        <w:trPr>
          <w:trHeight w:val="357"/>
        </w:trPr>
        <w:tc>
          <w:tcPr>
            <w:tcW w:w="1866" w:type="dxa"/>
            <w:tcBorders>
              <w:top w:val="nil"/>
              <w:left w:val="nil"/>
              <w:bottom w:val="nil"/>
              <w:right w:val="nil"/>
            </w:tcBorders>
            <w:shd w:val="clear" w:color="auto" w:fill="auto"/>
            <w:noWrap/>
          </w:tcPr>
          <w:p w:rsidR="00361582" w:rsidRPr="00737BD6" w:rsidRDefault="00361582" w:rsidP="00803B7A">
            <w:pPr>
              <w:rPr>
                <w:rFonts w:asciiTheme="minorHAnsi" w:hAnsiTheme="minorHAnsi" w:cstheme="minorHAnsi"/>
                <w:b/>
                <w:sz w:val="20"/>
                <w:szCs w:val="20"/>
              </w:rPr>
            </w:pPr>
            <w:r w:rsidRPr="00737BD6">
              <w:rPr>
                <w:rFonts w:asciiTheme="minorHAnsi" w:hAnsiTheme="minorHAnsi" w:cstheme="minorHAnsi"/>
                <w:b/>
                <w:sz w:val="20"/>
                <w:szCs w:val="20"/>
              </w:rPr>
              <w:t>Table 10A.112</w:t>
            </w:r>
          </w:p>
        </w:tc>
        <w:tc>
          <w:tcPr>
            <w:tcW w:w="6923" w:type="dxa"/>
            <w:tcBorders>
              <w:top w:val="nil"/>
              <w:left w:val="nil"/>
              <w:bottom w:val="nil"/>
              <w:right w:val="nil"/>
            </w:tcBorders>
            <w:shd w:val="clear" w:color="auto" w:fill="auto"/>
          </w:tcPr>
          <w:p w:rsidR="00361582" w:rsidRPr="002612B3" w:rsidRDefault="00361582" w:rsidP="003A0C00">
            <w:pPr>
              <w:spacing w:afterLines="40" w:after="96"/>
              <w:rPr>
                <w:rFonts w:ascii="Arial" w:hAnsi="Arial" w:cs="Arial"/>
                <w:sz w:val="20"/>
                <w:szCs w:val="20"/>
              </w:rPr>
            </w:pPr>
            <w:r w:rsidRPr="002612B3">
              <w:rPr>
                <w:rFonts w:ascii="Arial" w:hAnsi="Arial" w:cs="Arial"/>
                <w:sz w:val="20"/>
                <w:szCs w:val="20"/>
              </w:rPr>
              <w:t>South Australia, community health services programs</w:t>
            </w:r>
          </w:p>
        </w:tc>
      </w:tr>
      <w:tr w:rsidR="00361582" w:rsidRPr="002A7C7C" w:rsidTr="00361582">
        <w:trPr>
          <w:trHeight w:val="357"/>
        </w:trPr>
        <w:tc>
          <w:tcPr>
            <w:tcW w:w="1866" w:type="dxa"/>
            <w:tcBorders>
              <w:top w:val="nil"/>
              <w:left w:val="nil"/>
              <w:bottom w:val="nil"/>
              <w:right w:val="nil"/>
            </w:tcBorders>
            <w:shd w:val="clear" w:color="auto" w:fill="auto"/>
            <w:noWrap/>
          </w:tcPr>
          <w:p w:rsidR="00361582" w:rsidRPr="00737BD6" w:rsidRDefault="00361582" w:rsidP="00803B7A">
            <w:pPr>
              <w:rPr>
                <w:rFonts w:asciiTheme="minorHAnsi" w:hAnsiTheme="minorHAnsi" w:cstheme="minorHAnsi"/>
                <w:b/>
                <w:sz w:val="20"/>
                <w:szCs w:val="20"/>
              </w:rPr>
            </w:pPr>
            <w:r w:rsidRPr="00737BD6">
              <w:rPr>
                <w:rFonts w:asciiTheme="minorHAnsi" w:hAnsiTheme="minorHAnsi" w:cstheme="minorHAnsi"/>
                <w:b/>
                <w:sz w:val="20"/>
                <w:szCs w:val="20"/>
              </w:rPr>
              <w:t>Table 10A.113</w:t>
            </w:r>
          </w:p>
        </w:tc>
        <w:tc>
          <w:tcPr>
            <w:tcW w:w="6923" w:type="dxa"/>
            <w:tcBorders>
              <w:top w:val="nil"/>
              <w:left w:val="nil"/>
              <w:bottom w:val="nil"/>
              <w:right w:val="nil"/>
            </w:tcBorders>
            <w:shd w:val="clear" w:color="auto" w:fill="auto"/>
          </w:tcPr>
          <w:p w:rsidR="00361582" w:rsidRPr="002612B3" w:rsidRDefault="00361582" w:rsidP="003A0C00">
            <w:pPr>
              <w:spacing w:afterLines="40" w:after="96"/>
              <w:rPr>
                <w:rFonts w:ascii="Arial" w:hAnsi="Arial" w:cs="Arial"/>
                <w:sz w:val="20"/>
                <w:szCs w:val="20"/>
              </w:rPr>
            </w:pPr>
            <w:r w:rsidRPr="002612B3">
              <w:rPr>
                <w:rFonts w:ascii="Arial" w:hAnsi="Arial" w:cs="Arial"/>
                <w:sz w:val="20"/>
                <w:szCs w:val="20"/>
              </w:rPr>
              <w:t>Tasmania, community health services programs</w:t>
            </w:r>
          </w:p>
        </w:tc>
      </w:tr>
      <w:tr w:rsidR="00361582" w:rsidRPr="002A7C7C" w:rsidTr="00361582">
        <w:trPr>
          <w:trHeight w:val="357"/>
        </w:trPr>
        <w:tc>
          <w:tcPr>
            <w:tcW w:w="1866" w:type="dxa"/>
            <w:tcBorders>
              <w:top w:val="nil"/>
              <w:left w:val="nil"/>
              <w:bottom w:val="nil"/>
              <w:right w:val="nil"/>
            </w:tcBorders>
            <w:shd w:val="clear" w:color="auto" w:fill="auto"/>
            <w:noWrap/>
          </w:tcPr>
          <w:p w:rsidR="00361582" w:rsidRPr="00737BD6" w:rsidRDefault="00361582" w:rsidP="00803B7A">
            <w:pPr>
              <w:rPr>
                <w:b/>
              </w:rPr>
            </w:pPr>
            <w:r w:rsidRPr="00737BD6">
              <w:rPr>
                <w:rFonts w:asciiTheme="minorHAnsi" w:hAnsiTheme="minorHAnsi" w:cstheme="minorHAnsi"/>
                <w:b/>
                <w:sz w:val="20"/>
                <w:szCs w:val="20"/>
              </w:rPr>
              <w:t>Table 10A.114</w:t>
            </w:r>
          </w:p>
        </w:tc>
        <w:tc>
          <w:tcPr>
            <w:tcW w:w="6923" w:type="dxa"/>
            <w:tcBorders>
              <w:top w:val="nil"/>
              <w:left w:val="nil"/>
              <w:bottom w:val="nil"/>
              <w:right w:val="nil"/>
            </w:tcBorders>
            <w:shd w:val="clear" w:color="auto" w:fill="auto"/>
          </w:tcPr>
          <w:p w:rsidR="00361582" w:rsidRPr="002612B3" w:rsidRDefault="00361582" w:rsidP="003A0C00">
            <w:pPr>
              <w:spacing w:afterLines="40" w:after="96"/>
              <w:rPr>
                <w:rFonts w:ascii="Arial" w:hAnsi="Arial" w:cs="Arial"/>
                <w:sz w:val="20"/>
                <w:szCs w:val="20"/>
              </w:rPr>
            </w:pPr>
            <w:r w:rsidRPr="002612B3">
              <w:rPr>
                <w:rFonts w:ascii="Arial" w:hAnsi="Arial" w:cs="Arial"/>
                <w:sz w:val="20"/>
                <w:szCs w:val="20"/>
              </w:rPr>
              <w:t>Australian Capital Territory, community health services programs</w:t>
            </w:r>
          </w:p>
        </w:tc>
      </w:tr>
      <w:tr w:rsidR="00361582" w:rsidRPr="002A7C7C" w:rsidTr="00361582">
        <w:trPr>
          <w:trHeight w:val="357"/>
        </w:trPr>
        <w:tc>
          <w:tcPr>
            <w:tcW w:w="1866" w:type="dxa"/>
            <w:tcBorders>
              <w:top w:val="nil"/>
              <w:left w:val="nil"/>
              <w:bottom w:val="nil"/>
              <w:right w:val="nil"/>
            </w:tcBorders>
            <w:shd w:val="clear" w:color="auto" w:fill="auto"/>
            <w:noWrap/>
          </w:tcPr>
          <w:p w:rsidR="00361582" w:rsidRPr="00737BD6" w:rsidRDefault="00361582" w:rsidP="005C1F25">
            <w:pPr>
              <w:rPr>
                <w:b/>
              </w:rPr>
            </w:pPr>
            <w:r>
              <w:rPr>
                <w:rFonts w:asciiTheme="minorHAnsi" w:hAnsiTheme="minorHAnsi" w:cstheme="minorHAnsi"/>
                <w:b/>
                <w:sz w:val="20"/>
                <w:szCs w:val="20"/>
              </w:rPr>
              <w:t>Table 10A.115</w:t>
            </w:r>
          </w:p>
        </w:tc>
        <w:tc>
          <w:tcPr>
            <w:tcW w:w="6923" w:type="dxa"/>
            <w:tcBorders>
              <w:top w:val="nil"/>
              <w:left w:val="nil"/>
              <w:bottom w:val="nil"/>
              <w:right w:val="nil"/>
            </w:tcBorders>
            <w:shd w:val="clear" w:color="auto" w:fill="auto"/>
          </w:tcPr>
          <w:p w:rsidR="00361582" w:rsidRPr="002612B3" w:rsidRDefault="00361582" w:rsidP="003A0C00">
            <w:pPr>
              <w:spacing w:afterLines="40" w:after="96"/>
              <w:rPr>
                <w:rFonts w:ascii="Arial" w:hAnsi="Arial" w:cs="Arial"/>
                <w:sz w:val="20"/>
                <w:szCs w:val="20"/>
              </w:rPr>
            </w:pPr>
            <w:r w:rsidRPr="002612B3">
              <w:rPr>
                <w:rFonts w:ascii="Arial" w:hAnsi="Arial" w:cs="Arial"/>
                <w:sz w:val="20"/>
                <w:szCs w:val="20"/>
              </w:rPr>
              <w:t>Northern Territory, community health services programs</w:t>
            </w:r>
          </w:p>
        </w:tc>
      </w:tr>
    </w:tbl>
    <w:p w:rsidR="00BB7C13" w:rsidRPr="00BC1CC1" w:rsidRDefault="00EC42DB" w:rsidP="00BC1CC1">
      <w:pPr>
        <w:pStyle w:val="Heading2"/>
      </w:pPr>
      <w:bookmarkStart w:id="33" w:name="_Toc208034417"/>
      <w:bookmarkStart w:id="34" w:name="_Toc274941105"/>
      <w:bookmarkStart w:id="35" w:name="_Toc396916152"/>
      <w:r w:rsidRPr="00BC1CC1">
        <w:t>1</w:t>
      </w:r>
      <w:r w:rsidR="006A586C" w:rsidRPr="00BC1CC1">
        <w:t>0</w:t>
      </w:r>
      <w:r w:rsidRPr="00BC1CC1">
        <w:t>.</w:t>
      </w:r>
      <w:r w:rsidR="00C44281" w:rsidRPr="00BC1CC1">
        <w:t>7</w:t>
      </w:r>
      <w:r w:rsidR="003D3E53" w:rsidRPr="00BC1CC1">
        <w:tab/>
      </w:r>
      <w:r w:rsidR="00BB7C13" w:rsidRPr="00BC1CC1">
        <w:t>References</w:t>
      </w:r>
      <w:bookmarkEnd w:id="33"/>
      <w:bookmarkEnd w:id="34"/>
      <w:bookmarkEnd w:id="35"/>
    </w:p>
    <w:p w:rsidR="00982612" w:rsidRPr="00F459BD" w:rsidRDefault="00C32FE9" w:rsidP="00C334CD">
      <w:pPr>
        <w:pStyle w:val="Reference"/>
        <w:ind w:left="0" w:firstLine="0"/>
      </w:pPr>
      <w:r w:rsidRPr="00F459BD">
        <w:t>ACAM (A</w:t>
      </w:r>
      <w:r w:rsidR="00982612" w:rsidRPr="00F459BD">
        <w:t>ustralian Centre for Asthma Monitoring</w:t>
      </w:r>
      <w:r w:rsidRPr="00F459BD">
        <w:t>)</w:t>
      </w:r>
      <w:r w:rsidR="003605AA" w:rsidRPr="00F459BD">
        <w:t xml:space="preserve"> 200</w:t>
      </w:r>
      <w:r w:rsidR="00B900CB" w:rsidRPr="00F459BD">
        <w:t>8</w:t>
      </w:r>
      <w:r w:rsidR="003605AA" w:rsidRPr="00F459BD">
        <w:t>,</w:t>
      </w:r>
      <w:r w:rsidR="00982612" w:rsidRPr="00F459BD">
        <w:t xml:space="preserve"> </w:t>
      </w:r>
      <w:r w:rsidR="00982612" w:rsidRPr="00B233E9">
        <w:rPr>
          <w:i/>
        </w:rPr>
        <w:t>Asthma in Australia 200</w:t>
      </w:r>
      <w:r w:rsidR="00B900CB" w:rsidRPr="00B233E9">
        <w:rPr>
          <w:i/>
        </w:rPr>
        <w:t>8</w:t>
      </w:r>
      <w:r w:rsidR="00982612" w:rsidRPr="00F459BD">
        <w:t xml:space="preserve">, </w:t>
      </w:r>
      <w:r w:rsidR="00BC4681">
        <w:t>Cat. </w:t>
      </w:r>
      <w:r w:rsidR="00B900CB" w:rsidRPr="00F459BD">
        <w:t>no. ACM 14</w:t>
      </w:r>
      <w:r w:rsidR="00982612" w:rsidRPr="00F459BD">
        <w:t xml:space="preserve">, AIHW </w:t>
      </w:r>
      <w:r w:rsidR="00D3088F">
        <w:t xml:space="preserve">(Australian Institute of Health and Welfare) </w:t>
      </w:r>
      <w:r w:rsidR="00982612" w:rsidRPr="00F459BD">
        <w:t xml:space="preserve">Asthma Series </w:t>
      </w:r>
      <w:r w:rsidR="00B900CB" w:rsidRPr="00F459BD">
        <w:t>3</w:t>
      </w:r>
      <w:r w:rsidR="00982612" w:rsidRPr="00F459BD">
        <w:t>, Canberra.</w:t>
      </w:r>
    </w:p>
    <w:p w:rsidR="00284F34" w:rsidRPr="00F459BD" w:rsidRDefault="00284F34" w:rsidP="00284F34">
      <w:pPr>
        <w:pStyle w:val="Reference"/>
      </w:pPr>
      <w:r w:rsidRPr="00F459BD">
        <w:t xml:space="preserve">Australian Government 2010, </w:t>
      </w:r>
      <w:r w:rsidRPr="00B233E9">
        <w:rPr>
          <w:i/>
        </w:rPr>
        <w:t>Building a 21st Century Primary Health Care System — Australia’s First National Primary Health Care Strategy</w:t>
      </w:r>
      <w:r w:rsidRPr="00F459BD">
        <w:t>, Canberra.</w:t>
      </w:r>
    </w:p>
    <w:p w:rsidR="00B4364B" w:rsidRPr="00F459BD" w:rsidRDefault="00253554" w:rsidP="00F90A95">
      <w:pPr>
        <w:pStyle w:val="Reference"/>
      </w:pPr>
      <w:r w:rsidRPr="00F459BD">
        <w:t xml:space="preserve">AIHW (Australian Institute of Health and Welfare) </w:t>
      </w:r>
      <w:r w:rsidR="00F90A95" w:rsidRPr="00F459BD">
        <w:t xml:space="preserve">2007, </w:t>
      </w:r>
      <w:r w:rsidR="00F90A95" w:rsidRPr="00B233E9">
        <w:rPr>
          <w:i/>
        </w:rPr>
        <w:t>National indicators for monitoring diabetes: report of the Diabetes Indicators Review Subcommittee of the National Diabetes Data Working Group</w:t>
      </w:r>
      <w:r w:rsidR="00F90A95" w:rsidRPr="00F459BD">
        <w:t>, Cat. no. CVD 38, Diabetes series no. 6, Canberra.</w:t>
      </w:r>
    </w:p>
    <w:p w:rsidR="00FE27FC" w:rsidRDefault="00FE27FC" w:rsidP="00FE27FC">
      <w:pPr>
        <w:pStyle w:val="Reference"/>
      </w:pPr>
      <w:r w:rsidRPr="00F459BD">
        <w:t xml:space="preserve">—— </w:t>
      </w:r>
      <w:r w:rsidR="0088243E">
        <w:t>2008a</w:t>
      </w:r>
      <w:r w:rsidRPr="00F459BD">
        <w:t xml:space="preserve">, </w:t>
      </w:r>
      <w:r w:rsidRPr="00FE27FC">
        <w:rPr>
          <w:i/>
        </w:rPr>
        <w:t>Aboriginal and Torres Strait Islander Health Performance Framework, 2008 report: detailed analyses</w:t>
      </w:r>
      <w:r w:rsidRPr="00F459BD">
        <w:t>, AIHW Cat. no. IHW 22, Canberra.</w:t>
      </w:r>
    </w:p>
    <w:p w:rsidR="009B6CEA" w:rsidRPr="00F459BD" w:rsidRDefault="0088243E" w:rsidP="009B6CEA">
      <w:pPr>
        <w:pStyle w:val="Reference"/>
      </w:pPr>
      <w:r>
        <w:t>—— 2008</w:t>
      </w:r>
      <w:r w:rsidR="00B4364B">
        <w:t>b,</w:t>
      </w:r>
      <w:r w:rsidR="009B6CEA" w:rsidRPr="00F459BD">
        <w:t xml:space="preserve"> </w:t>
      </w:r>
      <w:r w:rsidR="009B6CEA" w:rsidRPr="00B233E9">
        <w:rPr>
          <w:i/>
        </w:rPr>
        <w:t>Diabetes: A</w:t>
      </w:r>
      <w:r w:rsidR="009B6CEA" w:rsidRPr="00F35D4C">
        <w:rPr>
          <w:b/>
          <w:i/>
        </w:rPr>
        <w:t>u</w:t>
      </w:r>
      <w:r w:rsidR="009B6CEA" w:rsidRPr="00B233E9">
        <w:rPr>
          <w:i/>
        </w:rPr>
        <w:t>stralian facts</w:t>
      </w:r>
      <w:r w:rsidR="009B6CEA" w:rsidRPr="00F459BD">
        <w:t>, Cat. no. CVD 40, Diabetes series no. 8, Canberra.</w:t>
      </w:r>
    </w:p>
    <w:p w:rsidR="00872949" w:rsidRDefault="009B1A28" w:rsidP="0039681F">
      <w:pPr>
        <w:pStyle w:val="Reference"/>
      </w:pPr>
      <w:r w:rsidRPr="00762EEE">
        <w:t xml:space="preserve">—— </w:t>
      </w:r>
      <w:r w:rsidR="00872949" w:rsidRPr="00762EEE">
        <w:t>2014</w:t>
      </w:r>
      <w:r w:rsidR="003525ED">
        <w:t>a</w:t>
      </w:r>
      <w:r w:rsidR="00762EEE" w:rsidRPr="00762EEE">
        <w:t xml:space="preserve">, </w:t>
      </w:r>
      <w:r w:rsidR="00872949" w:rsidRPr="00C20AC6">
        <w:rPr>
          <w:i/>
        </w:rPr>
        <w:t>Australia’s health 2014</w:t>
      </w:r>
      <w:r w:rsidR="00762EEE" w:rsidRPr="00762EEE">
        <w:t>,</w:t>
      </w:r>
      <w:r w:rsidR="00872949" w:rsidRPr="00762EEE">
        <w:t xml:space="preserve"> Cat. no. AUS 178</w:t>
      </w:r>
      <w:r w:rsidR="00762EEE" w:rsidRPr="00762EEE">
        <w:t>, Canberra.</w:t>
      </w:r>
    </w:p>
    <w:p w:rsidR="00C20AC6" w:rsidRDefault="00C20AC6" w:rsidP="0039681F">
      <w:pPr>
        <w:pStyle w:val="Reference"/>
      </w:pPr>
      <w:r w:rsidRPr="00762EEE">
        <w:t xml:space="preserve">—— </w:t>
      </w:r>
      <w:r w:rsidRPr="0039681F">
        <w:t>2014b,</w:t>
      </w:r>
      <w:r w:rsidRPr="00002DBA">
        <w:rPr>
          <w:shd w:val="clear" w:color="auto" w:fill="E0EEC6" w:themeFill="accent3" w:themeFillTint="66"/>
        </w:rPr>
        <w:t xml:space="preserve"> </w:t>
      </w:r>
      <w:r w:rsidRPr="00413818">
        <w:rPr>
          <w:i/>
        </w:rPr>
        <w:t>Alcohol</w:t>
      </w:r>
      <w:r w:rsidRPr="007D5530">
        <w:rPr>
          <w:i/>
        </w:rPr>
        <w:t xml:space="preserve"> and other drug treatment services in Australia 201</w:t>
      </w:r>
      <w:r>
        <w:rPr>
          <w:i/>
        </w:rPr>
        <w:t>2-</w:t>
      </w:r>
      <w:r w:rsidRPr="007D5530">
        <w:rPr>
          <w:i/>
        </w:rPr>
        <w:t>1</w:t>
      </w:r>
      <w:r>
        <w:rPr>
          <w:i/>
        </w:rPr>
        <w:t>3</w:t>
      </w:r>
      <w:r>
        <w:t>, Cat. </w:t>
      </w:r>
      <w:r w:rsidRPr="00931CC9">
        <w:t>no. HSE 1</w:t>
      </w:r>
      <w:r>
        <w:t>50</w:t>
      </w:r>
      <w:r w:rsidRPr="00931CC9">
        <w:t>, Drug treatment series no. </w:t>
      </w:r>
      <w:r>
        <w:t xml:space="preserve">24, </w:t>
      </w:r>
      <w:r w:rsidRPr="00F459BD">
        <w:t>Canberra</w:t>
      </w:r>
      <w:r>
        <w:t>.</w:t>
      </w:r>
    </w:p>
    <w:p w:rsidR="00A538FC" w:rsidRDefault="00A538FC" w:rsidP="0039681F">
      <w:pPr>
        <w:pStyle w:val="Reference"/>
      </w:pPr>
      <w:r w:rsidRPr="00B51288">
        <w:t xml:space="preserve">AIHW and NBCC (National Breast Cancer Centre) 2007, </w:t>
      </w:r>
      <w:r w:rsidRPr="00B51288">
        <w:rPr>
          <w:i/>
        </w:rPr>
        <w:t xml:space="preserve">Breast cancer survival by size </w:t>
      </w:r>
      <w:r w:rsidRPr="002D77FA">
        <w:rPr>
          <w:i/>
        </w:rPr>
        <w:t>and nodal status in Australia</w:t>
      </w:r>
      <w:r w:rsidRPr="002D77FA">
        <w:t xml:space="preserve">, Cat. no. CAN 34, </w:t>
      </w:r>
      <w:r w:rsidR="00A378F6" w:rsidRPr="002D77FA">
        <w:t xml:space="preserve">Cancer series no. 39, </w:t>
      </w:r>
      <w:r w:rsidRPr="002D77FA">
        <w:t>AIHW, Canberra.</w:t>
      </w:r>
    </w:p>
    <w:p w:rsidR="006773EF" w:rsidRDefault="006773EF" w:rsidP="0039681F">
      <w:pPr>
        <w:pStyle w:val="Reference"/>
      </w:pPr>
      <w:r w:rsidRPr="006773EF">
        <w:t>Bradley</w:t>
      </w:r>
      <w:r>
        <w:t>,</w:t>
      </w:r>
      <w:r w:rsidRPr="006773EF">
        <w:t xml:space="preserve"> C</w:t>
      </w:r>
      <w:r>
        <w:t>.</w:t>
      </w:r>
      <w:r w:rsidRPr="006773EF">
        <w:t xml:space="preserve"> 2013</w:t>
      </w:r>
      <w:r>
        <w:t>,</w:t>
      </w:r>
      <w:r w:rsidRPr="006773EF">
        <w:t xml:space="preserve"> </w:t>
      </w:r>
      <w:r w:rsidRPr="006773EF">
        <w:rPr>
          <w:i/>
        </w:rPr>
        <w:t>Hospitalisations due to falls by older people, Australia 2009</w:t>
      </w:r>
      <w:r>
        <w:rPr>
          <w:i/>
        </w:rPr>
        <w:noBreakHyphen/>
      </w:r>
      <w:r w:rsidRPr="006773EF">
        <w:rPr>
          <w:i/>
        </w:rPr>
        <w:t>10</w:t>
      </w:r>
      <w:r w:rsidR="00704C4A">
        <w:t>,</w:t>
      </w:r>
      <w:r w:rsidRPr="006773EF">
        <w:t xml:space="preserve"> </w:t>
      </w:r>
      <w:r w:rsidR="00704C4A">
        <w:t>Cat. no. INJCAT 146,</w:t>
      </w:r>
      <w:r w:rsidR="00704C4A" w:rsidRPr="006773EF">
        <w:t xml:space="preserve"> </w:t>
      </w:r>
      <w:r w:rsidRPr="006773EF">
        <w:t>Injury research and statistics ser</w:t>
      </w:r>
      <w:r w:rsidR="00704C4A">
        <w:t xml:space="preserve">ies no. 70, </w:t>
      </w:r>
      <w:r w:rsidR="00704C4A" w:rsidRPr="002D77FA">
        <w:t>AIHW, Canberra</w:t>
      </w:r>
      <w:r w:rsidRPr="006773EF">
        <w:t>.</w:t>
      </w:r>
    </w:p>
    <w:p w:rsidR="007153C2" w:rsidRPr="00BC1CC1" w:rsidRDefault="00783C34" w:rsidP="0039681F">
      <w:pPr>
        <w:pStyle w:val="Reference"/>
      </w:pPr>
      <w:r w:rsidRPr="0039681F">
        <w:t xml:space="preserve">Britt, H., Miller, G.C, Henderson, J., Bayram, C., Harrison, C., Valenti, L., Wong, C., Gordon, J., Pollack, A.J., Pan, Y. and Charles, J. </w:t>
      </w:r>
      <w:r w:rsidR="001A294F" w:rsidRPr="0039681F">
        <w:t>201</w:t>
      </w:r>
      <w:r w:rsidRPr="0039681F">
        <w:t>4</w:t>
      </w:r>
      <w:r w:rsidR="001A294F" w:rsidRPr="0039681F">
        <w:t xml:space="preserve">, </w:t>
      </w:r>
      <w:r w:rsidR="001A294F" w:rsidRPr="0039681F">
        <w:rPr>
          <w:i/>
        </w:rPr>
        <w:t>General practice activity in Australia 201</w:t>
      </w:r>
      <w:r w:rsidRPr="0039681F">
        <w:rPr>
          <w:i/>
        </w:rPr>
        <w:t>3-</w:t>
      </w:r>
      <w:r w:rsidR="001A294F" w:rsidRPr="0039681F">
        <w:rPr>
          <w:i/>
        </w:rPr>
        <w:t>1</w:t>
      </w:r>
      <w:r w:rsidRPr="0039681F">
        <w:rPr>
          <w:i/>
        </w:rPr>
        <w:t>4</w:t>
      </w:r>
      <w:r w:rsidR="001A294F" w:rsidRPr="0039681F">
        <w:t>, General practice series no. 3</w:t>
      </w:r>
      <w:r w:rsidRPr="0039681F">
        <w:t>6</w:t>
      </w:r>
      <w:r w:rsidR="001A294F" w:rsidRPr="0039681F">
        <w:t>, Sydney University Press, Sydney.</w:t>
      </w:r>
    </w:p>
    <w:p w:rsidR="008B20DA" w:rsidRDefault="008B20DA" w:rsidP="00433832">
      <w:pPr>
        <w:pStyle w:val="Reference"/>
      </w:pPr>
      <w:r>
        <w:t xml:space="preserve">Australian Government DHS (Department of Human Services) 2014, </w:t>
      </w:r>
      <w:r w:rsidRPr="008B20DA">
        <w:rPr>
          <w:i/>
        </w:rPr>
        <w:t>Practice Incentives Program (PIP)</w:t>
      </w:r>
      <w:r w:rsidRPr="008B20DA">
        <w:t xml:space="preserve"> </w:t>
      </w:r>
      <w:r>
        <w:t>(</w:t>
      </w:r>
      <w:r w:rsidR="00003AAD" w:rsidRPr="00003AAD">
        <w:t>http://www.medicareaustralia.gov.au/provider/incentives/pip/index.jsp</w:t>
      </w:r>
      <w:r w:rsidR="00003AAD">
        <w:br/>
      </w:r>
      <w:r w:rsidRPr="008B20DA">
        <w:t>#N10047</w:t>
      </w:r>
      <w:r>
        <w:t>, accessed 15 October 2014)</w:t>
      </w:r>
    </w:p>
    <w:p w:rsidR="00B728BC" w:rsidRDefault="00433832" w:rsidP="00663FAD">
      <w:pPr>
        <w:pStyle w:val="Reference"/>
      </w:pPr>
      <w:r w:rsidRPr="00A73D31">
        <w:t>Department of Health (formerly the Department of Health and Ageing)</w:t>
      </w:r>
      <w:r w:rsidR="00B728BC">
        <w:t xml:space="preserve"> </w:t>
      </w:r>
      <w:r w:rsidR="00114D1C" w:rsidRPr="0020482B">
        <w:t xml:space="preserve">2009, </w:t>
      </w:r>
      <w:r w:rsidR="00114D1C" w:rsidRPr="0020482B">
        <w:rPr>
          <w:i/>
        </w:rPr>
        <w:t>Evaluation of the BreastScreen Australia Program – Evaluation Final Report,</w:t>
      </w:r>
      <w:r w:rsidR="00114D1C" w:rsidRPr="0020482B">
        <w:t xml:space="preserve"> Australian Government, Canberra</w:t>
      </w:r>
      <w:r w:rsidR="00114D1C">
        <w:t>.</w:t>
      </w:r>
    </w:p>
    <w:p w:rsidR="00114D1C" w:rsidRDefault="00114D1C" w:rsidP="00663FAD">
      <w:pPr>
        <w:pStyle w:val="Reference"/>
        <w:spacing w:line="280" w:lineRule="atLeast"/>
      </w:pPr>
      <w:r w:rsidRPr="00F459BD">
        <w:t xml:space="preserve">—— 2010, </w:t>
      </w:r>
      <w:r w:rsidRPr="00B233E9">
        <w:rPr>
          <w:i/>
        </w:rPr>
        <w:t>About the PBS</w:t>
      </w:r>
      <w:r w:rsidRPr="00F459BD">
        <w:t>, www.health.gov.au/internet/main/publishing.nsf/ Content/health-pbs-general-aboutus.htm-copy2 (accessed 24 September 2010).</w:t>
      </w:r>
    </w:p>
    <w:p w:rsidR="002D33C5" w:rsidRDefault="002D33C5" w:rsidP="00663FAD">
      <w:pPr>
        <w:pStyle w:val="Reference"/>
        <w:spacing w:line="280" w:lineRule="atLeast"/>
      </w:pPr>
      <w:r w:rsidRPr="00F459BD">
        <w:t xml:space="preserve">—— </w:t>
      </w:r>
      <w:r>
        <w:t xml:space="preserve">2012, </w:t>
      </w:r>
      <w:r w:rsidRPr="002D33C5">
        <w:rPr>
          <w:i/>
        </w:rPr>
        <w:t>The Pap smear</w:t>
      </w:r>
      <w:r>
        <w:t xml:space="preserve">, </w:t>
      </w:r>
      <w:r w:rsidRPr="002D33C5">
        <w:t>www.cancerscreening.gov.au/internet/screening/</w:t>
      </w:r>
      <w:r>
        <w:t xml:space="preserve"> publishing.nsf/Content/papsmear (accessed 8 January 2014).</w:t>
      </w:r>
    </w:p>
    <w:p w:rsidR="00681023" w:rsidRDefault="00BF39CA" w:rsidP="00663FAD">
      <w:pPr>
        <w:pStyle w:val="Reference"/>
        <w:spacing w:line="280" w:lineRule="atLeast"/>
      </w:pPr>
      <w:r>
        <w:t xml:space="preserve">—— </w:t>
      </w:r>
      <w:r w:rsidR="00681023">
        <w:t>2013</w:t>
      </w:r>
      <w:r w:rsidR="00E631C6">
        <w:t>a</w:t>
      </w:r>
      <w:r w:rsidR="00681023" w:rsidRPr="00F459BD">
        <w:t xml:space="preserve">, </w:t>
      </w:r>
      <w:r w:rsidR="00681023" w:rsidRPr="00B233E9">
        <w:rPr>
          <w:i/>
        </w:rPr>
        <w:t>The Australian Immunisation Handbook</w:t>
      </w:r>
      <w:r w:rsidR="00681023" w:rsidRPr="00F459BD">
        <w:t xml:space="preserve">, </w:t>
      </w:r>
      <w:r w:rsidR="00681023">
        <w:t>10</w:t>
      </w:r>
      <w:r w:rsidR="00681023" w:rsidRPr="00F459BD">
        <w:t>th edn,</w:t>
      </w:r>
      <w:r w:rsidR="00681023">
        <w:t xml:space="preserve"> </w:t>
      </w:r>
      <w:r w:rsidR="00681023" w:rsidRPr="00681023">
        <w:t>www.immunise.health.gov.au/internet/immunise/publishing.nsf/Content/Handbook10-home</w:t>
      </w:r>
      <w:r w:rsidR="00681023">
        <w:t xml:space="preserve"> (accessed 8</w:t>
      </w:r>
      <w:r w:rsidR="00681023" w:rsidRPr="00F459BD">
        <w:t xml:space="preserve"> </w:t>
      </w:r>
      <w:r w:rsidR="00681023">
        <w:t>January 2014</w:t>
      </w:r>
      <w:r w:rsidR="00681023" w:rsidRPr="00F459BD">
        <w:t>).</w:t>
      </w:r>
    </w:p>
    <w:p w:rsidR="00094998" w:rsidRPr="00F459BD" w:rsidRDefault="00094998" w:rsidP="00663FAD">
      <w:pPr>
        <w:pStyle w:val="Reference"/>
        <w:spacing w:line="240" w:lineRule="auto"/>
      </w:pPr>
      <w:r w:rsidRPr="00F459BD">
        <w:t>—— 20</w:t>
      </w:r>
      <w:r>
        <w:t>13</w:t>
      </w:r>
      <w:r w:rsidR="00E631C6">
        <w:t>b</w:t>
      </w:r>
      <w:r w:rsidRPr="00F459BD">
        <w:t xml:space="preserve">, </w:t>
      </w:r>
      <w:r w:rsidRPr="00B233E9">
        <w:rPr>
          <w:i/>
        </w:rPr>
        <w:t>Immunisation Myths and Realities: responding to arguments against immunisation</w:t>
      </w:r>
      <w:r>
        <w:t>, 5</w:t>
      </w:r>
      <w:r w:rsidRPr="00F459BD">
        <w:t>th edn,</w:t>
      </w:r>
      <w:r w:rsidRPr="00286E6C">
        <w:t xml:space="preserve"> www.health.gov.au/internet/immunise/publishing.nsf/</w:t>
      </w:r>
      <w:r>
        <w:br/>
      </w:r>
      <w:r w:rsidRPr="00286E6C">
        <w:t>Content/uci-myths-guideprov</w:t>
      </w:r>
      <w:r>
        <w:t xml:space="preserve"> (accessed 8</w:t>
      </w:r>
      <w:r w:rsidRPr="00F459BD">
        <w:t xml:space="preserve"> </w:t>
      </w:r>
      <w:r>
        <w:t>January 2014</w:t>
      </w:r>
      <w:r w:rsidRPr="00F459BD">
        <w:t>).</w:t>
      </w:r>
    </w:p>
    <w:p w:rsidR="00433832" w:rsidRDefault="00B728BC" w:rsidP="00433832">
      <w:pPr>
        <w:pStyle w:val="Reference"/>
      </w:pPr>
      <w:r w:rsidRPr="00F459BD">
        <w:t xml:space="preserve">—— </w:t>
      </w:r>
      <w:r>
        <w:t>201</w:t>
      </w:r>
      <w:r w:rsidR="00114D1C">
        <w:t>3</w:t>
      </w:r>
      <w:r w:rsidR="00E631C6">
        <w:t>c</w:t>
      </w:r>
      <w:r w:rsidR="00433832" w:rsidRPr="00F459BD">
        <w:t xml:space="preserve">, </w:t>
      </w:r>
      <w:r w:rsidR="00433832" w:rsidRPr="00B728BC">
        <w:rPr>
          <w:i/>
        </w:rPr>
        <w:t>Australian national notifiable diseases list and</w:t>
      </w:r>
      <w:r w:rsidR="00433832" w:rsidRPr="00433832">
        <w:t xml:space="preserve"> </w:t>
      </w:r>
      <w:r w:rsidR="00433832" w:rsidRPr="00B233E9">
        <w:rPr>
          <w:i/>
        </w:rPr>
        <w:t>case definitions</w:t>
      </w:r>
      <w:r w:rsidR="00433832" w:rsidRPr="00F459BD">
        <w:t xml:space="preserve">, </w:t>
      </w:r>
      <w:r w:rsidR="00194874" w:rsidRPr="00194874">
        <w:t xml:space="preserve">www.health.gov.au/internet/main/publishing.nsf/Content/cda_surveil-nndss-dislist.htm </w:t>
      </w:r>
      <w:r w:rsidR="00194874">
        <w:t>(accessed 8</w:t>
      </w:r>
      <w:r w:rsidR="00433832" w:rsidRPr="00F459BD">
        <w:t xml:space="preserve"> </w:t>
      </w:r>
      <w:r w:rsidR="00194874">
        <w:t>January</w:t>
      </w:r>
      <w:r w:rsidR="00433832" w:rsidRPr="00F459BD">
        <w:t xml:space="preserve"> 20</w:t>
      </w:r>
      <w:r w:rsidR="00194874">
        <w:t>14</w:t>
      </w:r>
      <w:r w:rsidR="00433832" w:rsidRPr="00F459BD">
        <w:t>).</w:t>
      </w:r>
    </w:p>
    <w:p w:rsidR="000156B4" w:rsidRPr="00F459BD" w:rsidRDefault="000156B4" w:rsidP="00433832">
      <w:pPr>
        <w:pStyle w:val="Reference"/>
      </w:pPr>
      <w:r>
        <w:t>—— 2014</w:t>
      </w:r>
      <w:r w:rsidRPr="00413818">
        <w:t xml:space="preserve">, </w:t>
      </w:r>
      <w:r w:rsidRPr="00237844">
        <w:rPr>
          <w:i/>
        </w:rPr>
        <w:t>About the PBS</w:t>
      </w:r>
      <w:r>
        <w:rPr>
          <w:i/>
        </w:rPr>
        <w:t xml:space="preserve">, </w:t>
      </w:r>
      <w:r w:rsidRPr="00237844">
        <w:t>http://www.pbs.gov.au/info/about-the-pbs</w:t>
      </w:r>
      <w:r w:rsidRPr="004D141C">
        <w:t xml:space="preserve"> </w:t>
      </w:r>
      <w:r>
        <w:t>(accessed 19</w:t>
      </w:r>
      <w:r w:rsidRPr="00F459BD">
        <w:t> </w:t>
      </w:r>
      <w:r>
        <w:t>October</w:t>
      </w:r>
      <w:r w:rsidRPr="00F459BD">
        <w:t xml:space="preserve"> 201</w:t>
      </w:r>
      <w:r>
        <w:t>4).</w:t>
      </w:r>
    </w:p>
    <w:p w:rsidR="002677C8" w:rsidRPr="00F459BD" w:rsidRDefault="002677C8" w:rsidP="002677C8">
      <w:pPr>
        <w:pStyle w:val="Reference"/>
      </w:pPr>
      <w:r w:rsidRPr="00F459BD">
        <w:t xml:space="preserve">DHS (Department of Human Services) </w:t>
      </w:r>
      <w:r w:rsidR="008B20DA">
        <w:t xml:space="preserve">Victoria </w:t>
      </w:r>
      <w:r w:rsidRPr="00F459BD">
        <w:t xml:space="preserve">2002, </w:t>
      </w:r>
      <w:r w:rsidRPr="00B233E9">
        <w:rPr>
          <w:i/>
        </w:rPr>
        <w:t>Victorian Ambulatory Care Sensitive Conditions Study: Preliminary Analyses</w:t>
      </w:r>
      <w:r w:rsidRPr="00F459BD">
        <w:t>, Victorian Government, Melbourne.</w:t>
      </w:r>
    </w:p>
    <w:p w:rsidR="00576D3A" w:rsidRPr="00F459BD" w:rsidRDefault="00576D3A" w:rsidP="00CA3C2D">
      <w:pPr>
        <w:pStyle w:val="Reference"/>
      </w:pPr>
      <w:r w:rsidRPr="00F459BD">
        <w:t>Hofmarcher</w:t>
      </w:r>
      <w:r w:rsidR="00AF7616" w:rsidRPr="00F459BD">
        <w:t>,</w:t>
      </w:r>
      <w:r w:rsidRPr="00F459BD">
        <w:t xml:space="preserve"> M</w:t>
      </w:r>
      <w:r w:rsidR="00AF7616" w:rsidRPr="00F459BD">
        <w:t>.</w:t>
      </w:r>
      <w:r w:rsidRPr="00F459BD">
        <w:t>, Oxley</w:t>
      </w:r>
      <w:r w:rsidR="00AF7616" w:rsidRPr="00F459BD">
        <w:t>,</w:t>
      </w:r>
      <w:r w:rsidRPr="00F459BD">
        <w:t xml:space="preserve"> H</w:t>
      </w:r>
      <w:r w:rsidR="00AF7616" w:rsidRPr="00F459BD">
        <w:t>. and</w:t>
      </w:r>
      <w:r w:rsidRPr="00F459BD">
        <w:t xml:space="preserve"> Rusticelli</w:t>
      </w:r>
      <w:r w:rsidR="00AF7616" w:rsidRPr="00F459BD">
        <w:t>,</w:t>
      </w:r>
      <w:r w:rsidRPr="00F459BD">
        <w:t xml:space="preserve"> E</w:t>
      </w:r>
      <w:r w:rsidR="00AF7616" w:rsidRPr="00F459BD">
        <w:t>.</w:t>
      </w:r>
      <w:r w:rsidRPr="00F459BD">
        <w:t xml:space="preserve"> 2007</w:t>
      </w:r>
      <w:r w:rsidR="00AF7616" w:rsidRPr="00F459BD">
        <w:t>,</w:t>
      </w:r>
      <w:r w:rsidRPr="00F459BD">
        <w:t xml:space="preserve"> </w:t>
      </w:r>
      <w:r w:rsidRPr="00B233E9">
        <w:rPr>
          <w:i/>
        </w:rPr>
        <w:t>Improved Health System Performance through Better Care Coordination</w:t>
      </w:r>
      <w:r w:rsidRPr="00F459BD">
        <w:t>, OECD Health Working Paper No. 30</w:t>
      </w:r>
      <w:r w:rsidR="00AF7616" w:rsidRPr="00F459BD">
        <w:t>, OECD, Paris</w:t>
      </w:r>
      <w:r w:rsidRPr="00F459BD">
        <w:t>.</w:t>
      </w:r>
    </w:p>
    <w:p w:rsidR="00BB7C13" w:rsidRPr="00F459BD" w:rsidRDefault="00BB7C13" w:rsidP="00576D3A">
      <w:pPr>
        <w:pStyle w:val="Reference"/>
      </w:pPr>
      <w:r w:rsidRPr="00F459BD">
        <w:t>Mitchell, H.</w:t>
      </w:r>
      <w:r w:rsidR="004E27A5">
        <w:t>,</w:t>
      </w:r>
      <w:r w:rsidRPr="00F459BD">
        <w:t xml:space="preserve"> Hocking, J.</w:t>
      </w:r>
      <w:r w:rsidR="004E27A5">
        <w:t xml:space="preserve"> and</w:t>
      </w:r>
      <w:r w:rsidRPr="00F459BD">
        <w:t xml:space="preserve"> Saville, M. 2003, ‘</w:t>
      </w:r>
      <w:r w:rsidRPr="00B233E9">
        <w:rPr>
          <w:i/>
        </w:rPr>
        <w:t>Improvement in protection of adenocarcinoma of the cervix resulting from participation in cervical screening</w:t>
      </w:r>
      <w:r w:rsidRPr="00F459BD">
        <w:t>’, Cancer</w:t>
      </w:r>
      <w:r w:rsidR="00A375EA" w:rsidRPr="00F459BD">
        <w:t xml:space="preserve"> Cytopathology</w:t>
      </w:r>
      <w:r w:rsidRPr="00F459BD">
        <w:t>, vol. 99, no. 6, pp. 336–341.</w:t>
      </w:r>
    </w:p>
    <w:p w:rsidR="00BB7C13" w:rsidRPr="00F459BD" w:rsidRDefault="00BB7C13" w:rsidP="00BB7C13">
      <w:pPr>
        <w:pStyle w:val="Reference"/>
      </w:pPr>
      <w:r w:rsidRPr="00F459BD">
        <w:t xml:space="preserve">National Advisory Committee on Oral Health 2004, </w:t>
      </w:r>
      <w:r w:rsidRPr="00B233E9">
        <w:rPr>
          <w:i/>
        </w:rPr>
        <w:t>Healthy mouths Healthy Lives: Australia’s National Oral Health Plan 2004–2013</w:t>
      </w:r>
      <w:r w:rsidRPr="00F459BD">
        <w:t xml:space="preserve">, Report endorsed by the Australian Health Ministers’ Conference, </w:t>
      </w:r>
      <w:r w:rsidR="00996372" w:rsidRPr="00F459BD">
        <w:t xml:space="preserve">Government of South Australia, </w:t>
      </w:r>
      <w:r w:rsidRPr="00F459BD">
        <w:t>Adelaide.</w:t>
      </w:r>
    </w:p>
    <w:p w:rsidR="00C1391A" w:rsidRPr="00F459BD" w:rsidRDefault="00BB7C13" w:rsidP="00BB7C13">
      <w:pPr>
        <w:pStyle w:val="Reference"/>
      </w:pPr>
      <w:r w:rsidRPr="00F459BD">
        <w:t xml:space="preserve">NCIRS (National Centre for Immunisation Research and Surveillance of Vaccine Preventable Diseases) 2000, </w:t>
      </w:r>
      <w:r w:rsidRPr="00B233E9">
        <w:rPr>
          <w:i/>
        </w:rPr>
        <w:t>Vaccine Preventable Diseases and Vaccination Coverage in Australia, 1993–1998</w:t>
      </w:r>
      <w:r w:rsidRPr="00F459BD">
        <w:t>, University of Sydney, Royal Alexandra Hospital for Children and Australian Government Department of Health, Canberra.</w:t>
      </w:r>
    </w:p>
    <w:p w:rsidR="00BB7C13" w:rsidRPr="00F459BD" w:rsidRDefault="00BB7C13" w:rsidP="00BB7C13">
      <w:pPr>
        <w:pStyle w:val="Reference"/>
      </w:pPr>
      <w:r w:rsidRPr="00F459BD">
        <w:t xml:space="preserve">NHPAC (National Health Priority Action Council) 2006, </w:t>
      </w:r>
      <w:r w:rsidRPr="00B233E9">
        <w:rPr>
          <w:i/>
        </w:rPr>
        <w:t>National Chronic Disease Strategy</w:t>
      </w:r>
      <w:r w:rsidRPr="00F459BD">
        <w:t>, Australian Government Department of Health, Canberra.</w:t>
      </w:r>
    </w:p>
    <w:p w:rsidR="00BB7C13" w:rsidRPr="00F459BD" w:rsidRDefault="00BB7C13" w:rsidP="00BB7C13">
      <w:pPr>
        <w:pStyle w:val="Reference"/>
      </w:pPr>
      <w:r w:rsidRPr="00F459BD">
        <w:t xml:space="preserve">Quality Improvement Council 1998, </w:t>
      </w:r>
      <w:r w:rsidRPr="00B233E9">
        <w:rPr>
          <w:i/>
        </w:rPr>
        <w:t>Australian Health and Community Service Standards: Community and Primary Health Care Services Module</w:t>
      </w:r>
      <w:r w:rsidRPr="00F459BD">
        <w:t>, Melbourne.</w:t>
      </w:r>
    </w:p>
    <w:p w:rsidR="00C61EEC" w:rsidRDefault="00F47752" w:rsidP="005C6E27">
      <w:pPr>
        <w:pStyle w:val="Reference"/>
      </w:pPr>
      <w:r w:rsidRPr="00F459BD">
        <w:t>RACGP (</w:t>
      </w:r>
      <w:r w:rsidR="000C6B1E" w:rsidRPr="00F459BD">
        <w:t>Royal Australian College of General Practitioners</w:t>
      </w:r>
      <w:r w:rsidRPr="00F459BD">
        <w:t xml:space="preserve">) </w:t>
      </w:r>
      <w:r w:rsidR="00192064" w:rsidRPr="00192064">
        <w:t xml:space="preserve">2014a, </w:t>
      </w:r>
      <w:r w:rsidR="00192064" w:rsidRPr="00192064">
        <w:rPr>
          <w:i/>
        </w:rPr>
        <w:t>What is General Practice?</w:t>
      </w:r>
      <w:r w:rsidR="00192064" w:rsidRPr="00192064">
        <w:t xml:space="preserve"> http://www.racgp.org.au/becomingagp/what-is-a-gp/what-is-general-practice (accessed 21 January 2015)</w:t>
      </w:r>
      <w:r w:rsidR="00C61EEC" w:rsidRPr="00F459BD">
        <w:t>.</w:t>
      </w:r>
    </w:p>
    <w:p w:rsidR="00F47752" w:rsidRDefault="00C61EEC" w:rsidP="00CF1C0F">
      <w:pPr>
        <w:pStyle w:val="Reference"/>
      </w:pPr>
      <w:r w:rsidRPr="00F459BD">
        <w:t xml:space="preserve">—— </w:t>
      </w:r>
      <w:r w:rsidR="00192064" w:rsidRPr="00192064">
        <w:t xml:space="preserve">2014b, </w:t>
      </w:r>
      <w:r w:rsidR="00192064" w:rsidRPr="00192064">
        <w:rPr>
          <w:i/>
        </w:rPr>
        <w:t>Becoming a GP in Australia</w:t>
      </w:r>
      <w:r w:rsidR="00192064" w:rsidRPr="00192064">
        <w:t>, http://www.racgp.org.au/becomingagp/ (accessed 21 January 2015).</w:t>
      </w:r>
    </w:p>
    <w:p w:rsidR="00DD0407" w:rsidRDefault="00BB7C13" w:rsidP="00DD0407">
      <w:pPr>
        <w:pStyle w:val="Reference"/>
      </w:pPr>
      <w:r w:rsidRPr="00F459BD">
        <w:t>SCRGSP (Steering Committee for the Review of Government Service Provision) 20</w:t>
      </w:r>
      <w:r w:rsidR="0033570A">
        <w:t>14</w:t>
      </w:r>
      <w:r w:rsidRPr="00F459BD">
        <w:t xml:space="preserve">, </w:t>
      </w:r>
      <w:r w:rsidRPr="00B233E9">
        <w:rPr>
          <w:i/>
        </w:rPr>
        <w:t xml:space="preserve">Overcoming </w:t>
      </w:r>
      <w:r w:rsidR="00186B8C">
        <w:rPr>
          <w:i/>
        </w:rPr>
        <w:t>Indigenous</w:t>
      </w:r>
      <w:r w:rsidRPr="00B233E9">
        <w:rPr>
          <w:i/>
        </w:rPr>
        <w:t xml:space="preserve"> Disadvantage: Key Indicators 20</w:t>
      </w:r>
      <w:r w:rsidR="00281B88" w:rsidRPr="00B233E9">
        <w:rPr>
          <w:i/>
        </w:rPr>
        <w:t>1</w:t>
      </w:r>
      <w:r w:rsidR="0033570A">
        <w:rPr>
          <w:i/>
        </w:rPr>
        <w:t>4</w:t>
      </w:r>
      <w:r w:rsidRPr="00F459BD">
        <w:t>, Productivity Commission, Canberra.</w:t>
      </w:r>
    </w:p>
    <w:p w:rsidR="00DD0407" w:rsidRDefault="007B082F" w:rsidP="00DD0407">
      <w:pPr>
        <w:pStyle w:val="Reference"/>
      </w:pPr>
      <w:r>
        <w:t xml:space="preserve">Tamma, P.D. and Cosgrove, S.E. 2014, </w:t>
      </w:r>
      <w:r w:rsidRPr="007B082F">
        <w:rPr>
          <w:i/>
        </w:rPr>
        <w:t>Let the games begin: the race to optimise antibiotic use</w:t>
      </w:r>
      <w:r>
        <w:t xml:space="preserve">, </w:t>
      </w:r>
      <w:r w:rsidRPr="0058792F">
        <w:t>The Lancet Infectious Diseases</w:t>
      </w:r>
      <w:r>
        <w:t xml:space="preserve">, vol. </w:t>
      </w:r>
      <w:r w:rsidRPr="0058792F">
        <w:t>14</w:t>
      </w:r>
      <w:r>
        <w:t xml:space="preserve">, no. </w:t>
      </w:r>
      <w:r w:rsidRPr="0058792F">
        <w:t>8</w:t>
      </w:r>
      <w:r>
        <w:t>, pp. 667-8.</w:t>
      </w:r>
    </w:p>
    <w:p w:rsidR="00DD0407" w:rsidRDefault="00834609" w:rsidP="00663FAD">
      <w:pPr>
        <w:pStyle w:val="Reference"/>
        <w:spacing w:line="280" w:lineRule="atLeast"/>
      </w:pPr>
      <w:r w:rsidRPr="000F3A15">
        <w:t>Tovell</w:t>
      </w:r>
      <w:r w:rsidR="00EB4110">
        <w:t>, A.</w:t>
      </w:r>
      <w:r w:rsidRPr="000F3A15">
        <w:t xml:space="preserve"> Harrison</w:t>
      </w:r>
      <w:r w:rsidR="00EB4110">
        <w:t>,</w:t>
      </w:r>
      <w:r w:rsidRPr="000F3A15">
        <w:t xml:space="preserve"> J</w:t>
      </w:r>
      <w:r w:rsidR="00EB4110">
        <w:t>.</w:t>
      </w:r>
      <w:r w:rsidRPr="000F3A15">
        <w:t>E</w:t>
      </w:r>
      <w:r w:rsidR="00EB4110">
        <w:t>. and</w:t>
      </w:r>
      <w:r w:rsidRPr="000F3A15">
        <w:t xml:space="preserve"> Pointer</w:t>
      </w:r>
      <w:r w:rsidR="00EB4110">
        <w:t>,</w:t>
      </w:r>
      <w:r w:rsidRPr="000F3A15">
        <w:t xml:space="preserve"> S</w:t>
      </w:r>
      <w:r w:rsidR="00EB4110">
        <w:t>.</w:t>
      </w:r>
      <w:r w:rsidRPr="000F3A15">
        <w:t xml:space="preserve"> 2014</w:t>
      </w:r>
      <w:r w:rsidR="00EB4110">
        <w:t>,</w:t>
      </w:r>
      <w:r w:rsidRPr="000F3A15">
        <w:t xml:space="preserve"> </w:t>
      </w:r>
      <w:r w:rsidRPr="000F3A15">
        <w:rPr>
          <w:i/>
        </w:rPr>
        <w:t>Hospitalised injury in older Australians, 2011</w:t>
      </w:r>
      <w:r w:rsidR="000F3A15">
        <w:rPr>
          <w:i/>
        </w:rPr>
        <w:noBreakHyphen/>
      </w:r>
      <w:r w:rsidRPr="000F3A15">
        <w:rPr>
          <w:i/>
        </w:rPr>
        <w:t>12</w:t>
      </w:r>
      <w:r w:rsidR="00EB4110">
        <w:t>,</w:t>
      </w:r>
      <w:r w:rsidRPr="000F3A15">
        <w:t xml:space="preserve"> Injury research and statistics series no. 90. Cat. no. INJCAT 166</w:t>
      </w:r>
      <w:r w:rsidR="00EB4110">
        <w:t>,</w:t>
      </w:r>
      <w:r w:rsidRPr="000F3A15">
        <w:t xml:space="preserve"> Canberra: AIHW</w:t>
      </w:r>
      <w:r w:rsidR="00EB4110">
        <w:t>.</w:t>
      </w:r>
    </w:p>
    <w:p w:rsidR="0058792F" w:rsidRPr="00F459BD" w:rsidRDefault="00BB7C13" w:rsidP="00663FAD">
      <w:pPr>
        <w:pStyle w:val="Reference"/>
        <w:spacing w:line="240" w:lineRule="auto"/>
      </w:pPr>
      <w:r w:rsidRPr="00F459BD">
        <w:t xml:space="preserve">Van Konkelenberg, R. Esterman, A. Van Konkelenberg, J. 2003, </w:t>
      </w:r>
      <w:r w:rsidRPr="00B233E9">
        <w:rPr>
          <w:i/>
        </w:rPr>
        <w:t>Literature Reviews: Factors Influencing use of Emergency Departments and Characteristics of Patients Admitted Through Emergency Departments</w:t>
      </w:r>
      <w:r w:rsidR="00C27515" w:rsidRPr="00F459BD">
        <w:t>,</w:t>
      </w:r>
      <w:r w:rsidR="00220273" w:rsidRPr="00F459BD">
        <w:t xml:space="preserve"> </w:t>
      </w:r>
      <w:r w:rsidR="00894D9E" w:rsidRPr="00F459BD">
        <w:t>www.publications.health.sa.gov.au/cgi/</w:t>
      </w:r>
      <w:r w:rsidR="00BC1CC1">
        <w:br/>
      </w:r>
      <w:r w:rsidR="00894D9E" w:rsidRPr="00F459BD">
        <w:t>viewcontent.cgi?article=1002&amp;context=ecc (accessed 1</w:t>
      </w:r>
      <w:r w:rsidR="00E87A39" w:rsidRPr="00F459BD">
        <w:t>1</w:t>
      </w:r>
      <w:r w:rsidR="00894D9E" w:rsidRPr="00F459BD">
        <w:t> </w:t>
      </w:r>
      <w:r w:rsidR="00E87A39" w:rsidRPr="00F459BD">
        <w:t>August</w:t>
      </w:r>
      <w:r w:rsidR="00894D9E" w:rsidRPr="00F459BD">
        <w:t> 201</w:t>
      </w:r>
      <w:r w:rsidR="00E87A39" w:rsidRPr="00F459BD">
        <w:t>1</w:t>
      </w:r>
      <w:r w:rsidR="00894D9E" w:rsidRPr="00F459BD">
        <w:t>).</w:t>
      </w:r>
    </w:p>
    <w:sectPr w:rsidR="0058792F" w:rsidRPr="00F459BD" w:rsidSect="00BC1CC1">
      <w:headerReference w:type="even" r:id="rId72"/>
      <w:headerReference w:type="default" r:id="rId73"/>
      <w:footerReference w:type="even" r:id="rId74"/>
      <w:footerReference w:type="default" r:id="rId75"/>
      <w:pgSz w:w="11907" w:h="16840" w:code="9"/>
      <w:pgMar w:top="1984" w:right="1304" w:bottom="1247" w:left="1814" w:header="1701" w:footer="397" w:gutter="0"/>
      <w:pgNumType w:start="1" w:chapSep="period"/>
      <w:cols w:space="720"/>
      <w:docGrid w:linePitch="354"/>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3564F1" w:rsidRDefault="003564F1">
      <w:r>
        <w:separator/>
      </w:r>
    </w:p>
  </w:endnote>
  <w:endnote w:type="continuationSeparator" w:id="0">
    <w:p w:rsidR="003564F1" w:rsidRDefault="003564F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T Extra">
    <w:panose1 w:val="05050102010205020202"/>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Lucida Sans">
    <w:panose1 w:val="020B0602030504020204"/>
    <w:charset w:val="00"/>
    <w:family w:val="swiss"/>
    <w:pitch w:val="variable"/>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Borders>
        <w:top w:val="single" w:sz="4" w:space="0" w:color="auto"/>
      </w:tblBorders>
      <w:tblLayout w:type="fixed"/>
      <w:tblCellMar>
        <w:left w:w="0" w:type="dxa"/>
        <w:right w:w="0" w:type="dxa"/>
      </w:tblCellMar>
      <w:tblLook w:val="0000" w:firstRow="0" w:lastRow="0" w:firstColumn="0" w:lastColumn="0" w:noHBand="0" w:noVBand="0"/>
    </w:tblPr>
    <w:tblGrid>
      <w:gridCol w:w="510"/>
      <w:gridCol w:w="7767"/>
      <w:gridCol w:w="510"/>
    </w:tblGrid>
    <w:tr w:rsidR="003564F1" w:rsidTr="005A7229">
      <w:trPr>
        <w:trHeight w:hRule="exact" w:val="567"/>
      </w:trPr>
      <w:tc>
        <w:tcPr>
          <w:tcW w:w="510" w:type="dxa"/>
        </w:tcPr>
        <w:p w:rsidR="003564F1" w:rsidRPr="00A24443" w:rsidRDefault="003564F1" w:rsidP="005A7229">
          <w:pPr>
            <w:pStyle w:val="Footer"/>
            <w:tabs>
              <w:tab w:val="left" w:pos="0"/>
            </w:tabs>
            <w:ind w:right="0"/>
            <w:rPr>
              <w:rStyle w:val="PageNumber"/>
              <w:caps w:val="0"/>
            </w:rPr>
          </w:pPr>
          <w:r>
            <w:rPr>
              <w:rStyle w:val="PageNumber"/>
              <w:caps w:val="0"/>
            </w:rPr>
            <w:t>10.</w:t>
          </w:r>
          <w:r w:rsidRPr="00A24443">
            <w:rPr>
              <w:rStyle w:val="PageNumber"/>
              <w:caps w:val="0"/>
            </w:rPr>
            <w:fldChar w:fldCharType="begin"/>
          </w:r>
          <w:r w:rsidRPr="00A24443">
            <w:rPr>
              <w:rStyle w:val="PageNumber"/>
              <w:caps w:val="0"/>
            </w:rPr>
            <w:instrText xml:space="preserve">PAGE  </w:instrText>
          </w:r>
          <w:r w:rsidRPr="00A24443">
            <w:rPr>
              <w:rStyle w:val="PageNumber"/>
              <w:caps w:val="0"/>
            </w:rPr>
            <w:fldChar w:fldCharType="separate"/>
          </w:r>
          <w:r w:rsidR="001C2234">
            <w:rPr>
              <w:rStyle w:val="PageNumber"/>
              <w:caps w:val="0"/>
              <w:noProof/>
            </w:rPr>
            <w:t>18</w:t>
          </w:r>
          <w:r w:rsidRPr="00A24443">
            <w:rPr>
              <w:rStyle w:val="PageNumber"/>
              <w:caps w:val="0"/>
            </w:rPr>
            <w:fldChar w:fldCharType="end"/>
          </w:r>
        </w:p>
      </w:tc>
      <w:tc>
        <w:tcPr>
          <w:tcW w:w="7767" w:type="dxa"/>
        </w:tcPr>
        <w:p w:rsidR="003564F1" w:rsidRPr="0013739A" w:rsidRDefault="003564F1" w:rsidP="005A7229">
          <w:pPr>
            <w:pStyle w:val="Footer"/>
            <w:rPr>
              <w:rFonts w:cs="Arial"/>
            </w:rPr>
          </w:pPr>
          <w:r>
            <w:rPr>
              <w:rFonts w:cs="Arial"/>
            </w:rPr>
            <w:t>Report on Government Services 2015</w:t>
          </w:r>
          <w:bookmarkStart w:id="36" w:name="DraftReportEven"/>
          <w:bookmarkEnd w:id="36"/>
        </w:p>
      </w:tc>
      <w:tc>
        <w:tcPr>
          <w:tcW w:w="510" w:type="dxa"/>
        </w:tcPr>
        <w:p w:rsidR="003564F1" w:rsidRDefault="003564F1" w:rsidP="005A7229">
          <w:pPr>
            <w:pStyle w:val="Footer"/>
          </w:pPr>
        </w:p>
      </w:tc>
    </w:tr>
  </w:tbl>
  <w:p w:rsidR="003564F1" w:rsidRDefault="003564F1" w:rsidP="005A7229">
    <w:pPr>
      <w:pStyle w:val="FooterEnd"/>
    </w:pPr>
  </w:p>
  <w:p w:rsidR="003564F1" w:rsidRDefault="003564F1">
    <w:pPr>
      <w:pStyle w:val="FooterEnd"/>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Borders>
        <w:top w:val="single" w:sz="4" w:space="0" w:color="auto"/>
      </w:tblBorders>
      <w:tblLayout w:type="fixed"/>
      <w:tblCellMar>
        <w:left w:w="0" w:type="dxa"/>
        <w:right w:w="0" w:type="dxa"/>
      </w:tblCellMar>
      <w:tblLook w:val="0000" w:firstRow="0" w:lastRow="0" w:firstColumn="0" w:lastColumn="0" w:noHBand="0" w:noVBand="0"/>
    </w:tblPr>
    <w:tblGrid>
      <w:gridCol w:w="510"/>
      <w:gridCol w:w="7767"/>
      <w:gridCol w:w="510"/>
    </w:tblGrid>
    <w:tr w:rsidR="003564F1" w:rsidTr="005A7229">
      <w:trPr>
        <w:trHeight w:hRule="exact" w:val="567"/>
      </w:trPr>
      <w:tc>
        <w:tcPr>
          <w:tcW w:w="510" w:type="dxa"/>
        </w:tcPr>
        <w:p w:rsidR="003564F1" w:rsidRDefault="003564F1">
          <w:pPr>
            <w:pStyle w:val="Footer"/>
            <w:ind w:right="360" w:firstLine="360"/>
          </w:pPr>
        </w:p>
      </w:tc>
      <w:tc>
        <w:tcPr>
          <w:tcW w:w="7767" w:type="dxa"/>
        </w:tcPr>
        <w:p w:rsidR="003564F1" w:rsidRPr="00BA5B14" w:rsidRDefault="003564F1" w:rsidP="005A7229">
          <w:pPr>
            <w:pStyle w:val="Footer"/>
            <w:jc w:val="right"/>
            <w:rPr>
              <w:rFonts w:cs="Arial"/>
            </w:rPr>
          </w:pPr>
          <w:r>
            <w:rPr>
              <w:rFonts w:cs="Arial"/>
            </w:rPr>
            <w:t>Primary and community health</w:t>
          </w:r>
        </w:p>
      </w:tc>
      <w:tc>
        <w:tcPr>
          <w:tcW w:w="510" w:type="dxa"/>
        </w:tcPr>
        <w:p w:rsidR="003564F1" w:rsidRPr="00A24443" w:rsidRDefault="003564F1">
          <w:pPr>
            <w:pStyle w:val="Footer"/>
            <w:jc w:val="right"/>
            <w:rPr>
              <w:caps w:val="0"/>
            </w:rPr>
          </w:pPr>
          <w:r>
            <w:rPr>
              <w:rStyle w:val="PageNumber"/>
              <w:caps w:val="0"/>
            </w:rPr>
            <w:t>10.</w:t>
          </w:r>
          <w:r w:rsidRPr="00A24443">
            <w:rPr>
              <w:rStyle w:val="PageNumber"/>
              <w:caps w:val="0"/>
            </w:rPr>
            <w:fldChar w:fldCharType="begin"/>
          </w:r>
          <w:r w:rsidRPr="00A24443">
            <w:rPr>
              <w:rStyle w:val="PageNumber"/>
              <w:caps w:val="0"/>
            </w:rPr>
            <w:instrText xml:space="preserve">PAGE  </w:instrText>
          </w:r>
          <w:r w:rsidRPr="00A24443">
            <w:rPr>
              <w:rStyle w:val="PageNumber"/>
              <w:caps w:val="0"/>
            </w:rPr>
            <w:fldChar w:fldCharType="separate"/>
          </w:r>
          <w:r w:rsidR="001C2234">
            <w:rPr>
              <w:rStyle w:val="PageNumber"/>
              <w:caps w:val="0"/>
              <w:noProof/>
            </w:rPr>
            <w:t>19</w:t>
          </w:r>
          <w:r w:rsidRPr="00A24443">
            <w:rPr>
              <w:rStyle w:val="PageNumber"/>
              <w:caps w:val="0"/>
            </w:rPr>
            <w:fldChar w:fldCharType="end"/>
          </w:r>
        </w:p>
      </w:tc>
    </w:tr>
  </w:tbl>
  <w:p w:rsidR="003564F1" w:rsidRDefault="003564F1">
    <w:pPr>
      <w:pStyle w:val="FooterEnd"/>
    </w:pPr>
  </w:p>
  <w:p w:rsidR="003564F1" w:rsidRDefault="003564F1">
    <w:pPr>
      <w:pStyle w:val="FooterEnd"/>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3564F1" w:rsidRDefault="003564F1">
      <w:r>
        <w:separator/>
      </w:r>
    </w:p>
  </w:footnote>
  <w:footnote w:type="continuationSeparator" w:id="0">
    <w:p w:rsidR="003564F1" w:rsidRDefault="003564F1">
      <w:r>
        <w:continuationSeparator/>
      </w:r>
    </w:p>
  </w:footnote>
  <w:footnote w:id="1">
    <w:p w:rsidR="003564F1" w:rsidRPr="002035E2" w:rsidRDefault="003564F1" w:rsidP="00DA6A4B">
      <w:pPr>
        <w:pStyle w:val="FootnoteText"/>
      </w:pPr>
      <w:r>
        <w:rPr>
          <w:rStyle w:val="FootnoteReference"/>
        </w:rPr>
        <w:footnoteRef/>
      </w:r>
      <w:r>
        <w:t xml:space="preserve"> </w:t>
      </w:r>
      <w:r w:rsidRPr="002035E2">
        <w:t xml:space="preserve">PBS approved private hospitals supply medicines to </w:t>
      </w:r>
      <w:r w:rsidRPr="00883C24">
        <w:t>patients of the hospital (inpatients and outpatients), while public hospitals provide medicines only to patients on discharge</w:t>
      </w:r>
      <w:r w:rsidRPr="002035E2">
        <w:t>.</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9" w:type="dxa"/>
      <w:tblLayout w:type="fixed"/>
      <w:tblCellMar>
        <w:left w:w="0" w:type="dxa"/>
        <w:right w:w="0" w:type="dxa"/>
      </w:tblCellMar>
      <w:tblLook w:val="0000" w:firstRow="0" w:lastRow="0" w:firstColumn="0" w:lastColumn="0" w:noHBand="0" w:noVBand="0"/>
    </w:tblPr>
    <w:tblGrid>
      <w:gridCol w:w="2155"/>
      <w:gridCol w:w="6634"/>
    </w:tblGrid>
    <w:tr w:rsidR="003564F1" w:rsidTr="00840DC6">
      <w:tc>
        <w:tcPr>
          <w:tcW w:w="2155" w:type="dxa"/>
          <w:tcBorders>
            <w:top w:val="single" w:sz="24" w:space="0" w:color="auto"/>
          </w:tcBorders>
        </w:tcPr>
        <w:p w:rsidR="003564F1" w:rsidRDefault="003564F1">
          <w:pPr>
            <w:pStyle w:val="HeaderEven"/>
          </w:pPr>
        </w:p>
      </w:tc>
      <w:tc>
        <w:tcPr>
          <w:tcW w:w="6634" w:type="dxa"/>
          <w:tcBorders>
            <w:top w:val="single" w:sz="6" w:space="0" w:color="auto"/>
          </w:tcBorders>
        </w:tcPr>
        <w:p w:rsidR="003564F1" w:rsidRPr="00570D18" w:rsidRDefault="003564F1" w:rsidP="00965DF1">
          <w:pPr>
            <w:pStyle w:val="HeaderOdd"/>
          </w:pPr>
        </w:p>
      </w:tc>
    </w:tr>
  </w:tbl>
  <w:p w:rsidR="003564F1" w:rsidRDefault="003564F1">
    <w:pPr>
      <w:pStyle w:val="HeaderEnd"/>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Borders>
        <w:top w:val="single" w:sz="6" w:space="0" w:color="auto"/>
      </w:tblBorders>
      <w:tblLayout w:type="fixed"/>
      <w:tblCellMar>
        <w:left w:w="0" w:type="dxa"/>
        <w:right w:w="0" w:type="dxa"/>
      </w:tblCellMar>
      <w:tblLook w:val="0000" w:firstRow="0" w:lastRow="0" w:firstColumn="0" w:lastColumn="0" w:noHBand="0" w:noVBand="0"/>
    </w:tblPr>
    <w:tblGrid>
      <w:gridCol w:w="6634"/>
      <w:gridCol w:w="2155"/>
    </w:tblGrid>
    <w:tr w:rsidR="003564F1" w:rsidRPr="00CA7325">
      <w:tc>
        <w:tcPr>
          <w:tcW w:w="6634" w:type="dxa"/>
          <w:tcBorders>
            <w:top w:val="single" w:sz="6" w:space="0" w:color="auto"/>
          </w:tcBorders>
        </w:tcPr>
        <w:p w:rsidR="003564F1" w:rsidRPr="00CA7325" w:rsidRDefault="003564F1" w:rsidP="002630B0">
          <w:pPr>
            <w:rPr>
              <w:rFonts w:ascii="Arial" w:hAnsi="Arial" w:cs="Arial"/>
              <w:caps/>
            </w:rPr>
          </w:pPr>
        </w:p>
      </w:tc>
      <w:tc>
        <w:tcPr>
          <w:tcW w:w="2155" w:type="dxa"/>
          <w:tcBorders>
            <w:top w:val="single" w:sz="24" w:space="0" w:color="auto"/>
          </w:tcBorders>
        </w:tcPr>
        <w:p w:rsidR="003564F1" w:rsidRPr="00CA7325" w:rsidRDefault="003564F1">
          <w:pPr>
            <w:rPr>
              <w:rFonts w:ascii="Arial" w:hAnsi="Arial" w:cs="Arial"/>
            </w:rPr>
          </w:pPr>
        </w:p>
      </w:tc>
    </w:tr>
  </w:tbl>
  <w:p w:rsidR="003564F1" w:rsidRDefault="003564F1">
    <w:pPr>
      <w:pStyle w:val="HeaderEnd"/>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3"/>
    <w:multiLevelType w:val="singleLevel"/>
    <w:tmpl w:val="0BA2943E"/>
    <w:lvl w:ilvl="0">
      <w:start w:val="1"/>
      <w:numFmt w:val="bullet"/>
      <w:lvlText w:val=""/>
      <w:lvlJc w:val="left"/>
      <w:pPr>
        <w:tabs>
          <w:tab w:val="num" w:pos="643"/>
        </w:tabs>
        <w:ind w:left="643" w:hanging="360"/>
      </w:pPr>
      <w:rPr>
        <w:rFonts w:ascii="Symbol" w:hAnsi="Symbol" w:hint="default"/>
      </w:rPr>
    </w:lvl>
  </w:abstractNum>
  <w:abstractNum w:abstractNumId="1">
    <w:nsid w:val="FFFFFFFE"/>
    <w:multiLevelType w:val="singleLevel"/>
    <w:tmpl w:val="FFFFFFFF"/>
    <w:lvl w:ilvl="0">
      <w:numFmt w:val="decimal"/>
      <w:lvlText w:val="*"/>
      <w:lvlJc w:val="left"/>
    </w:lvl>
  </w:abstractNum>
  <w:abstractNum w:abstractNumId="2">
    <w:nsid w:val="02D84BB9"/>
    <w:multiLevelType w:val="hybridMultilevel"/>
    <w:tmpl w:val="5F24570C"/>
    <w:lvl w:ilvl="0" w:tplc="6C209310">
      <w:start w:val="1"/>
      <w:numFmt w:val="bullet"/>
      <w:pStyle w:val="Jurisdictioncommentslistbullet"/>
      <w:lvlText w:val=""/>
      <w:lvlJc w:val="left"/>
      <w:pPr>
        <w:tabs>
          <w:tab w:val="num" w:pos="318"/>
        </w:tabs>
        <w:ind w:left="318" w:hanging="318"/>
      </w:pPr>
      <w:rPr>
        <w:rFonts w:ascii="Symbol" w:hAnsi="Symbol" w:hint="default"/>
        <w:sz w:val="20"/>
      </w:rPr>
    </w:lvl>
    <w:lvl w:ilvl="1" w:tplc="0C090003" w:tentative="1">
      <w:start w:val="1"/>
      <w:numFmt w:val="bullet"/>
      <w:lvlText w:val="o"/>
      <w:lvlJc w:val="left"/>
      <w:pPr>
        <w:tabs>
          <w:tab w:val="num" w:pos="1440"/>
        </w:tabs>
        <w:ind w:left="1440" w:hanging="360"/>
      </w:pPr>
      <w:rPr>
        <w:rFonts w:ascii="Courier New" w:hAnsi="Courier New" w:cs="Courier New" w:hint="default"/>
      </w:rPr>
    </w:lvl>
    <w:lvl w:ilvl="2" w:tplc="0C090005" w:tentative="1">
      <w:start w:val="1"/>
      <w:numFmt w:val="bullet"/>
      <w:lvlText w:val=""/>
      <w:lvlJc w:val="left"/>
      <w:pPr>
        <w:tabs>
          <w:tab w:val="num" w:pos="2160"/>
        </w:tabs>
        <w:ind w:left="2160" w:hanging="360"/>
      </w:pPr>
      <w:rPr>
        <w:rFonts w:ascii="Wingdings" w:hAnsi="Wingdings" w:hint="default"/>
      </w:rPr>
    </w:lvl>
    <w:lvl w:ilvl="3" w:tplc="0C090001" w:tentative="1">
      <w:start w:val="1"/>
      <w:numFmt w:val="bullet"/>
      <w:lvlText w:val=""/>
      <w:lvlJc w:val="left"/>
      <w:pPr>
        <w:tabs>
          <w:tab w:val="num" w:pos="2880"/>
        </w:tabs>
        <w:ind w:left="2880" w:hanging="360"/>
      </w:pPr>
      <w:rPr>
        <w:rFonts w:ascii="Symbol" w:hAnsi="Symbol" w:hint="default"/>
      </w:rPr>
    </w:lvl>
    <w:lvl w:ilvl="4" w:tplc="0C090003" w:tentative="1">
      <w:start w:val="1"/>
      <w:numFmt w:val="bullet"/>
      <w:lvlText w:val="o"/>
      <w:lvlJc w:val="left"/>
      <w:pPr>
        <w:tabs>
          <w:tab w:val="num" w:pos="3600"/>
        </w:tabs>
        <w:ind w:left="3600" w:hanging="360"/>
      </w:pPr>
      <w:rPr>
        <w:rFonts w:ascii="Courier New" w:hAnsi="Courier New" w:cs="Courier New" w:hint="default"/>
      </w:rPr>
    </w:lvl>
    <w:lvl w:ilvl="5" w:tplc="0C090005" w:tentative="1">
      <w:start w:val="1"/>
      <w:numFmt w:val="bullet"/>
      <w:lvlText w:val=""/>
      <w:lvlJc w:val="left"/>
      <w:pPr>
        <w:tabs>
          <w:tab w:val="num" w:pos="4320"/>
        </w:tabs>
        <w:ind w:left="4320" w:hanging="360"/>
      </w:pPr>
      <w:rPr>
        <w:rFonts w:ascii="Wingdings" w:hAnsi="Wingdings" w:hint="default"/>
      </w:rPr>
    </w:lvl>
    <w:lvl w:ilvl="6" w:tplc="0C090001" w:tentative="1">
      <w:start w:val="1"/>
      <w:numFmt w:val="bullet"/>
      <w:lvlText w:val=""/>
      <w:lvlJc w:val="left"/>
      <w:pPr>
        <w:tabs>
          <w:tab w:val="num" w:pos="5040"/>
        </w:tabs>
        <w:ind w:left="5040" w:hanging="360"/>
      </w:pPr>
      <w:rPr>
        <w:rFonts w:ascii="Symbol" w:hAnsi="Symbol" w:hint="default"/>
      </w:rPr>
    </w:lvl>
    <w:lvl w:ilvl="7" w:tplc="0C090003" w:tentative="1">
      <w:start w:val="1"/>
      <w:numFmt w:val="bullet"/>
      <w:lvlText w:val="o"/>
      <w:lvlJc w:val="left"/>
      <w:pPr>
        <w:tabs>
          <w:tab w:val="num" w:pos="5760"/>
        </w:tabs>
        <w:ind w:left="5760" w:hanging="360"/>
      </w:pPr>
      <w:rPr>
        <w:rFonts w:ascii="Courier New" w:hAnsi="Courier New" w:cs="Courier New" w:hint="default"/>
      </w:rPr>
    </w:lvl>
    <w:lvl w:ilvl="8" w:tplc="0C090005" w:tentative="1">
      <w:start w:val="1"/>
      <w:numFmt w:val="bullet"/>
      <w:lvlText w:val=""/>
      <w:lvlJc w:val="left"/>
      <w:pPr>
        <w:tabs>
          <w:tab w:val="num" w:pos="6480"/>
        </w:tabs>
        <w:ind w:left="6480" w:hanging="360"/>
      </w:pPr>
      <w:rPr>
        <w:rFonts w:ascii="Wingdings" w:hAnsi="Wingdings" w:hint="default"/>
      </w:rPr>
    </w:lvl>
  </w:abstractNum>
  <w:abstractNum w:abstractNumId="3">
    <w:nsid w:val="047A7C39"/>
    <w:multiLevelType w:val="singleLevel"/>
    <w:tmpl w:val="4438961C"/>
    <w:lvl w:ilvl="0">
      <w:numFmt w:val="bullet"/>
      <w:pStyle w:val="ListBullet2"/>
      <w:lvlText w:val="–"/>
      <w:lvlJc w:val="left"/>
      <w:pPr>
        <w:tabs>
          <w:tab w:val="num" w:pos="680"/>
        </w:tabs>
        <w:ind w:left="680" w:hanging="340"/>
      </w:pPr>
      <w:rPr>
        <w:rFonts w:ascii="Times New Roman" w:hAnsi="Times New Roman" w:cs="Times New Roman" w:hint="default"/>
      </w:rPr>
    </w:lvl>
  </w:abstractNum>
  <w:abstractNum w:abstractNumId="4">
    <w:nsid w:val="06214B87"/>
    <w:multiLevelType w:val="singleLevel"/>
    <w:tmpl w:val="AB185BC4"/>
    <w:lvl w:ilvl="0">
      <w:numFmt w:val="bullet"/>
      <w:pStyle w:val="BoxListBullet2"/>
      <w:lvlText w:val="–"/>
      <w:lvlJc w:val="left"/>
      <w:pPr>
        <w:tabs>
          <w:tab w:val="num" w:pos="567"/>
        </w:tabs>
        <w:ind w:left="567" w:hanging="283"/>
      </w:pPr>
      <w:rPr>
        <w:rFonts w:ascii="Times New Roman" w:hAnsi="Times New Roman" w:cs="Times New Roman" w:hint="default"/>
      </w:rPr>
    </w:lvl>
  </w:abstractNum>
  <w:abstractNum w:abstractNumId="5">
    <w:nsid w:val="0E116344"/>
    <w:multiLevelType w:val="multilevel"/>
    <w:tmpl w:val="3B188B36"/>
    <w:lvl w:ilvl="0">
      <w:start w:val="1"/>
      <w:numFmt w:val="decimal"/>
      <w:pStyle w:val="BoxListNumber"/>
      <w:lvlText w:val="%1."/>
      <w:lvlJc w:val="left"/>
      <w:pPr>
        <w:tabs>
          <w:tab w:val="num" w:pos="284"/>
        </w:tabs>
        <w:ind w:left="284" w:hanging="284"/>
      </w:pPr>
      <w:rPr>
        <w:rFonts w:hint="default"/>
      </w:rPr>
    </w:lvl>
    <w:lvl w:ilvl="1">
      <w:start w:val="1"/>
      <w:numFmt w:val="lowerLetter"/>
      <w:pStyle w:val="BoxListNumber2"/>
      <w:lvlText w:val="(%2)"/>
      <w:lvlJc w:val="left"/>
      <w:pPr>
        <w:tabs>
          <w:tab w:val="num" w:pos="680"/>
        </w:tabs>
        <w:ind w:left="680" w:hanging="396"/>
      </w:pPr>
      <w:rPr>
        <w:rFonts w:hint="default"/>
      </w:rPr>
    </w:lvl>
    <w:lvl w:ilvl="2">
      <w:start w:val="1"/>
      <w:numFmt w:val="lowerRoman"/>
      <w:lvlText w:val="%3)"/>
      <w:lvlJc w:val="left"/>
      <w:pPr>
        <w:tabs>
          <w:tab w:val="num" w:pos="1304"/>
        </w:tabs>
        <w:ind w:left="1304" w:hanging="51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6">
    <w:nsid w:val="0ED95F65"/>
    <w:multiLevelType w:val="multilevel"/>
    <w:tmpl w:val="C444122C"/>
    <w:lvl w:ilvl="0">
      <w:start w:val="1"/>
      <w:numFmt w:val="decimal"/>
      <w:pStyle w:val="ListNumber"/>
      <w:lvlText w:val="%1."/>
      <w:lvlJc w:val="left"/>
      <w:pPr>
        <w:tabs>
          <w:tab w:val="num" w:pos="340"/>
        </w:tabs>
        <w:ind w:left="340" w:hanging="340"/>
      </w:pPr>
      <w:rPr>
        <w:rFonts w:hint="default"/>
      </w:rPr>
    </w:lvl>
    <w:lvl w:ilvl="1">
      <w:start w:val="1"/>
      <w:numFmt w:val="lowerLetter"/>
      <w:pStyle w:val="ListNumber2"/>
      <w:lvlText w:val="(%2)"/>
      <w:lvlJc w:val="left"/>
      <w:pPr>
        <w:tabs>
          <w:tab w:val="num" w:pos="794"/>
        </w:tabs>
        <w:ind w:left="794" w:hanging="454"/>
      </w:pPr>
      <w:rPr>
        <w:rFonts w:hint="default"/>
      </w:rPr>
    </w:lvl>
    <w:lvl w:ilvl="2">
      <w:start w:val="1"/>
      <w:numFmt w:val="lowerRoman"/>
      <w:pStyle w:val="ListNumber3"/>
      <w:lvlText w:val="(%3)"/>
      <w:lvlJc w:val="left"/>
      <w:pPr>
        <w:tabs>
          <w:tab w:val="num" w:pos="1304"/>
        </w:tabs>
        <w:ind w:left="1304" w:hanging="51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7">
    <w:nsid w:val="0F4F77F0"/>
    <w:multiLevelType w:val="hybridMultilevel"/>
    <w:tmpl w:val="F5D6BF68"/>
    <w:lvl w:ilvl="0" w:tplc="62B6738A">
      <w:start w:val="2"/>
      <w:numFmt w:val="bullet"/>
      <w:lvlText w:val="-"/>
      <w:lvlJc w:val="left"/>
      <w:pPr>
        <w:ind w:left="420" w:hanging="360"/>
      </w:pPr>
      <w:rPr>
        <w:rFonts w:ascii="Times New Roman" w:eastAsia="Times New Roman" w:hAnsi="Times New Roman" w:cs="Times New Roman" w:hint="default"/>
      </w:rPr>
    </w:lvl>
    <w:lvl w:ilvl="1" w:tplc="0C090003" w:tentative="1">
      <w:start w:val="1"/>
      <w:numFmt w:val="bullet"/>
      <w:lvlText w:val="o"/>
      <w:lvlJc w:val="left"/>
      <w:pPr>
        <w:ind w:left="1140" w:hanging="360"/>
      </w:pPr>
      <w:rPr>
        <w:rFonts w:ascii="Courier New" w:hAnsi="Courier New" w:cs="Courier New" w:hint="default"/>
      </w:rPr>
    </w:lvl>
    <w:lvl w:ilvl="2" w:tplc="0C090005" w:tentative="1">
      <w:start w:val="1"/>
      <w:numFmt w:val="bullet"/>
      <w:lvlText w:val=""/>
      <w:lvlJc w:val="left"/>
      <w:pPr>
        <w:ind w:left="1860" w:hanging="360"/>
      </w:pPr>
      <w:rPr>
        <w:rFonts w:ascii="Wingdings" w:hAnsi="Wingdings" w:hint="default"/>
      </w:rPr>
    </w:lvl>
    <w:lvl w:ilvl="3" w:tplc="0C090001" w:tentative="1">
      <w:start w:val="1"/>
      <w:numFmt w:val="bullet"/>
      <w:lvlText w:val=""/>
      <w:lvlJc w:val="left"/>
      <w:pPr>
        <w:ind w:left="2580" w:hanging="360"/>
      </w:pPr>
      <w:rPr>
        <w:rFonts w:ascii="Symbol" w:hAnsi="Symbol" w:hint="default"/>
      </w:rPr>
    </w:lvl>
    <w:lvl w:ilvl="4" w:tplc="0C090003" w:tentative="1">
      <w:start w:val="1"/>
      <w:numFmt w:val="bullet"/>
      <w:lvlText w:val="o"/>
      <w:lvlJc w:val="left"/>
      <w:pPr>
        <w:ind w:left="3300" w:hanging="360"/>
      </w:pPr>
      <w:rPr>
        <w:rFonts w:ascii="Courier New" w:hAnsi="Courier New" w:cs="Courier New" w:hint="default"/>
      </w:rPr>
    </w:lvl>
    <w:lvl w:ilvl="5" w:tplc="0C090005" w:tentative="1">
      <w:start w:val="1"/>
      <w:numFmt w:val="bullet"/>
      <w:lvlText w:val=""/>
      <w:lvlJc w:val="left"/>
      <w:pPr>
        <w:ind w:left="4020" w:hanging="360"/>
      </w:pPr>
      <w:rPr>
        <w:rFonts w:ascii="Wingdings" w:hAnsi="Wingdings" w:hint="default"/>
      </w:rPr>
    </w:lvl>
    <w:lvl w:ilvl="6" w:tplc="0C090001" w:tentative="1">
      <w:start w:val="1"/>
      <w:numFmt w:val="bullet"/>
      <w:lvlText w:val=""/>
      <w:lvlJc w:val="left"/>
      <w:pPr>
        <w:ind w:left="4740" w:hanging="360"/>
      </w:pPr>
      <w:rPr>
        <w:rFonts w:ascii="Symbol" w:hAnsi="Symbol" w:hint="default"/>
      </w:rPr>
    </w:lvl>
    <w:lvl w:ilvl="7" w:tplc="0C090003" w:tentative="1">
      <w:start w:val="1"/>
      <w:numFmt w:val="bullet"/>
      <w:lvlText w:val="o"/>
      <w:lvlJc w:val="left"/>
      <w:pPr>
        <w:ind w:left="5460" w:hanging="360"/>
      </w:pPr>
      <w:rPr>
        <w:rFonts w:ascii="Courier New" w:hAnsi="Courier New" w:cs="Courier New" w:hint="default"/>
      </w:rPr>
    </w:lvl>
    <w:lvl w:ilvl="8" w:tplc="0C090005" w:tentative="1">
      <w:start w:val="1"/>
      <w:numFmt w:val="bullet"/>
      <w:lvlText w:val=""/>
      <w:lvlJc w:val="left"/>
      <w:pPr>
        <w:ind w:left="6180" w:hanging="360"/>
      </w:pPr>
      <w:rPr>
        <w:rFonts w:ascii="Wingdings" w:hAnsi="Wingdings" w:hint="default"/>
      </w:rPr>
    </w:lvl>
  </w:abstractNum>
  <w:abstractNum w:abstractNumId="8">
    <w:nsid w:val="11CE45D8"/>
    <w:multiLevelType w:val="singleLevel"/>
    <w:tmpl w:val="650622E4"/>
    <w:lvl w:ilvl="0">
      <w:numFmt w:val="bullet"/>
      <w:pStyle w:val="SideNoteBullet"/>
      <w:lvlText w:val="–"/>
      <w:lvlJc w:val="left"/>
      <w:pPr>
        <w:tabs>
          <w:tab w:val="num" w:pos="360"/>
        </w:tabs>
        <w:ind w:left="227" w:hanging="227"/>
      </w:pPr>
      <w:rPr>
        <w:rFonts w:ascii="Times New Roman" w:hAnsi="Times New Roman" w:hint="default"/>
      </w:rPr>
    </w:lvl>
  </w:abstractNum>
  <w:abstractNum w:abstractNumId="9">
    <w:nsid w:val="1452415F"/>
    <w:multiLevelType w:val="hybridMultilevel"/>
    <w:tmpl w:val="11042038"/>
    <w:lvl w:ilvl="0" w:tplc="CC683DAA">
      <w:start w:val="1"/>
      <w:numFmt w:val="bullet"/>
      <w:pStyle w:val="KeyPointsListBullet2"/>
      <w:lvlText w:val=""/>
      <w:lvlJc w:val="left"/>
      <w:pPr>
        <w:ind w:left="1440" w:hanging="360"/>
      </w:pPr>
      <w:rPr>
        <w:rFonts w:ascii="Symbol" w:hAnsi="Symbol" w:hint="default"/>
      </w:rPr>
    </w:lvl>
    <w:lvl w:ilvl="1" w:tplc="0C090003" w:tentative="1">
      <w:start w:val="1"/>
      <w:numFmt w:val="bullet"/>
      <w:lvlText w:val="o"/>
      <w:lvlJc w:val="left"/>
      <w:pPr>
        <w:ind w:left="2160" w:hanging="360"/>
      </w:pPr>
      <w:rPr>
        <w:rFonts w:ascii="Courier New" w:hAnsi="Courier New" w:cs="Courier New" w:hint="default"/>
      </w:rPr>
    </w:lvl>
    <w:lvl w:ilvl="2" w:tplc="0C090005" w:tentative="1">
      <w:start w:val="1"/>
      <w:numFmt w:val="bullet"/>
      <w:lvlText w:val=""/>
      <w:lvlJc w:val="left"/>
      <w:pPr>
        <w:ind w:left="2880" w:hanging="360"/>
      </w:pPr>
      <w:rPr>
        <w:rFonts w:ascii="Wingdings" w:hAnsi="Wingdings" w:hint="default"/>
      </w:rPr>
    </w:lvl>
    <w:lvl w:ilvl="3" w:tplc="0C090001" w:tentative="1">
      <w:start w:val="1"/>
      <w:numFmt w:val="bullet"/>
      <w:lvlText w:val=""/>
      <w:lvlJc w:val="left"/>
      <w:pPr>
        <w:ind w:left="3600" w:hanging="360"/>
      </w:pPr>
      <w:rPr>
        <w:rFonts w:ascii="Symbol" w:hAnsi="Symbol" w:hint="default"/>
      </w:rPr>
    </w:lvl>
    <w:lvl w:ilvl="4" w:tplc="0C090003" w:tentative="1">
      <w:start w:val="1"/>
      <w:numFmt w:val="bullet"/>
      <w:lvlText w:val="o"/>
      <w:lvlJc w:val="left"/>
      <w:pPr>
        <w:ind w:left="4320" w:hanging="360"/>
      </w:pPr>
      <w:rPr>
        <w:rFonts w:ascii="Courier New" w:hAnsi="Courier New" w:cs="Courier New" w:hint="default"/>
      </w:rPr>
    </w:lvl>
    <w:lvl w:ilvl="5" w:tplc="0C090005" w:tentative="1">
      <w:start w:val="1"/>
      <w:numFmt w:val="bullet"/>
      <w:lvlText w:val=""/>
      <w:lvlJc w:val="left"/>
      <w:pPr>
        <w:ind w:left="5040" w:hanging="360"/>
      </w:pPr>
      <w:rPr>
        <w:rFonts w:ascii="Wingdings" w:hAnsi="Wingdings" w:hint="default"/>
      </w:rPr>
    </w:lvl>
    <w:lvl w:ilvl="6" w:tplc="0C090001" w:tentative="1">
      <w:start w:val="1"/>
      <w:numFmt w:val="bullet"/>
      <w:lvlText w:val=""/>
      <w:lvlJc w:val="left"/>
      <w:pPr>
        <w:ind w:left="5760" w:hanging="360"/>
      </w:pPr>
      <w:rPr>
        <w:rFonts w:ascii="Symbol" w:hAnsi="Symbol" w:hint="default"/>
      </w:rPr>
    </w:lvl>
    <w:lvl w:ilvl="7" w:tplc="0C090003" w:tentative="1">
      <w:start w:val="1"/>
      <w:numFmt w:val="bullet"/>
      <w:lvlText w:val="o"/>
      <w:lvlJc w:val="left"/>
      <w:pPr>
        <w:ind w:left="6480" w:hanging="360"/>
      </w:pPr>
      <w:rPr>
        <w:rFonts w:ascii="Courier New" w:hAnsi="Courier New" w:cs="Courier New" w:hint="default"/>
      </w:rPr>
    </w:lvl>
    <w:lvl w:ilvl="8" w:tplc="0C090005" w:tentative="1">
      <w:start w:val="1"/>
      <w:numFmt w:val="bullet"/>
      <w:lvlText w:val=""/>
      <w:lvlJc w:val="left"/>
      <w:pPr>
        <w:ind w:left="7200" w:hanging="360"/>
      </w:pPr>
      <w:rPr>
        <w:rFonts w:ascii="Wingdings" w:hAnsi="Wingdings" w:hint="default"/>
      </w:rPr>
    </w:lvl>
  </w:abstractNum>
  <w:abstractNum w:abstractNumId="10">
    <w:nsid w:val="23FF358D"/>
    <w:multiLevelType w:val="singleLevel"/>
    <w:tmpl w:val="4146A198"/>
    <w:lvl w:ilvl="0">
      <w:start w:val="1"/>
      <w:numFmt w:val="bullet"/>
      <w:pStyle w:val="RecBBullet"/>
      <w:lvlText w:val=""/>
      <w:lvlJc w:val="left"/>
      <w:pPr>
        <w:tabs>
          <w:tab w:val="num" w:pos="340"/>
        </w:tabs>
        <w:ind w:left="340" w:hanging="340"/>
      </w:pPr>
      <w:rPr>
        <w:rFonts w:ascii="Symbol" w:hAnsi="Symbol" w:hint="default"/>
        <w:b w:val="0"/>
        <w:i w:val="0"/>
        <w:sz w:val="18"/>
      </w:rPr>
    </w:lvl>
  </w:abstractNum>
  <w:abstractNum w:abstractNumId="11">
    <w:nsid w:val="2B466A13"/>
    <w:multiLevelType w:val="hybridMultilevel"/>
    <w:tmpl w:val="3E0CC5BA"/>
    <w:lvl w:ilvl="0" w:tplc="2B829644">
      <w:numFmt w:val="bullet"/>
      <w:pStyle w:val="BoxQuoteBullet"/>
      <w:lvlText w:val=""/>
      <w:lvlJc w:val="left"/>
      <w:pPr>
        <w:ind w:left="1004" w:hanging="360"/>
      </w:pPr>
      <w:rPr>
        <w:rFonts w:ascii="Symbol" w:hAnsi="Symbol" w:hint="default"/>
        <w:sz w:val="18"/>
      </w:rPr>
    </w:lvl>
    <w:lvl w:ilvl="1" w:tplc="0C090003" w:tentative="1">
      <w:start w:val="1"/>
      <w:numFmt w:val="bullet"/>
      <w:lvlText w:val="o"/>
      <w:lvlJc w:val="left"/>
      <w:pPr>
        <w:ind w:left="1724" w:hanging="360"/>
      </w:pPr>
      <w:rPr>
        <w:rFonts w:ascii="Courier New" w:hAnsi="Courier New" w:cs="Courier New" w:hint="default"/>
      </w:rPr>
    </w:lvl>
    <w:lvl w:ilvl="2" w:tplc="0C090005" w:tentative="1">
      <w:start w:val="1"/>
      <w:numFmt w:val="bullet"/>
      <w:lvlText w:val=""/>
      <w:lvlJc w:val="left"/>
      <w:pPr>
        <w:ind w:left="2444" w:hanging="360"/>
      </w:pPr>
      <w:rPr>
        <w:rFonts w:ascii="Wingdings" w:hAnsi="Wingdings" w:hint="default"/>
      </w:rPr>
    </w:lvl>
    <w:lvl w:ilvl="3" w:tplc="0C090001" w:tentative="1">
      <w:start w:val="1"/>
      <w:numFmt w:val="bullet"/>
      <w:lvlText w:val=""/>
      <w:lvlJc w:val="left"/>
      <w:pPr>
        <w:ind w:left="3164" w:hanging="360"/>
      </w:pPr>
      <w:rPr>
        <w:rFonts w:ascii="Symbol" w:hAnsi="Symbol" w:hint="default"/>
      </w:rPr>
    </w:lvl>
    <w:lvl w:ilvl="4" w:tplc="0C090003" w:tentative="1">
      <w:start w:val="1"/>
      <w:numFmt w:val="bullet"/>
      <w:lvlText w:val="o"/>
      <w:lvlJc w:val="left"/>
      <w:pPr>
        <w:ind w:left="3884" w:hanging="360"/>
      </w:pPr>
      <w:rPr>
        <w:rFonts w:ascii="Courier New" w:hAnsi="Courier New" w:cs="Courier New" w:hint="default"/>
      </w:rPr>
    </w:lvl>
    <w:lvl w:ilvl="5" w:tplc="0C090005" w:tentative="1">
      <w:start w:val="1"/>
      <w:numFmt w:val="bullet"/>
      <w:lvlText w:val=""/>
      <w:lvlJc w:val="left"/>
      <w:pPr>
        <w:ind w:left="4604" w:hanging="360"/>
      </w:pPr>
      <w:rPr>
        <w:rFonts w:ascii="Wingdings" w:hAnsi="Wingdings" w:hint="default"/>
      </w:rPr>
    </w:lvl>
    <w:lvl w:ilvl="6" w:tplc="0C090001" w:tentative="1">
      <w:start w:val="1"/>
      <w:numFmt w:val="bullet"/>
      <w:lvlText w:val=""/>
      <w:lvlJc w:val="left"/>
      <w:pPr>
        <w:ind w:left="5324" w:hanging="360"/>
      </w:pPr>
      <w:rPr>
        <w:rFonts w:ascii="Symbol" w:hAnsi="Symbol" w:hint="default"/>
      </w:rPr>
    </w:lvl>
    <w:lvl w:ilvl="7" w:tplc="0C090003" w:tentative="1">
      <w:start w:val="1"/>
      <w:numFmt w:val="bullet"/>
      <w:lvlText w:val="o"/>
      <w:lvlJc w:val="left"/>
      <w:pPr>
        <w:ind w:left="6044" w:hanging="360"/>
      </w:pPr>
      <w:rPr>
        <w:rFonts w:ascii="Courier New" w:hAnsi="Courier New" w:cs="Courier New" w:hint="default"/>
      </w:rPr>
    </w:lvl>
    <w:lvl w:ilvl="8" w:tplc="0C090005" w:tentative="1">
      <w:start w:val="1"/>
      <w:numFmt w:val="bullet"/>
      <w:lvlText w:val=""/>
      <w:lvlJc w:val="left"/>
      <w:pPr>
        <w:ind w:left="6764" w:hanging="360"/>
      </w:pPr>
      <w:rPr>
        <w:rFonts w:ascii="Wingdings" w:hAnsi="Wingdings" w:hint="default"/>
      </w:rPr>
    </w:lvl>
  </w:abstractNum>
  <w:abstractNum w:abstractNumId="12">
    <w:nsid w:val="30E90CE4"/>
    <w:multiLevelType w:val="singleLevel"/>
    <w:tmpl w:val="52F61D9A"/>
    <w:lvl w:ilvl="0">
      <w:start w:val="1"/>
      <w:numFmt w:val="bullet"/>
      <w:pStyle w:val="BoxListBullet"/>
      <w:lvlText w:val=""/>
      <w:lvlJc w:val="left"/>
      <w:pPr>
        <w:tabs>
          <w:tab w:val="num" w:pos="284"/>
        </w:tabs>
        <w:ind w:left="284" w:hanging="284"/>
      </w:pPr>
      <w:rPr>
        <w:rFonts w:ascii="Symbol" w:hAnsi="Symbol" w:hint="default"/>
        <w:sz w:val="18"/>
      </w:rPr>
    </w:lvl>
  </w:abstractNum>
  <w:abstractNum w:abstractNumId="13">
    <w:nsid w:val="4C2B5347"/>
    <w:multiLevelType w:val="hybridMultilevel"/>
    <w:tmpl w:val="8B002072"/>
    <w:lvl w:ilvl="0" w:tplc="720CA4D2">
      <w:start w:val="1"/>
      <w:numFmt w:val="bullet"/>
      <w:pStyle w:val="InformationRequestBullet"/>
      <w:lvlText w:val=""/>
      <w:lvlJc w:val="left"/>
      <w:pPr>
        <w:ind w:left="360" w:hanging="360"/>
      </w:pPr>
      <w:rPr>
        <w:rFonts w:ascii="Symbol" w:hAnsi="Symbol" w:hint="default"/>
        <w:sz w:val="18"/>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4">
    <w:nsid w:val="54382D6E"/>
    <w:multiLevelType w:val="singleLevel"/>
    <w:tmpl w:val="315ABD1E"/>
    <w:lvl w:ilvl="0">
      <w:numFmt w:val="bullet"/>
      <w:pStyle w:val="ListBullet"/>
      <w:lvlText w:val=""/>
      <w:lvlJc w:val="left"/>
      <w:pPr>
        <w:tabs>
          <w:tab w:val="num" w:pos="340"/>
        </w:tabs>
        <w:ind w:left="340" w:hanging="340"/>
      </w:pPr>
      <w:rPr>
        <w:rFonts w:ascii="Symbol" w:hAnsi="Symbol" w:hint="default"/>
        <w:sz w:val="18"/>
      </w:rPr>
    </w:lvl>
  </w:abstractNum>
  <w:abstractNum w:abstractNumId="15">
    <w:nsid w:val="543E1FD6"/>
    <w:multiLevelType w:val="singleLevel"/>
    <w:tmpl w:val="039AA380"/>
    <w:lvl w:ilvl="0">
      <w:start w:val="1"/>
      <w:numFmt w:val="bullet"/>
      <w:pStyle w:val="TableBullet"/>
      <w:lvlText w:val=""/>
      <w:lvlJc w:val="left"/>
      <w:pPr>
        <w:tabs>
          <w:tab w:val="num" w:pos="170"/>
        </w:tabs>
        <w:ind w:left="170" w:hanging="170"/>
      </w:pPr>
      <w:rPr>
        <w:rFonts w:ascii="Symbol" w:hAnsi="Symbol" w:hint="default"/>
        <w:b w:val="0"/>
        <w:i w:val="0"/>
        <w:sz w:val="18"/>
      </w:rPr>
    </w:lvl>
  </w:abstractNum>
  <w:abstractNum w:abstractNumId="16">
    <w:nsid w:val="56107838"/>
    <w:multiLevelType w:val="singleLevel"/>
    <w:tmpl w:val="775A3F3A"/>
    <w:lvl w:ilvl="0">
      <w:start w:val="1"/>
      <w:numFmt w:val="bullet"/>
      <w:pStyle w:val="QuoteBullet"/>
      <w:lvlText w:val=""/>
      <w:lvlJc w:val="left"/>
      <w:pPr>
        <w:tabs>
          <w:tab w:val="num" w:pos="680"/>
        </w:tabs>
        <w:ind w:left="680" w:hanging="340"/>
      </w:pPr>
      <w:rPr>
        <w:rFonts w:ascii="Symbol" w:hAnsi="Symbol" w:hint="default"/>
        <w:sz w:val="18"/>
      </w:rPr>
    </w:lvl>
  </w:abstractNum>
  <w:abstractNum w:abstractNumId="17">
    <w:nsid w:val="592D6D4E"/>
    <w:multiLevelType w:val="hybridMultilevel"/>
    <w:tmpl w:val="0C44FF7A"/>
    <w:lvl w:ilvl="0" w:tplc="B4385E08">
      <w:start w:val="1"/>
      <w:numFmt w:val="bullet"/>
      <w:pStyle w:val="BoxListBullet3"/>
      <w:lvlText w:val=""/>
      <w:lvlJc w:val="left"/>
      <w:pPr>
        <w:ind w:left="1287" w:hanging="360"/>
      </w:pPr>
      <w:rPr>
        <w:rFonts w:ascii="MT Extra" w:hAnsi="MT Extra" w:hint="default"/>
        <w:b w:val="0"/>
        <w:i w:val="0"/>
        <w:sz w:val="16"/>
      </w:rPr>
    </w:lvl>
    <w:lvl w:ilvl="1" w:tplc="0C090003" w:tentative="1">
      <w:start w:val="1"/>
      <w:numFmt w:val="bullet"/>
      <w:lvlText w:val="o"/>
      <w:lvlJc w:val="left"/>
      <w:pPr>
        <w:ind w:left="2007" w:hanging="360"/>
      </w:pPr>
      <w:rPr>
        <w:rFonts w:ascii="Courier New" w:hAnsi="Courier New" w:cs="Courier New" w:hint="default"/>
      </w:rPr>
    </w:lvl>
    <w:lvl w:ilvl="2" w:tplc="0C090005" w:tentative="1">
      <w:start w:val="1"/>
      <w:numFmt w:val="bullet"/>
      <w:lvlText w:val=""/>
      <w:lvlJc w:val="left"/>
      <w:pPr>
        <w:ind w:left="2727" w:hanging="360"/>
      </w:pPr>
      <w:rPr>
        <w:rFonts w:ascii="Wingdings" w:hAnsi="Wingdings" w:hint="default"/>
      </w:rPr>
    </w:lvl>
    <w:lvl w:ilvl="3" w:tplc="0C090001" w:tentative="1">
      <w:start w:val="1"/>
      <w:numFmt w:val="bullet"/>
      <w:lvlText w:val=""/>
      <w:lvlJc w:val="left"/>
      <w:pPr>
        <w:ind w:left="3447" w:hanging="360"/>
      </w:pPr>
      <w:rPr>
        <w:rFonts w:ascii="Symbol" w:hAnsi="Symbol" w:hint="default"/>
      </w:rPr>
    </w:lvl>
    <w:lvl w:ilvl="4" w:tplc="0C090003" w:tentative="1">
      <w:start w:val="1"/>
      <w:numFmt w:val="bullet"/>
      <w:lvlText w:val="o"/>
      <w:lvlJc w:val="left"/>
      <w:pPr>
        <w:ind w:left="4167" w:hanging="360"/>
      </w:pPr>
      <w:rPr>
        <w:rFonts w:ascii="Courier New" w:hAnsi="Courier New" w:cs="Courier New" w:hint="default"/>
      </w:rPr>
    </w:lvl>
    <w:lvl w:ilvl="5" w:tplc="0C090005" w:tentative="1">
      <w:start w:val="1"/>
      <w:numFmt w:val="bullet"/>
      <w:lvlText w:val=""/>
      <w:lvlJc w:val="left"/>
      <w:pPr>
        <w:ind w:left="4887" w:hanging="360"/>
      </w:pPr>
      <w:rPr>
        <w:rFonts w:ascii="Wingdings" w:hAnsi="Wingdings" w:hint="default"/>
      </w:rPr>
    </w:lvl>
    <w:lvl w:ilvl="6" w:tplc="0C090001" w:tentative="1">
      <w:start w:val="1"/>
      <w:numFmt w:val="bullet"/>
      <w:lvlText w:val=""/>
      <w:lvlJc w:val="left"/>
      <w:pPr>
        <w:ind w:left="5607" w:hanging="360"/>
      </w:pPr>
      <w:rPr>
        <w:rFonts w:ascii="Symbol" w:hAnsi="Symbol" w:hint="default"/>
      </w:rPr>
    </w:lvl>
    <w:lvl w:ilvl="7" w:tplc="0C090003" w:tentative="1">
      <w:start w:val="1"/>
      <w:numFmt w:val="bullet"/>
      <w:lvlText w:val="o"/>
      <w:lvlJc w:val="left"/>
      <w:pPr>
        <w:ind w:left="6327" w:hanging="360"/>
      </w:pPr>
      <w:rPr>
        <w:rFonts w:ascii="Courier New" w:hAnsi="Courier New" w:cs="Courier New" w:hint="default"/>
      </w:rPr>
    </w:lvl>
    <w:lvl w:ilvl="8" w:tplc="0C090005" w:tentative="1">
      <w:start w:val="1"/>
      <w:numFmt w:val="bullet"/>
      <w:lvlText w:val=""/>
      <w:lvlJc w:val="left"/>
      <w:pPr>
        <w:ind w:left="7047" w:hanging="360"/>
      </w:pPr>
      <w:rPr>
        <w:rFonts w:ascii="Wingdings" w:hAnsi="Wingdings" w:hint="default"/>
      </w:rPr>
    </w:lvl>
  </w:abstractNum>
  <w:abstractNum w:abstractNumId="18">
    <w:nsid w:val="60A27097"/>
    <w:multiLevelType w:val="hybridMultilevel"/>
    <w:tmpl w:val="39D64E4A"/>
    <w:lvl w:ilvl="0" w:tplc="FEF6E6BE">
      <w:start w:val="1"/>
      <w:numFmt w:val="bullet"/>
      <w:pStyle w:val="KeyPointsListBullet"/>
      <w:lvlText w:val=""/>
      <w:lvlJc w:val="left"/>
      <w:pPr>
        <w:ind w:left="720" w:hanging="360"/>
      </w:pPr>
      <w:rPr>
        <w:rFonts w:ascii="Symbol" w:hAnsi="Symbol" w:hint="default"/>
        <w:sz w:val="18"/>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9">
    <w:nsid w:val="643516F3"/>
    <w:multiLevelType w:val="singleLevel"/>
    <w:tmpl w:val="C05AE1DC"/>
    <w:lvl w:ilvl="0">
      <w:start w:val="1"/>
      <w:numFmt w:val="bullet"/>
      <w:pStyle w:val="ListBullet3"/>
      <w:lvlText w:val=""/>
      <w:lvlJc w:val="left"/>
      <w:pPr>
        <w:tabs>
          <w:tab w:val="num" w:pos="1021"/>
        </w:tabs>
        <w:ind w:left="1021" w:hanging="341"/>
      </w:pPr>
      <w:rPr>
        <w:rFonts w:ascii="MT Extra" w:hAnsi="MT Extra" w:hint="default"/>
        <w:b w:val="0"/>
        <w:i w:val="0"/>
        <w:sz w:val="16"/>
      </w:rPr>
    </w:lvl>
  </w:abstractNum>
  <w:abstractNum w:abstractNumId="20">
    <w:nsid w:val="6A870A40"/>
    <w:multiLevelType w:val="hybridMultilevel"/>
    <w:tmpl w:val="E4845DBE"/>
    <w:lvl w:ilvl="0" w:tplc="6EB8F140">
      <w:start w:val="10"/>
      <w:numFmt w:val="bullet"/>
      <w:lvlText w:val="-"/>
      <w:lvlJc w:val="left"/>
      <w:pPr>
        <w:ind w:left="720" w:hanging="360"/>
      </w:pPr>
      <w:rPr>
        <w:rFonts w:ascii="Times New Roman" w:eastAsia="Times New Roman" w:hAnsi="Times New Roman" w:cs="Times New Roman"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1">
    <w:nsid w:val="7A1373DF"/>
    <w:multiLevelType w:val="singleLevel"/>
    <w:tmpl w:val="66CC34AA"/>
    <w:lvl w:ilvl="0">
      <w:start w:val="1"/>
      <w:numFmt w:val="bullet"/>
      <w:pStyle w:val="FindingBullet"/>
      <w:lvlText w:val=""/>
      <w:lvlJc w:val="left"/>
      <w:pPr>
        <w:tabs>
          <w:tab w:val="num" w:pos="340"/>
        </w:tabs>
        <w:ind w:left="340" w:hanging="340"/>
      </w:pPr>
      <w:rPr>
        <w:rFonts w:ascii="Symbol" w:hAnsi="Symbol" w:hint="default"/>
        <w:b w:val="0"/>
        <w:i w:val="0"/>
        <w:sz w:val="18"/>
      </w:rPr>
    </w:lvl>
  </w:abstractNum>
  <w:abstractNum w:abstractNumId="22">
    <w:nsid w:val="7BFA7D75"/>
    <w:multiLevelType w:val="singleLevel"/>
    <w:tmpl w:val="B4C476FC"/>
    <w:lvl w:ilvl="0">
      <w:start w:val="1"/>
      <w:numFmt w:val="bullet"/>
      <w:pStyle w:val="RecBullet"/>
      <w:lvlText w:val=""/>
      <w:lvlJc w:val="left"/>
      <w:pPr>
        <w:tabs>
          <w:tab w:val="num" w:pos="340"/>
        </w:tabs>
        <w:ind w:left="340" w:hanging="340"/>
      </w:pPr>
      <w:rPr>
        <w:rFonts w:ascii="Symbol" w:hAnsi="Symbol" w:hint="default"/>
        <w:b w:val="0"/>
        <w:i w:val="0"/>
        <w:sz w:val="18"/>
      </w:rPr>
    </w:lvl>
  </w:abstractNum>
  <w:num w:numId="1">
    <w:abstractNumId w:val="19"/>
  </w:num>
  <w:num w:numId="2">
    <w:abstractNumId w:val="3"/>
  </w:num>
  <w:num w:numId="3">
    <w:abstractNumId w:val="4"/>
  </w:num>
  <w:num w:numId="4">
    <w:abstractNumId w:val="8"/>
  </w:num>
  <w:num w:numId="5">
    <w:abstractNumId w:val="14"/>
  </w:num>
  <w:num w:numId="6">
    <w:abstractNumId w:val="12"/>
  </w:num>
  <w:num w:numId="7">
    <w:abstractNumId w:val="21"/>
  </w:num>
  <w:num w:numId="8">
    <w:abstractNumId w:val="22"/>
  </w:num>
  <w:num w:numId="9">
    <w:abstractNumId w:val="10"/>
  </w:num>
  <w:num w:numId="10">
    <w:abstractNumId w:val="15"/>
  </w:num>
  <w:num w:numId="11">
    <w:abstractNumId w:val="16"/>
  </w:num>
  <w:num w:numId="12">
    <w:abstractNumId w:val="2"/>
  </w:num>
  <w:num w:numId="13">
    <w:abstractNumId w:val="6"/>
  </w:num>
  <w:num w:numId="14">
    <w:abstractNumId w:val="5"/>
  </w:num>
  <w:num w:numId="15">
    <w:abstractNumId w:val="11"/>
  </w:num>
  <w:num w:numId="16">
    <w:abstractNumId w:val="13"/>
  </w:num>
  <w:num w:numId="17">
    <w:abstractNumId w:val="17"/>
  </w:num>
  <w:num w:numId="18">
    <w:abstractNumId w:val="18"/>
  </w:num>
  <w:num w:numId="19">
    <w:abstractNumId w:val="9"/>
  </w:num>
  <w:num w:numId="20">
    <w:abstractNumId w:val="0"/>
  </w:num>
  <w:num w:numId="21">
    <w:abstractNumId w:val="1"/>
    <w:lvlOverride w:ilvl="0">
      <w:lvl w:ilvl="0">
        <w:start w:val="1"/>
        <w:numFmt w:val="bullet"/>
        <w:lvlText w:val=""/>
        <w:legacy w:legacy="1" w:legacySpace="0" w:legacyIndent="284"/>
        <w:lvlJc w:val="left"/>
        <w:pPr>
          <w:ind w:left="284" w:hanging="284"/>
        </w:pPr>
        <w:rPr>
          <w:rFonts w:ascii="Symbol" w:hAnsi="Symbol" w:hint="default"/>
          <w:sz w:val="18"/>
        </w:rPr>
      </w:lvl>
    </w:lvlOverride>
  </w:num>
  <w:num w:numId="22">
    <w:abstractNumId w:val="12"/>
  </w:num>
  <w:num w:numId="23">
    <w:abstractNumId w:val="20"/>
  </w:num>
  <w:num w:numId="24">
    <w:abstractNumId w:val="7"/>
  </w:num>
  <w:numIdMacAtCleanup w:val="1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val="fullPage" w:percent="69"/>
  <w:mirrorMargins/>
  <w:activeWritingStyle w:appName="MSWord" w:lang="en-AU" w:vendorID="64" w:dllVersion="131078" w:nlCheck="1" w:checkStyle="1"/>
  <w:activeWritingStyle w:appName="MSWord" w:lang="en-GB" w:vendorID="64" w:dllVersion="131078" w:nlCheck="1" w:checkStyle="1"/>
  <w:activeWritingStyle w:appName="MSWord" w:lang="en-US" w:vendorID="64" w:dllVersion="131078" w:nlCheck="1" w:checkStyle="1"/>
  <w:activeWritingStyle w:appName="MSWord" w:lang="en-AU" w:vendorID="8" w:dllVersion="513" w:checkStyle="1"/>
  <w:attachedTemplate r:id="rId1"/>
  <w:linkStyles/>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efaultTabStop w:val="340"/>
  <w:evenAndOddHeaders/>
  <w:displayHorizontalDrawingGridEvery w:val="0"/>
  <w:displayVerticalDrawingGridEvery w:val="0"/>
  <w:doNotUseMarginsForDrawingGridOrigin/>
  <w:noPunctuationKerning/>
  <w:characterSpacingControl w:val="doNotCompress"/>
  <w:hdrShapeDefaults>
    <o:shapedefaults v:ext="edit" spidmax="550913"/>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_EvenFooter" w:val="0"/>
    <w:docVar w:name="_HasChapterNumber" w:val="1"/>
    <w:docVar w:name="_NumberByChapter" w:val="0"/>
    <w:docVar w:name="_Separator" w:val="."/>
    <w:docVar w:name="AppendixNumber" w:val="B"/>
    <w:docVar w:name="DocType" w:val="0"/>
    <w:docVar w:name="FindingOptions" w:val="1"/>
    <w:docVar w:name="LongChapterTitle" w:val="Chapter"/>
    <w:docVar w:name="LongReportTitle" w:val="Report title"/>
    <w:docVar w:name="RecOptions" w:val="111"/>
    <w:docVar w:name="ShortChapterTitle" w:val="Primary and community health"/>
    <w:docVar w:name="ShortReportTitle" w:val="Report on Government Services 2014"/>
    <w:docVar w:name="SideNote" w:val="1"/>
    <w:docVar w:name="UseShortChapter" w:val="0"/>
    <w:docVar w:name="UseShortReport" w:val="0"/>
  </w:docVars>
  <w:rsids>
    <w:rsidRoot w:val="00711EF3"/>
    <w:rsid w:val="000002A7"/>
    <w:rsid w:val="00001351"/>
    <w:rsid w:val="000017FF"/>
    <w:rsid w:val="0000181C"/>
    <w:rsid w:val="000020EB"/>
    <w:rsid w:val="0000256F"/>
    <w:rsid w:val="00002758"/>
    <w:rsid w:val="00002AF5"/>
    <w:rsid w:val="00002DBA"/>
    <w:rsid w:val="00003A18"/>
    <w:rsid w:val="00003AAD"/>
    <w:rsid w:val="00003B5B"/>
    <w:rsid w:val="00003BB8"/>
    <w:rsid w:val="00003CF7"/>
    <w:rsid w:val="000046D8"/>
    <w:rsid w:val="0000484E"/>
    <w:rsid w:val="000049DE"/>
    <w:rsid w:val="00005A70"/>
    <w:rsid w:val="00005AC4"/>
    <w:rsid w:val="00006228"/>
    <w:rsid w:val="000064BD"/>
    <w:rsid w:val="00006644"/>
    <w:rsid w:val="0000665A"/>
    <w:rsid w:val="00006B63"/>
    <w:rsid w:val="00006C26"/>
    <w:rsid w:val="00006E5B"/>
    <w:rsid w:val="000072E3"/>
    <w:rsid w:val="00007B92"/>
    <w:rsid w:val="00007DAB"/>
    <w:rsid w:val="0001008A"/>
    <w:rsid w:val="000100B7"/>
    <w:rsid w:val="000102D8"/>
    <w:rsid w:val="0001034E"/>
    <w:rsid w:val="00010420"/>
    <w:rsid w:val="0001084E"/>
    <w:rsid w:val="0001096A"/>
    <w:rsid w:val="00010C66"/>
    <w:rsid w:val="00011082"/>
    <w:rsid w:val="0001136D"/>
    <w:rsid w:val="00011668"/>
    <w:rsid w:val="0001182F"/>
    <w:rsid w:val="0001197C"/>
    <w:rsid w:val="00011CE2"/>
    <w:rsid w:val="00011DF7"/>
    <w:rsid w:val="00012299"/>
    <w:rsid w:val="00012399"/>
    <w:rsid w:val="000127B7"/>
    <w:rsid w:val="000130CB"/>
    <w:rsid w:val="000131AE"/>
    <w:rsid w:val="000131BB"/>
    <w:rsid w:val="000131ED"/>
    <w:rsid w:val="00013605"/>
    <w:rsid w:val="00013A09"/>
    <w:rsid w:val="00013A4E"/>
    <w:rsid w:val="00013E24"/>
    <w:rsid w:val="0001445E"/>
    <w:rsid w:val="00014EF9"/>
    <w:rsid w:val="00014F2E"/>
    <w:rsid w:val="000155DE"/>
    <w:rsid w:val="000156B4"/>
    <w:rsid w:val="000157E6"/>
    <w:rsid w:val="00015CAF"/>
    <w:rsid w:val="00015F70"/>
    <w:rsid w:val="0001631C"/>
    <w:rsid w:val="00016C86"/>
    <w:rsid w:val="00016EDB"/>
    <w:rsid w:val="00016F26"/>
    <w:rsid w:val="00016FB3"/>
    <w:rsid w:val="00017B7C"/>
    <w:rsid w:val="000202E1"/>
    <w:rsid w:val="00020B0A"/>
    <w:rsid w:val="00020BA7"/>
    <w:rsid w:val="00020E0E"/>
    <w:rsid w:val="00020F1B"/>
    <w:rsid w:val="000212B1"/>
    <w:rsid w:val="00021B4D"/>
    <w:rsid w:val="00022259"/>
    <w:rsid w:val="00022291"/>
    <w:rsid w:val="00022430"/>
    <w:rsid w:val="000228BE"/>
    <w:rsid w:val="00022AED"/>
    <w:rsid w:val="00022CEA"/>
    <w:rsid w:val="00022E6A"/>
    <w:rsid w:val="00022F11"/>
    <w:rsid w:val="00023637"/>
    <w:rsid w:val="00023AB2"/>
    <w:rsid w:val="00024624"/>
    <w:rsid w:val="00024955"/>
    <w:rsid w:val="0002500F"/>
    <w:rsid w:val="00025443"/>
    <w:rsid w:val="000255F4"/>
    <w:rsid w:val="000256A5"/>
    <w:rsid w:val="00025D01"/>
    <w:rsid w:val="00025EFA"/>
    <w:rsid w:val="0002634A"/>
    <w:rsid w:val="00027078"/>
    <w:rsid w:val="00027CF4"/>
    <w:rsid w:val="00027D81"/>
    <w:rsid w:val="00030270"/>
    <w:rsid w:val="00030594"/>
    <w:rsid w:val="00030F8E"/>
    <w:rsid w:val="00031744"/>
    <w:rsid w:val="000319A7"/>
    <w:rsid w:val="0003201B"/>
    <w:rsid w:val="0003231C"/>
    <w:rsid w:val="0003246A"/>
    <w:rsid w:val="00032C04"/>
    <w:rsid w:val="00032CB1"/>
    <w:rsid w:val="00032D3D"/>
    <w:rsid w:val="000332DD"/>
    <w:rsid w:val="00033303"/>
    <w:rsid w:val="00034190"/>
    <w:rsid w:val="0003468B"/>
    <w:rsid w:val="000348AA"/>
    <w:rsid w:val="00034985"/>
    <w:rsid w:val="00034D7D"/>
    <w:rsid w:val="00034F99"/>
    <w:rsid w:val="000353DD"/>
    <w:rsid w:val="0003641B"/>
    <w:rsid w:val="00036738"/>
    <w:rsid w:val="00036B77"/>
    <w:rsid w:val="00037377"/>
    <w:rsid w:val="00037385"/>
    <w:rsid w:val="000373F7"/>
    <w:rsid w:val="000375F2"/>
    <w:rsid w:val="0003766E"/>
    <w:rsid w:val="00037AC3"/>
    <w:rsid w:val="0004005B"/>
    <w:rsid w:val="00040398"/>
    <w:rsid w:val="00040465"/>
    <w:rsid w:val="00040B63"/>
    <w:rsid w:val="00040BA2"/>
    <w:rsid w:val="000410B7"/>
    <w:rsid w:val="000410FD"/>
    <w:rsid w:val="0004129E"/>
    <w:rsid w:val="00041592"/>
    <w:rsid w:val="00041647"/>
    <w:rsid w:val="00041695"/>
    <w:rsid w:val="00041946"/>
    <w:rsid w:val="000419CD"/>
    <w:rsid w:val="00041A8A"/>
    <w:rsid w:val="00042234"/>
    <w:rsid w:val="00042392"/>
    <w:rsid w:val="000427AD"/>
    <w:rsid w:val="00042BD5"/>
    <w:rsid w:val="000430C7"/>
    <w:rsid w:val="000430D4"/>
    <w:rsid w:val="000431A6"/>
    <w:rsid w:val="000435AE"/>
    <w:rsid w:val="0004392D"/>
    <w:rsid w:val="00043AA4"/>
    <w:rsid w:val="00043E23"/>
    <w:rsid w:val="00043E52"/>
    <w:rsid w:val="00043F05"/>
    <w:rsid w:val="000444A4"/>
    <w:rsid w:val="000446F5"/>
    <w:rsid w:val="000446FF"/>
    <w:rsid w:val="00045052"/>
    <w:rsid w:val="00045114"/>
    <w:rsid w:val="000452D3"/>
    <w:rsid w:val="000454E4"/>
    <w:rsid w:val="0004553E"/>
    <w:rsid w:val="000459C2"/>
    <w:rsid w:val="00045CF4"/>
    <w:rsid w:val="00045E61"/>
    <w:rsid w:val="00046121"/>
    <w:rsid w:val="000462FD"/>
    <w:rsid w:val="00046518"/>
    <w:rsid w:val="000465F0"/>
    <w:rsid w:val="000467B7"/>
    <w:rsid w:val="00046ADC"/>
    <w:rsid w:val="00046DB2"/>
    <w:rsid w:val="00046DF5"/>
    <w:rsid w:val="0004703D"/>
    <w:rsid w:val="00047059"/>
    <w:rsid w:val="000477F1"/>
    <w:rsid w:val="000479AA"/>
    <w:rsid w:val="000506E2"/>
    <w:rsid w:val="00050A25"/>
    <w:rsid w:val="00050F3D"/>
    <w:rsid w:val="0005141F"/>
    <w:rsid w:val="000514A6"/>
    <w:rsid w:val="00051912"/>
    <w:rsid w:val="00051EF0"/>
    <w:rsid w:val="0005218D"/>
    <w:rsid w:val="00052239"/>
    <w:rsid w:val="000529E8"/>
    <w:rsid w:val="00052AA2"/>
    <w:rsid w:val="00052D40"/>
    <w:rsid w:val="00052E0A"/>
    <w:rsid w:val="000530B3"/>
    <w:rsid w:val="0005361C"/>
    <w:rsid w:val="00053635"/>
    <w:rsid w:val="000537DB"/>
    <w:rsid w:val="00053D2B"/>
    <w:rsid w:val="00054080"/>
    <w:rsid w:val="00054099"/>
    <w:rsid w:val="00054BF4"/>
    <w:rsid w:val="0005559F"/>
    <w:rsid w:val="000558D8"/>
    <w:rsid w:val="00055CBF"/>
    <w:rsid w:val="00056136"/>
    <w:rsid w:val="00056F0E"/>
    <w:rsid w:val="00057119"/>
    <w:rsid w:val="00057135"/>
    <w:rsid w:val="0005740D"/>
    <w:rsid w:val="00057446"/>
    <w:rsid w:val="000574F0"/>
    <w:rsid w:val="00057710"/>
    <w:rsid w:val="00057B88"/>
    <w:rsid w:val="00057C86"/>
    <w:rsid w:val="00057ECD"/>
    <w:rsid w:val="00060326"/>
    <w:rsid w:val="00060556"/>
    <w:rsid w:val="00060662"/>
    <w:rsid w:val="00060B80"/>
    <w:rsid w:val="00060C7B"/>
    <w:rsid w:val="00060D1D"/>
    <w:rsid w:val="00060D7C"/>
    <w:rsid w:val="00060F77"/>
    <w:rsid w:val="00061391"/>
    <w:rsid w:val="0006153E"/>
    <w:rsid w:val="00062099"/>
    <w:rsid w:val="000627B0"/>
    <w:rsid w:val="00062970"/>
    <w:rsid w:val="0006447A"/>
    <w:rsid w:val="00064767"/>
    <w:rsid w:val="00064A12"/>
    <w:rsid w:val="00064B9F"/>
    <w:rsid w:val="000655E3"/>
    <w:rsid w:val="000656F5"/>
    <w:rsid w:val="00065D58"/>
    <w:rsid w:val="00066B28"/>
    <w:rsid w:val="00067383"/>
    <w:rsid w:val="00067444"/>
    <w:rsid w:val="000675A1"/>
    <w:rsid w:val="00067FFE"/>
    <w:rsid w:val="00070090"/>
    <w:rsid w:val="00070181"/>
    <w:rsid w:val="000709D5"/>
    <w:rsid w:val="00070C57"/>
    <w:rsid w:val="000712E6"/>
    <w:rsid w:val="00071BA8"/>
    <w:rsid w:val="00071CDE"/>
    <w:rsid w:val="00071F6A"/>
    <w:rsid w:val="0007229B"/>
    <w:rsid w:val="000724C3"/>
    <w:rsid w:val="00072BFE"/>
    <w:rsid w:val="00072CA4"/>
    <w:rsid w:val="00073493"/>
    <w:rsid w:val="00073714"/>
    <w:rsid w:val="00073BA7"/>
    <w:rsid w:val="00073BB2"/>
    <w:rsid w:val="00074508"/>
    <w:rsid w:val="0007460F"/>
    <w:rsid w:val="000749D1"/>
    <w:rsid w:val="00074C90"/>
    <w:rsid w:val="00074CC9"/>
    <w:rsid w:val="00075401"/>
    <w:rsid w:val="000759B8"/>
    <w:rsid w:val="00075CB2"/>
    <w:rsid w:val="00075FA0"/>
    <w:rsid w:val="00076040"/>
    <w:rsid w:val="00076101"/>
    <w:rsid w:val="000764BF"/>
    <w:rsid w:val="000768D7"/>
    <w:rsid w:val="00076CFF"/>
    <w:rsid w:val="00077169"/>
    <w:rsid w:val="0007756C"/>
    <w:rsid w:val="00077603"/>
    <w:rsid w:val="000777F3"/>
    <w:rsid w:val="00077857"/>
    <w:rsid w:val="00077B08"/>
    <w:rsid w:val="00077B7C"/>
    <w:rsid w:val="00077D2C"/>
    <w:rsid w:val="000801FF"/>
    <w:rsid w:val="0008046A"/>
    <w:rsid w:val="0008053A"/>
    <w:rsid w:val="0008054E"/>
    <w:rsid w:val="000809AB"/>
    <w:rsid w:val="00080FA4"/>
    <w:rsid w:val="0008116B"/>
    <w:rsid w:val="000817C6"/>
    <w:rsid w:val="00081D41"/>
    <w:rsid w:val="000820E0"/>
    <w:rsid w:val="00082560"/>
    <w:rsid w:val="00082D7C"/>
    <w:rsid w:val="000832D4"/>
    <w:rsid w:val="00083715"/>
    <w:rsid w:val="00083B97"/>
    <w:rsid w:val="00083BE8"/>
    <w:rsid w:val="00083F1C"/>
    <w:rsid w:val="000843B3"/>
    <w:rsid w:val="000847B9"/>
    <w:rsid w:val="0008489C"/>
    <w:rsid w:val="00084C3B"/>
    <w:rsid w:val="00084D12"/>
    <w:rsid w:val="00085197"/>
    <w:rsid w:val="00085349"/>
    <w:rsid w:val="00085B88"/>
    <w:rsid w:val="00086528"/>
    <w:rsid w:val="000866C5"/>
    <w:rsid w:val="0008673C"/>
    <w:rsid w:val="00086C2C"/>
    <w:rsid w:val="00086DF6"/>
    <w:rsid w:val="00086E18"/>
    <w:rsid w:val="0008764A"/>
    <w:rsid w:val="00087660"/>
    <w:rsid w:val="000876B0"/>
    <w:rsid w:val="00087EE0"/>
    <w:rsid w:val="00090085"/>
    <w:rsid w:val="00090443"/>
    <w:rsid w:val="000908DE"/>
    <w:rsid w:val="00090CD0"/>
    <w:rsid w:val="0009111D"/>
    <w:rsid w:val="00091836"/>
    <w:rsid w:val="0009244C"/>
    <w:rsid w:val="000924DC"/>
    <w:rsid w:val="0009280D"/>
    <w:rsid w:val="00093F77"/>
    <w:rsid w:val="00094998"/>
    <w:rsid w:val="00094B4A"/>
    <w:rsid w:val="00094E03"/>
    <w:rsid w:val="000957EE"/>
    <w:rsid w:val="00095AFE"/>
    <w:rsid w:val="00095E5A"/>
    <w:rsid w:val="00096109"/>
    <w:rsid w:val="000969D2"/>
    <w:rsid w:val="000969E0"/>
    <w:rsid w:val="00097334"/>
    <w:rsid w:val="00097DBF"/>
    <w:rsid w:val="00097F59"/>
    <w:rsid w:val="000A04C7"/>
    <w:rsid w:val="000A06C3"/>
    <w:rsid w:val="000A09E4"/>
    <w:rsid w:val="000A0AC8"/>
    <w:rsid w:val="000A1691"/>
    <w:rsid w:val="000A177D"/>
    <w:rsid w:val="000A1D92"/>
    <w:rsid w:val="000A2043"/>
    <w:rsid w:val="000A2154"/>
    <w:rsid w:val="000A225F"/>
    <w:rsid w:val="000A2286"/>
    <w:rsid w:val="000A258A"/>
    <w:rsid w:val="000A260B"/>
    <w:rsid w:val="000A29DB"/>
    <w:rsid w:val="000A2B5F"/>
    <w:rsid w:val="000A2DBC"/>
    <w:rsid w:val="000A2E3B"/>
    <w:rsid w:val="000A3014"/>
    <w:rsid w:val="000A30B3"/>
    <w:rsid w:val="000A3505"/>
    <w:rsid w:val="000A3663"/>
    <w:rsid w:val="000A4108"/>
    <w:rsid w:val="000A419E"/>
    <w:rsid w:val="000A4551"/>
    <w:rsid w:val="000A46E1"/>
    <w:rsid w:val="000A4ACF"/>
    <w:rsid w:val="000A4BEF"/>
    <w:rsid w:val="000A4DB5"/>
    <w:rsid w:val="000A5518"/>
    <w:rsid w:val="000A6401"/>
    <w:rsid w:val="000A661D"/>
    <w:rsid w:val="000A6A03"/>
    <w:rsid w:val="000A6CE7"/>
    <w:rsid w:val="000A6D38"/>
    <w:rsid w:val="000A7179"/>
    <w:rsid w:val="000A78DF"/>
    <w:rsid w:val="000A7F1C"/>
    <w:rsid w:val="000B00BB"/>
    <w:rsid w:val="000B0522"/>
    <w:rsid w:val="000B08BD"/>
    <w:rsid w:val="000B0BDE"/>
    <w:rsid w:val="000B15F4"/>
    <w:rsid w:val="000B18E0"/>
    <w:rsid w:val="000B1BF6"/>
    <w:rsid w:val="000B1C2E"/>
    <w:rsid w:val="000B1E43"/>
    <w:rsid w:val="000B1FC8"/>
    <w:rsid w:val="000B202B"/>
    <w:rsid w:val="000B20C4"/>
    <w:rsid w:val="000B21B8"/>
    <w:rsid w:val="000B2487"/>
    <w:rsid w:val="000B252E"/>
    <w:rsid w:val="000B2796"/>
    <w:rsid w:val="000B29A1"/>
    <w:rsid w:val="000B2A40"/>
    <w:rsid w:val="000B32B4"/>
    <w:rsid w:val="000B3500"/>
    <w:rsid w:val="000B3BB9"/>
    <w:rsid w:val="000B3C32"/>
    <w:rsid w:val="000B4465"/>
    <w:rsid w:val="000B4834"/>
    <w:rsid w:val="000B53F7"/>
    <w:rsid w:val="000B5ABD"/>
    <w:rsid w:val="000B5D74"/>
    <w:rsid w:val="000B60BA"/>
    <w:rsid w:val="000B6D44"/>
    <w:rsid w:val="000B709E"/>
    <w:rsid w:val="000B73A0"/>
    <w:rsid w:val="000B749E"/>
    <w:rsid w:val="000B774B"/>
    <w:rsid w:val="000B7A8F"/>
    <w:rsid w:val="000B7CCE"/>
    <w:rsid w:val="000B7DDA"/>
    <w:rsid w:val="000B7E6E"/>
    <w:rsid w:val="000C03BA"/>
    <w:rsid w:val="000C11F0"/>
    <w:rsid w:val="000C20C9"/>
    <w:rsid w:val="000C29EB"/>
    <w:rsid w:val="000C2A6D"/>
    <w:rsid w:val="000C2AB6"/>
    <w:rsid w:val="000C3040"/>
    <w:rsid w:val="000C3170"/>
    <w:rsid w:val="000C35F5"/>
    <w:rsid w:val="000C3771"/>
    <w:rsid w:val="000C414E"/>
    <w:rsid w:val="000C4162"/>
    <w:rsid w:val="000C4877"/>
    <w:rsid w:val="000C50BE"/>
    <w:rsid w:val="000C5220"/>
    <w:rsid w:val="000C5413"/>
    <w:rsid w:val="000C595B"/>
    <w:rsid w:val="000C5A37"/>
    <w:rsid w:val="000C5C84"/>
    <w:rsid w:val="000C6015"/>
    <w:rsid w:val="000C658E"/>
    <w:rsid w:val="000C6758"/>
    <w:rsid w:val="000C6B1E"/>
    <w:rsid w:val="000C6C48"/>
    <w:rsid w:val="000C6E81"/>
    <w:rsid w:val="000C6F79"/>
    <w:rsid w:val="000C6FFD"/>
    <w:rsid w:val="000C73A6"/>
    <w:rsid w:val="000C78C4"/>
    <w:rsid w:val="000C79B6"/>
    <w:rsid w:val="000C7BAB"/>
    <w:rsid w:val="000C7FE4"/>
    <w:rsid w:val="000D0082"/>
    <w:rsid w:val="000D01D6"/>
    <w:rsid w:val="000D025F"/>
    <w:rsid w:val="000D036B"/>
    <w:rsid w:val="000D0379"/>
    <w:rsid w:val="000D0394"/>
    <w:rsid w:val="000D0489"/>
    <w:rsid w:val="000D0910"/>
    <w:rsid w:val="000D0E9D"/>
    <w:rsid w:val="000D0F48"/>
    <w:rsid w:val="000D146A"/>
    <w:rsid w:val="000D189C"/>
    <w:rsid w:val="000D2484"/>
    <w:rsid w:val="000D2644"/>
    <w:rsid w:val="000D2CB1"/>
    <w:rsid w:val="000D2F89"/>
    <w:rsid w:val="000D30AE"/>
    <w:rsid w:val="000D3B62"/>
    <w:rsid w:val="000D3D85"/>
    <w:rsid w:val="000D459C"/>
    <w:rsid w:val="000D477D"/>
    <w:rsid w:val="000D4909"/>
    <w:rsid w:val="000D4B8F"/>
    <w:rsid w:val="000D4DC3"/>
    <w:rsid w:val="000D50E0"/>
    <w:rsid w:val="000D5537"/>
    <w:rsid w:val="000D5654"/>
    <w:rsid w:val="000D59AD"/>
    <w:rsid w:val="000D59F1"/>
    <w:rsid w:val="000D5A0C"/>
    <w:rsid w:val="000D5CED"/>
    <w:rsid w:val="000D5DA4"/>
    <w:rsid w:val="000D5DBB"/>
    <w:rsid w:val="000D5F35"/>
    <w:rsid w:val="000D6248"/>
    <w:rsid w:val="000D65CD"/>
    <w:rsid w:val="000D6669"/>
    <w:rsid w:val="000D689F"/>
    <w:rsid w:val="000D6D68"/>
    <w:rsid w:val="000D6FEA"/>
    <w:rsid w:val="000D7153"/>
    <w:rsid w:val="000E05F2"/>
    <w:rsid w:val="000E0E04"/>
    <w:rsid w:val="000E0F2B"/>
    <w:rsid w:val="000E125C"/>
    <w:rsid w:val="000E13AE"/>
    <w:rsid w:val="000E14A5"/>
    <w:rsid w:val="000E190C"/>
    <w:rsid w:val="000E1D4F"/>
    <w:rsid w:val="000E1F66"/>
    <w:rsid w:val="000E314B"/>
    <w:rsid w:val="000E36F1"/>
    <w:rsid w:val="000E411A"/>
    <w:rsid w:val="000E465E"/>
    <w:rsid w:val="000E4805"/>
    <w:rsid w:val="000E4B83"/>
    <w:rsid w:val="000E50EE"/>
    <w:rsid w:val="000E5196"/>
    <w:rsid w:val="000E51BE"/>
    <w:rsid w:val="000E556F"/>
    <w:rsid w:val="000E5601"/>
    <w:rsid w:val="000E58AA"/>
    <w:rsid w:val="000E5EA9"/>
    <w:rsid w:val="000E5F9F"/>
    <w:rsid w:val="000E5FBD"/>
    <w:rsid w:val="000E71B4"/>
    <w:rsid w:val="000E768B"/>
    <w:rsid w:val="000E7CAA"/>
    <w:rsid w:val="000E7DA7"/>
    <w:rsid w:val="000E7DF4"/>
    <w:rsid w:val="000E7E3F"/>
    <w:rsid w:val="000E7EBD"/>
    <w:rsid w:val="000F039A"/>
    <w:rsid w:val="000F09A4"/>
    <w:rsid w:val="000F0AF1"/>
    <w:rsid w:val="000F0E9A"/>
    <w:rsid w:val="000F11C2"/>
    <w:rsid w:val="000F1418"/>
    <w:rsid w:val="000F1471"/>
    <w:rsid w:val="000F15AE"/>
    <w:rsid w:val="000F1B07"/>
    <w:rsid w:val="000F20D3"/>
    <w:rsid w:val="000F2298"/>
    <w:rsid w:val="000F22EC"/>
    <w:rsid w:val="000F232C"/>
    <w:rsid w:val="000F2437"/>
    <w:rsid w:val="000F27CC"/>
    <w:rsid w:val="000F2A7B"/>
    <w:rsid w:val="000F2CB4"/>
    <w:rsid w:val="000F3488"/>
    <w:rsid w:val="000F3529"/>
    <w:rsid w:val="000F39BF"/>
    <w:rsid w:val="000F3A15"/>
    <w:rsid w:val="000F3AEB"/>
    <w:rsid w:val="000F3F3E"/>
    <w:rsid w:val="000F42B5"/>
    <w:rsid w:val="000F46D0"/>
    <w:rsid w:val="000F4BC8"/>
    <w:rsid w:val="000F518A"/>
    <w:rsid w:val="000F53D9"/>
    <w:rsid w:val="000F53DD"/>
    <w:rsid w:val="000F5644"/>
    <w:rsid w:val="000F59BE"/>
    <w:rsid w:val="000F6077"/>
    <w:rsid w:val="000F6108"/>
    <w:rsid w:val="000F650F"/>
    <w:rsid w:val="000F67C9"/>
    <w:rsid w:val="000F6808"/>
    <w:rsid w:val="000F6C51"/>
    <w:rsid w:val="000F6EE2"/>
    <w:rsid w:val="000F6EF2"/>
    <w:rsid w:val="000F74FB"/>
    <w:rsid w:val="00100183"/>
    <w:rsid w:val="00100190"/>
    <w:rsid w:val="001001FB"/>
    <w:rsid w:val="00100970"/>
    <w:rsid w:val="00100A62"/>
    <w:rsid w:val="00100BBE"/>
    <w:rsid w:val="00100D51"/>
    <w:rsid w:val="00100E30"/>
    <w:rsid w:val="001010B1"/>
    <w:rsid w:val="00101349"/>
    <w:rsid w:val="00101503"/>
    <w:rsid w:val="00101532"/>
    <w:rsid w:val="0010179D"/>
    <w:rsid w:val="0010225F"/>
    <w:rsid w:val="0010282E"/>
    <w:rsid w:val="001030E6"/>
    <w:rsid w:val="0010325E"/>
    <w:rsid w:val="001039D5"/>
    <w:rsid w:val="00103FFB"/>
    <w:rsid w:val="001040C8"/>
    <w:rsid w:val="001045F4"/>
    <w:rsid w:val="001048E2"/>
    <w:rsid w:val="00104997"/>
    <w:rsid w:val="00105122"/>
    <w:rsid w:val="00105402"/>
    <w:rsid w:val="00105A53"/>
    <w:rsid w:val="00105A71"/>
    <w:rsid w:val="00105EA5"/>
    <w:rsid w:val="001061DB"/>
    <w:rsid w:val="0010630E"/>
    <w:rsid w:val="001064E2"/>
    <w:rsid w:val="001065EC"/>
    <w:rsid w:val="00106639"/>
    <w:rsid w:val="00106ECB"/>
    <w:rsid w:val="0010718B"/>
    <w:rsid w:val="0010747E"/>
    <w:rsid w:val="001075C8"/>
    <w:rsid w:val="0010796D"/>
    <w:rsid w:val="00107BA3"/>
    <w:rsid w:val="00110445"/>
    <w:rsid w:val="00110642"/>
    <w:rsid w:val="0011098B"/>
    <w:rsid w:val="00110E64"/>
    <w:rsid w:val="00110F10"/>
    <w:rsid w:val="0011182E"/>
    <w:rsid w:val="00111C27"/>
    <w:rsid w:val="0011203D"/>
    <w:rsid w:val="0011205A"/>
    <w:rsid w:val="001127F3"/>
    <w:rsid w:val="00112827"/>
    <w:rsid w:val="001129D8"/>
    <w:rsid w:val="00112C91"/>
    <w:rsid w:val="00112D80"/>
    <w:rsid w:val="001139A6"/>
    <w:rsid w:val="00113AEE"/>
    <w:rsid w:val="00113B72"/>
    <w:rsid w:val="00114274"/>
    <w:rsid w:val="00114943"/>
    <w:rsid w:val="00114D1C"/>
    <w:rsid w:val="0011550A"/>
    <w:rsid w:val="00115592"/>
    <w:rsid w:val="001160A9"/>
    <w:rsid w:val="0011614D"/>
    <w:rsid w:val="00117003"/>
    <w:rsid w:val="001171DB"/>
    <w:rsid w:val="00117611"/>
    <w:rsid w:val="001177EC"/>
    <w:rsid w:val="00117908"/>
    <w:rsid w:val="00117A9A"/>
    <w:rsid w:val="00117ABF"/>
    <w:rsid w:val="00117FE0"/>
    <w:rsid w:val="00117FE6"/>
    <w:rsid w:val="0012028E"/>
    <w:rsid w:val="0012096E"/>
    <w:rsid w:val="00120F65"/>
    <w:rsid w:val="0012107A"/>
    <w:rsid w:val="00121643"/>
    <w:rsid w:val="0012164E"/>
    <w:rsid w:val="00121817"/>
    <w:rsid w:val="00121D81"/>
    <w:rsid w:val="00121E9B"/>
    <w:rsid w:val="00121EF2"/>
    <w:rsid w:val="00122C76"/>
    <w:rsid w:val="00123278"/>
    <w:rsid w:val="001234D8"/>
    <w:rsid w:val="00123527"/>
    <w:rsid w:val="001238C6"/>
    <w:rsid w:val="00123ABD"/>
    <w:rsid w:val="00123B0F"/>
    <w:rsid w:val="00123B30"/>
    <w:rsid w:val="00123F6F"/>
    <w:rsid w:val="001244FC"/>
    <w:rsid w:val="001245E6"/>
    <w:rsid w:val="0012460C"/>
    <w:rsid w:val="00124B42"/>
    <w:rsid w:val="00124B8A"/>
    <w:rsid w:val="001253C9"/>
    <w:rsid w:val="0012559F"/>
    <w:rsid w:val="00125620"/>
    <w:rsid w:val="00125A3D"/>
    <w:rsid w:val="00125F2C"/>
    <w:rsid w:val="00126054"/>
    <w:rsid w:val="001264A6"/>
    <w:rsid w:val="00126714"/>
    <w:rsid w:val="001269EA"/>
    <w:rsid w:val="00126A8D"/>
    <w:rsid w:val="00126BCD"/>
    <w:rsid w:val="00126FA6"/>
    <w:rsid w:val="001278E0"/>
    <w:rsid w:val="001279E4"/>
    <w:rsid w:val="00127AD7"/>
    <w:rsid w:val="00127E31"/>
    <w:rsid w:val="0013020C"/>
    <w:rsid w:val="00130277"/>
    <w:rsid w:val="001302A8"/>
    <w:rsid w:val="00130E24"/>
    <w:rsid w:val="00130E31"/>
    <w:rsid w:val="001310DC"/>
    <w:rsid w:val="001317AB"/>
    <w:rsid w:val="001317DC"/>
    <w:rsid w:val="00131DC1"/>
    <w:rsid w:val="00131F67"/>
    <w:rsid w:val="001331A6"/>
    <w:rsid w:val="001337E1"/>
    <w:rsid w:val="00133872"/>
    <w:rsid w:val="00133876"/>
    <w:rsid w:val="001339E2"/>
    <w:rsid w:val="00133D04"/>
    <w:rsid w:val="00134307"/>
    <w:rsid w:val="0013467D"/>
    <w:rsid w:val="00134873"/>
    <w:rsid w:val="0013488D"/>
    <w:rsid w:val="00134BC1"/>
    <w:rsid w:val="00134EB7"/>
    <w:rsid w:val="00134EE4"/>
    <w:rsid w:val="00134EF0"/>
    <w:rsid w:val="00134FBF"/>
    <w:rsid w:val="00135154"/>
    <w:rsid w:val="0013539D"/>
    <w:rsid w:val="00135776"/>
    <w:rsid w:val="00135ACC"/>
    <w:rsid w:val="00135D39"/>
    <w:rsid w:val="00136278"/>
    <w:rsid w:val="001362A9"/>
    <w:rsid w:val="0013691C"/>
    <w:rsid w:val="00136E86"/>
    <w:rsid w:val="00137AC9"/>
    <w:rsid w:val="00137F8B"/>
    <w:rsid w:val="0014037A"/>
    <w:rsid w:val="00140432"/>
    <w:rsid w:val="001404B7"/>
    <w:rsid w:val="001404DB"/>
    <w:rsid w:val="001407C3"/>
    <w:rsid w:val="00140B15"/>
    <w:rsid w:val="001410BE"/>
    <w:rsid w:val="00141660"/>
    <w:rsid w:val="001417FF"/>
    <w:rsid w:val="00141D0A"/>
    <w:rsid w:val="001424EF"/>
    <w:rsid w:val="001425D5"/>
    <w:rsid w:val="00142B23"/>
    <w:rsid w:val="00142BC4"/>
    <w:rsid w:val="0014307F"/>
    <w:rsid w:val="00143154"/>
    <w:rsid w:val="0014353A"/>
    <w:rsid w:val="00143607"/>
    <w:rsid w:val="00143B89"/>
    <w:rsid w:val="00144095"/>
    <w:rsid w:val="001441E3"/>
    <w:rsid w:val="001446AB"/>
    <w:rsid w:val="00144AE3"/>
    <w:rsid w:val="00144C52"/>
    <w:rsid w:val="00144EB1"/>
    <w:rsid w:val="00145395"/>
    <w:rsid w:val="001454AC"/>
    <w:rsid w:val="001455E2"/>
    <w:rsid w:val="001459B3"/>
    <w:rsid w:val="00145ACD"/>
    <w:rsid w:val="00146186"/>
    <w:rsid w:val="001461A6"/>
    <w:rsid w:val="001462C9"/>
    <w:rsid w:val="00146465"/>
    <w:rsid w:val="001466F1"/>
    <w:rsid w:val="001469EF"/>
    <w:rsid w:val="00146FBD"/>
    <w:rsid w:val="00147164"/>
    <w:rsid w:val="00147DA1"/>
    <w:rsid w:val="00147E4C"/>
    <w:rsid w:val="00147ED3"/>
    <w:rsid w:val="00150753"/>
    <w:rsid w:val="00150A06"/>
    <w:rsid w:val="00150BA8"/>
    <w:rsid w:val="00150C47"/>
    <w:rsid w:val="00150F51"/>
    <w:rsid w:val="0015136E"/>
    <w:rsid w:val="00151982"/>
    <w:rsid w:val="001519A2"/>
    <w:rsid w:val="00151A92"/>
    <w:rsid w:val="00151F7D"/>
    <w:rsid w:val="001521CE"/>
    <w:rsid w:val="0015255C"/>
    <w:rsid w:val="00152581"/>
    <w:rsid w:val="00152808"/>
    <w:rsid w:val="00152933"/>
    <w:rsid w:val="00152A9B"/>
    <w:rsid w:val="00152CCC"/>
    <w:rsid w:val="001531F9"/>
    <w:rsid w:val="001534AC"/>
    <w:rsid w:val="00153576"/>
    <w:rsid w:val="001535A3"/>
    <w:rsid w:val="00153635"/>
    <w:rsid w:val="00153C7E"/>
    <w:rsid w:val="00153CC8"/>
    <w:rsid w:val="00153F66"/>
    <w:rsid w:val="0015429E"/>
    <w:rsid w:val="00154548"/>
    <w:rsid w:val="00154E11"/>
    <w:rsid w:val="00155441"/>
    <w:rsid w:val="001559E7"/>
    <w:rsid w:val="00156045"/>
    <w:rsid w:val="00156B18"/>
    <w:rsid w:val="00156CF6"/>
    <w:rsid w:val="001570E2"/>
    <w:rsid w:val="001573EF"/>
    <w:rsid w:val="00157664"/>
    <w:rsid w:val="00157AB6"/>
    <w:rsid w:val="00157BB8"/>
    <w:rsid w:val="00157C79"/>
    <w:rsid w:val="0016002F"/>
    <w:rsid w:val="001606E6"/>
    <w:rsid w:val="001607C1"/>
    <w:rsid w:val="00160899"/>
    <w:rsid w:val="00160A45"/>
    <w:rsid w:val="00161A48"/>
    <w:rsid w:val="0016248E"/>
    <w:rsid w:val="001625B6"/>
    <w:rsid w:val="001626CB"/>
    <w:rsid w:val="001627AE"/>
    <w:rsid w:val="00162B77"/>
    <w:rsid w:val="00162FB1"/>
    <w:rsid w:val="00163093"/>
    <w:rsid w:val="00163100"/>
    <w:rsid w:val="001632B3"/>
    <w:rsid w:val="00163A71"/>
    <w:rsid w:val="00163E3F"/>
    <w:rsid w:val="00163ED9"/>
    <w:rsid w:val="0016425B"/>
    <w:rsid w:val="001644E7"/>
    <w:rsid w:val="00164524"/>
    <w:rsid w:val="00164901"/>
    <w:rsid w:val="00165721"/>
    <w:rsid w:val="0016577C"/>
    <w:rsid w:val="00165BE6"/>
    <w:rsid w:val="00165C63"/>
    <w:rsid w:val="00165CD8"/>
    <w:rsid w:val="001666D0"/>
    <w:rsid w:val="001666F1"/>
    <w:rsid w:val="0016678B"/>
    <w:rsid w:val="00166A62"/>
    <w:rsid w:val="00166CD9"/>
    <w:rsid w:val="00166D34"/>
    <w:rsid w:val="00166F7A"/>
    <w:rsid w:val="0016770C"/>
    <w:rsid w:val="001679F8"/>
    <w:rsid w:val="00167A03"/>
    <w:rsid w:val="00167A8B"/>
    <w:rsid w:val="0017069B"/>
    <w:rsid w:val="00170876"/>
    <w:rsid w:val="00170A33"/>
    <w:rsid w:val="00170CFA"/>
    <w:rsid w:val="00170FA9"/>
    <w:rsid w:val="00170FC6"/>
    <w:rsid w:val="00171632"/>
    <w:rsid w:val="001720C4"/>
    <w:rsid w:val="001725BC"/>
    <w:rsid w:val="001727B9"/>
    <w:rsid w:val="001730C7"/>
    <w:rsid w:val="001735EB"/>
    <w:rsid w:val="00173AF7"/>
    <w:rsid w:val="00174083"/>
    <w:rsid w:val="00174257"/>
    <w:rsid w:val="001746EA"/>
    <w:rsid w:val="0017478F"/>
    <w:rsid w:val="00174926"/>
    <w:rsid w:val="00174A7B"/>
    <w:rsid w:val="00174B9A"/>
    <w:rsid w:val="00174D43"/>
    <w:rsid w:val="00174DFE"/>
    <w:rsid w:val="00175434"/>
    <w:rsid w:val="00175535"/>
    <w:rsid w:val="001756B6"/>
    <w:rsid w:val="001758F2"/>
    <w:rsid w:val="00175C7B"/>
    <w:rsid w:val="00176191"/>
    <w:rsid w:val="001761AD"/>
    <w:rsid w:val="001763B0"/>
    <w:rsid w:val="001763E0"/>
    <w:rsid w:val="00176FEB"/>
    <w:rsid w:val="00177168"/>
    <w:rsid w:val="001773DF"/>
    <w:rsid w:val="00177665"/>
    <w:rsid w:val="00177DF4"/>
    <w:rsid w:val="00177E87"/>
    <w:rsid w:val="001805A0"/>
    <w:rsid w:val="0018075C"/>
    <w:rsid w:val="00180771"/>
    <w:rsid w:val="001809C9"/>
    <w:rsid w:val="00180ADE"/>
    <w:rsid w:val="00180C85"/>
    <w:rsid w:val="00181185"/>
    <w:rsid w:val="0018162B"/>
    <w:rsid w:val="00181790"/>
    <w:rsid w:val="0018193B"/>
    <w:rsid w:val="00181BC2"/>
    <w:rsid w:val="0018205D"/>
    <w:rsid w:val="00182849"/>
    <w:rsid w:val="00182AD2"/>
    <w:rsid w:val="00182C85"/>
    <w:rsid w:val="00182D9A"/>
    <w:rsid w:val="00182F9B"/>
    <w:rsid w:val="00183655"/>
    <w:rsid w:val="001837D1"/>
    <w:rsid w:val="00183B88"/>
    <w:rsid w:val="00183E36"/>
    <w:rsid w:val="00184473"/>
    <w:rsid w:val="001848A3"/>
    <w:rsid w:val="00184CFD"/>
    <w:rsid w:val="00184D66"/>
    <w:rsid w:val="00184E2F"/>
    <w:rsid w:val="00184FFD"/>
    <w:rsid w:val="001854D5"/>
    <w:rsid w:val="00185CDC"/>
    <w:rsid w:val="00186032"/>
    <w:rsid w:val="00186338"/>
    <w:rsid w:val="001866DD"/>
    <w:rsid w:val="00186730"/>
    <w:rsid w:val="00186B8C"/>
    <w:rsid w:val="00186D80"/>
    <w:rsid w:val="00187B0C"/>
    <w:rsid w:val="00187CE3"/>
    <w:rsid w:val="00187D91"/>
    <w:rsid w:val="00187F17"/>
    <w:rsid w:val="00187F4F"/>
    <w:rsid w:val="00187F50"/>
    <w:rsid w:val="00190191"/>
    <w:rsid w:val="0019081E"/>
    <w:rsid w:val="00190964"/>
    <w:rsid w:val="00190A58"/>
    <w:rsid w:val="00190D16"/>
    <w:rsid w:val="00191559"/>
    <w:rsid w:val="001915BB"/>
    <w:rsid w:val="00191A49"/>
    <w:rsid w:val="00191F68"/>
    <w:rsid w:val="0019204E"/>
    <w:rsid w:val="00192064"/>
    <w:rsid w:val="00192148"/>
    <w:rsid w:val="001923F4"/>
    <w:rsid w:val="00193426"/>
    <w:rsid w:val="00193CD7"/>
    <w:rsid w:val="00194356"/>
    <w:rsid w:val="00194874"/>
    <w:rsid w:val="001949AC"/>
    <w:rsid w:val="00194C51"/>
    <w:rsid w:val="00195474"/>
    <w:rsid w:val="00195A82"/>
    <w:rsid w:val="0019610F"/>
    <w:rsid w:val="00196239"/>
    <w:rsid w:val="001965BE"/>
    <w:rsid w:val="00196D6F"/>
    <w:rsid w:val="0019702C"/>
    <w:rsid w:val="00197144"/>
    <w:rsid w:val="00197251"/>
    <w:rsid w:val="0019769C"/>
    <w:rsid w:val="001A04B1"/>
    <w:rsid w:val="001A0650"/>
    <w:rsid w:val="001A06C9"/>
    <w:rsid w:val="001A13B5"/>
    <w:rsid w:val="001A1AB9"/>
    <w:rsid w:val="001A1B20"/>
    <w:rsid w:val="001A1CF0"/>
    <w:rsid w:val="001A2085"/>
    <w:rsid w:val="001A22F0"/>
    <w:rsid w:val="001A2480"/>
    <w:rsid w:val="001A2785"/>
    <w:rsid w:val="001A28D3"/>
    <w:rsid w:val="001A294F"/>
    <w:rsid w:val="001A2960"/>
    <w:rsid w:val="001A2AFA"/>
    <w:rsid w:val="001A312F"/>
    <w:rsid w:val="001A3556"/>
    <w:rsid w:val="001A3585"/>
    <w:rsid w:val="001A39B2"/>
    <w:rsid w:val="001A3AD6"/>
    <w:rsid w:val="001A4563"/>
    <w:rsid w:val="001A4D92"/>
    <w:rsid w:val="001A4F65"/>
    <w:rsid w:val="001A553C"/>
    <w:rsid w:val="001A55C5"/>
    <w:rsid w:val="001A5662"/>
    <w:rsid w:val="001A57A2"/>
    <w:rsid w:val="001A591F"/>
    <w:rsid w:val="001A5A3B"/>
    <w:rsid w:val="001A5B7A"/>
    <w:rsid w:val="001A5E68"/>
    <w:rsid w:val="001A5EDB"/>
    <w:rsid w:val="001A5F7A"/>
    <w:rsid w:val="001A634F"/>
    <w:rsid w:val="001A63CD"/>
    <w:rsid w:val="001A6892"/>
    <w:rsid w:val="001A6EFD"/>
    <w:rsid w:val="001A7489"/>
    <w:rsid w:val="001A7835"/>
    <w:rsid w:val="001A78E9"/>
    <w:rsid w:val="001A79C1"/>
    <w:rsid w:val="001A7B6C"/>
    <w:rsid w:val="001A7DC0"/>
    <w:rsid w:val="001B007A"/>
    <w:rsid w:val="001B04A9"/>
    <w:rsid w:val="001B0A69"/>
    <w:rsid w:val="001B0BB7"/>
    <w:rsid w:val="001B0C3A"/>
    <w:rsid w:val="001B0CC8"/>
    <w:rsid w:val="001B0DCF"/>
    <w:rsid w:val="001B0EB2"/>
    <w:rsid w:val="001B2220"/>
    <w:rsid w:val="001B225D"/>
    <w:rsid w:val="001B258B"/>
    <w:rsid w:val="001B2807"/>
    <w:rsid w:val="001B294D"/>
    <w:rsid w:val="001B2BDC"/>
    <w:rsid w:val="001B2D60"/>
    <w:rsid w:val="001B3146"/>
    <w:rsid w:val="001B33F2"/>
    <w:rsid w:val="001B345D"/>
    <w:rsid w:val="001B34B6"/>
    <w:rsid w:val="001B377F"/>
    <w:rsid w:val="001B378B"/>
    <w:rsid w:val="001B3968"/>
    <w:rsid w:val="001B3BA8"/>
    <w:rsid w:val="001B458F"/>
    <w:rsid w:val="001B4C0B"/>
    <w:rsid w:val="001B5728"/>
    <w:rsid w:val="001B597F"/>
    <w:rsid w:val="001B5A78"/>
    <w:rsid w:val="001B5E2C"/>
    <w:rsid w:val="001B5FDA"/>
    <w:rsid w:val="001B61DB"/>
    <w:rsid w:val="001B69D5"/>
    <w:rsid w:val="001B6B19"/>
    <w:rsid w:val="001B6B6B"/>
    <w:rsid w:val="001B71D8"/>
    <w:rsid w:val="001B79CE"/>
    <w:rsid w:val="001B7BD8"/>
    <w:rsid w:val="001B7F42"/>
    <w:rsid w:val="001C0013"/>
    <w:rsid w:val="001C027E"/>
    <w:rsid w:val="001C0711"/>
    <w:rsid w:val="001C0D1B"/>
    <w:rsid w:val="001C0DA5"/>
    <w:rsid w:val="001C11F4"/>
    <w:rsid w:val="001C1263"/>
    <w:rsid w:val="001C12C9"/>
    <w:rsid w:val="001C15E2"/>
    <w:rsid w:val="001C1B10"/>
    <w:rsid w:val="001C1B30"/>
    <w:rsid w:val="001C1BA1"/>
    <w:rsid w:val="001C2234"/>
    <w:rsid w:val="001C26B8"/>
    <w:rsid w:val="001C2B27"/>
    <w:rsid w:val="001C2C30"/>
    <w:rsid w:val="001C2D1E"/>
    <w:rsid w:val="001C2D56"/>
    <w:rsid w:val="001C33BA"/>
    <w:rsid w:val="001C36F2"/>
    <w:rsid w:val="001C39D6"/>
    <w:rsid w:val="001C3DBE"/>
    <w:rsid w:val="001C43DF"/>
    <w:rsid w:val="001C471B"/>
    <w:rsid w:val="001C4AD7"/>
    <w:rsid w:val="001C4B1F"/>
    <w:rsid w:val="001C4B48"/>
    <w:rsid w:val="001C54D0"/>
    <w:rsid w:val="001C5697"/>
    <w:rsid w:val="001C5C90"/>
    <w:rsid w:val="001C5FFE"/>
    <w:rsid w:val="001C6179"/>
    <w:rsid w:val="001C6B3F"/>
    <w:rsid w:val="001C6EF4"/>
    <w:rsid w:val="001C747D"/>
    <w:rsid w:val="001C77FD"/>
    <w:rsid w:val="001C7AC5"/>
    <w:rsid w:val="001C7B3B"/>
    <w:rsid w:val="001C7E3F"/>
    <w:rsid w:val="001D0243"/>
    <w:rsid w:val="001D02F2"/>
    <w:rsid w:val="001D07E2"/>
    <w:rsid w:val="001D0866"/>
    <w:rsid w:val="001D1126"/>
    <w:rsid w:val="001D1725"/>
    <w:rsid w:val="001D1C7B"/>
    <w:rsid w:val="001D217A"/>
    <w:rsid w:val="001D2383"/>
    <w:rsid w:val="001D25C0"/>
    <w:rsid w:val="001D2859"/>
    <w:rsid w:val="001D2BB1"/>
    <w:rsid w:val="001D3474"/>
    <w:rsid w:val="001D356A"/>
    <w:rsid w:val="001D3BA4"/>
    <w:rsid w:val="001D3BF1"/>
    <w:rsid w:val="001D3C59"/>
    <w:rsid w:val="001D3F3A"/>
    <w:rsid w:val="001D403E"/>
    <w:rsid w:val="001D44CF"/>
    <w:rsid w:val="001D44F6"/>
    <w:rsid w:val="001D4DD4"/>
    <w:rsid w:val="001D4F6A"/>
    <w:rsid w:val="001D535F"/>
    <w:rsid w:val="001D540C"/>
    <w:rsid w:val="001D5647"/>
    <w:rsid w:val="001D5971"/>
    <w:rsid w:val="001D5F3B"/>
    <w:rsid w:val="001D6019"/>
    <w:rsid w:val="001D65C2"/>
    <w:rsid w:val="001D67CA"/>
    <w:rsid w:val="001D680F"/>
    <w:rsid w:val="001D6F27"/>
    <w:rsid w:val="001D6FA7"/>
    <w:rsid w:val="001D6FDD"/>
    <w:rsid w:val="001D722B"/>
    <w:rsid w:val="001D7325"/>
    <w:rsid w:val="001D7AF9"/>
    <w:rsid w:val="001E0634"/>
    <w:rsid w:val="001E0E47"/>
    <w:rsid w:val="001E0F4F"/>
    <w:rsid w:val="001E0FC5"/>
    <w:rsid w:val="001E12B7"/>
    <w:rsid w:val="001E1511"/>
    <w:rsid w:val="001E1532"/>
    <w:rsid w:val="001E19E8"/>
    <w:rsid w:val="001E23EC"/>
    <w:rsid w:val="001E2855"/>
    <w:rsid w:val="001E2932"/>
    <w:rsid w:val="001E2A8C"/>
    <w:rsid w:val="001E2AFE"/>
    <w:rsid w:val="001E2B72"/>
    <w:rsid w:val="001E2C17"/>
    <w:rsid w:val="001E35FA"/>
    <w:rsid w:val="001E4048"/>
    <w:rsid w:val="001E42E1"/>
    <w:rsid w:val="001E4303"/>
    <w:rsid w:val="001E4C1A"/>
    <w:rsid w:val="001E4D53"/>
    <w:rsid w:val="001E528F"/>
    <w:rsid w:val="001E543C"/>
    <w:rsid w:val="001E6080"/>
    <w:rsid w:val="001E62EE"/>
    <w:rsid w:val="001E65CD"/>
    <w:rsid w:val="001E65D8"/>
    <w:rsid w:val="001E6A1A"/>
    <w:rsid w:val="001E6CFC"/>
    <w:rsid w:val="001E6D29"/>
    <w:rsid w:val="001E6EB1"/>
    <w:rsid w:val="001E6FF9"/>
    <w:rsid w:val="001E747F"/>
    <w:rsid w:val="001E7915"/>
    <w:rsid w:val="001F032F"/>
    <w:rsid w:val="001F03AA"/>
    <w:rsid w:val="001F0E21"/>
    <w:rsid w:val="001F0E49"/>
    <w:rsid w:val="001F10DC"/>
    <w:rsid w:val="001F10F7"/>
    <w:rsid w:val="001F1346"/>
    <w:rsid w:val="001F148F"/>
    <w:rsid w:val="001F1A48"/>
    <w:rsid w:val="001F1B5F"/>
    <w:rsid w:val="001F1F16"/>
    <w:rsid w:val="001F21DE"/>
    <w:rsid w:val="001F22CA"/>
    <w:rsid w:val="001F2E40"/>
    <w:rsid w:val="001F2F67"/>
    <w:rsid w:val="001F2FA5"/>
    <w:rsid w:val="001F33E7"/>
    <w:rsid w:val="001F4201"/>
    <w:rsid w:val="001F4383"/>
    <w:rsid w:val="001F4826"/>
    <w:rsid w:val="001F4C18"/>
    <w:rsid w:val="001F4EBC"/>
    <w:rsid w:val="001F4F99"/>
    <w:rsid w:val="001F4FA8"/>
    <w:rsid w:val="001F5620"/>
    <w:rsid w:val="001F5632"/>
    <w:rsid w:val="001F57C7"/>
    <w:rsid w:val="001F5CC2"/>
    <w:rsid w:val="001F5D2D"/>
    <w:rsid w:val="001F5DD4"/>
    <w:rsid w:val="001F5E2C"/>
    <w:rsid w:val="001F6AA2"/>
    <w:rsid w:val="001F7199"/>
    <w:rsid w:val="001F7640"/>
    <w:rsid w:val="001F7D41"/>
    <w:rsid w:val="002002CD"/>
    <w:rsid w:val="0020036F"/>
    <w:rsid w:val="002006A3"/>
    <w:rsid w:val="0020075D"/>
    <w:rsid w:val="0020079A"/>
    <w:rsid w:val="00200A43"/>
    <w:rsid w:val="00200C93"/>
    <w:rsid w:val="00200DCA"/>
    <w:rsid w:val="00200E79"/>
    <w:rsid w:val="00200FAE"/>
    <w:rsid w:val="00201D49"/>
    <w:rsid w:val="00201E03"/>
    <w:rsid w:val="00201E79"/>
    <w:rsid w:val="00201FD6"/>
    <w:rsid w:val="0020222F"/>
    <w:rsid w:val="00202242"/>
    <w:rsid w:val="0020277D"/>
    <w:rsid w:val="00202950"/>
    <w:rsid w:val="00203249"/>
    <w:rsid w:val="0020334A"/>
    <w:rsid w:val="002033C9"/>
    <w:rsid w:val="002035E2"/>
    <w:rsid w:val="00203730"/>
    <w:rsid w:val="00203F76"/>
    <w:rsid w:val="00204822"/>
    <w:rsid w:val="0020482B"/>
    <w:rsid w:val="00204B1E"/>
    <w:rsid w:val="00204F26"/>
    <w:rsid w:val="00205420"/>
    <w:rsid w:val="002057C1"/>
    <w:rsid w:val="002064D9"/>
    <w:rsid w:val="00206E75"/>
    <w:rsid w:val="0021016E"/>
    <w:rsid w:val="00210E4C"/>
    <w:rsid w:val="00210EE7"/>
    <w:rsid w:val="00210FD2"/>
    <w:rsid w:val="00211276"/>
    <w:rsid w:val="002112A5"/>
    <w:rsid w:val="00211726"/>
    <w:rsid w:val="002119AE"/>
    <w:rsid w:val="00211A7E"/>
    <w:rsid w:val="00211B55"/>
    <w:rsid w:val="00211F5F"/>
    <w:rsid w:val="002124EA"/>
    <w:rsid w:val="00212848"/>
    <w:rsid w:val="00212A13"/>
    <w:rsid w:val="00212D61"/>
    <w:rsid w:val="00213817"/>
    <w:rsid w:val="0021386A"/>
    <w:rsid w:val="00213AEB"/>
    <w:rsid w:val="00214BAC"/>
    <w:rsid w:val="0021502E"/>
    <w:rsid w:val="00215111"/>
    <w:rsid w:val="0021526C"/>
    <w:rsid w:val="00215308"/>
    <w:rsid w:val="00215759"/>
    <w:rsid w:val="002158C5"/>
    <w:rsid w:val="00215CF6"/>
    <w:rsid w:val="00215F51"/>
    <w:rsid w:val="00216571"/>
    <w:rsid w:val="002165DC"/>
    <w:rsid w:val="00216642"/>
    <w:rsid w:val="0021673A"/>
    <w:rsid w:val="00220273"/>
    <w:rsid w:val="002208D2"/>
    <w:rsid w:val="0022092E"/>
    <w:rsid w:val="00220AD2"/>
    <w:rsid w:val="00220D5A"/>
    <w:rsid w:val="00221460"/>
    <w:rsid w:val="002214BC"/>
    <w:rsid w:val="00221681"/>
    <w:rsid w:val="0022196B"/>
    <w:rsid w:val="00222068"/>
    <w:rsid w:val="00222223"/>
    <w:rsid w:val="00222388"/>
    <w:rsid w:val="00222501"/>
    <w:rsid w:val="00222664"/>
    <w:rsid w:val="0022284D"/>
    <w:rsid w:val="00222AFA"/>
    <w:rsid w:val="00222D62"/>
    <w:rsid w:val="00223314"/>
    <w:rsid w:val="0022348D"/>
    <w:rsid w:val="00223E02"/>
    <w:rsid w:val="002242F2"/>
    <w:rsid w:val="002244A9"/>
    <w:rsid w:val="00224589"/>
    <w:rsid w:val="002246C4"/>
    <w:rsid w:val="00225CB4"/>
    <w:rsid w:val="00225CD3"/>
    <w:rsid w:val="00225F14"/>
    <w:rsid w:val="0022693A"/>
    <w:rsid w:val="00226A5B"/>
    <w:rsid w:val="00226CD5"/>
    <w:rsid w:val="00226D9F"/>
    <w:rsid w:val="00226EA4"/>
    <w:rsid w:val="0022732C"/>
    <w:rsid w:val="0022778C"/>
    <w:rsid w:val="002279E6"/>
    <w:rsid w:val="00227C09"/>
    <w:rsid w:val="00227C34"/>
    <w:rsid w:val="002302C7"/>
    <w:rsid w:val="002302ED"/>
    <w:rsid w:val="002302F6"/>
    <w:rsid w:val="00230885"/>
    <w:rsid w:val="00230C7E"/>
    <w:rsid w:val="00231252"/>
    <w:rsid w:val="00231310"/>
    <w:rsid w:val="002324BA"/>
    <w:rsid w:val="0023264F"/>
    <w:rsid w:val="0023275F"/>
    <w:rsid w:val="002327AF"/>
    <w:rsid w:val="002329E7"/>
    <w:rsid w:val="00232BE5"/>
    <w:rsid w:val="00232C7D"/>
    <w:rsid w:val="00232DEE"/>
    <w:rsid w:val="0023334F"/>
    <w:rsid w:val="002334A7"/>
    <w:rsid w:val="00233631"/>
    <w:rsid w:val="00233691"/>
    <w:rsid w:val="0023375E"/>
    <w:rsid w:val="00233791"/>
    <w:rsid w:val="00233D0F"/>
    <w:rsid w:val="00233D52"/>
    <w:rsid w:val="00233DFF"/>
    <w:rsid w:val="00233EF9"/>
    <w:rsid w:val="002342EC"/>
    <w:rsid w:val="002342FB"/>
    <w:rsid w:val="00234451"/>
    <w:rsid w:val="002345EB"/>
    <w:rsid w:val="00234A99"/>
    <w:rsid w:val="00234C8D"/>
    <w:rsid w:val="00234DDC"/>
    <w:rsid w:val="00234FE9"/>
    <w:rsid w:val="002350C7"/>
    <w:rsid w:val="00235194"/>
    <w:rsid w:val="00235754"/>
    <w:rsid w:val="00235A33"/>
    <w:rsid w:val="0023698E"/>
    <w:rsid w:val="00236ABC"/>
    <w:rsid w:val="00236D7F"/>
    <w:rsid w:val="00236DD4"/>
    <w:rsid w:val="00236F67"/>
    <w:rsid w:val="00237195"/>
    <w:rsid w:val="00237361"/>
    <w:rsid w:val="00237727"/>
    <w:rsid w:val="00237844"/>
    <w:rsid w:val="00237CE0"/>
    <w:rsid w:val="00237CED"/>
    <w:rsid w:val="00240093"/>
    <w:rsid w:val="00240163"/>
    <w:rsid w:val="00240257"/>
    <w:rsid w:val="002403A2"/>
    <w:rsid w:val="00240F01"/>
    <w:rsid w:val="00240F14"/>
    <w:rsid w:val="002412B9"/>
    <w:rsid w:val="00241415"/>
    <w:rsid w:val="0024144E"/>
    <w:rsid w:val="00241D58"/>
    <w:rsid w:val="00241DFA"/>
    <w:rsid w:val="00241FED"/>
    <w:rsid w:val="002425BB"/>
    <w:rsid w:val="0024297F"/>
    <w:rsid w:val="002429D3"/>
    <w:rsid w:val="0024319B"/>
    <w:rsid w:val="002432FB"/>
    <w:rsid w:val="00243395"/>
    <w:rsid w:val="00243798"/>
    <w:rsid w:val="00243B90"/>
    <w:rsid w:val="0024493A"/>
    <w:rsid w:val="00244D93"/>
    <w:rsid w:val="00244FC7"/>
    <w:rsid w:val="00245060"/>
    <w:rsid w:val="00245064"/>
    <w:rsid w:val="002451BD"/>
    <w:rsid w:val="00245255"/>
    <w:rsid w:val="0024569E"/>
    <w:rsid w:val="00245B78"/>
    <w:rsid w:val="00245F4C"/>
    <w:rsid w:val="002461CB"/>
    <w:rsid w:val="002461E4"/>
    <w:rsid w:val="00246237"/>
    <w:rsid w:val="00246D46"/>
    <w:rsid w:val="00246DD1"/>
    <w:rsid w:val="0024713A"/>
    <w:rsid w:val="002471DD"/>
    <w:rsid w:val="0024779C"/>
    <w:rsid w:val="00250364"/>
    <w:rsid w:val="002503FD"/>
    <w:rsid w:val="002507A0"/>
    <w:rsid w:val="002507DD"/>
    <w:rsid w:val="00250C92"/>
    <w:rsid w:val="0025104F"/>
    <w:rsid w:val="00251345"/>
    <w:rsid w:val="00251550"/>
    <w:rsid w:val="00251D8A"/>
    <w:rsid w:val="00252348"/>
    <w:rsid w:val="002524B0"/>
    <w:rsid w:val="0025262E"/>
    <w:rsid w:val="00252785"/>
    <w:rsid w:val="002528A7"/>
    <w:rsid w:val="00252963"/>
    <w:rsid w:val="002533FC"/>
    <w:rsid w:val="00253554"/>
    <w:rsid w:val="00253646"/>
    <w:rsid w:val="00253C38"/>
    <w:rsid w:val="00254398"/>
    <w:rsid w:val="00254ADC"/>
    <w:rsid w:val="00254FE8"/>
    <w:rsid w:val="00255156"/>
    <w:rsid w:val="00255401"/>
    <w:rsid w:val="0025573B"/>
    <w:rsid w:val="00255CC0"/>
    <w:rsid w:val="00255D8A"/>
    <w:rsid w:val="002561B7"/>
    <w:rsid w:val="002562A3"/>
    <w:rsid w:val="002562C9"/>
    <w:rsid w:val="00256647"/>
    <w:rsid w:val="00256CAA"/>
    <w:rsid w:val="00257388"/>
    <w:rsid w:val="002579BE"/>
    <w:rsid w:val="002579E4"/>
    <w:rsid w:val="002579FA"/>
    <w:rsid w:val="00257AF5"/>
    <w:rsid w:val="00257D3B"/>
    <w:rsid w:val="00257F2B"/>
    <w:rsid w:val="00260047"/>
    <w:rsid w:val="002601B5"/>
    <w:rsid w:val="00260812"/>
    <w:rsid w:val="00260D8D"/>
    <w:rsid w:val="00260DAA"/>
    <w:rsid w:val="002612B3"/>
    <w:rsid w:val="0026132C"/>
    <w:rsid w:val="00261524"/>
    <w:rsid w:val="00261ABB"/>
    <w:rsid w:val="00261C2A"/>
    <w:rsid w:val="00261C8E"/>
    <w:rsid w:val="00261FB6"/>
    <w:rsid w:val="0026215F"/>
    <w:rsid w:val="0026222B"/>
    <w:rsid w:val="0026261D"/>
    <w:rsid w:val="002627AC"/>
    <w:rsid w:val="002628E8"/>
    <w:rsid w:val="00262F2D"/>
    <w:rsid w:val="002630B0"/>
    <w:rsid w:val="0026332B"/>
    <w:rsid w:val="00263414"/>
    <w:rsid w:val="00263821"/>
    <w:rsid w:val="00263E3D"/>
    <w:rsid w:val="0026403F"/>
    <w:rsid w:val="00264056"/>
    <w:rsid w:val="00264569"/>
    <w:rsid w:val="00264677"/>
    <w:rsid w:val="00265324"/>
    <w:rsid w:val="0026545F"/>
    <w:rsid w:val="00265D7E"/>
    <w:rsid w:val="00265DCE"/>
    <w:rsid w:val="0026662E"/>
    <w:rsid w:val="00266C46"/>
    <w:rsid w:val="00267029"/>
    <w:rsid w:val="002670E9"/>
    <w:rsid w:val="0026730D"/>
    <w:rsid w:val="00267380"/>
    <w:rsid w:val="002673C8"/>
    <w:rsid w:val="002677C8"/>
    <w:rsid w:val="002678F8"/>
    <w:rsid w:val="00267E6A"/>
    <w:rsid w:val="00270364"/>
    <w:rsid w:val="00270554"/>
    <w:rsid w:val="00270557"/>
    <w:rsid w:val="002706CE"/>
    <w:rsid w:val="00270978"/>
    <w:rsid w:val="00270A8E"/>
    <w:rsid w:val="00270C6D"/>
    <w:rsid w:val="00271359"/>
    <w:rsid w:val="00271442"/>
    <w:rsid w:val="00271645"/>
    <w:rsid w:val="002716E5"/>
    <w:rsid w:val="00271796"/>
    <w:rsid w:val="00271E49"/>
    <w:rsid w:val="00272230"/>
    <w:rsid w:val="002723C5"/>
    <w:rsid w:val="002726D1"/>
    <w:rsid w:val="0027293F"/>
    <w:rsid w:val="00272B15"/>
    <w:rsid w:val="00272E7C"/>
    <w:rsid w:val="00272FF9"/>
    <w:rsid w:val="00273218"/>
    <w:rsid w:val="0027351B"/>
    <w:rsid w:val="00273746"/>
    <w:rsid w:val="00273801"/>
    <w:rsid w:val="00273E27"/>
    <w:rsid w:val="00273E88"/>
    <w:rsid w:val="00273E9F"/>
    <w:rsid w:val="002742EC"/>
    <w:rsid w:val="00274681"/>
    <w:rsid w:val="00274941"/>
    <w:rsid w:val="00274A65"/>
    <w:rsid w:val="00274C07"/>
    <w:rsid w:val="00274C2E"/>
    <w:rsid w:val="00274CD2"/>
    <w:rsid w:val="00274E60"/>
    <w:rsid w:val="002753C8"/>
    <w:rsid w:val="00276B6B"/>
    <w:rsid w:val="0027716A"/>
    <w:rsid w:val="00277ACD"/>
    <w:rsid w:val="00277CEE"/>
    <w:rsid w:val="00281B88"/>
    <w:rsid w:val="00281CD1"/>
    <w:rsid w:val="00282205"/>
    <w:rsid w:val="002822B0"/>
    <w:rsid w:val="0028274B"/>
    <w:rsid w:val="00282F3D"/>
    <w:rsid w:val="00283878"/>
    <w:rsid w:val="00283BC7"/>
    <w:rsid w:val="00283E81"/>
    <w:rsid w:val="00284091"/>
    <w:rsid w:val="002841EE"/>
    <w:rsid w:val="00284302"/>
    <w:rsid w:val="002845C5"/>
    <w:rsid w:val="00284E6F"/>
    <w:rsid w:val="00284F34"/>
    <w:rsid w:val="0028545B"/>
    <w:rsid w:val="002856CE"/>
    <w:rsid w:val="00286429"/>
    <w:rsid w:val="00286E6C"/>
    <w:rsid w:val="0028737A"/>
    <w:rsid w:val="0028760D"/>
    <w:rsid w:val="002877FC"/>
    <w:rsid w:val="00287D46"/>
    <w:rsid w:val="002901E0"/>
    <w:rsid w:val="002906D8"/>
    <w:rsid w:val="00290739"/>
    <w:rsid w:val="00290959"/>
    <w:rsid w:val="00290B90"/>
    <w:rsid w:val="00290C76"/>
    <w:rsid w:val="00290D0E"/>
    <w:rsid w:val="00290E73"/>
    <w:rsid w:val="0029124A"/>
    <w:rsid w:val="002912F2"/>
    <w:rsid w:val="002915E8"/>
    <w:rsid w:val="0029194D"/>
    <w:rsid w:val="002919F2"/>
    <w:rsid w:val="0029218B"/>
    <w:rsid w:val="00292E82"/>
    <w:rsid w:val="0029367D"/>
    <w:rsid w:val="00293B4F"/>
    <w:rsid w:val="002941F6"/>
    <w:rsid w:val="00294A18"/>
    <w:rsid w:val="00295732"/>
    <w:rsid w:val="002958C8"/>
    <w:rsid w:val="002959FE"/>
    <w:rsid w:val="00295C09"/>
    <w:rsid w:val="00295C56"/>
    <w:rsid w:val="00296248"/>
    <w:rsid w:val="0029636C"/>
    <w:rsid w:val="00296372"/>
    <w:rsid w:val="0029662B"/>
    <w:rsid w:val="00296B63"/>
    <w:rsid w:val="00297202"/>
    <w:rsid w:val="0029722B"/>
    <w:rsid w:val="0029725F"/>
    <w:rsid w:val="002A0552"/>
    <w:rsid w:val="002A0570"/>
    <w:rsid w:val="002A0959"/>
    <w:rsid w:val="002A0A1B"/>
    <w:rsid w:val="002A0D53"/>
    <w:rsid w:val="002A10D3"/>
    <w:rsid w:val="002A144E"/>
    <w:rsid w:val="002A14D9"/>
    <w:rsid w:val="002A1DDF"/>
    <w:rsid w:val="002A1EA5"/>
    <w:rsid w:val="002A23FA"/>
    <w:rsid w:val="002A2476"/>
    <w:rsid w:val="002A259E"/>
    <w:rsid w:val="002A2828"/>
    <w:rsid w:val="002A2A68"/>
    <w:rsid w:val="002A2FD7"/>
    <w:rsid w:val="002A30A2"/>
    <w:rsid w:val="002A3114"/>
    <w:rsid w:val="002A346C"/>
    <w:rsid w:val="002A44A1"/>
    <w:rsid w:val="002A484A"/>
    <w:rsid w:val="002A4BFF"/>
    <w:rsid w:val="002A4EF6"/>
    <w:rsid w:val="002A51AB"/>
    <w:rsid w:val="002A51DB"/>
    <w:rsid w:val="002A52B7"/>
    <w:rsid w:val="002A583C"/>
    <w:rsid w:val="002A5950"/>
    <w:rsid w:val="002A5B30"/>
    <w:rsid w:val="002A5BDF"/>
    <w:rsid w:val="002A66FA"/>
    <w:rsid w:val="002A6B55"/>
    <w:rsid w:val="002A6BEB"/>
    <w:rsid w:val="002A6F64"/>
    <w:rsid w:val="002A6F67"/>
    <w:rsid w:val="002A7198"/>
    <w:rsid w:val="002A76F1"/>
    <w:rsid w:val="002A76FF"/>
    <w:rsid w:val="002A7B13"/>
    <w:rsid w:val="002A7C32"/>
    <w:rsid w:val="002A7C7C"/>
    <w:rsid w:val="002A7D2F"/>
    <w:rsid w:val="002A7E31"/>
    <w:rsid w:val="002A7FF5"/>
    <w:rsid w:val="002B0238"/>
    <w:rsid w:val="002B04EC"/>
    <w:rsid w:val="002B0C4A"/>
    <w:rsid w:val="002B1012"/>
    <w:rsid w:val="002B10CF"/>
    <w:rsid w:val="002B1578"/>
    <w:rsid w:val="002B1921"/>
    <w:rsid w:val="002B1ACA"/>
    <w:rsid w:val="002B1CE4"/>
    <w:rsid w:val="002B22FD"/>
    <w:rsid w:val="002B24E3"/>
    <w:rsid w:val="002B26BE"/>
    <w:rsid w:val="002B2A7D"/>
    <w:rsid w:val="002B2BAE"/>
    <w:rsid w:val="002B2BCF"/>
    <w:rsid w:val="002B2E0C"/>
    <w:rsid w:val="002B35B3"/>
    <w:rsid w:val="002B3840"/>
    <w:rsid w:val="002B3B4D"/>
    <w:rsid w:val="002B3B97"/>
    <w:rsid w:val="002B3C24"/>
    <w:rsid w:val="002B3D6A"/>
    <w:rsid w:val="002B4046"/>
    <w:rsid w:val="002B413D"/>
    <w:rsid w:val="002B43CB"/>
    <w:rsid w:val="002B484D"/>
    <w:rsid w:val="002B490A"/>
    <w:rsid w:val="002B4C46"/>
    <w:rsid w:val="002B55DA"/>
    <w:rsid w:val="002B5E83"/>
    <w:rsid w:val="002B65CB"/>
    <w:rsid w:val="002B6931"/>
    <w:rsid w:val="002B6F6F"/>
    <w:rsid w:val="002B6FAB"/>
    <w:rsid w:val="002B706B"/>
    <w:rsid w:val="002B724C"/>
    <w:rsid w:val="002B7353"/>
    <w:rsid w:val="002B73EA"/>
    <w:rsid w:val="002C066D"/>
    <w:rsid w:val="002C07F1"/>
    <w:rsid w:val="002C0809"/>
    <w:rsid w:val="002C0901"/>
    <w:rsid w:val="002C0B41"/>
    <w:rsid w:val="002C12B5"/>
    <w:rsid w:val="002C12C9"/>
    <w:rsid w:val="002C160F"/>
    <w:rsid w:val="002C1659"/>
    <w:rsid w:val="002C16E5"/>
    <w:rsid w:val="002C18AB"/>
    <w:rsid w:val="002C1A1E"/>
    <w:rsid w:val="002C2461"/>
    <w:rsid w:val="002C2C36"/>
    <w:rsid w:val="002C365B"/>
    <w:rsid w:val="002C36C7"/>
    <w:rsid w:val="002C39D3"/>
    <w:rsid w:val="002C3ED4"/>
    <w:rsid w:val="002C40F6"/>
    <w:rsid w:val="002C4287"/>
    <w:rsid w:val="002C428E"/>
    <w:rsid w:val="002C443F"/>
    <w:rsid w:val="002C44D9"/>
    <w:rsid w:val="002C4939"/>
    <w:rsid w:val="002C4A40"/>
    <w:rsid w:val="002C4B6F"/>
    <w:rsid w:val="002C5348"/>
    <w:rsid w:val="002C5544"/>
    <w:rsid w:val="002C5632"/>
    <w:rsid w:val="002C5882"/>
    <w:rsid w:val="002C5A9A"/>
    <w:rsid w:val="002C6A61"/>
    <w:rsid w:val="002C6F2F"/>
    <w:rsid w:val="002C6F35"/>
    <w:rsid w:val="002C6FCC"/>
    <w:rsid w:val="002C70C8"/>
    <w:rsid w:val="002C71F6"/>
    <w:rsid w:val="002C7657"/>
    <w:rsid w:val="002C773A"/>
    <w:rsid w:val="002C7873"/>
    <w:rsid w:val="002D00F8"/>
    <w:rsid w:val="002D0651"/>
    <w:rsid w:val="002D0A31"/>
    <w:rsid w:val="002D0D72"/>
    <w:rsid w:val="002D0EA9"/>
    <w:rsid w:val="002D101D"/>
    <w:rsid w:val="002D1294"/>
    <w:rsid w:val="002D189C"/>
    <w:rsid w:val="002D197F"/>
    <w:rsid w:val="002D1BB3"/>
    <w:rsid w:val="002D1DC2"/>
    <w:rsid w:val="002D1E08"/>
    <w:rsid w:val="002D23C2"/>
    <w:rsid w:val="002D2514"/>
    <w:rsid w:val="002D26F9"/>
    <w:rsid w:val="002D2706"/>
    <w:rsid w:val="002D33C5"/>
    <w:rsid w:val="002D3E37"/>
    <w:rsid w:val="002D4184"/>
    <w:rsid w:val="002D4253"/>
    <w:rsid w:val="002D500B"/>
    <w:rsid w:val="002D50AD"/>
    <w:rsid w:val="002D51D4"/>
    <w:rsid w:val="002D53E2"/>
    <w:rsid w:val="002D5678"/>
    <w:rsid w:val="002D57BF"/>
    <w:rsid w:val="002D6057"/>
    <w:rsid w:val="002D6480"/>
    <w:rsid w:val="002D65DC"/>
    <w:rsid w:val="002D676F"/>
    <w:rsid w:val="002D68FC"/>
    <w:rsid w:val="002D6B26"/>
    <w:rsid w:val="002D6CC9"/>
    <w:rsid w:val="002D6D02"/>
    <w:rsid w:val="002D7487"/>
    <w:rsid w:val="002D7580"/>
    <w:rsid w:val="002D76D3"/>
    <w:rsid w:val="002D7882"/>
    <w:rsid w:val="002D7E59"/>
    <w:rsid w:val="002E00E7"/>
    <w:rsid w:val="002E02E4"/>
    <w:rsid w:val="002E0436"/>
    <w:rsid w:val="002E04A9"/>
    <w:rsid w:val="002E05D0"/>
    <w:rsid w:val="002E0F2B"/>
    <w:rsid w:val="002E129F"/>
    <w:rsid w:val="002E1B9D"/>
    <w:rsid w:val="002E1F48"/>
    <w:rsid w:val="002E25C3"/>
    <w:rsid w:val="002E2983"/>
    <w:rsid w:val="002E30D3"/>
    <w:rsid w:val="002E3202"/>
    <w:rsid w:val="002E34BB"/>
    <w:rsid w:val="002E3788"/>
    <w:rsid w:val="002E3D33"/>
    <w:rsid w:val="002E4047"/>
    <w:rsid w:val="002E42AB"/>
    <w:rsid w:val="002E4511"/>
    <w:rsid w:val="002E48CA"/>
    <w:rsid w:val="002E4D9A"/>
    <w:rsid w:val="002E4F74"/>
    <w:rsid w:val="002E56EB"/>
    <w:rsid w:val="002E56F0"/>
    <w:rsid w:val="002E59CA"/>
    <w:rsid w:val="002E5DF4"/>
    <w:rsid w:val="002E622D"/>
    <w:rsid w:val="002E6281"/>
    <w:rsid w:val="002E6B41"/>
    <w:rsid w:val="002E78C7"/>
    <w:rsid w:val="002E7984"/>
    <w:rsid w:val="002F03B9"/>
    <w:rsid w:val="002F04BC"/>
    <w:rsid w:val="002F07B0"/>
    <w:rsid w:val="002F0802"/>
    <w:rsid w:val="002F0FBF"/>
    <w:rsid w:val="002F104C"/>
    <w:rsid w:val="002F1A9B"/>
    <w:rsid w:val="002F1B5B"/>
    <w:rsid w:val="002F1BF2"/>
    <w:rsid w:val="002F1E48"/>
    <w:rsid w:val="002F2126"/>
    <w:rsid w:val="002F240F"/>
    <w:rsid w:val="002F2493"/>
    <w:rsid w:val="002F28A6"/>
    <w:rsid w:val="002F2CF4"/>
    <w:rsid w:val="002F2D3F"/>
    <w:rsid w:val="002F2F5F"/>
    <w:rsid w:val="002F3440"/>
    <w:rsid w:val="002F34B7"/>
    <w:rsid w:val="002F34F3"/>
    <w:rsid w:val="002F35E5"/>
    <w:rsid w:val="002F3634"/>
    <w:rsid w:val="002F3A93"/>
    <w:rsid w:val="002F3E85"/>
    <w:rsid w:val="002F3F2E"/>
    <w:rsid w:val="002F432B"/>
    <w:rsid w:val="002F43AC"/>
    <w:rsid w:val="002F4581"/>
    <w:rsid w:val="002F481C"/>
    <w:rsid w:val="002F4F5B"/>
    <w:rsid w:val="002F50CF"/>
    <w:rsid w:val="002F529B"/>
    <w:rsid w:val="002F579B"/>
    <w:rsid w:val="002F57B9"/>
    <w:rsid w:val="002F580A"/>
    <w:rsid w:val="002F5813"/>
    <w:rsid w:val="002F5C7A"/>
    <w:rsid w:val="002F5E80"/>
    <w:rsid w:val="002F5F44"/>
    <w:rsid w:val="002F6012"/>
    <w:rsid w:val="002F6265"/>
    <w:rsid w:val="002F62E8"/>
    <w:rsid w:val="002F6747"/>
    <w:rsid w:val="002F7070"/>
    <w:rsid w:val="002F765B"/>
    <w:rsid w:val="0030021B"/>
    <w:rsid w:val="003002A1"/>
    <w:rsid w:val="0030040C"/>
    <w:rsid w:val="003005D7"/>
    <w:rsid w:val="00300AE2"/>
    <w:rsid w:val="00300B19"/>
    <w:rsid w:val="00300F99"/>
    <w:rsid w:val="003019F8"/>
    <w:rsid w:val="00301B94"/>
    <w:rsid w:val="00301D34"/>
    <w:rsid w:val="00301F63"/>
    <w:rsid w:val="0030259C"/>
    <w:rsid w:val="00302E8E"/>
    <w:rsid w:val="00303705"/>
    <w:rsid w:val="003038D0"/>
    <w:rsid w:val="00303F60"/>
    <w:rsid w:val="003041CA"/>
    <w:rsid w:val="00304281"/>
    <w:rsid w:val="003042A6"/>
    <w:rsid w:val="00304576"/>
    <w:rsid w:val="00304646"/>
    <w:rsid w:val="003046DB"/>
    <w:rsid w:val="00304707"/>
    <w:rsid w:val="00304790"/>
    <w:rsid w:val="003047F5"/>
    <w:rsid w:val="00304874"/>
    <w:rsid w:val="00304F34"/>
    <w:rsid w:val="00305322"/>
    <w:rsid w:val="003053B9"/>
    <w:rsid w:val="003055EE"/>
    <w:rsid w:val="00305D7B"/>
    <w:rsid w:val="003060AC"/>
    <w:rsid w:val="00306375"/>
    <w:rsid w:val="00306872"/>
    <w:rsid w:val="00306AED"/>
    <w:rsid w:val="00306C9D"/>
    <w:rsid w:val="00306E0F"/>
    <w:rsid w:val="00307EC5"/>
    <w:rsid w:val="00307F09"/>
    <w:rsid w:val="0031003A"/>
    <w:rsid w:val="00310488"/>
    <w:rsid w:val="003108FF"/>
    <w:rsid w:val="003109EE"/>
    <w:rsid w:val="00310BB6"/>
    <w:rsid w:val="00311051"/>
    <w:rsid w:val="00311200"/>
    <w:rsid w:val="0031144E"/>
    <w:rsid w:val="00311456"/>
    <w:rsid w:val="003116E4"/>
    <w:rsid w:val="00311943"/>
    <w:rsid w:val="00311A63"/>
    <w:rsid w:val="00311B95"/>
    <w:rsid w:val="00311CC8"/>
    <w:rsid w:val="00312168"/>
    <w:rsid w:val="0031218C"/>
    <w:rsid w:val="003122D8"/>
    <w:rsid w:val="003125D7"/>
    <w:rsid w:val="00313273"/>
    <w:rsid w:val="0031333F"/>
    <w:rsid w:val="003135E1"/>
    <w:rsid w:val="00313C5D"/>
    <w:rsid w:val="00313D47"/>
    <w:rsid w:val="00314EB0"/>
    <w:rsid w:val="003157BB"/>
    <w:rsid w:val="00315E75"/>
    <w:rsid w:val="003168D6"/>
    <w:rsid w:val="00316B00"/>
    <w:rsid w:val="0031716E"/>
    <w:rsid w:val="003171F4"/>
    <w:rsid w:val="00317379"/>
    <w:rsid w:val="0031760D"/>
    <w:rsid w:val="00317BF8"/>
    <w:rsid w:val="0032059D"/>
    <w:rsid w:val="00320A64"/>
    <w:rsid w:val="00320C4D"/>
    <w:rsid w:val="00320CF2"/>
    <w:rsid w:val="00320D27"/>
    <w:rsid w:val="003217E0"/>
    <w:rsid w:val="00321C45"/>
    <w:rsid w:val="00321DBD"/>
    <w:rsid w:val="003221DB"/>
    <w:rsid w:val="00322252"/>
    <w:rsid w:val="003223AC"/>
    <w:rsid w:val="0032246D"/>
    <w:rsid w:val="003228CF"/>
    <w:rsid w:val="00322C4E"/>
    <w:rsid w:val="00322E82"/>
    <w:rsid w:val="00322F65"/>
    <w:rsid w:val="003233F7"/>
    <w:rsid w:val="00323460"/>
    <w:rsid w:val="00324AD9"/>
    <w:rsid w:val="00324AFB"/>
    <w:rsid w:val="00324DE0"/>
    <w:rsid w:val="00324E73"/>
    <w:rsid w:val="0032503A"/>
    <w:rsid w:val="003254D6"/>
    <w:rsid w:val="00325659"/>
    <w:rsid w:val="003256AC"/>
    <w:rsid w:val="00325A4A"/>
    <w:rsid w:val="00325A76"/>
    <w:rsid w:val="00325A99"/>
    <w:rsid w:val="003260C3"/>
    <w:rsid w:val="00326139"/>
    <w:rsid w:val="003261EF"/>
    <w:rsid w:val="00326229"/>
    <w:rsid w:val="0032625F"/>
    <w:rsid w:val="0032631D"/>
    <w:rsid w:val="003264DE"/>
    <w:rsid w:val="00326800"/>
    <w:rsid w:val="00326965"/>
    <w:rsid w:val="00327634"/>
    <w:rsid w:val="00327714"/>
    <w:rsid w:val="00327BA7"/>
    <w:rsid w:val="00327C9B"/>
    <w:rsid w:val="00327EC6"/>
    <w:rsid w:val="00330023"/>
    <w:rsid w:val="003301E9"/>
    <w:rsid w:val="003303D5"/>
    <w:rsid w:val="0033045A"/>
    <w:rsid w:val="00330A88"/>
    <w:rsid w:val="003310BC"/>
    <w:rsid w:val="00331149"/>
    <w:rsid w:val="0033116B"/>
    <w:rsid w:val="003312CF"/>
    <w:rsid w:val="00331992"/>
    <w:rsid w:val="00331E76"/>
    <w:rsid w:val="0033202E"/>
    <w:rsid w:val="0033279C"/>
    <w:rsid w:val="0033281D"/>
    <w:rsid w:val="00332A2C"/>
    <w:rsid w:val="00332B7E"/>
    <w:rsid w:val="00332CC1"/>
    <w:rsid w:val="00332D2E"/>
    <w:rsid w:val="00332D58"/>
    <w:rsid w:val="00332F0C"/>
    <w:rsid w:val="0033306E"/>
    <w:rsid w:val="00333073"/>
    <w:rsid w:val="0033308B"/>
    <w:rsid w:val="00333C46"/>
    <w:rsid w:val="00333F49"/>
    <w:rsid w:val="0033473D"/>
    <w:rsid w:val="00334C30"/>
    <w:rsid w:val="00334C93"/>
    <w:rsid w:val="003350FA"/>
    <w:rsid w:val="0033570A"/>
    <w:rsid w:val="00336568"/>
    <w:rsid w:val="003366B5"/>
    <w:rsid w:val="00336780"/>
    <w:rsid w:val="003368B1"/>
    <w:rsid w:val="003376E6"/>
    <w:rsid w:val="00337BB4"/>
    <w:rsid w:val="00340350"/>
    <w:rsid w:val="00340408"/>
    <w:rsid w:val="003411CC"/>
    <w:rsid w:val="0034181B"/>
    <w:rsid w:val="0034211C"/>
    <w:rsid w:val="00342327"/>
    <w:rsid w:val="003423F7"/>
    <w:rsid w:val="0034286D"/>
    <w:rsid w:val="00342CE7"/>
    <w:rsid w:val="00342E66"/>
    <w:rsid w:val="003435C5"/>
    <w:rsid w:val="003439E3"/>
    <w:rsid w:val="00343A17"/>
    <w:rsid w:val="00343EAC"/>
    <w:rsid w:val="00344371"/>
    <w:rsid w:val="0034461E"/>
    <w:rsid w:val="003449DF"/>
    <w:rsid w:val="00344AA9"/>
    <w:rsid w:val="00344EF5"/>
    <w:rsid w:val="00344FA4"/>
    <w:rsid w:val="00344FD3"/>
    <w:rsid w:val="0034525D"/>
    <w:rsid w:val="00345A9F"/>
    <w:rsid w:val="003463B2"/>
    <w:rsid w:val="00346658"/>
    <w:rsid w:val="0034696C"/>
    <w:rsid w:val="003473F0"/>
    <w:rsid w:val="003478BD"/>
    <w:rsid w:val="003478F2"/>
    <w:rsid w:val="00347936"/>
    <w:rsid w:val="00347A26"/>
    <w:rsid w:val="00350A0F"/>
    <w:rsid w:val="00350A35"/>
    <w:rsid w:val="00350AF5"/>
    <w:rsid w:val="00350B99"/>
    <w:rsid w:val="00350BAF"/>
    <w:rsid w:val="00350DA3"/>
    <w:rsid w:val="00350EBD"/>
    <w:rsid w:val="00351284"/>
    <w:rsid w:val="0035168A"/>
    <w:rsid w:val="0035180D"/>
    <w:rsid w:val="00351BBC"/>
    <w:rsid w:val="00351BFA"/>
    <w:rsid w:val="00351C8A"/>
    <w:rsid w:val="00352012"/>
    <w:rsid w:val="0035206C"/>
    <w:rsid w:val="00352127"/>
    <w:rsid w:val="003521BF"/>
    <w:rsid w:val="003521F1"/>
    <w:rsid w:val="00352597"/>
    <w:rsid w:val="003525ED"/>
    <w:rsid w:val="003528B2"/>
    <w:rsid w:val="00352C2A"/>
    <w:rsid w:val="00352E12"/>
    <w:rsid w:val="0035311B"/>
    <w:rsid w:val="00353A10"/>
    <w:rsid w:val="00353F61"/>
    <w:rsid w:val="00354341"/>
    <w:rsid w:val="00354479"/>
    <w:rsid w:val="003544C1"/>
    <w:rsid w:val="00354763"/>
    <w:rsid w:val="00354A13"/>
    <w:rsid w:val="00354B1A"/>
    <w:rsid w:val="00354C9B"/>
    <w:rsid w:val="00355023"/>
    <w:rsid w:val="003551D4"/>
    <w:rsid w:val="00355295"/>
    <w:rsid w:val="00355386"/>
    <w:rsid w:val="003553CA"/>
    <w:rsid w:val="003555B8"/>
    <w:rsid w:val="00355610"/>
    <w:rsid w:val="00355A09"/>
    <w:rsid w:val="00355C5A"/>
    <w:rsid w:val="00355D80"/>
    <w:rsid w:val="003564F1"/>
    <w:rsid w:val="00356B16"/>
    <w:rsid w:val="00356EBC"/>
    <w:rsid w:val="00356F8A"/>
    <w:rsid w:val="003570A5"/>
    <w:rsid w:val="003570D4"/>
    <w:rsid w:val="003575BF"/>
    <w:rsid w:val="00357BC9"/>
    <w:rsid w:val="00360216"/>
    <w:rsid w:val="003605AA"/>
    <w:rsid w:val="003607CF"/>
    <w:rsid w:val="00360A0B"/>
    <w:rsid w:val="00360BA5"/>
    <w:rsid w:val="00360BFD"/>
    <w:rsid w:val="00361231"/>
    <w:rsid w:val="00361582"/>
    <w:rsid w:val="00361D7F"/>
    <w:rsid w:val="00361FD5"/>
    <w:rsid w:val="00362202"/>
    <w:rsid w:val="00362FE8"/>
    <w:rsid w:val="00363A03"/>
    <w:rsid w:val="00363D50"/>
    <w:rsid w:val="00363D6D"/>
    <w:rsid w:val="00364183"/>
    <w:rsid w:val="00364544"/>
    <w:rsid w:val="003645D5"/>
    <w:rsid w:val="0036482D"/>
    <w:rsid w:val="00364EDC"/>
    <w:rsid w:val="003654A1"/>
    <w:rsid w:val="003655B9"/>
    <w:rsid w:val="00365669"/>
    <w:rsid w:val="00365727"/>
    <w:rsid w:val="00365876"/>
    <w:rsid w:val="003658CB"/>
    <w:rsid w:val="00365939"/>
    <w:rsid w:val="00365C4E"/>
    <w:rsid w:val="00366211"/>
    <w:rsid w:val="003663F6"/>
    <w:rsid w:val="00366B1F"/>
    <w:rsid w:val="00366B97"/>
    <w:rsid w:val="0036748E"/>
    <w:rsid w:val="00367CC5"/>
    <w:rsid w:val="00367D0E"/>
    <w:rsid w:val="0037026C"/>
    <w:rsid w:val="0037036E"/>
    <w:rsid w:val="003703EF"/>
    <w:rsid w:val="00370694"/>
    <w:rsid w:val="00370789"/>
    <w:rsid w:val="00370E29"/>
    <w:rsid w:val="0037103E"/>
    <w:rsid w:val="00371487"/>
    <w:rsid w:val="00371688"/>
    <w:rsid w:val="00371B4C"/>
    <w:rsid w:val="00371C01"/>
    <w:rsid w:val="0037256F"/>
    <w:rsid w:val="00372745"/>
    <w:rsid w:val="00372911"/>
    <w:rsid w:val="0037294F"/>
    <w:rsid w:val="00372BD3"/>
    <w:rsid w:val="00372D68"/>
    <w:rsid w:val="00373587"/>
    <w:rsid w:val="0037361D"/>
    <w:rsid w:val="00373BD3"/>
    <w:rsid w:val="00374466"/>
    <w:rsid w:val="003747C9"/>
    <w:rsid w:val="003751E3"/>
    <w:rsid w:val="0037566A"/>
    <w:rsid w:val="00375866"/>
    <w:rsid w:val="00375B50"/>
    <w:rsid w:val="00375D68"/>
    <w:rsid w:val="00375E9F"/>
    <w:rsid w:val="003763FA"/>
    <w:rsid w:val="00376906"/>
    <w:rsid w:val="003769CD"/>
    <w:rsid w:val="003770BD"/>
    <w:rsid w:val="003773EE"/>
    <w:rsid w:val="003774F3"/>
    <w:rsid w:val="0037755C"/>
    <w:rsid w:val="003777B6"/>
    <w:rsid w:val="003779CF"/>
    <w:rsid w:val="00377D51"/>
    <w:rsid w:val="00380176"/>
    <w:rsid w:val="00380B52"/>
    <w:rsid w:val="00380CC8"/>
    <w:rsid w:val="00380CF9"/>
    <w:rsid w:val="00380F34"/>
    <w:rsid w:val="003811DF"/>
    <w:rsid w:val="003815A9"/>
    <w:rsid w:val="003815FE"/>
    <w:rsid w:val="00381B2A"/>
    <w:rsid w:val="003820CF"/>
    <w:rsid w:val="003821C6"/>
    <w:rsid w:val="0038224A"/>
    <w:rsid w:val="003823D8"/>
    <w:rsid w:val="003824F5"/>
    <w:rsid w:val="00382687"/>
    <w:rsid w:val="003828FE"/>
    <w:rsid w:val="00382C46"/>
    <w:rsid w:val="00383153"/>
    <w:rsid w:val="003831BA"/>
    <w:rsid w:val="003833D5"/>
    <w:rsid w:val="00383971"/>
    <w:rsid w:val="0038454A"/>
    <w:rsid w:val="003849F3"/>
    <w:rsid w:val="00384B3F"/>
    <w:rsid w:val="00384CE2"/>
    <w:rsid w:val="00385493"/>
    <w:rsid w:val="00385987"/>
    <w:rsid w:val="00385E47"/>
    <w:rsid w:val="0038630F"/>
    <w:rsid w:val="00386455"/>
    <w:rsid w:val="003864E7"/>
    <w:rsid w:val="00386890"/>
    <w:rsid w:val="003869F5"/>
    <w:rsid w:val="00386AD9"/>
    <w:rsid w:val="00386C3C"/>
    <w:rsid w:val="00387357"/>
    <w:rsid w:val="00387E1D"/>
    <w:rsid w:val="003901DE"/>
    <w:rsid w:val="00390232"/>
    <w:rsid w:val="003903D4"/>
    <w:rsid w:val="00390608"/>
    <w:rsid w:val="003908E7"/>
    <w:rsid w:val="00390A4C"/>
    <w:rsid w:val="00390DE8"/>
    <w:rsid w:val="00391353"/>
    <w:rsid w:val="003915C5"/>
    <w:rsid w:val="0039173E"/>
    <w:rsid w:val="003919F9"/>
    <w:rsid w:val="00391C44"/>
    <w:rsid w:val="00391F18"/>
    <w:rsid w:val="00392523"/>
    <w:rsid w:val="0039281D"/>
    <w:rsid w:val="003930F9"/>
    <w:rsid w:val="00393233"/>
    <w:rsid w:val="003933DA"/>
    <w:rsid w:val="0039348A"/>
    <w:rsid w:val="00393500"/>
    <w:rsid w:val="00393EE7"/>
    <w:rsid w:val="00394185"/>
    <w:rsid w:val="00394509"/>
    <w:rsid w:val="00394CDE"/>
    <w:rsid w:val="0039550A"/>
    <w:rsid w:val="003962B2"/>
    <w:rsid w:val="00396357"/>
    <w:rsid w:val="0039681F"/>
    <w:rsid w:val="003968AA"/>
    <w:rsid w:val="00396E9C"/>
    <w:rsid w:val="003973BF"/>
    <w:rsid w:val="00397447"/>
    <w:rsid w:val="00397DD2"/>
    <w:rsid w:val="00397E47"/>
    <w:rsid w:val="00397FDE"/>
    <w:rsid w:val="003A03CC"/>
    <w:rsid w:val="003A03FF"/>
    <w:rsid w:val="003A0728"/>
    <w:rsid w:val="003A0C00"/>
    <w:rsid w:val="003A0CA1"/>
    <w:rsid w:val="003A0E63"/>
    <w:rsid w:val="003A0E8A"/>
    <w:rsid w:val="003A0F51"/>
    <w:rsid w:val="003A0F6D"/>
    <w:rsid w:val="003A0F89"/>
    <w:rsid w:val="003A1729"/>
    <w:rsid w:val="003A18E4"/>
    <w:rsid w:val="003A198D"/>
    <w:rsid w:val="003A1B60"/>
    <w:rsid w:val="003A1D3E"/>
    <w:rsid w:val="003A1E65"/>
    <w:rsid w:val="003A2212"/>
    <w:rsid w:val="003A293C"/>
    <w:rsid w:val="003A2BE9"/>
    <w:rsid w:val="003A2C22"/>
    <w:rsid w:val="003A32D2"/>
    <w:rsid w:val="003A34A5"/>
    <w:rsid w:val="003A36D1"/>
    <w:rsid w:val="003A3A55"/>
    <w:rsid w:val="003A3C66"/>
    <w:rsid w:val="003A3DFE"/>
    <w:rsid w:val="003A3F1D"/>
    <w:rsid w:val="003A4357"/>
    <w:rsid w:val="003A44E2"/>
    <w:rsid w:val="003A4647"/>
    <w:rsid w:val="003A4EBE"/>
    <w:rsid w:val="003A5174"/>
    <w:rsid w:val="003A52BF"/>
    <w:rsid w:val="003A52E3"/>
    <w:rsid w:val="003A598C"/>
    <w:rsid w:val="003A5D7F"/>
    <w:rsid w:val="003A5DDA"/>
    <w:rsid w:val="003A5F29"/>
    <w:rsid w:val="003A628F"/>
    <w:rsid w:val="003A62CF"/>
    <w:rsid w:val="003A6409"/>
    <w:rsid w:val="003A64C2"/>
    <w:rsid w:val="003A65A7"/>
    <w:rsid w:val="003A6850"/>
    <w:rsid w:val="003A6D38"/>
    <w:rsid w:val="003A741E"/>
    <w:rsid w:val="003A7BBD"/>
    <w:rsid w:val="003A7BFE"/>
    <w:rsid w:val="003A7FB0"/>
    <w:rsid w:val="003B00E5"/>
    <w:rsid w:val="003B0C31"/>
    <w:rsid w:val="003B0E27"/>
    <w:rsid w:val="003B0E34"/>
    <w:rsid w:val="003B138D"/>
    <w:rsid w:val="003B1B56"/>
    <w:rsid w:val="003B256F"/>
    <w:rsid w:val="003B2A3B"/>
    <w:rsid w:val="003B3CD1"/>
    <w:rsid w:val="003B4400"/>
    <w:rsid w:val="003B5421"/>
    <w:rsid w:val="003B5698"/>
    <w:rsid w:val="003B5988"/>
    <w:rsid w:val="003B5A35"/>
    <w:rsid w:val="003B5C81"/>
    <w:rsid w:val="003B614B"/>
    <w:rsid w:val="003B6319"/>
    <w:rsid w:val="003B6434"/>
    <w:rsid w:val="003B67E1"/>
    <w:rsid w:val="003B6B79"/>
    <w:rsid w:val="003B6EB0"/>
    <w:rsid w:val="003B6F79"/>
    <w:rsid w:val="003B71AB"/>
    <w:rsid w:val="003B73D2"/>
    <w:rsid w:val="003B7BC9"/>
    <w:rsid w:val="003B7DC6"/>
    <w:rsid w:val="003C0052"/>
    <w:rsid w:val="003C010F"/>
    <w:rsid w:val="003C01E7"/>
    <w:rsid w:val="003C0424"/>
    <w:rsid w:val="003C0DC9"/>
    <w:rsid w:val="003C0E67"/>
    <w:rsid w:val="003C0ECF"/>
    <w:rsid w:val="003C10E0"/>
    <w:rsid w:val="003C1140"/>
    <w:rsid w:val="003C1684"/>
    <w:rsid w:val="003C1AF7"/>
    <w:rsid w:val="003C1C7B"/>
    <w:rsid w:val="003C1EDC"/>
    <w:rsid w:val="003C255F"/>
    <w:rsid w:val="003C274E"/>
    <w:rsid w:val="003C278D"/>
    <w:rsid w:val="003C2963"/>
    <w:rsid w:val="003C2C40"/>
    <w:rsid w:val="003C2C8E"/>
    <w:rsid w:val="003C2EE0"/>
    <w:rsid w:val="003C30E7"/>
    <w:rsid w:val="003C375E"/>
    <w:rsid w:val="003C3AB2"/>
    <w:rsid w:val="003C3BA1"/>
    <w:rsid w:val="003C4080"/>
    <w:rsid w:val="003C4584"/>
    <w:rsid w:val="003C496A"/>
    <w:rsid w:val="003C5619"/>
    <w:rsid w:val="003C5BEB"/>
    <w:rsid w:val="003C6263"/>
    <w:rsid w:val="003C6ADD"/>
    <w:rsid w:val="003C6AF2"/>
    <w:rsid w:val="003C700A"/>
    <w:rsid w:val="003C74DA"/>
    <w:rsid w:val="003C7A03"/>
    <w:rsid w:val="003C7C65"/>
    <w:rsid w:val="003C7C9E"/>
    <w:rsid w:val="003C7DB8"/>
    <w:rsid w:val="003D014C"/>
    <w:rsid w:val="003D032D"/>
    <w:rsid w:val="003D06DA"/>
    <w:rsid w:val="003D08DC"/>
    <w:rsid w:val="003D0B8C"/>
    <w:rsid w:val="003D0F55"/>
    <w:rsid w:val="003D12F6"/>
    <w:rsid w:val="003D1531"/>
    <w:rsid w:val="003D1863"/>
    <w:rsid w:val="003D1A5B"/>
    <w:rsid w:val="003D1BEB"/>
    <w:rsid w:val="003D1E12"/>
    <w:rsid w:val="003D21F8"/>
    <w:rsid w:val="003D22A6"/>
    <w:rsid w:val="003D25F6"/>
    <w:rsid w:val="003D264C"/>
    <w:rsid w:val="003D329E"/>
    <w:rsid w:val="003D3E53"/>
    <w:rsid w:val="003D3EC0"/>
    <w:rsid w:val="003D3F39"/>
    <w:rsid w:val="003D44B6"/>
    <w:rsid w:val="003D4617"/>
    <w:rsid w:val="003D46A1"/>
    <w:rsid w:val="003D4C18"/>
    <w:rsid w:val="003D4E80"/>
    <w:rsid w:val="003D56FC"/>
    <w:rsid w:val="003D571A"/>
    <w:rsid w:val="003D5799"/>
    <w:rsid w:val="003D59EC"/>
    <w:rsid w:val="003D5DB9"/>
    <w:rsid w:val="003D63AE"/>
    <w:rsid w:val="003D68AE"/>
    <w:rsid w:val="003D6C9A"/>
    <w:rsid w:val="003D6DE6"/>
    <w:rsid w:val="003D6F16"/>
    <w:rsid w:val="003D6F9E"/>
    <w:rsid w:val="003D6FC0"/>
    <w:rsid w:val="003D7DFA"/>
    <w:rsid w:val="003D7E1D"/>
    <w:rsid w:val="003D7F50"/>
    <w:rsid w:val="003E00C7"/>
    <w:rsid w:val="003E1747"/>
    <w:rsid w:val="003E1ADB"/>
    <w:rsid w:val="003E2274"/>
    <w:rsid w:val="003E2438"/>
    <w:rsid w:val="003E2B93"/>
    <w:rsid w:val="003E2BF7"/>
    <w:rsid w:val="003E2D89"/>
    <w:rsid w:val="003E342B"/>
    <w:rsid w:val="003E3718"/>
    <w:rsid w:val="003E382F"/>
    <w:rsid w:val="003E3B64"/>
    <w:rsid w:val="003E3E61"/>
    <w:rsid w:val="003E42C2"/>
    <w:rsid w:val="003E5525"/>
    <w:rsid w:val="003E568F"/>
    <w:rsid w:val="003E5BD8"/>
    <w:rsid w:val="003E6079"/>
    <w:rsid w:val="003E608A"/>
    <w:rsid w:val="003E60CB"/>
    <w:rsid w:val="003E6375"/>
    <w:rsid w:val="003E650E"/>
    <w:rsid w:val="003E66D6"/>
    <w:rsid w:val="003E6C78"/>
    <w:rsid w:val="003E6DF8"/>
    <w:rsid w:val="003E6E94"/>
    <w:rsid w:val="003E7113"/>
    <w:rsid w:val="003E7656"/>
    <w:rsid w:val="003E7AEF"/>
    <w:rsid w:val="003F0089"/>
    <w:rsid w:val="003F0191"/>
    <w:rsid w:val="003F02B7"/>
    <w:rsid w:val="003F06AB"/>
    <w:rsid w:val="003F0862"/>
    <w:rsid w:val="003F0CA0"/>
    <w:rsid w:val="003F0D42"/>
    <w:rsid w:val="003F1226"/>
    <w:rsid w:val="003F15F4"/>
    <w:rsid w:val="003F1AAA"/>
    <w:rsid w:val="003F218E"/>
    <w:rsid w:val="003F23AC"/>
    <w:rsid w:val="003F25CC"/>
    <w:rsid w:val="003F2838"/>
    <w:rsid w:val="003F2988"/>
    <w:rsid w:val="003F30DB"/>
    <w:rsid w:val="003F3E44"/>
    <w:rsid w:val="003F3F62"/>
    <w:rsid w:val="003F3FB0"/>
    <w:rsid w:val="003F42CD"/>
    <w:rsid w:val="003F44E6"/>
    <w:rsid w:val="003F4519"/>
    <w:rsid w:val="003F4894"/>
    <w:rsid w:val="003F48C1"/>
    <w:rsid w:val="003F48F2"/>
    <w:rsid w:val="003F4B7D"/>
    <w:rsid w:val="003F4C1A"/>
    <w:rsid w:val="003F509A"/>
    <w:rsid w:val="003F50A8"/>
    <w:rsid w:val="003F5631"/>
    <w:rsid w:val="003F5684"/>
    <w:rsid w:val="003F5B02"/>
    <w:rsid w:val="003F5D0A"/>
    <w:rsid w:val="003F60FB"/>
    <w:rsid w:val="003F62A5"/>
    <w:rsid w:val="003F6787"/>
    <w:rsid w:val="003F6D22"/>
    <w:rsid w:val="003F6EB2"/>
    <w:rsid w:val="003F7095"/>
    <w:rsid w:val="003F741A"/>
    <w:rsid w:val="003F7436"/>
    <w:rsid w:val="003F79BE"/>
    <w:rsid w:val="003F7B15"/>
    <w:rsid w:val="003F7D2F"/>
    <w:rsid w:val="00400785"/>
    <w:rsid w:val="00400B51"/>
    <w:rsid w:val="00400D07"/>
    <w:rsid w:val="00400EB4"/>
    <w:rsid w:val="0040109A"/>
    <w:rsid w:val="0040119A"/>
    <w:rsid w:val="00401391"/>
    <w:rsid w:val="00401D9A"/>
    <w:rsid w:val="00401DAA"/>
    <w:rsid w:val="0040202D"/>
    <w:rsid w:val="004029F3"/>
    <w:rsid w:val="00402A16"/>
    <w:rsid w:val="00402C7C"/>
    <w:rsid w:val="00403012"/>
    <w:rsid w:val="0040369B"/>
    <w:rsid w:val="004038DD"/>
    <w:rsid w:val="004039C3"/>
    <w:rsid w:val="00403D8D"/>
    <w:rsid w:val="00404D87"/>
    <w:rsid w:val="00404E68"/>
    <w:rsid w:val="00405674"/>
    <w:rsid w:val="00405F7F"/>
    <w:rsid w:val="00406150"/>
    <w:rsid w:val="00407672"/>
    <w:rsid w:val="004077B7"/>
    <w:rsid w:val="0040790D"/>
    <w:rsid w:val="00407B8F"/>
    <w:rsid w:val="00407BB9"/>
    <w:rsid w:val="00407DD6"/>
    <w:rsid w:val="0041093D"/>
    <w:rsid w:val="00411000"/>
    <w:rsid w:val="00411092"/>
    <w:rsid w:val="00411A2E"/>
    <w:rsid w:val="00411D1A"/>
    <w:rsid w:val="00411DDB"/>
    <w:rsid w:val="0041213F"/>
    <w:rsid w:val="00412297"/>
    <w:rsid w:val="004122E8"/>
    <w:rsid w:val="00412341"/>
    <w:rsid w:val="00412573"/>
    <w:rsid w:val="00412643"/>
    <w:rsid w:val="00412B2C"/>
    <w:rsid w:val="00412D52"/>
    <w:rsid w:val="004131F0"/>
    <w:rsid w:val="004133AF"/>
    <w:rsid w:val="00413818"/>
    <w:rsid w:val="00413DA2"/>
    <w:rsid w:val="00413E88"/>
    <w:rsid w:val="00414E11"/>
    <w:rsid w:val="00414EDB"/>
    <w:rsid w:val="00415316"/>
    <w:rsid w:val="004158FC"/>
    <w:rsid w:val="0041594A"/>
    <w:rsid w:val="004159A9"/>
    <w:rsid w:val="00415DFA"/>
    <w:rsid w:val="0041643A"/>
    <w:rsid w:val="0041646E"/>
    <w:rsid w:val="0041696D"/>
    <w:rsid w:val="00416D66"/>
    <w:rsid w:val="00416D72"/>
    <w:rsid w:val="00416EC5"/>
    <w:rsid w:val="0041759D"/>
    <w:rsid w:val="00417B13"/>
    <w:rsid w:val="00417D97"/>
    <w:rsid w:val="00417F28"/>
    <w:rsid w:val="0042025F"/>
    <w:rsid w:val="004202CC"/>
    <w:rsid w:val="00420589"/>
    <w:rsid w:val="004207CD"/>
    <w:rsid w:val="00421140"/>
    <w:rsid w:val="0042128A"/>
    <w:rsid w:val="00421429"/>
    <w:rsid w:val="00421997"/>
    <w:rsid w:val="00421A58"/>
    <w:rsid w:val="00421D16"/>
    <w:rsid w:val="00422085"/>
    <w:rsid w:val="00422382"/>
    <w:rsid w:val="00423160"/>
    <w:rsid w:val="0042344E"/>
    <w:rsid w:val="0042348F"/>
    <w:rsid w:val="00423FCC"/>
    <w:rsid w:val="0042420A"/>
    <w:rsid w:val="00424332"/>
    <w:rsid w:val="00424434"/>
    <w:rsid w:val="00424728"/>
    <w:rsid w:val="0042499A"/>
    <w:rsid w:val="00424A19"/>
    <w:rsid w:val="00424A4E"/>
    <w:rsid w:val="00424AEE"/>
    <w:rsid w:val="00424B3C"/>
    <w:rsid w:val="00424EB3"/>
    <w:rsid w:val="004253BA"/>
    <w:rsid w:val="004253DB"/>
    <w:rsid w:val="00425BD2"/>
    <w:rsid w:val="00425E96"/>
    <w:rsid w:val="00426009"/>
    <w:rsid w:val="0042615B"/>
    <w:rsid w:val="00426227"/>
    <w:rsid w:val="00426301"/>
    <w:rsid w:val="0042630D"/>
    <w:rsid w:val="00426A60"/>
    <w:rsid w:val="00426BFB"/>
    <w:rsid w:val="0042741F"/>
    <w:rsid w:val="00427486"/>
    <w:rsid w:val="00427A51"/>
    <w:rsid w:val="00427C90"/>
    <w:rsid w:val="00430A0B"/>
    <w:rsid w:val="0043125B"/>
    <w:rsid w:val="00431408"/>
    <w:rsid w:val="00431431"/>
    <w:rsid w:val="00431476"/>
    <w:rsid w:val="00432922"/>
    <w:rsid w:val="004329BC"/>
    <w:rsid w:val="00432AB8"/>
    <w:rsid w:val="00433076"/>
    <w:rsid w:val="00433374"/>
    <w:rsid w:val="0043337B"/>
    <w:rsid w:val="00433527"/>
    <w:rsid w:val="00433605"/>
    <w:rsid w:val="00433832"/>
    <w:rsid w:val="0043386F"/>
    <w:rsid w:val="00433C9F"/>
    <w:rsid w:val="004346D4"/>
    <w:rsid w:val="00434B39"/>
    <w:rsid w:val="00435206"/>
    <w:rsid w:val="004352A4"/>
    <w:rsid w:val="004354CA"/>
    <w:rsid w:val="00435F36"/>
    <w:rsid w:val="00435F76"/>
    <w:rsid w:val="0043621E"/>
    <w:rsid w:val="00436238"/>
    <w:rsid w:val="004362F1"/>
    <w:rsid w:val="004363A3"/>
    <w:rsid w:val="00436858"/>
    <w:rsid w:val="004372E4"/>
    <w:rsid w:val="004373A3"/>
    <w:rsid w:val="004375A8"/>
    <w:rsid w:val="004375FB"/>
    <w:rsid w:val="00437655"/>
    <w:rsid w:val="004376AF"/>
    <w:rsid w:val="00437824"/>
    <w:rsid w:val="00437A62"/>
    <w:rsid w:val="00437B45"/>
    <w:rsid w:val="00437D78"/>
    <w:rsid w:val="00437FAD"/>
    <w:rsid w:val="004401E2"/>
    <w:rsid w:val="00440230"/>
    <w:rsid w:val="0044032F"/>
    <w:rsid w:val="004405AB"/>
    <w:rsid w:val="00440BDF"/>
    <w:rsid w:val="00440E34"/>
    <w:rsid w:val="00441189"/>
    <w:rsid w:val="004411B6"/>
    <w:rsid w:val="0044132D"/>
    <w:rsid w:val="0044167E"/>
    <w:rsid w:val="00441B3A"/>
    <w:rsid w:val="00442238"/>
    <w:rsid w:val="0044259E"/>
    <w:rsid w:val="004425BC"/>
    <w:rsid w:val="0044281A"/>
    <w:rsid w:val="00442FFA"/>
    <w:rsid w:val="004430DE"/>
    <w:rsid w:val="004430E0"/>
    <w:rsid w:val="00443472"/>
    <w:rsid w:val="00443674"/>
    <w:rsid w:val="00444351"/>
    <w:rsid w:val="004449C3"/>
    <w:rsid w:val="00444A61"/>
    <w:rsid w:val="00444A7B"/>
    <w:rsid w:val="00444E24"/>
    <w:rsid w:val="00444EC3"/>
    <w:rsid w:val="00445296"/>
    <w:rsid w:val="00445562"/>
    <w:rsid w:val="00445FCA"/>
    <w:rsid w:val="00446768"/>
    <w:rsid w:val="004469F7"/>
    <w:rsid w:val="00446FA7"/>
    <w:rsid w:val="00447176"/>
    <w:rsid w:val="004471A4"/>
    <w:rsid w:val="0044736E"/>
    <w:rsid w:val="0044750B"/>
    <w:rsid w:val="00447D8C"/>
    <w:rsid w:val="0045081E"/>
    <w:rsid w:val="00450A6C"/>
    <w:rsid w:val="00450ADA"/>
    <w:rsid w:val="00450BA3"/>
    <w:rsid w:val="00451018"/>
    <w:rsid w:val="00451235"/>
    <w:rsid w:val="00451334"/>
    <w:rsid w:val="004513CD"/>
    <w:rsid w:val="004517AB"/>
    <w:rsid w:val="00451ACF"/>
    <w:rsid w:val="00451E19"/>
    <w:rsid w:val="00453289"/>
    <w:rsid w:val="004532EB"/>
    <w:rsid w:val="0045349C"/>
    <w:rsid w:val="00453606"/>
    <w:rsid w:val="00453654"/>
    <w:rsid w:val="00453886"/>
    <w:rsid w:val="004542E1"/>
    <w:rsid w:val="004546E1"/>
    <w:rsid w:val="004549D7"/>
    <w:rsid w:val="00454C8A"/>
    <w:rsid w:val="0045521E"/>
    <w:rsid w:val="004556B4"/>
    <w:rsid w:val="00455711"/>
    <w:rsid w:val="004557D9"/>
    <w:rsid w:val="00455FAA"/>
    <w:rsid w:val="004565AB"/>
    <w:rsid w:val="004565D1"/>
    <w:rsid w:val="00456631"/>
    <w:rsid w:val="00456645"/>
    <w:rsid w:val="00457C6F"/>
    <w:rsid w:val="00457F21"/>
    <w:rsid w:val="00457F3F"/>
    <w:rsid w:val="004601B1"/>
    <w:rsid w:val="00460F41"/>
    <w:rsid w:val="004612EB"/>
    <w:rsid w:val="00461320"/>
    <w:rsid w:val="0046227C"/>
    <w:rsid w:val="00462298"/>
    <w:rsid w:val="00462453"/>
    <w:rsid w:val="004625E9"/>
    <w:rsid w:val="00462B4B"/>
    <w:rsid w:val="00462E60"/>
    <w:rsid w:val="00463271"/>
    <w:rsid w:val="0046393E"/>
    <w:rsid w:val="00463C36"/>
    <w:rsid w:val="00463DCA"/>
    <w:rsid w:val="0046440F"/>
    <w:rsid w:val="004650A8"/>
    <w:rsid w:val="00465531"/>
    <w:rsid w:val="004659E4"/>
    <w:rsid w:val="00465AB7"/>
    <w:rsid w:val="00465AB9"/>
    <w:rsid w:val="00465BEC"/>
    <w:rsid w:val="00465DAA"/>
    <w:rsid w:val="0046677D"/>
    <w:rsid w:val="00466C72"/>
    <w:rsid w:val="00466C96"/>
    <w:rsid w:val="00466FFA"/>
    <w:rsid w:val="0046729D"/>
    <w:rsid w:val="004674B8"/>
    <w:rsid w:val="004674EB"/>
    <w:rsid w:val="00467803"/>
    <w:rsid w:val="00467893"/>
    <w:rsid w:val="004678BB"/>
    <w:rsid w:val="00470558"/>
    <w:rsid w:val="00470689"/>
    <w:rsid w:val="00470699"/>
    <w:rsid w:val="00470888"/>
    <w:rsid w:val="004708F1"/>
    <w:rsid w:val="00470AAE"/>
    <w:rsid w:val="00470C1E"/>
    <w:rsid w:val="00470DA7"/>
    <w:rsid w:val="00470F44"/>
    <w:rsid w:val="00470FCC"/>
    <w:rsid w:val="0047167A"/>
    <w:rsid w:val="004718E2"/>
    <w:rsid w:val="00471BFF"/>
    <w:rsid w:val="00471F48"/>
    <w:rsid w:val="0047215C"/>
    <w:rsid w:val="0047221D"/>
    <w:rsid w:val="004727BF"/>
    <w:rsid w:val="00472861"/>
    <w:rsid w:val="004728A5"/>
    <w:rsid w:val="00472FD3"/>
    <w:rsid w:val="004733CD"/>
    <w:rsid w:val="0047380B"/>
    <w:rsid w:val="0047382C"/>
    <w:rsid w:val="00473976"/>
    <w:rsid w:val="00473D4D"/>
    <w:rsid w:val="00474081"/>
    <w:rsid w:val="004743C2"/>
    <w:rsid w:val="00474614"/>
    <w:rsid w:val="00474DD2"/>
    <w:rsid w:val="00474E49"/>
    <w:rsid w:val="00474EFF"/>
    <w:rsid w:val="00474FF0"/>
    <w:rsid w:val="00475092"/>
    <w:rsid w:val="00475278"/>
    <w:rsid w:val="004758FB"/>
    <w:rsid w:val="00476485"/>
    <w:rsid w:val="00476552"/>
    <w:rsid w:val="00476784"/>
    <w:rsid w:val="00476A9B"/>
    <w:rsid w:val="00476CC0"/>
    <w:rsid w:val="00476DF1"/>
    <w:rsid w:val="004771E4"/>
    <w:rsid w:val="004771F7"/>
    <w:rsid w:val="00477390"/>
    <w:rsid w:val="0047749E"/>
    <w:rsid w:val="00477523"/>
    <w:rsid w:val="00477B31"/>
    <w:rsid w:val="00477BE5"/>
    <w:rsid w:val="00477C02"/>
    <w:rsid w:val="00477C10"/>
    <w:rsid w:val="00477CA8"/>
    <w:rsid w:val="00477F82"/>
    <w:rsid w:val="00480146"/>
    <w:rsid w:val="004801B3"/>
    <w:rsid w:val="0048049E"/>
    <w:rsid w:val="00480C57"/>
    <w:rsid w:val="00480CFE"/>
    <w:rsid w:val="00480E22"/>
    <w:rsid w:val="00481501"/>
    <w:rsid w:val="00481521"/>
    <w:rsid w:val="00481562"/>
    <w:rsid w:val="004815B5"/>
    <w:rsid w:val="004815B8"/>
    <w:rsid w:val="00481E33"/>
    <w:rsid w:val="004824D8"/>
    <w:rsid w:val="00482D2E"/>
    <w:rsid w:val="00483756"/>
    <w:rsid w:val="004838D1"/>
    <w:rsid w:val="00483C46"/>
    <w:rsid w:val="00483CBF"/>
    <w:rsid w:val="0048407A"/>
    <w:rsid w:val="004841B4"/>
    <w:rsid w:val="00484546"/>
    <w:rsid w:val="004847F8"/>
    <w:rsid w:val="004848D6"/>
    <w:rsid w:val="00484AC2"/>
    <w:rsid w:val="00484B28"/>
    <w:rsid w:val="00484C4E"/>
    <w:rsid w:val="00484CD0"/>
    <w:rsid w:val="00484DAD"/>
    <w:rsid w:val="0048520A"/>
    <w:rsid w:val="00485FCD"/>
    <w:rsid w:val="004867BC"/>
    <w:rsid w:val="00486AC3"/>
    <w:rsid w:val="00486C34"/>
    <w:rsid w:val="00486CBD"/>
    <w:rsid w:val="0048762F"/>
    <w:rsid w:val="004878A5"/>
    <w:rsid w:val="00487DED"/>
    <w:rsid w:val="00490978"/>
    <w:rsid w:val="00490985"/>
    <w:rsid w:val="00490BCC"/>
    <w:rsid w:val="00490CC9"/>
    <w:rsid w:val="00490F57"/>
    <w:rsid w:val="004914D8"/>
    <w:rsid w:val="004916F7"/>
    <w:rsid w:val="004918CF"/>
    <w:rsid w:val="00492093"/>
    <w:rsid w:val="004923CC"/>
    <w:rsid w:val="004923E9"/>
    <w:rsid w:val="0049294C"/>
    <w:rsid w:val="00492A37"/>
    <w:rsid w:val="004933D1"/>
    <w:rsid w:val="004934A4"/>
    <w:rsid w:val="004935FB"/>
    <w:rsid w:val="0049369D"/>
    <w:rsid w:val="0049384B"/>
    <w:rsid w:val="00493E32"/>
    <w:rsid w:val="0049406C"/>
    <w:rsid w:val="004941AB"/>
    <w:rsid w:val="004941B4"/>
    <w:rsid w:val="004941EF"/>
    <w:rsid w:val="00494834"/>
    <w:rsid w:val="004949BF"/>
    <w:rsid w:val="00494FD5"/>
    <w:rsid w:val="0049553B"/>
    <w:rsid w:val="0049599F"/>
    <w:rsid w:val="00496040"/>
    <w:rsid w:val="004969B8"/>
    <w:rsid w:val="00497176"/>
    <w:rsid w:val="004973D7"/>
    <w:rsid w:val="00497889"/>
    <w:rsid w:val="00497998"/>
    <w:rsid w:val="00497E1E"/>
    <w:rsid w:val="004A00A3"/>
    <w:rsid w:val="004A00EC"/>
    <w:rsid w:val="004A08FA"/>
    <w:rsid w:val="004A09D3"/>
    <w:rsid w:val="004A0B84"/>
    <w:rsid w:val="004A1154"/>
    <w:rsid w:val="004A25AE"/>
    <w:rsid w:val="004A2697"/>
    <w:rsid w:val="004A2941"/>
    <w:rsid w:val="004A2C0E"/>
    <w:rsid w:val="004A2DAD"/>
    <w:rsid w:val="004A2E74"/>
    <w:rsid w:val="004A3B74"/>
    <w:rsid w:val="004A4160"/>
    <w:rsid w:val="004A469F"/>
    <w:rsid w:val="004A4C3D"/>
    <w:rsid w:val="004A50DB"/>
    <w:rsid w:val="004A5308"/>
    <w:rsid w:val="004A5577"/>
    <w:rsid w:val="004A6372"/>
    <w:rsid w:val="004A6CAE"/>
    <w:rsid w:val="004A6FEC"/>
    <w:rsid w:val="004A7363"/>
    <w:rsid w:val="004A78E4"/>
    <w:rsid w:val="004A799A"/>
    <w:rsid w:val="004B0231"/>
    <w:rsid w:val="004B0640"/>
    <w:rsid w:val="004B0818"/>
    <w:rsid w:val="004B0CD0"/>
    <w:rsid w:val="004B0FC0"/>
    <w:rsid w:val="004B1635"/>
    <w:rsid w:val="004B181C"/>
    <w:rsid w:val="004B2E96"/>
    <w:rsid w:val="004B2F04"/>
    <w:rsid w:val="004B2F3B"/>
    <w:rsid w:val="004B3804"/>
    <w:rsid w:val="004B38C7"/>
    <w:rsid w:val="004B3DF1"/>
    <w:rsid w:val="004B41D8"/>
    <w:rsid w:val="004B4352"/>
    <w:rsid w:val="004B43D9"/>
    <w:rsid w:val="004B43EA"/>
    <w:rsid w:val="004B5143"/>
    <w:rsid w:val="004B57F2"/>
    <w:rsid w:val="004B5A64"/>
    <w:rsid w:val="004B5AD3"/>
    <w:rsid w:val="004B5DDA"/>
    <w:rsid w:val="004B6341"/>
    <w:rsid w:val="004B6A64"/>
    <w:rsid w:val="004B6A74"/>
    <w:rsid w:val="004B6DC0"/>
    <w:rsid w:val="004B7162"/>
    <w:rsid w:val="004B7169"/>
    <w:rsid w:val="004B7508"/>
    <w:rsid w:val="004B766E"/>
    <w:rsid w:val="004B78A7"/>
    <w:rsid w:val="004B793C"/>
    <w:rsid w:val="004C048F"/>
    <w:rsid w:val="004C0537"/>
    <w:rsid w:val="004C067C"/>
    <w:rsid w:val="004C09CA"/>
    <w:rsid w:val="004C0DAC"/>
    <w:rsid w:val="004C105B"/>
    <w:rsid w:val="004C10F2"/>
    <w:rsid w:val="004C1119"/>
    <w:rsid w:val="004C11B7"/>
    <w:rsid w:val="004C12DF"/>
    <w:rsid w:val="004C1535"/>
    <w:rsid w:val="004C202F"/>
    <w:rsid w:val="004C2473"/>
    <w:rsid w:val="004C263F"/>
    <w:rsid w:val="004C26ED"/>
    <w:rsid w:val="004C2FA1"/>
    <w:rsid w:val="004C371B"/>
    <w:rsid w:val="004C3A0E"/>
    <w:rsid w:val="004C3F96"/>
    <w:rsid w:val="004C43AB"/>
    <w:rsid w:val="004C4479"/>
    <w:rsid w:val="004C46F9"/>
    <w:rsid w:val="004C58B2"/>
    <w:rsid w:val="004C5C83"/>
    <w:rsid w:val="004C5D24"/>
    <w:rsid w:val="004C6047"/>
    <w:rsid w:val="004C6697"/>
    <w:rsid w:val="004C6DCB"/>
    <w:rsid w:val="004C6E58"/>
    <w:rsid w:val="004C6FAD"/>
    <w:rsid w:val="004C7AAD"/>
    <w:rsid w:val="004C7B5E"/>
    <w:rsid w:val="004D02E3"/>
    <w:rsid w:val="004D0488"/>
    <w:rsid w:val="004D098D"/>
    <w:rsid w:val="004D0A3C"/>
    <w:rsid w:val="004D0BB6"/>
    <w:rsid w:val="004D0C48"/>
    <w:rsid w:val="004D0E8F"/>
    <w:rsid w:val="004D11B1"/>
    <w:rsid w:val="004D132B"/>
    <w:rsid w:val="004D141C"/>
    <w:rsid w:val="004D156A"/>
    <w:rsid w:val="004D186B"/>
    <w:rsid w:val="004D22CA"/>
    <w:rsid w:val="004D27CE"/>
    <w:rsid w:val="004D2846"/>
    <w:rsid w:val="004D2C7E"/>
    <w:rsid w:val="004D314A"/>
    <w:rsid w:val="004D3272"/>
    <w:rsid w:val="004D342B"/>
    <w:rsid w:val="004D37D2"/>
    <w:rsid w:val="004D38C2"/>
    <w:rsid w:val="004D3E5E"/>
    <w:rsid w:val="004D3EFA"/>
    <w:rsid w:val="004D425B"/>
    <w:rsid w:val="004D42BF"/>
    <w:rsid w:val="004D4300"/>
    <w:rsid w:val="004D43DE"/>
    <w:rsid w:val="004D4531"/>
    <w:rsid w:val="004D45B3"/>
    <w:rsid w:val="004D4931"/>
    <w:rsid w:val="004D49E5"/>
    <w:rsid w:val="004D4FAF"/>
    <w:rsid w:val="004D55B1"/>
    <w:rsid w:val="004D55B6"/>
    <w:rsid w:val="004D5677"/>
    <w:rsid w:val="004D5681"/>
    <w:rsid w:val="004D6245"/>
    <w:rsid w:val="004D6520"/>
    <w:rsid w:val="004D6E41"/>
    <w:rsid w:val="004D6E45"/>
    <w:rsid w:val="004D6F4D"/>
    <w:rsid w:val="004D7297"/>
    <w:rsid w:val="004D7E9C"/>
    <w:rsid w:val="004D7EAC"/>
    <w:rsid w:val="004E04BE"/>
    <w:rsid w:val="004E06AA"/>
    <w:rsid w:val="004E1240"/>
    <w:rsid w:val="004E1421"/>
    <w:rsid w:val="004E167F"/>
    <w:rsid w:val="004E17BB"/>
    <w:rsid w:val="004E1A2B"/>
    <w:rsid w:val="004E1A83"/>
    <w:rsid w:val="004E1D57"/>
    <w:rsid w:val="004E1DFE"/>
    <w:rsid w:val="004E1F10"/>
    <w:rsid w:val="004E26D9"/>
    <w:rsid w:val="004E2756"/>
    <w:rsid w:val="004E27A5"/>
    <w:rsid w:val="004E28F5"/>
    <w:rsid w:val="004E2D92"/>
    <w:rsid w:val="004E36EF"/>
    <w:rsid w:val="004E3D50"/>
    <w:rsid w:val="004E3F12"/>
    <w:rsid w:val="004E447C"/>
    <w:rsid w:val="004E4782"/>
    <w:rsid w:val="004E4798"/>
    <w:rsid w:val="004E47CE"/>
    <w:rsid w:val="004E4B3A"/>
    <w:rsid w:val="004E4D27"/>
    <w:rsid w:val="004E4DEA"/>
    <w:rsid w:val="004E5393"/>
    <w:rsid w:val="004E551A"/>
    <w:rsid w:val="004E5723"/>
    <w:rsid w:val="004E5948"/>
    <w:rsid w:val="004E5CE8"/>
    <w:rsid w:val="004E5DEB"/>
    <w:rsid w:val="004E64C7"/>
    <w:rsid w:val="004E68D0"/>
    <w:rsid w:val="004E69DE"/>
    <w:rsid w:val="004E6C48"/>
    <w:rsid w:val="004E7BE9"/>
    <w:rsid w:val="004E7CF0"/>
    <w:rsid w:val="004F0481"/>
    <w:rsid w:val="004F04DC"/>
    <w:rsid w:val="004F07CD"/>
    <w:rsid w:val="004F092B"/>
    <w:rsid w:val="004F1056"/>
    <w:rsid w:val="004F1184"/>
    <w:rsid w:val="004F12D5"/>
    <w:rsid w:val="004F1946"/>
    <w:rsid w:val="004F1D25"/>
    <w:rsid w:val="004F2DB9"/>
    <w:rsid w:val="004F2E80"/>
    <w:rsid w:val="004F2F10"/>
    <w:rsid w:val="004F311C"/>
    <w:rsid w:val="004F31D5"/>
    <w:rsid w:val="004F32C3"/>
    <w:rsid w:val="004F32FF"/>
    <w:rsid w:val="004F3796"/>
    <w:rsid w:val="004F3EBB"/>
    <w:rsid w:val="004F427D"/>
    <w:rsid w:val="004F4413"/>
    <w:rsid w:val="004F447D"/>
    <w:rsid w:val="004F456B"/>
    <w:rsid w:val="004F461F"/>
    <w:rsid w:val="004F493C"/>
    <w:rsid w:val="004F4B58"/>
    <w:rsid w:val="004F50FD"/>
    <w:rsid w:val="004F525A"/>
    <w:rsid w:val="004F55E6"/>
    <w:rsid w:val="004F58A8"/>
    <w:rsid w:val="004F59FF"/>
    <w:rsid w:val="004F5A04"/>
    <w:rsid w:val="004F6142"/>
    <w:rsid w:val="004F62F1"/>
    <w:rsid w:val="004F6363"/>
    <w:rsid w:val="004F63D5"/>
    <w:rsid w:val="004F6549"/>
    <w:rsid w:val="004F66F0"/>
    <w:rsid w:val="004F679C"/>
    <w:rsid w:val="004F6C1C"/>
    <w:rsid w:val="004F71FF"/>
    <w:rsid w:val="004F76A0"/>
    <w:rsid w:val="004F76AB"/>
    <w:rsid w:val="004F7BDE"/>
    <w:rsid w:val="004F7C09"/>
    <w:rsid w:val="005002AF"/>
    <w:rsid w:val="0050041C"/>
    <w:rsid w:val="00500430"/>
    <w:rsid w:val="00500B27"/>
    <w:rsid w:val="00500C43"/>
    <w:rsid w:val="005011D8"/>
    <w:rsid w:val="00501480"/>
    <w:rsid w:val="00501592"/>
    <w:rsid w:val="0050195D"/>
    <w:rsid w:val="00501978"/>
    <w:rsid w:val="005022E1"/>
    <w:rsid w:val="005025A3"/>
    <w:rsid w:val="00502749"/>
    <w:rsid w:val="00502833"/>
    <w:rsid w:val="0050290E"/>
    <w:rsid w:val="005029A9"/>
    <w:rsid w:val="00502A59"/>
    <w:rsid w:val="00502AD9"/>
    <w:rsid w:val="00503001"/>
    <w:rsid w:val="0050301F"/>
    <w:rsid w:val="0050334B"/>
    <w:rsid w:val="00503697"/>
    <w:rsid w:val="00503911"/>
    <w:rsid w:val="00503924"/>
    <w:rsid w:val="00503B4F"/>
    <w:rsid w:val="00503DCF"/>
    <w:rsid w:val="00503FCC"/>
    <w:rsid w:val="00503FF9"/>
    <w:rsid w:val="005040B4"/>
    <w:rsid w:val="00504263"/>
    <w:rsid w:val="0050449D"/>
    <w:rsid w:val="00504544"/>
    <w:rsid w:val="00504B0C"/>
    <w:rsid w:val="00504D07"/>
    <w:rsid w:val="00504F4F"/>
    <w:rsid w:val="00505612"/>
    <w:rsid w:val="005058D2"/>
    <w:rsid w:val="00505CD5"/>
    <w:rsid w:val="00505DD8"/>
    <w:rsid w:val="0050616E"/>
    <w:rsid w:val="00506268"/>
    <w:rsid w:val="00506651"/>
    <w:rsid w:val="00506E2E"/>
    <w:rsid w:val="00506EA3"/>
    <w:rsid w:val="00507883"/>
    <w:rsid w:val="00507A57"/>
    <w:rsid w:val="00507DC4"/>
    <w:rsid w:val="0051018E"/>
    <w:rsid w:val="005101BC"/>
    <w:rsid w:val="005104B0"/>
    <w:rsid w:val="005105E8"/>
    <w:rsid w:val="005106FA"/>
    <w:rsid w:val="00510BDD"/>
    <w:rsid w:val="00510C44"/>
    <w:rsid w:val="00510E74"/>
    <w:rsid w:val="0051169C"/>
    <w:rsid w:val="00511A65"/>
    <w:rsid w:val="00511C82"/>
    <w:rsid w:val="00511D20"/>
    <w:rsid w:val="005123ED"/>
    <w:rsid w:val="00512639"/>
    <w:rsid w:val="005129B2"/>
    <w:rsid w:val="00512D3A"/>
    <w:rsid w:val="00512EC8"/>
    <w:rsid w:val="00512F00"/>
    <w:rsid w:val="00513332"/>
    <w:rsid w:val="005138F2"/>
    <w:rsid w:val="00513D52"/>
    <w:rsid w:val="00513F56"/>
    <w:rsid w:val="00513FE1"/>
    <w:rsid w:val="00514441"/>
    <w:rsid w:val="00514682"/>
    <w:rsid w:val="00514D4E"/>
    <w:rsid w:val="00514F14"/>
    <w:rsid w:val="0051540A"/>
    <w:rsid w:val="005157FD"/>
    <w:rsid w:val="00515BA2"/>
    <w:rsid w:val="00515C23"/>
    <w:rsid w:val="00515E17"/>
    <w:rsid w:val="005160BB"/>
    <w:rsid w:val="0051617F"/>
    <w:rsid w:val="005168AB"/>
    <w:rsid w:val="00516DC4"/>
    <w:rsid w:val="00516FF4"/>
    <w:rsid w:val="005174C2"/>
    <w:rsid w:val="005176E8"/>
    <w:rsid w:val="00517932"/>
    <w:rsid w:val="00520010"/>
    <w:rsid w:val="0052027B"/>
    <w:rsid w:val="005202A7"/>
    <w:rsid w:val="0052044F"/>
    <w:rsid w:val="005204A4"/>
    <w:rsid w:val="005206D3"/>
    <w:rsid w:val="0052084A"/>
    <w:rsid w:val="00520D66"/>
    <w:rsid w:val="00520F62"/>
    <w:rsid w:val="005216F1"/>
    <w:rsid w:val="0052184D"/>
    <w:rsid w:val="005219AE"/>
    <w:rsid w:val="00521DC5"/>
    <w:rsid w:val="00522267"/>
    <w:rsid w:val="005222EB"/>
    <w:rsid w:val="00522698"/>
    <w:rsid w:val="00522814"/>
    <w:rsid w:val="005228B2"/>
    <w:rsid w:val="005230A8"/>
    <w:rsid w:val="00523212"/>
    <w:rsid w:val="00523419"/>
    <w:rsid w:val="00523425"/>
    <w:rsid w:val="00523930"/>
    <w:rsid w:val="00523B15"/>
    <w:rsid w:val="00523BC7"/>
    <w:rsid w:val="00523DBF"/>
    <w:rsid w:val="00523E35"/>
    <w:rsid w:val="00524266"/>
    <w:rsid w:val="005242E5"/>
    <w:rsid w:val="0052437E"/>
    <w:rsid w:val="00524540"/>
    <w:rsid w:val="005248E9"/>
    <w:rsid w:val="00524D7C"/>
    <w:rsid w:val="00524F26"/>
    <w:rsid w:val="005251E6"/>
    <w:rsid w:val="00525434"/>
    <w:rsid w:val="00525592"/>
    <w:rsid w:val="0052582D"/>
    <w:rsid w:val="00525AF9"/>
    <w:rsid w:val="00525B3A"/>
    <w:rsid w:val="0052607A"/>
    <w:rsid w:val="005260EB"/>
    <w:rsid w:val="0052623D"/>
    <w:rsid w:val="005264E0"/>
    <w:rsid w:val="00526C88"/>
    <w:rsid w:val="00526D59"/>
    <w:rsid w:val="0052721E"/>
    <w:rsid w:val="0052733B"/>
    <w:rsid w:val="005274BA"/>
    <w:rsid w:val="00527996"/>
    <w:rsid w:val="0053006D"/>
    <w:rsid w:val="0053059E"/>
    <w:rsid w:val="005307FE"/>
    <w:rsid w:val="005309BA"/>
    <w:rsid w:val="00530BA7"/>
    <w:rsid w:val="00530DD4"/>
    <w:rsid w:val="00530E8A"/>
    <w:rsid w:val="0053165C"/>
    <w:rsid w:val="00531924"/>
    <w:rsid w:val="00531CF3"/>
    <w:rsid w:val="00531ED1"/>
    <w:rsid w:val="00531EFB"/>
    <w:rsid w:val="005321E7"/>
    <w:rsid w:val="005323D2"/>
    <w:rsid w:val="00532403"/>
    <w:rsid w:val="00532D10"/>
    <w:rsid w:val="005330D7"/>
    <w:rsid w:val="00533455"/>
    <w:rsid w:val="00533758"/>
    <w:rsid w:val="005337DE"/>
    <w:rsid w:val="00533801"/>
    <w:rsid w:val="0053390E"/>
    <w:rsid w:val="0053394C"/>
    <w:rsid w:val="00533D2A"/>
    <w:rsid w:val="00533F17"/>
    <w:rsid w:val="0053407F"/>
    <w:rsid w:val="00534154"/>
    <w:rsid w:val="005341CF"/>
    <w:rsid w:val="0053462C"/>
    <w:rsid w:val="00534E47"/>
    <w:rsid w:val="00535356"/>
    <w:rsid w:val="00535726"/>
    <w:rsid w:val="00535A40"/>
    <w:rsid w:val="00535B53"/>
    <w:rsid w:val="005368FE"/>
    <w:rsid w:val="00536CC9"/>
    <w:rsid w:val="00536E08"/>
    <w:rsid w:val="00536E25"/>
    <w:rsid w:val="005370D2"/>
    <w:rsid w:val="0053761F"/>
    <w:rsid w:val="00537F76"/>
    <w:rsid w:val="005403BE"/>
    <w:rsid w:val="00540B38"/>
    <w:rsid w:val="00540F32"/>
    <w:rsid w:val="00540FC4"/>
    <w:rsid w:val="005419B5"/>
    <w:rsid w:val="00541C3F"/>
    <w:rsid w:val="00541C7C"/>
    <w:rsid w:val="00541E43"/>
    <w:rsid w:val="005422C2"/>
    <w:rsid w:val="0054239B"/>
    <w:rsid w:val="005425AC"/>
    <w:rsid w:val="00542669"/>
    <w:rsid w:val="005428DE"/>
    <w:rsid w:val="00543194"/>
    <w:rsid w:val="00543603"/>
    <w:rsid w:val="00543A51"/>
    <w:rsid w:val="00543BF1"/>
    <w:rsid w:val="00544248"/>
    <w:rsid w:val="0054483E"/>
    <w:rsid w:val="005450BB"/>
    <w:rsid w:val="005452BD"/>
    <w:rsid w:val="0054545D"/>
    <w:rsid w:val="00545C2D"/>
    <w:rsid w:val="00545D30"/>
    <w:rsid w:val="00545DA4"/>
    <w:rsid w:val="00546119"/>
    <w:rsid w:val="0054637A"/>
    <w:rsid w:val="005463A3"/>
    <w:rsid w:val="00546697"/>
    <w:rsid w:val="00546F74"/>
    <w:rsid w:val="00547031"/>
    <w:rsid w:val="005476F4"/>
    <w:rsid w:val="00547B8D"/>
    <w:rsid w:val="00547C66"/>
    <w:rsid w:val="00550124"/>
    <w:rsid w:val="0055058A"/>
    <w:rsid w:val="00550FF7"/>
    <w:rsid w:val="005514D7"/>
    <w:rsid w:val="0055197D"/>
    <w:rsid w:val="00551C64"/>
    <w:rsid w:val="00551CEB"/>
    <w:rsid w:val="00551D5E"/>
    <w:rsid w:val="00552077"/>
    <w:rsid w:val="00552126"/>
    <w:rsid w:val="005523C2"/>
    <w:rsid w:val="00552432"/>
    <w:rsid w:val="005524EB"/>
    <w:rsid w:val="005526D2"/>
    <w:rsid w:val="005529D3"/>
    <w:rsid w:val="0055300E"/>
    <w:rsid w:val="00553526"/>
    <w:rsid w:val="0055352B"/>
    <w:rsid w:val="00553627"/>
    <w:rsid w:val="00553845"/>
    <w:rsid w:val="00553D08"/>
    <w:rsid w:val="00553EA8"/>
    <w:rsid w:val="00554031"/>
    <w:rsid w:val="00554192"/>
    <w:rsid w:val="005545AD"/>
    <w:rsid w:val="0055498F"/>
    <w:rsid w:val="00554A9A"/>
    <w:rsid w:val="00554C13"/>
    <w:rsid w:val="005553FE"/>
    <w:rsid w:val="00555489"/>
    <w:rsid w:val="00555654"/>
    <w:rsid w:val="00555677"/>
    <w:rsid w:val="0055594E"/>
    <w:rsid w:val="00555B68"/>
    <w:rsid w:val="00556294"/>
    <w:rsid w:val="005563BC"/>
    <w:rsid w:val="00556600"/>
    <w:rsid w:val="0055662D"/>
    <w:rsid w:val="00556BC6"/>
    <w:rsid w:val="00556F06"/>
    <w:rsid w:val="00556FBE"/>
    <w:rsid w:val="00557107"/>
    <w:rsid w:val="00557713"/>
    <w:rsid w:val="00557B67"/>
    <w:rsid w:val="0056038F"/>
    <w:rsid w:val="005604DE"/>
    <w:rsid w:val="00560B6C"/>
    <w:rsid w:val="00560C37"/>
    <w:rsid w:val="00560EE3"/>
    <w:rsid w:val="00560F0D"/>
    <w:rsid w:val="005610F6"/>
    <w:rsid w:val="0056123D"/>
    <w:rsid w:val="005613CC"/>
    <w:rsid w:val="00561A0D"/>
    <w:rsid w:val="00561B83"/>
    <w:rsid w:val="00562448"/>
    <w:rsid w:val="00562640"/>
    <w:rsid w:val="005627A5"/>
    <w:rsid w:val="00562FBB"/>
    <w:rsid w:val="00563558"/>
    <w:rsid w:val="00563886"/>
    <w:rsid w:val="00563A39"/>
    <w:rsid w:val="00563DD5"/>
    <w:rsid w:val="00563F45"/>
    <w:rsid w:val="005640B3"/>
    <w:rsid w:val="005641C7"/>
    <w:rsid w:val="0056432D"/>
    <w:rsid w:val="005645F7"/>
    <w:rsid w:val="00564EFF"/>
    <w:rsid w:val="00564FEF"/>
    <w:rsid w:val="00565120"/>
    <w:rsid w:val="0056524A"/>
    <w:rsid w:val="00565917"/>
    <w:rsid w:val="005665D7"/>
    <w:rsid w:val="00566740"/>
    <w:rsid w:val="00566A91"/>
    <w:rsid w:val="00566BB8"/>
    <w:rsid w:val="00566BE1"/>
    <w:rsid w:val="00566F3B"/>
    <w:rsid w:val="00566F71"/>
    <w:rsid w:val="00566FDB"/>
    <w:rsid w:val="005673F1"/>
    <w:rsid w:val="0057000A"/>
    <w:rsid w:val="00570214"/>
    <w:rsid w:val="0057094A"/>
    <w:rsid w:val="00570D18"/>
    <w:rsid w:val="00570EC9"/>
    <w:rsid w:val="005711D7"/>
    <w:rsid w:val="005712C7"/>
    <w:rsid w:val="005719A0"/>
    <w:rsid w:val="00571CE1"/>
    <w:rsid w:val="00571D83"/>
    <w:rsid w:val="00571E48"/>
    <w:rsid w:val="00572016"/>
    <w:rsid w:val="005723E4"/>
    <w:rsid w:val="00572429"/>
    <w:rsid w:val="00572533"/>
    <w:rsid w:val="00572EA1"/>
    <w:rsid w:val="00572F3C"/>
    <w:rsid w:val="00573812"/>
    <w:rsid w:val="00574121"/>
    <w:rsid w:val="0057426C"/>
    <w:rsid w:val="00574B12"/>
    <w:rsid w:val="00574B4E"/>
    <w:rsid w:val="00574F6F"/>
    <w:rsid w:val="00575079"/>
    <w:rsid w:val="00575841"/>
    <w:rsid w:val="00575A21"/>
    <w:rsid w:val="00575BE5"/>
    <w:rsid w:val="005765AE"/>
    <w:rsid w:val="005765FE"/>
    <w:rsid w:val="00576712"/>
    <w:rsid w:val="00576D37"/>
    <w:rsid w:val="00576D3A"/>
    <w:rsid w:val="00576DD4"/>
    <w:rsid w:val="0057709A"/>
    <w:rsid w:val="0057724B"/>
    <w:rsid w:val="00577394"/>
    <w:rsid w:val="005777B5"/>
    <w:rsid w:val="00577D49"/>
    <w:rsid w:val="00577E4C"/>
    <w:rsid w:val="00577F38"/>
    <w:rsid w:val="005801A1"/>
    <w:rsid w:val="005801DC"/>
    <w:rsid w:val="00580265"/>
    <w:rsid w:val="005802AD"/>
    <w:rsid w:val="00580384"/>
    <w:rsid w:val="00580E36"/>
    <w:rsid w:val="00580F18"/>
    <w:rsid w:val="005813C7"/>
    <w:rsid w:val="005817CF"/>
    <w:rsid w:val="00581DEF"/>
    <w:rsid w:val="005820B4"/>
    <w:rsid w:val="00582918"/>
    <w:rsid w:val="00582D9B"/>
    <w:rsid w:val="00583089"/>
    <w:rsid w:val="005830BC"/>
    <w:rsid w:val="005831CD"/>
    <w:rsid w:val="00583646"/>
    <w:rsid w:val="00583B5D"/>
    <w:rsid w:val="0058422C"/>
    <w:rsid w:val="005842D6"/>
    <w:rsid w:val="00584576"/>
    <w:rsid w:val="00584735"/>
    <w:rsid w:val="00584945"/>
    <w:rsid w:val="00584BE1"/>
    <w:rsid w:val="00584D72"/>
    <w:rsid w:val="0058506B"/>
    <w:rsid w:val="005852B7"/>
    <w:rsid w:val="0058535D"/>
    <w:rsid w:val="005856F8"/>
    <w:rsid w:val="005857E6"/>
    <w:rsid w:val="005857F8"/>
    <w:rsid w:val="00585874"/>
    <w:rsid w:val="00585ECA"/>
    <w:rsid w:val="00587318"/>
    <w:rsid w:val="0058756C"/>
    <w:rsid w:val="0058779A"/>
    <w:rsid w:val="0058792F"/>
    <w:rsid w:val="00587A7E"/>
    <w:rsid w:val="00587BB0"/>
    <w:rsid w:val="00587C3B"/>
    <w:rsid w:val="005904A5"/>
    <w:rsid w:val="00590746"/>
    <w:rsid w:val="0059083B"/>
    <w:rsid w:val="00590DEB"/>
    <w:rsid w:val="00590F32"/>
    <w:rsid w:val="0059160B"/>
    <w:rsid w:val="00591626"/>
    <w:rsid w:val="0059163C"/>
    <w:rsid w:val="005919AC"/>
    <w:rsid w:val="005919EA"/>
    <w:rsid w:val="00591D89"/>
    <w:rsid w:val="00592319"/>
    <w:rsid w:val="005925C6"/>
    <w:rsid w:val="00592778"/>
    <w:rsid w:val="00592818"/>
    <w:rsid w:val="005929C4"/>
    <w:rsid w:val="00592DCE"/>
    <w:rsid w:val="00592E4E"/>
    <w:rsid w:val="00593292"/>
    <w:rsid w:val="00593303"/>
    <w:rsid w:val="00593547"/>
    <w:rsid w:val="0059366F"/>
    <w:rsid w:val="00594057"/>
    <w:rsid w:val="0059412C"/>
    <w:rsid w:val="00594857"/>
    <w:rsid w:val="0059487C"/>
    <w:rsid w:val="00595718"/>
    <w:rsid w:val="00595B3C"/>
    <w:rsid w:val="00595F60"/>
    <w:rsid w:val="00596745"/>
    <w:rsid w:val="00596791"/>
    <w:rsid w:val="00596945"/>
    <w:rsid w:val="00596BCC"/>
    <w:rsid w:val="00596D47"/>
    <w:rsid w:val="00596D5D"/>
    <w:rsid w:val="00596DFE"/>
    <w:rsid w:val="00596F12"/>
    <w:rsid w:val="00597313"/>
    <w:rsid w:val="00597923"/>
    <w:rsid w:val="005979C7"/>
    <w:rsid w:val="00597BFE"/>
    <w:rsid w:val="00597C0D"/>
    <w:rsid w:val="00597DC3"/>
    <w:rsid w:val="005A01A0"/>
    <w:rsid w:val="005A0AC1"/>
    <w:rsid w:val="005A0E3D"/>
    <w:rsid w:val="005A0F08"/>
    <w:rsid w:val="005A0FDC"/>
    <w:rsid w:val="005A1022"/>
    <w:rsid w:val="005A1025"/>
    <w:rsid w:val="005A16CF"/>
    <w:rsid w:val="005A1823"/>
    <w:rsid w:val="005A1867"/>
    <w:rsid w:val="005A1FFD"/>
    <w:rsid w:val="005A213D"/>
    <w:rsid w:val="005A2687"/>
    <w:rsid w:val="005A2764"/>
    <w:rsid w:val="005A2870"/>
    <w:rsid w:val="005A2C68"/>
    <w:rsid w:val="005A32C0"/>
    <w:rsid w:val="005A3352"/>
    <w:rsid w:val="005A397E"/>
    <w:rsid w:val="005A3AF4"/>
    <w:rsid w:val="005A3CF6"/>
    <w:rsid w:val="005A3DCD"/>
    <w:rsid w:val="005A3FD4"/>
    <w:rsid w:val="005A48E6"/>
    <w:rsid w:val="005A5078"/>
    <w:rsid w:val="005A5099"/>
    <w:rsid w:val="005A5416"/>
    <w:rsid w:val="005A57EE"/>
    <w:rsid w:val="005A5C98"/>
    <w:rsid w:val="005A6042"/>
    <w:rsid w:val="005A6164"/>
    <w:rsid w:val="005A61CD"/>
    <w:rsid w:val="005A630B"/>
    <w:rsid w:val="005A63BD"/>
    <w:rsid w:val="005A6469"/>
    <w:rsid w:val="005A650F"/>
    <w:rsid w:val="005A656C"/>
    <w:rsid w:val="005A67E4"/>
    <w:rsid w:val="005A67F7"/>
    <w:rsid w:val="005A6B0C"/>
    <w:rsid w:val="005A6F72"/>
    <w:rsid w:val="005A71AA"/>
    <w:rsid w:val="005A7229"/>
    <w:rsid w:val="005A72BE"/>
    <w:rsid w:val="005A7314"/>
    <w:rsid w:val="005A76CE"/>
    <w:rsid w:val="005A77F0"/>
    <w:rsid w:val="005A78C3"/>
    <w:rsid w:val="005A78F3"/>
    <w:rsid w:val="005A7B48"/>
    <w:rsid w:val="005A7E5E"/>
    <w:rsid w:val="005B03E9"/>
    <w:rsid w:val="005B09D6"/>
    <w:rsid w:val="005B0C7F"/>
    <w:rsid w:val="005B0C8F"/>
    <w:rsid w:val="005B0E05"/>
    <w:rsid w:val="005B15D3"/>
    <w:rsid w:val="005B18A4"/>
    <w:rsid w:val="005B1BCF"/>
    <w:rsid w:val="005B1C1E"/>
    <w:rsid w:val="005B1E1F"/>
    <w:rsid w:val="005B2DFB"/>
    <w:rsid w:val="005B3A5F"/>
    <w:rsid w:val="005B3D06"/>
    <w:rsid w:val="005B3F72"/>
    <w:rsid w:val="005B44D8"/>
    <w:rsid w:val="005B48AF"/>
    <w:rsid w:val="005B4C7F"/>
    <w:rsid w:val="005B50BC"/>
    <w:rsid w:val="005B5258"/>
    <w:rsid w:val="005B5291"/>
    <w:rsid w:val="005B5A33"/>
    <w:rsid w:val="005B5D31"/>
    <w:rsid w:val="005B5EB5"/>
    <w:rsid w:val="005B626F"/>
    <w:rsid w:val="005B62C9"/>
    <w:rsid w:val="005B636C"/>
    <w:rsid w:val="005B665E"/>
    <w:rsid w:val="005B6B4D"/>
    <w:rsid w:val="005B712C"/>
    <w:rsid w:val="005B726B"/>
    <w:rsid w:val="005B7339"/>
    <w:rsid w:val="005B7ECF"/>
    <w:rsid w:val="005C06A3"/>
    <w:rsid w:val="005C06D8"/>
    <w:rsid w:val="005C07B0"/>
    <w:rsid w:val="005C0840"/>
    <w:rsid w:val="005C0A1E"/>
    <w:rsid w:val="005C0BBB"/>
    <w:rsid w:val="005C0F61"/>
    <w:rsid w:val="005C1629"/>
    <w:rsid w:val="005C1D23"/>
    <w:rsid w:val="005C1F25"/>
    <w:rsid w:val="005C2093"/>
    <w:rsid w:val="005C20B5"/>
    <w:rsid w:val="005C249A"/>
    <w:rsid w:val="005C2533"/>
    <w:rsid w:val="005C2BA2"/>
    <w:rsid w:val="005C2D89"/>
    <w:rsid w:val="005C3839"/>
    <w:rsid w:val="005C3E68"/>
    <w:rsid w:val="005C3FC1"/>
    <w:rsid w:val="005C42E8"/>
    <w:rsid w:val="005C4A5D"/>
    <w:rsid w:val="005C4BE7"/>
    <w:rsid w:val="005C4D6C"/>
    <w:rsid w:val="005C4DD6"/>
    <w:rsid w:val="005C52A1"/>
    <w:rsid w:val="005C5308"/>
    <w:rsid w:val="005C5538"/>
    <w:rsid w:val="005C5854"/>
    <w:rsid w:val="005C5A18"/>
    <w:rsid w:val="005C5B40"/>
    <w:rsid w:val="005C5FFE"/>
    <w:rsid w:val="005C6118"/>
    <w:rsid w:val="005C6651"/>
    <w:rsid w:val="005C678C"/>
    <w:rsid w:val="005C69B2"/>
    <w:rsid w:val="005C6A59"/>
    <w:rsid w:val="005C6B3B"/>
    <w:rsid w:val="005C6E27"/>
    <w:rsid w:val="005C6F9D"/>
    <w:rsid w:val="005C6FA1"/>
    <w:rsid w:val="005D0354"/>
    <w:rsid w:val="005D0BF0"/>
    <w:rsid w:val="005D0E19"/>
    <w:rsid w:val="005D0E3F"/>
    <w:rsid w:val="005D1216"/>
    <w:rsid w:val="005D1334"/>
    <w:rsid w:val="005D14D2"/>
    <w:rsid w:val="005D19E4"/>
    <w:rsid w:val="005D1AEB"/>
    <w:rsid w:val="005D1BDA"/>
    <w:rsid w:val="005D1C2B"/>
    <w:rsid w:val="005D1FE7"/>
    <w:rsid w:val="005D25C7"/>
    <w:rsid w:val="005D29B5"/>
    <w:rsid w:val="005D2CDC"/>
    <w:rsid w:val="005D2CFA"/>
    <w:rsid w:val="005D2D23"/>
    <w:rsid w:val="005D2D45"/>
    <w:rsid w:val="005D3324"/>
    <w:rsid w:val="005D33F3"/>
    <w:rsid w:val="005D34A4"/>
    <w:rsid w:val="005D3828"/>
    <w:rsid w:val="005D3B34"/>
    <w:rsid w:val="005D3FB7"/>
    <w:rsid w:val="005D461E"/>
    <w:rsid w:val="005D4736"/>
    <w:rsid w:val="005D50B7"/>
    <w:rsid w:val="005D50D4"/>
    <w:rsid w:val="005D5DB3"/>
    <w:rsid w:val="005D5E57"/>
    <w:rsid w:val="005D6025"/>
    <w:rsid w:val="005D613B"/>
    <w:rsid w:val="005D6317"/>
    <w:rsid w:val="005D63BF"/>
    <w:rsid w:val="005D6871"/>
    <w:rsid w:val="005D69CF"/>
    <w:rsid w:val="005D6A42"/>
    <w:rsid w:val="005D6AE9"/>
    <w:rsid w:val="005D6C12"/>
    <w:rsid w:val="005D6E60"/>
    <w:rsid w:val="005D750C"/>
    <w:rsid w:val="005D77BB"/>
    <w:rsid w:val="005D7D60"/>
    <w:rsid w:val="005D7E3F"/>
    <w:rsid w:val="005E06D5"/>
    <w:rsid w:val="005E0770"/>
    <w:rsid w:val="005E0869"/>
    <w:rsid w:val="005E0C63"/>
    <w:rsid w:val="005E0F73"/>
    <w:rsid w:val="005E157F"/>
    <w:rsid w:val="005E164A"/>
    <w:rsid w:val="005E16AC"/>
    <w:rsid w:val="005E180F"/>
    <w:rsid w:val="005E1EEF"/>
    <w:rsid w:val="005E1F01"/>
    <w:rsid w:val="005E1FA4"/>
    <w:rsid w:val="005E2357"/>
    <w:rsid w:val="005E24A3"/>
    <w:rsid w:val="005E2756"/>
    <w:rsid w:val="005E2BBD"/>
    <w:rsid w:val="005E2DB6"/>
    <w:rsid w:val="005E307A"/>
    <w:rsid w:val="005E30FB"/>
    <w:rsid w:val="005E364B"/>
    <w:rsid w:val="005E371F"/>
    <w:rsid w:val="005E3949"/>
    <w:rsid w:val="005E3A02"/>
    <w:rsid w:val="005E3AA6"/>
    <w:rsid w:val="005E3B9F"/>
    <w:rsid w:val="005E434F"/>
    <w:rsid w:val="005E4DC7"/>
    <w:rsid w:val="005E4E9F"/>
    <w:rsid w:val="005E5558"/>
    <w:rsid w:val="005E579C"/>
    <w:rsid w:val="005E5884"/>
    <w:rsid w:val="005E58AB"/>
    <w:rsid w:val="005E5AA0"/>
    <w:rsid w:val="005E5E18"/>
    <w:rsid w:val="005E6210"/>
    <w:rsid w:val="005E6393"/>
    <w:rsid w:val="005E6504"/>
    <w:rsid w:val="005E6A73"/>
    <w:rsid w:val="005E75FE"/>
    <w:rsid w:val="005F00A5"/>
    <w:rsid w:val="005F0738"/>
    <w:rsid w:val="005F093A"/>
    <w:rsid w:val="005F0F35"/>
    <w:rsid w:val="005F13D0"/>
    <w:rsid w:val="005F1754"/>
    <w:rsid w:val="005F227C"/>
    <w:rsid w:val="005F23FE"/>
    <w:rsid w:val="005F2628"/>
    <w:rsid w:val="005F2799"/>
    <w:rsid w:val="005F354D"/>
    <w:rsid w:val="005F3603"/>
    <w:rsid w:val="005F41DF"/>
    <w:rsid w:val="005F481E"/>
    <w:rsid w:val="005F5036"/>
    <w:rsid w:val="005F50FE"/>
    <w:rsid w:val="005F58F4"/>
    <w:rsid w:val="005F657D"/>
    <w:rsid w:val="005F6638"/>
    <w:rsid w:val="005F6739"/>
    <w:rsid w:val="005F6B83"/>
    <w:rsid w:val="005F6E4B"/>
    <w:rsid w:val="005F6EA0"/>
    <w:rsid w:val="005F7104"/>
    <w:rsid w:val="005F78F3"/>
    <w:rsid w:val="005F7C9C"/>
    <w:rsid w:val="005F7F20"/>
    <w:rsid w:val="006001A5"/>
    <w:rsid w:val="006006AA"/>
    <w:rsid w:val="00600886"/>
    <w:rsid w:val="0060093D"/>
    <w:rsid w:val="00600A62"/>
    <w:rsid w:val="00600D0E"/>
    <w:rsid w:val="0060104B"/>
    <w:rsid w:val="006016D8"/>
    <w:rsid w:val="00601A71"/>
    <w:rsid w:val="00601A80"/>
    <w:rsid w:val="00602000"/>
    <w:rsid w:val="00602299"/>
    <w:rsid w:val="006022D9"/>
    <w:rsid w:val="00602984"/>
    <w:rsid w:val="006029AE"/>
    <w:rsid w:val="00602FD0"/>
    <w:rsid w:val="00603364"/>
    <w:rsid w:val="0060338C"/>
    <w:rsid w:val="00603439"/>
    <w:rsid w:val="006034C4"/>
    <w:rsid w:val="00603A3E"/>
    <w:rsid w:val="00603C00"/>
    <w:rsid w:val="00604325"/>
    <w:rsid w:val="006043D4"/>
    <w:rsid w:val="006049EC"/>
    <w:rsid w:val="006049F8"/>
    <w:rsid w:val="00604C68"/>
    <w:rsid w:val="00604D53"/>
    <w:rsid w:val="00604EBE"/>
    <w:rsid w:val="006053DA"/>
    <w:rsid w:val="00605964"/>
    <w:rsid w:val="00605AD1"/>
    <w:rsid w:val="00605D3D"/>
    <w:rsid w:val="00605D5F"/>
    <w:rsid w:val="00605D79"/>
    <w:rsid w:val="006062AA"/>
    <w:rsid w:val="006065FB"/>
    <w:rsid w:val="00606898"/>
    <w:rsid w:val="006068DC"/>
    <w:rsid w:val="006077DD"/>
    <w:rsid w:val="006079C2"/>
    <w:rsid w:val="00607BBA"/>
    <w:rsid w:val="00607F13"/>
    <w:rsid w:val="00610F52"/>
    <w:rsid w:val="006113AA"/>
    <w:rsid w:val="00611406"/>
    <w:rsid w:val="00611E2E"/>
    <w:rsid w:val="00611F7C"/>
    <w:rsid w:val="00612257"/>
    <w:rsid w:val="006122F3"/>
    <w:rsid w:val="0061253A"/>
    <w:rsid w:val="00612AB9"/>
    <w:rsid w:val="006134EF"/>
    <w:rsid w:val="0061403C"/>
    <w:rsid w:val="00614047"/>
    <w:rsid w:val="006142D9"/>
    <w:rsid w:val="00614308"/>
    <w:rsid w:val="006143C2"/>
    <w:rsid w:val="00614967"/>
    <w:rsid w:val="006149C3"/>
    <w:rsid w:val="00615378"/>
    <w:rsid w:val="00615B42"/>
    <w:rsid w:val="006166EC"/>
    <w:rsid w:val="00616755"/>
    <w:rsid w:val="006168A6"/>
    <w:rsid w:val="006172CE"/>
    <w:rsid w:val="00617558"/>
    <w:rsid w:val="006176D0"/>
    <w:rsid w:val="00617741"/>
    <w:rsid w:val="00617955"/>
    <w:rsid w:val="00617D21"/>
    <w:rsid w:val="006201D1"/>
    <w:rsid w:val="00620327"/>
    <w:rsid w:val="00620676"/>
    <w:rsid w:val="006209B3"/>
    <w:rsid w:val="00620ADA"/>
    <w:rsid w:val="00620C23"/>
    <w:rsid w:val="00620DFD"/>
    <w:rsid w:val="00621117"/>
    <w:rsid w:val="006211C0"/>
    <w:rsid w:val="00621834"/>
    <w:rsid w:val="00621C25"/>
    <w:rsid w:val="00621C4A"/>
    <w:rsid w:val="00621D12"/>
    <w:rsid w:val="00621F40"/>
    <w:rsid w:val="00622291"/>
    <w:rsid w:val="006224C3"/>
    <w:rsid w:val="00622A37"/>
    <w:rsid w:val="00622B0C"/>
    <w:rsid w:val="00622F31"/>
    <w:rsid w:val="0062388E"/>
    <w:rsid w:val="00623C10"/>
    <w:rsid w:val="006247BE"/>
    <w:rsid w:val="006247C6"/>
    <w:rsid w:val="0062491F"/>
    <w:rsid w:val="00624A20"/>
    <w:rsid w:val="00625059"/>
    <w:rsid w:val="006252BC"/>
    <w:rsid w:val="00625793"/>
    <w:rsid w:val="006258F9"/>
    <w:rsid w:val="00625F76"/>
    <w:rsid w:val="006263C0"/>
    <w:rsid w:val="00626643"/>
    <w:rsid w:val="006266BD"/>
    <w:rsid w:val="00626F3B"/>
    <w:rsid w:val="0062707E"/>
    <w:rsid w:val="006272DF"/>
    <w:rsid w:val="006272E0"/>
    <w:rsid w:val="00627599"/>
    <w:rsid w:val="006275AF"/>
    <w:rsid w:val="0062774A"/>
    <w:rsid w:val="00627B8D"/>
    <w:rsid w:val="00627ED5"/>
    <w:rsid w:val="00630026"/>
    <w:rsid w:val="006304E0"/>
    <w:rsid w:val="006307B3"/>
    <w:rsid w:val="00630E0C"/>
    <w:rsid w:val="00631BB6"/>
    <w:rsid w:val="00631CA4"/>
    <w:rsid w:val="0063246E"/>
    <w:rsid w:val="006327A1"/>
    <w:rsid w:val="0063285B"/>
    <w:rsid w:val="00632C1B"/>
    <w:rsid w:val="00632ECA"/>
    <w:rsid w:val="00632F06"/>
    <w:rsid w:val="00632F23"/>
    <w:rsid w:val="0063370D"/>
    <w:rsid w:val="0063382A"/>
    <w:rsid w:val="00633C68"/>
    <w:rsid w:val="0063412A"/>
    <w:rsid w:val="0063416D"/>
    <w:rsid w:val="006342A3"/>
    <w:rsid w:val="00634399"/>
    <w:rsid w:val="00634429"/>
    <w:rsid w:val="0063443B"/>
    <w:rsid w:val="0063486F"/>
    <w:rsid w:val="00635123"/>
    <w:rsid w:val="0063519A"/>
    <w:rsid w:val="00635233"/>
    <w:rsid w:val="0063556F"/>
    <w:rsid w:val="006355E6"/>
    <w:rsid w:val="00635CF4"/>
    <w:rsid w:val="00635F6A"/>
    <w:rsid w:val="00636133"/>
    <w:rsid w:val="00636335"/>
    <w:rsid w:val="00636772"/>
    <w:rsid w:val="006367FF"/>
    <w:rsid w:val="0063696F"/>
    <w:rsid w:val="00636C4F"/>
    <w:rsid w:val="00636D3F"/>
    <w:rsid w:val="006370FD"/>
    <w:rsid w:val="006372EC"/>
    <w:rsid w:val="0063746F"/>
    <w:rsid w:val="00637630"/>
    <w:rsid w:val="0063763B"/>
    <w:rsid w:val="00637C2C"/>
    <w:rsid w:val="00637CEC"/>
    <w:rsid w:val="006402F3"/>
    <w:rsid w:val="00640438"/>
    <w:rsid w:val="006414C2"/>
    <w:rsid w:val="006418D0"/>
    <w:rsid w:val="00641A69"/>
    <w:rsid w:val="00641B17"/>
    <w:rsid w:val="00641FAD"/>
    <w:rsid w:val="0064220C"/>
    <w:rsid w:val="00642292"/>
    <w:rsid w:val="00642563"/>
    <w:rsid w:val="0064274E"/>
    <w:rsid w:val="00642B89"/>
    <w:rsid w:val="00642DC4"/>
    <w:rsid w:val="006434A2"/>
    <w:rsid w:val="0064362E"/>
    <w:rsid w:val="0064391C"/>
    <w:rsid w:val="00643A18"/>
    <w:rsid w:val="00643F19"/>
    <w:rsid w:val="00644399"/>
    <w:rsid w:val="0064449A"/>
    <w:rsid w:val="00644853"/>
    <w:rsid w:val="00644CE1"/>
    <w:rsid w:val="006451A9"/>
    <w:rsid w:val="00645B77"/>
    <w:rsid w:val="00645C83"/>
    <w:rsid w:val="00645EC0"/>
    <w:rsid w:val="00645FD1"/>
    <w:rsid w:val="0064631E"/>
    <w:rsid w:val="00646516"/>
    <w:rsid w:val="00646738"/>
    <w:rsid w:val="006468C2"/>
    <w:rsid w:val="00646A8F"/>
    <w:rsid w:val="00646F6C"/>
    <w:rsid w:val="006471E3"/>
    <w:rsid w:val="00647624"/>
    <w:rsid w:val="006479F9"/>
    <w:rsid w:val="00647DCB"/>
    <w:rsid w:val="0065003D"/>
    <w:rsid w:val="00650104"/>
    <w:rsid w:val="00650110"/>
    <w:rsid w:val="006502C5"/>
    <w:rsid w:val="00650327"/>
    <w:rsid w:val="006506EE"/>
    <w:rsid w:val="00650C17"/>
    <w:rsid w:val="00650E39"/>
    <w:rsid w:val="00650E8C"/>
    <w:rsid w:val="006514F4"/>
    <w:rsid w:val="006516C4"/>
    <w:rsid w:val="00651C2E"/>
    <w:rsid w:val="00652847"/>
    <w:rsid w:val="00652BD3"/>
    <w:rsid w:val="00652D09"/>
    <w:rsid w:val="00652D6B"/>
    <w:rsid w:val="00653016"/>
    <w:rsid w:val="006533EF"/>
    <w:rsid w:val="0065366B"/>
    <w:rsid w:val="0065387A"/>
    <w:rsid w:val="00653E32"/>
    <w:rsid w:val="00654203"/>
    <w:rsid w:val="006542B3"/>
    <w:rsid w:val="006542C2"/>
    <w:rsid w:val="00654F36"/>
    <w:rsid w:val="0065525E"/>
    <w:rsid w:val="00655626"/>
    <w:rsid w:val="00655ADB"/>
    <w:rsid w:val="00655BF3"/>
    <w:rsid w:val="00655C59"/>
    <w:rsid w:val="00655EAA"/>
    <w:rsid w:val="00656137"/>
    <w:rsid w:val="00656ABA"/>
    <w:rsid w:val="00656B42"/>
    <w:rsid w:val="00656BA4"/>
    <w:rsid w:val="00656DB1"/>
    <w:rsid w:val="00656FB0"/>
    <w:rsid w:val="00657414"/>
    <w:rsid w:val="00657551"/>
    <w:rsid w:val="006575B2"/>
    <w:rsid w:val="00657AD1"/>
    <w:rsid w:val="00657AE7"/>
    <w:rsid w:val="00657B3A"/>
    <w:rsid w:val="0066080E"/>
    <w:rsid w:val="00660846"/>
    <w:rsid w:val="0066085F"/>
    <w:rsid w:val="00660B44"/>
    <w:rsid w:val="00660C17"/>
    <w:rsid w:val="00660C50"/>
    <w:rsid w:val="00660EB4"/>
    <w:rsid w:val="006610A1"/>
    <w:rsid w:val="00661430"/>
    <w:rsid w:val="0066181D"/>
    <w:rsid w:val="00661BD1"/>
    <w:rsid w:val="00661DD5"/>
    <w:rsid w:val="006621E4"/>
    <w:rsid w:val="00662363"/>
    <w:rsid w:val="006626E9"/>
    <w:rsid w:val="00663312"/>
    <w:rsid w:val="00663826"/>
    <w:rsid w:val="00663832"/>
    <w:rsid w:val="00663DB4"/>
    <w:rsid w:val="00663FAD"/>
    <w:rsid w:val="00663FBC"/>
    <w:rsid w:val="00664013"/>
    <w:rsid w:val="00664084"/>
    <w:rsid w:val="00664145"/>
    <w:rsid w:val="0066456D"/>
    <w:rsid w:val="00664875"/>
    <w:rsid w:val="00664926"/>
    <w:rsid w:val="00664C67"/>
    <w:rsid w:val="00664EE2"/>
    <w:rsid w:val="00665607"/>
    <w:rsid w:val="0066577F"/>
    <w:rsid w:val="006657EB"/>
    <w:rsid w:val="0066635D"/>
    <w:rsid w:val="006663CF"/>
    <w:rsid w:val="0066657A"/>
    <w:rsid w:val="0066668C"/>
    <w:rsid w:val="0066687A"/>
    <w:rsid w:val="00667567"/>
    <w:rsid w:val="006675E5"/>
    <w:rsid w:val="0066775A"/>
    <w:rsid w:val="00667AF6"/>
    <w:rsid w:val="00667DFC"/>
    <w:rsid w:val="006701AD"/>
    <w:rsid w:val="0067027B"/>
    <w:rsid w:val="00670637"/>
    <w:rsid w:val="0067093F"/>
    <w:rsid w:val="006709FA"/>
    <w:rsid w:val="00670CB0"/>
    <w:rsid w:val="00670E4B"/>
    <w:rsid w:val="00670F03"/>
    <w:rsid w:val="006714EE"/>
    <w:rsid w:val="006719DC"/>
    <w:rsid w:val="00671B8C"/>
    <w:rsid w:val="006727DC"/>
    <w:rsid w:val="00672ABD"/>
    <w:rsid w:val="006730F0"/>
    <w:rsid w:val="00673337"/>
    <w:rsid w:val="006735AC"/>
    <w:rsid w:val="00673749"/>
    <w:rsid w:val="00673BBB"/>
    <w:rsid w:val="0067426A"/>
    <w:rsid w:val="006743ED"/>
    <w:rsid w:val="006745F5"/>
    <w:rsid w:val="00675969"/>
    <w:rsid w:val="00675AF6"/>
    <w:rsid w:val="00675F46"/>
    <w:rsid w:val="00676048"/>
    <w:rsid w:val="006762B5"/>
    <w:rsid w:val="006764BC"/>
    <w:rsid w:val="0067659C"/>
    <w:rsid w:val="00676D93"/>
    <w:rsid w:val="00676E47"/>
    <w:rsid w:val="0067706F"/>
    <w:rsid w:val="0067713D"/>
    <w:rsid w:val="006773B4"/>
    <w:rsid w:val="006773C9"/>
    <w:rsid w:val="006773EF"/>
    <w:rsid w:val="006774E2"/>
    <w:rsid w:val="0067785C"/>
    <w:rsid w:val="00677AB9"/>
    <w:rsid w:val="00677DD3"/>
    <w:rsid w:val="00680958"/>
    <w:rsid w:val="006809B4"/>
    <w:rsid w:val="00680B17"/>
    <w:rsid w:val="00680E42"/>
    <w:rsid w:val="00681023"/>
    <w:rsid w:val="00681630"/>
    <w:rsid w:val="006824B4"/>
    <w:rsid w:val="0068269D"/>
    <w:rsid w:val="00682AA0"/>
    <w:rsid w:val="00682D74"/>
    <w:rsid w:val="00682EB4"/>
    <w:rsid w:val="00683082"/>
    <w:rsid w:val="00683446"/>
    <w:rsid w:val="00683D74"/>
    <w:rsid w:val="006841F8"/>
    <w:rsid w:val="00684337"/>
    <w:rsid w:val="0068435D"/>
    <w:rsid w:val="006843B9"/>
    <w:rsid w:val="00684BD8"/>
    <w:rsid w:val="00685082"/>
    <w:rsid w:val="00685F9D"/>
    <w:rsid w:val="00686B09"/>
    <w:rsid w:val="00687033"/>
    <w:rsid w:val="00687C8B"/>
    <w:rsid w:val="00687D1D"/>
    <w:rsid w:val="0069029F"/>
    <w:rsid w:val="00690633"/>
    <w:rsid w:val="00691216"/>
    <w:rsid w:val="00691898"/>
    <w:rsid w:val="00691C19"/>
    <w:rsid w:val="00691C9E"/>
    <w:rsid w:val="00691E7E"/>
    <w:rsid w:val="00692545"/>
    <w:rsid w:val="00692D5A"/>
    <w:rsid w:val="00692FAB"/>
    <w:rsid w:val="00693077"/>
    <w:rsid w:val="00693510"/>
    <w:rsid w:val="00693701"/>
    <w:rsid w:val="0069391A"/>
    <w:rsid w:val="0069409C"/>
    <w:rsid w:val="0069495B"/>
    <w:rsid w:val="00694D06"/>
    <w:rsid w:val="00695252"/>
    <w:rsid w:val="00695283"/>
    <w:rsid w:val="00695546"/>
    <w:rsid w:val="006956F6"/>
    <w:rsid w:val="0069593D"/>
    <w:rsid w:val="00695AFD"/>
    <w:rsid w:val="00695FBC"/>
    <w:rsid w:val="00696A6D"/>
    <w:rsid w:val="00696C45"/>
    <w:rsid w:val="00696E9F"/>
    <w:rsid w:val="00696EBD"/>
    <w:rsid w:val="006974AA"/>
    <w:rsid w:val="006A044F"/>
    <w:rsid w:val="006A113C"/>
    <w:rsid w:val="006A121F"/>
    <w:rsid w:val="006A12C4"/>
    <w:rsid w:val="006A25D7"/>
    <w:rsid w:val="006A2712"/>
    <w:rsid w:val="006A2B5C"/>
    <w:rsid w:val="006A2D88"/>
    <w:rsid w:val="006A2E57"/>
    <w:rsid w:val="006A3286"/>
    <w:rsid w:val="006A354D"/>
    <w:rsid w:val="006A3F30"/>
    <w:rsid w:val="006A4248"/>
    <w:rsid w:val="006A42B2"/>
    <w:rsid w:val="006A4402"/>
    <w:rsid w:val="006A489A"/>
    <w:rsid w:val="006A4C88"/>
    <w:rsid w:val="006A4F8C"/>
    <w:rsid w:val="006A4FF7"/>
    <w:rsid w:val="006A5081"/>
    <w:rsid w:val="006A586C"/>
    <w:rsid w:val="006A5AC1"/>
    <w:rsid w:val="006A5AD9"/>
    <w:rsid w:val="006A5B11"/>
    <w:rsid w:val="006A5EE0"/>
    <w:rsid w:val="006A66C5"/>
    <w:rsid w:val="006A681E"/>
    <w:rsid w:val="006A7167"/>
    <w:rsid w:val="006A71C3"/>
    <w:rsid w:val="006A75CD"/>
    <w:rsid w:val="006B0221"/>
    <w:rsid w:val="006B02C6"/>
    <w:rsid w:val="006B044C"/>
    <w:rsid w:val="006B07C1"/>
    <w:rsid w:val="006B0B8B"/>
    <w:rsid w:val="006B0DAB"/>
    <w:rsid w:val="006B1585"/>
    <w:rsid w:val="006B1634"/>
    <w:rsid w:val="006B17C0"/>
    <w:rsid w:val="006B1983"/>
    <w:rsid w:val="006B199C"/>
    <w:rsid w:val="006B1D30"/>
    <w:rsid w:val="006B1D45"/>
    <w:rsid w:val="006B1E61"/>
    <w:rsid w:val="006B1E8C"/>
    <w:rsid w:val="006B2219"/>
    <w:rsid w:val="006B238F"/>
    <w:rsid w:val="006B24FB"/>
    <w:rsid w:val="006B2730"/>
    <w:rsid w:val="006B2C0D"/>
    <w:rsid w:val="006B33FE"/>
    <w:rsid w:val="006B39CD"/>
    <w:rsid w:val="006B3BEC"/>
    <w:rsid w:val="006B4004"/>
    <w:rsid w:val="006B410F"/>
    <w:rsid w:val="006B4540"/>
    <w:rsid w:val="006B45E2"/>
    <w:rsid w:val="006B4A5B"/>
    <w:rsid w:val="006B4C83"/>
    <w:rsid w:val="006B5074"/>
    <w:rsid w:val="006B5C79"/>
    <w:rsid w:val="006B5CC6"/>
    <w:rsid w:val="006B6854"/>
    <w:rsid w:val="006B69E1"/>
    <w:rsid w:val="006B6B00"/>
    <w:rsid w:val="006B710F"/>
    <w:rsid w:val="006B720A"/>
    <w:rsid w:val="006B7429"/>
    <w:rsid w:val="006B7534"/>
    <w:rsid w:val="006B769E"/>
    <w:rsid w:val="006B77A5"/>
    <w:rsid w:val="006B7914"/>
    <w:rsid w:val="006B7FCE"/>
    <w:rsid w:val="006C006E"/>
    <w:rsid w:val="006C0321"/>
    <w:rsid w:val="006C090A"/>
    <w:rsid w:val="006C1500"/>
    <w:rsid w:val="006C15C8"/>
    <w:rsid w:val="006C1E01"/>
    <w:rsid w:val="006C1E5B"/>
    <w:rsid w:val="006C29A5"/>
    <w:rsid w:val="006C2B15"/>
    <w:rsid w:val="006C2E5E"/>
    <w:rsid w:val="006C31A6"/>
    <w:rsid w:val="006C33B5"/>
    <w:rsid w:val="006C35E6"/>
    <w:rsid w:val="006C361A"/>
    <w:rsid w:val="006C364C"/>
    <w:rsid w:val="006C37FB"/>
    <w:rsid w:val="006C381F"/>
    <w:rsid w:val="006C3DD2"/>
    <w:rsid w:val="006C4113"/>
    <w:rsid w:val="006C4146"/>
    <w:rsid w:val="006C477F"/>
    <w:rsid w:val="006C494E"/>
    <w:rsid w:val="006C4A0E"/>
    <w:rsid w:val="006C4CD3"/>
    <w:rsid w:val="006C50E9"/>
    <w:rsid w:val="006C544F"/>
    <w:rsid w:val="006C56FE"/>
    <w:rsid w:val="006C57E2"/>
    <w:rsid w:val="006C5C34"/>
    <w:rsid w:val="006C5C94"/>
    <w:rsid w:val="006C5CF8"/>
    <w:rsid w:val="006C5E9C"/>
    <w:rsid w:val="006C5EB7"/>
    <w:rsid w:val="006C6C1D"/>
    <w:rsid w:val="006C6E4E"/>
    <w:rsid w:val="006C74C6"/>
    <w:rsid w:val="006C7B73"/>
    <w:rsid w:val="006C7E93"/>
    <w:rsid w:val="006D0472"/>
    <w:rsid w:val="006D0496"/>
    <w:rsid w:val="006D056A"/>
    <w:rsid w:val="006D05E9"/>
    <w:rsid w:val="006D06A0"/>
    <w:rsid w:val="006D1C4D"/>
    <w:rsid w:val="006D1E49"/>
    <w:rsid w:val="006D1F20"/>
    <w:rsid w:val="006D20A3"/>
    <w:rsid w:val="006D21FA"/>
    <w:rsid w:val="006D22ED"/>
    <w:rsid w:val="006D2BD8"/>
    <w:rsid w:val="006D2BE6"/>
    <w:rsid w:val="006D2E4C"/>
    <w:rsid w:val="006D30A0"/>
    <w:rsid w:val="006D3330"/>
    <w:rsid w:val="006D3354"/>
    <w:rsid w:val="006D3756"/>
    <w:rsid w:val="006D388D"/>
    <w:rsid w:val="006D393A"/>
    <w:rsid w:val="006D3C8B"/>
    <w:rsid w:val="006D3D44"/>
    <w:rsid w:val="006D45E6"/>
    <w:rsid w:val="006D474F"/>
    <w:rsid w:val="006D4F6D"/>
    <w:rsid w:val="006D523E"/>
    <w:rsid w:val="006D596E"/>
    <w:rsid w:val="006D5CFA"/>
    <w:rsid w:val="006D608E"/>
    <w:rsid w:val="006D6217"/>
    <w:rsid w:val="006D6325"/>
    <w:rsid w:val="006D6C90"/>
    <w:rsid w:val="006D6F16"/>
    <w:rsid w:val="006D741A"/>
    <w:rsid w:val="006D7501"/>
    <w:rsid w:val="006D76C2"/>
    <w:rsid w:val="006D7AE5"/>
    <w:rsid w:val="006D7CD0"/>
    <w:rsid w:val="006D7DC6"/>
    <w:rsid w:val="006E0667"/>
    <w:rsid w:val="006E0BCB"/>
    <w:rsid w:val="006E0E26"/>
    <w:rsid w:val="006E0F9F"/>
    <w:rsid w:val="006E0FB3"/>
    <w:rsid w:val="006E1005"/>
    <w:rsid w:val="006E1046"/>
    <w:rsid w:val="006E10EC"/>
    <w:rsid w:val="006E150F"/>
    <w:rsid w:val="006E1909"/>
    <w:rsid w:val="006E1F19"/>
    <w:rsid w:val="006E214E"/>
    <w:rsid w:val="006E2545"/>
    <w:rsid w:val="006E2913"/>
    <w:rsid w:val="006E297C"/>
    <w:rsid w:val="006E32D4"/>
    <w:rsid w:val="006E3497"/>
    <w:rsid w:val="006E34FA"/>
    <w:rsid w:val="006E3F26"/>
    <w:rsid w:val="006E4242"/>
    <w:rsid w:val="006E46BD"/>
    <w:rsid w:val="006E49E7"/>
    <w:rsid w:val="006E4B68"/>
    <w:rsid w:val="006E4E2B"/>
    <w:rsid w:val="006E5535"/>
    <w:rsid w:val="006E576C"/>
    <w:rsid w:val="006E5D74"/>
    <w:rsid w:val="006E5EED"/>
    <w:rsid w:val="006E67EB"/>
    <w:rsid w:val="006E6A8C"/>
    <w:rsid w:val="006E6C5C"/>
    <w:rsid w:val="006E6D65"/>
    <w:rsid w:val="006E7FC5"/>
    <w:rsid w:val="006F063B"/>
    <w:rsid w:val="006F085B"/>
    <w:rsid w:val="006F08F6"/>
    <w:rsid w:val="006F0950"/>
    <w:rsid w:val="006F0D31"/>
    <w:rsid w:val="006F12FA"/>
    <w:rsid w:val="006F17AD"/>
    <w:rsid w:val="006F1CF1"/>
    <w:rsid w:val="006F22D1"/>
    <w:rsid w:val="006F277E"/>
    <w:rsid w:val="006F2FEE"/>
    <w:rsid w:val="006F3594"/>
    <w:rsid w:val="006F359B"/>
    <w:rsid w:val="006F3AE5"/>
    <w:rsid w:val="006F3E5A"/>
    <w:rsid w:val="006F413E"/>
    <w:rsid w:val="006F4479"/>
    <w:rsid w:val="006F5154"/>
    <w:rsid w:val="006F52A8"/>
    <w:rsid w:val="006F5601"/>
    <w:rsid w:val="006F57EC"/>
    <w:rsid w:val="006F58B0"/>
    <w:rsid w:val="006F58E1"/>
    <w:rsid w:val="006F5B02"/>
    <w:rsid w:val="006F61F5"/>
    <w:rsid w:val="006F6349"/>
    <w:rsid w:val="006F6549"/>
    <w:rsid w:val="006F6807"/>
    <w:rsid w:val="006F6832"/>
    <w:rsid w:val="006F6E96"/>
    <w:rsid w:val="006F7282"/>
    <w:rsid w:val="006F7811"/>
    <w:rsid w:val="006F7D6F"/>
    <w:rsid w:val="006F7EC8"/>
    <w:rsid w:val="0070096D"/>
    <w:rsid w:val="00701025"/>
    <w:rsid w:val="007013CD"/>
    <w:rsid w:val="00701472"/>
    <w:rsid w:val="00701651"/>
    <w:rsid w:val="00701FDC"/>
    <w:rsid w:val="00702077"/>
    <w:rsid w:val="007022AC"/>
    <w:rsid w:val="00702A07"/>
    <w:rsid w:val="00702DFE"/>
    <w:rsid w:val="00702E0A"/>
    <w:rsid w:val="00702F0E"/>
    <w:rsid w:val="00702FD0"/>
    <w:rsid w:val="00702FF4"/>
    <w:rsid w:val="0070304B"/>
    <w:rsid w:val="007038B4"/>
    <w:rsid w:val="00703C09"/>
    <w:rsid w:val="00703C18"/>
    <w:rsid w:val="00703FFA"/>
    <w:rsid w:val="007040C6"/>
    <w:rsid w:val="007042C3"/>
    <w:rsid w:val="00704384"/>
    <w:rsid w:val="0070453A"/>
    <w:rsid w:val="00704C4A"/>
    <w:rsid w:val="00704CD5"/>
    <w:rsid w:val="00704D77"/>
    <w:rsid w:val="00705709"/>
    <w:rsid w:val="00705AF9"/>
    <w:rsid w:val="00706008"/>
    <w:rsid w:val="0070605D"/>
    <w:rsid w:val="00706464"/>
    <w:rsid w:val="00706A60"/>
    <w:rsid w:val="00706BB0"/>
    <w:rsid w:val="00706DB3"/>
    <w:rsid w:val="00706EF2"/>
    <w:rsid w:val="00706FE7"/>
    <w:rsid w:val="007074A0"/>
    <w:rsid w:val="007075F7"/>
    <w:rsid w:val="00707975"/>
    <w:rsid w:val="00710046"/>
    <w:rsid w:val="0071006C"/>
    <w:rsid w:val="00710769"/>
    <w:rsid w:val="00710788"/>
    <w:rsid w:val="007108CF"/>
    <w:rsid w:val="007111F5"/>
    <w:rsid w:val="0071144D"/>
    <w:rsid w:val="00711A02"/>
    <w:rsid w:val="00711BA3"/>
    <w:rsid w:val="00711DA6"/>
    <w:rsid w:val="00711EF3"/>
    <w:rsid w:val="007125E0"/>
    <w:rsid w:val="007132CE"/>
    <w:rsid w:val="00713BF9"/>
    <w:rsid w:val="00713DAD"/>
    <w:rsid w:val="007140F2"/>
    <w:rsid w:val="00714878"/>
    <w:rsid w:val="00714B6F"/>
    <w:rsid w:val="00714D6A"/>
    <w:rsid w:val="00714F8F"/>
    <w:rsid w:val="007153C2"/>
    <w:rsid w:val="0071574B"/>
    <w:rsid w:val="0071575C"/>
    <w:rsid w:val="00715973"/>
    <w:rsid w:val="00715ED1"/>
    <w:rsid w:val="00715F08"/>
    <w:rsid w:val="007164F7"/>
    <w:rsid w:val="00716B0A"/>
    <w:rsid w:val="00716C64"/>
    <w:rsid w:val="00716CE0"/>
    <w:rsid w:val="00717922"/>
    <w:rsid w:val="00717B81"/>
    <w:rsid w:val="00720006"/>
    <w:rsid w:val="007201EA"/>
    <w:rsid w:val="00720450"/>
    <w:rsid w:val="00720464"/>
    <w:rsid w:val="0072053D"/>
    <w:rsid w:val="0072094C"/>
    <w:rsid w:val="00720985"/>
    <w:rsid w:val="00721103"/>
    <w:rsid w:val="007211EB"/>
    <w:rsid w:val="00721298"/>
    <w:rsid w:val="007214E3"/>
    <w:rsid w:val="00721B0B"/>
    <w:rsid w:val="00721BA5"/>
    <w:rsid w:val="00721C56"/>
    <w:rsid w:val="00721DB4"/>
    <w:rsid w:val="00722007"/>
    <w:rsid w:val="007221EF"/>
    <w:rsid w:val="00722264"/>
    <w:rsid w:val="007223FF"/>
    <w:rsid w:val="0072259D"/>
    <w:rsid w:val="0072368B"/>
    <w:rsid w:val="0072384C"/>
    <w:rsid w:val="00723855"/>
    <w:rsid w:val="00723DEC"/>
    <w:rsid w:val="00723E9A"/>
    <w:rsid w:val="00723F25"/>
    <w:rsid w:val="007253DD"/>
    <w:rsid w:val="007261F3"/>
    <w:rsid w:val="00726766"/>
    <w:rsid w:val="007267AE"/>
    <w:rsid w:val="00726BF4"/>
    <w:rsid w:val="00726F8F"/>
    <w:rsid w:val="007272C1"/>
    <w:rsid w:val="00727325"/>
    <w:rsid w:val="007274C4"/>
    <w:rsid w:val="00727A5C"/>
    <w:rsid w:val="00727B3D"/>
    <w:rsid w:val="00727B7A"/>
    <w:rsid w:val="00727D2D"/>
    <w:rsid w:val="00727FD1"/>
    <w:rsid w:val="007300C3"/>
    <w:rsid w:val="00730165"/>
    <w:rsid w:val="007304B5"/>
    <w:rsid w:val="007305C4"/>
    <w:rsid w:val="007305C6"/>
    <w:rsid w:val="00730A7D"/>
    <w:rsid w:val="00730B4A"/>
    <w:rsid w:val="00730E33"/>
    <w:rsid w:val="007310AF"/>
    <w:rsid w:val="0073181B"/>
    <w:rsid w:val="00731C58"/>
    <w:rsid w:val="00731FE5"/>
    <w:rsid w:val="00732463"/>
    <w:rsid w:val="00732525"/>
    <w:rsid w:val="00732783"/>
    <w:rsid w:val="00732A98"/>
    <w:rsid w:val="0073323B"/>
    <w:rsid w:val="00733827"/>
    <w:rsid w:val="00733DFE"/>
    <w:rsid w:val="007341AD"/>
    <w:rsid w:val="0073471F"/>
    <w:rsid w:val="00734A8E"/>
    <w:rsid w:val="00734CBD"/>
    <w:rsid w:val="007353FF"/>
    <w:rsid w:val="007354AB"/>
    <w:rsid w:val="00735DEC"/>
    <w:rsid w:val="007360D1"/>
    <w:rsid w:val="007360DC"/>
    <w:rsid w:val="0073612F"/>
    <w:rsid w:val="007364A7"/>
    <w:rsid w:val="0073669B"/>
    <w:rsid w:val="00736D36"/>
    <w:rsid w:val="00737149"/>
    <w:rsid w:val="007371AA"/>
    <w:rsid w:val="00737BD6"/>
    <w:rsid w:val="00740792"/>
    <w:rsid w:val="007407DF"/>
    <w:rsid w:val="00740A12"/>
    <w:rsid w:val="00740DA6"/>
    <w:rsid w:val="00740F82"/>
    <w:rsid w:val="00741241"/>
    <w:rsid w:val="007416CA"/>
    <w:rsid w:val="00742205"/>
    <w:rsid w:val="007423BF"/>
    <w:rsid w:val="007428C6"/>
    <w:rsid w:val="007431CD"/>
    <w:rsid w:val="00743487"/>
    <w:rsid w:val="00743531"/>
    <w:rsid w:val="007437DE"/>
    <w:rsid w:val="0074389F"/>
    <w:rsid w:val="007438C2"/>
    <w:rsid w:val="00744763"/>
    <w:rsid w:val="007449AC"/>
    <w:rsid w:val="00744A92"/>
    <w:rsid w:val="00744C14"/>
    <w:rsid w:val="00744C67"/>
    <w:rsid w:val="00744FCC"/>
    <w:rsid w:val="0074507E"/>
    <w:rsid w:val="007450A6"/>
    <w:rsid w:val="0074551E"/>
    <w:rsid w:val="00745F21"/>
    <w:rsid w:val="0074626F"/>
    <w:rsid w:val="00746405"/>
    <w:rsid w:val="00746535"/>
    <w:rsid w:val="007466A4"/>
    <w:rsid w:val="007466B4"/>
    <w:rsid w:val="00746D7B"/>
    <w:rsid w:val="00747150"/>
    <w:rsid w:val="0074746E"/>
    <w:rsid w:val="00747721"/>
    <w:rsid w:val="007478DE"/>
    <w:rsid w:val="00747938"/>
    <w:rsid w:val="00747B67"/>
    <w:rsid w:val="00747C21"/>
    <w:rsid w:val="007500A8"/>
    <w:rsid w:val="00751289"/>
    <w:rsid w:val="00751334"/>
    <w:rsid w:val="007514E3"/>
    <w:rsid w:val="007518AF"/>
    <w:rsid w:val="0075197A"/>
    <w:rsid w:val="00751D2A"/>
    <w:rsid w:val="00752818"/>
    <w:rsid w:val="00752AF9"/>
    <w:rsid w:val="00752B94"/>
    <w:rsid w:val="007531FC"/>
    <w:rsid w:val="00753385"/>
    <w:rsid w:val="00753514"/>
    <w:rsid w:val="007535A2"/>
    <w:rsid w:val="007536A9"/>
    <w:rsid w:val="0075380B"/>
    <w:rsid w:val="00753B93"/>
    <w:rsid w:val="00753DC7"/>
    <w:rsid w:val="00753E2B"/>
    <w:rsid w:val="00753ECA"/>
    <w:rsid w:val="00754AAF"/>
    <w:rsid w:val="00754D8C"/>
    <w:rsid w:val="00754F55"/>
    <w:rsid w:val="007551BB"/>
    <w:rsid w:val="00755244"/>
    <w:rsid w:val="007552AD"/>
    <w:rsid w:val="007558DF"/>
    <w:rsid w:val="007558F6"/>
    <w:rsid w:val="00755C0B"/>
    <w:rsid w:val="00755C7E"/>
    <w:rsid w:val="00755D9A"/>
    <w:rsid w:val="00755E53"/>
    <w:rsid w:val="00756565"/>
    <w:rsid w:val="00756920"/>
    <w:rsid w:val="00756A8D"/>
    <w:rsid w:val="00756CEC"/>
    <w:rsid w:val="00756E53"/>
    <w:rsid w:val="00756F80"/>
    <w:rsid w:val="00757142"/>
    <w:rsid w:val="007572A0"/>
    <w:rsid w:val="00757842"/>
    <w:rsid w:val="00757A14"/>
    <w:rsid w:val="00757CF5"/>
    <w:rsid w:val="00757E81"/>
    <w:rsid w:val="00760127"/>
    <w:rsid w:val="0076067B"/>
    <w:rsid w:val="007616D9"/>
    <w:rsid w:val="00761726"/>
    <w:rsid w:val="00761777"/>
    <w:rsid w:val="007618B1"/>
    <w:rsid w:val="00761AA7"/>
    <w:rsid w:val="00761D57"/>
    <w:rsid w:val="007620D7"/>
    <w:rsid w:val="00762269"/>
    <w:rsid w:val="00762290"/>
    <w:rsid w:val="00762EEE"/>
    <w:rsid w:val="007634B9"/>
    <w:rsid w:val="007634C7"/>
    <w:rsid w:val="007639D2"/>
    <w:rsid w:val="00763A07"/>
    <w:rsid w:val="00763B09"/>
    <w:rsid w:val="007644A0"/>
    <w:rsid w:val="0076471F"/>
    <w:rsid w:val="00764E29"/>
    <w:rsid w:val="00764FB4"/>
    <w:rsid w:val="0076506D"/>
    <w:rsid w:val="00765380"/>
    <w:rsid w:val="00765B59"/>
    <w:rsid w:val="00765F2F"/>
    <w:rsid w:val="00766390"/>
    <w:rsid w:val="00766516"/>
    <w:rsid w:val="007667EA"/>
    <w:rsid w:val="00766884"/>
    <w:rsid w:val="007671F7"/>
    <w:rsid w:val="007672A9"/>
    <w:rsid w:val="0076732D"/>
    <w:rsid w:val="0076735B"/>
    <w:rsid w:val="00767A1E"/>
    <w:rsid w:val="00767B55"/>
    <w:rsid w:val="00770029"/>
    <w:rsid w:val="007702D8"/>
    <w:rsid w:val="0077056F"/>
    <w:rsid w:val="00770589"/>
    <w:rsid w:val="007706A7"/>
    <w:rsid w:val="00770878"/>
    <w:rsid w:val="00770A1E"/>
    <w:rsid w:val="00770ACC"/>
    <w:rsid w:val="00770D09"/>
    <w:rsid w:val="00770D5D"/>
    <w:rsid w:val="00770EBE"/>
    <w:rsid w:val="0077155D"/>
    <w:rsid w:val="00771869"/>
    <w:rsid w:val="00771A01"/>
    <w:rsid w:val="0077202B"/>
    <w:rsid w:val="0077203D"/>
    <w:rsid w:val="007721C8"/>
    <w:rsid w:val="00772484"/>
    <w:rsid w:val="007730FE"/>
    <w:rsid w:val="00773245"/>
    <w:rsid w:val="00773AF6"/>
    <w:rsid w:val="007741B0"/>
    <w:rsid w:val="007741BF"/>
    <w:rsid w:val="007742EF"/>
    <w:rsid w:val="00774AFC"/>
    <w:rsid w:val="00774BCD"/>
    <w:rsid w:val="007751D3"/>
    <w:rsid w:val="00775304"/>
    <w:rsid w:val="00776056"/>
    <w:rsid w:val="00776469"/>
    <w:rsid w:val="007768A3"/>
    <w:rsid w:val="00776908"/>
    <w:rsid w:val="00776915"/>
    <w:rsid w:val="0077731D"/>
    <w:rsid w:val="00777B02"/>
    <w:rsid w:val="00777B0B"/>
    <w:rsid w:val="00777B5E"/>
    <w:rsid w:val="00777C18"/>
    <w:rsid w:val="0078043F"/>
    <w:rsid w:val="00780735"/>
    <w:rsid w:val="007807C4"/>
    <w:rsid w:val="00780B78"/>
    <w:rsid w:val="0078115D"/>
    <w:rsid w:val="007811CC"/>
    <w:rsid w:val="0078140B"/>
    <w:rsid w:val="0078165A"/>
    <w:rsid w:val="00781915"/>
    <w:rsid w:val="00781EAD"/>
    <w:rsid w:val="00781ED3"/>
    <w:rsid w:val="00782104"/>
    <w:rsid w:val="00782691"/>
    <w:rsid w:val="007827B4"/>
    <w:rsid w:val="007829CE"/>
    <w:rsid w:val="00782CE8"/>
    <w:rsid w:val="00782D1D"/>
    <w:rsid w:val="00783256"/>
    <w:rsid w:val="0078338F"/>
    <w:rsid w:val="007834A2"/>
    <w:rsid w:val="007834DC"/>
    <w:rsid w:val="00783C34"/>
    <w:rsid w:val="00784EC0"/>
    <w:rsid w:val="00784FC0"/>
    <w:rsid w:val="00785006"/>
    <w:rsid w:val="0078512B"/>
    <w:rsid w:val="00785425"/>
    <w:rsid w:val="0078571E"/>
    <w:rsid w:val="00785DB5"/>
    <w:rsid w:val="00786266"/>
    <w:rsid w:val="00786AB7"/>
    <w:rsid w:val="00786B2E"/>
    <w:rsid w:val="00786B9D"/>
    <w:rsid w:val="00786E59"/>
    <w:rsid w:val="0078709A"/>
    <w:rsid w:val="00787214"/>
    <w:rsid w:val="0078724D"/>
    <w:rsid w:val="00787758"/>
    <w:rsid w:val="00787A85"/>
    <w:rsid w:val="00787B62"/>
    <w:rsid w:val="0079019A"/>
    <w:rsid w:val="0079064F"/>
    <w:rsid w:val="00790781"/>
    <w:rsid w:val="00790B4E"/>
    <w:rsid w:val="00790E43"/>
    <w:rsid w:val="007910D5"/>
    <w:rsid w:val="00791559"/>
    <w:rsid w:val="0079157D"/>
    <w:rsid w:val="007916B2"/>
    <w:rsid w:val="00791A9A"/>
    <w:rsid w:val="00791F28"/>
    <w:rsid w:val="00792345"/>
    <w:rsid w:val="00792395"/>
    <w:rsid w:val="00792438"/>
    <w:rsid w:val="00792900"/>
    <w:rsid w:val="0079337C"/>
    <w:rsid w:val="007937C1"/>
    <w:rsid w:val="00793DAA"/>
    <w:rsid w:val="00794223"/>
    <w:rsid w:val="0079422A"/>
    <w:rsid w:val="007942DF"/>
    <w:rsid w:val="0079473B"/>
    <w:rsid w:val="00794B9C"/>
    <w:rsid w:val="00794D93"/>
    <w:rsid w:val="00794DF6"/>
    <w:rsid w:val="00795067"/>
    <w:rsid w:val="00795815"/>
    <w:rsid w:val="0079596D"/>
    <w:rsid w:val="00795DF3"/>
    <w:rsid w:val="00796046"/>
    <w:rsid w:val="00796498"/>
    <w:rsid w:val="007965A9"/>
    <w:rsid w:val="0079662E"/>
    <w:rsid w:val="00796740"/>
    <w:rsid w:val="00796D00"/>
    <w:rsid w:val="00797275"/>
    <w:rsid w:val="0079782D"/>
    <w:rsid w:val="007978B9"/>
    <w:rsid w:val="00797F39"/>
    <w:rsid w:val="00797F72"/>
    <w:rsid w:val="007A01F3"/>
    <w:rsid w:val="007A0429"/>
    <w:rsid w:val="007A045E"/>
    <w:rsid w:val="007A07A8"/>
    <w:rsid w:val="007A08D0"/>
    <w:rsid w:val="007A0975"/>
    <w:rsid w:val="007A0995"/>
    <w:rsid w:val="007A0E79"/>
    <w:rsid w:val="007A1439"/>
    <w:rsid w:val="007A2399"/>
    <w:rsid w:val="007A249D"/>
    <w:rsid w:val="007A273C"/>
    <w:rsid w:val="007A2958"/>
    <w:rsid w:val="007A29F4"/>
    <w:rsid w:val="007A2F93"/>
    <w:rsid w:val="007A321A"/>
    <w:rsid w:val="007A38D2"/>
    <w:rsid w:val="007A3C00"/>
    <w:rsid w:val="007A4591"/>
    <w:rsid w:val="007A47B9"/>
    <w:rsid w:val="007A4875"/>
    <w:rsid w:val="007A4C05"/>
    <w:rsid w:val="007A4C3D"/>
    <w:rsid w:val="007A5011"/>
    <w:rsid w:val="007A538A"/>
    <w:rsid w:val="007A5585"/>
    <w:rsid w:val="007A576B"/>
    <w:rsid w:val="007A5D0E"/>
    <w:rsid w:val="007A5F4D"/>
    <w:rsid w:val="007A60DC"/>
    <w:rsid w:val="007A6526"/>
    <w:rsid w:val="007A6B79"/>
    <w:rsid w:val="007A6C5B"/>
    <w:rsid w:val="007A6D65"/>
    <w:rsid w:val="007A6F35"/>
    <w:rsid w:val="007A7DFC"/>
    <w:rsid w:val="007B031A"/>
    <w:rsid w:val="007B05E2"/>
    <w:rsid w:val="007B06B7"/>
    <w:rsid w:val="007B082F"/>
    <w:rsid w:val="007B15D1"/>
    <w:rsid w:val="007B18A2"/>
    <w:rsid w:val="007B18A3"/>
    <w:rsid w:val="007B1994"/>
    <w:rsid w:val="007B1AB3"/>
    <w:rsid w:val="007B1CFC"/>
    <w:rsid w:val="007B1ED6"/>
    <w:rsid w:val="007B1FCC"/>
    <w:rsid w:val="007B2053"/>
    <w:rsid w:val="007B26EC"/>
    <w:rsid w:val="007B29B8"/>
    <w:rsid w:val="007B2CD6"/>
    <w:rsid w:val="007B2D56"/>
    <w:rsid w:val="007B2E2E"/>
    <w:rsid w:val="007B2F0C"/>
    <w:rsid w:val="007B3072"/>
    <w:rsid w:val="007B3274"/>
    <w:rsid w:val="007B3672"/>
    <w:rsid w:val="007B3956"/>
    <w:rsid w:val="007B3CF8"/>
    <w:rsid w:val="007B4157"/>
    <w:rsid w:val="007B44B7"/>
    <w:rsid w:val="007B46D4"/>
    <w:rsid w:val="007B472D"/>
    <w:rsid w:val="007B4BC0"/>
    <w:rsid w:val="007B5DF3"/>
    <w:rsid w:val="007B6324"/>
    <w:rsid w:val="007B63F1"/>
    <w:rsid w:val="007B6545"/>
    <w:rsid w:val="007B661B"/>
    <w:rsid w:val="007B687D"/>
    <w:rsid w:val="007B6A5E"/>
    <w:rsid w:val="007B6C35"/>
    <w:rsid w:val="007B6F58"/>
    <w:rsid w:val="007B709C"/>
    <w:rsid w:val="007B73DE"/>
    <w:rsid w:val="007B76EA"/>
    <w:rsid w:val="007B772A"/>
    <w:rsid w:val="007B7A67"/>
    <w:rsid w:val="007B7C15"/>
    <w:rsid w:val="007C0200"/>
    <w:rsid w:val="007C02C1"/>
    <w:rsid w:val="007C05CF"/>
    <w:rsid w:val="007C0690"/>
    <w:rsid w:val="007C06B2"/>
    <w:rsid w:val="007C0F58"/>
    <w:rsid w:val="007C1E4E"/>
    <w:rsid w:val="007C1EA8"/>
    <w:rsid w:val="007C1ED1"/>
    <w:rsid w:val="007C23BD"/>
    <w:rsid w:val="007C28F8"/>
    <w:rsid w:val="007C2ACA"/>
    <w:rsid w:val="007C334A"/>
    <w:rsid w:val="007C33EB"/>
    <w:rsid w:val="007C3708"/>
    <w:rsid w:val="007C3720"/>
    <w:rsid w:val="007C3A6F"/>
    <w:rsid w:val="007C3D03"/>
    <w:rsid w:val="007C3FF3"/>
    <w:rsid w:val="007C41D1"/>
    <w:rsid w:val="007C4567"/>
    <w:rsid w:val="007C46B1"/>
    <w:rsid w:val="007C4969"/>
    <w:rsid w:val="007C4E2B"/>
    <w:rsid w:val="007C4FC8"/>
    <w:rsid w:val="007C4FD3"/>
    <w:rsid w:val="007C505F"/>
    <w:rsid w:val="007C55EC"/>
    <w:rsid w:val="007C5901"/>
    <w:rsid w:val="007C5C32"/>
    <w:rsid w:val="007C5D73"/>
    <w:rsid w:val="007C5DA0"/>
    <w:rsid w:val="007C613D"/>
    <w:rsid w:val="007C672A"/>
    <w:rsid w:val="007C6EEC"/>
    <w:rsid w:val="007C7CC6"/>
    <w:rsid w:val="007C7FF4"/>
    <w:rsid w:val="007D0B15"/>
    <w:rsid w:val="007D0D5E"/>
    <w:rsid w:val="007D1757"/>
    <w:rsid w:val="007D1BDA"/>
    <w:rsid w:val="007D1F0C"/>
    <w:rsid w:val="007D265E"/>
    <w:rsid w:val="007D29B3"/>
    <w:rsid w:val="007D2B9F"/>
    <w:rsid w:val="007D300A"/>
    <w:rsid w:val="007D3473"/>
    <w:rsid w:val="007D379C"/>
    <w:rsid w:val="007D3EF8"/>
    <w:rsid w:val="007D3F1C"/>
    <w:rsid w:val="007D414E"/>
    <w:rsid w:val="007D4824"/>
    <w:rsid w:val="007D49A0"/>
    <w:rsid w:val="007D4BA0"/>
    <w:rsid w:val="007D4C38"/>
    <w:rsid w:val="007D4E2C"/>
    <w:rsid w:val="007D5052"/>
    <w:rsid w:val="007D5530"/>
    <w:rsid w:val="007D5D1A"/>
    <w:rsid w:val="007D6286"/>
    <w:rsid w:val="007D68D4"/>
    <w:rsid w:val="007D69DD"/>
    <w:rsid w:val="007D6C23"/>
    <w:rsid w:val="007D6E4F"/>
    <w:rsid w:val="007D72D1"/>
    <w:rsid w:val="007E081B"/>
    <w:rsid w:val="007E0C78"/>
    <w:rsid w:val="007E0CCB"/>
    <w:rsid w:val="007E0D51"/>
    <w:rsid w:val="007E0F82"/>
    <w:rsid w:val="007E0FF0"/>
    <w:rsid w:val="007E10EF"/>
    <w:rsid w:val="007E1C3C"/>
    <w:rsid w:val="007E20C6"/>
    <w:rsid w:val="007E2484"/>
    <w:rsid w:val="007E2AE2"/>
    <w:rsid w:val="007E3964"/>
    <w:rsid w:val="007E3A16"/>
    <w:rsid w:val="007E3A62"/>
    <w:rsid w:val="007E3CE2"/>
    <w:rsid w:val="007E3DBD"/>
    <w:rsid w:val="007E462E"/>
    <w:rsid w:val="007E4681"/>
    <w:rsid w:val="007E473C"/>
    <w:rsid w:val="007E48E4"/>
    <w:rsid w:val="007E4A77"/>
    <w:rsid w:val="007E4C19"/>
    <w:rsid w:val="007E4E44"/>
    <w:rsid w:val="007E5822"/>
    <w:rsid w:val="007E5E07"/>
    <w:rsid w:val="007E5EF8"/>
    <w:rsid w:val="007E5F52"/>
    <w:rsid w:val="007E6111"/>
    <w:rsid w:val="007E649D"/>
    <w:rsid w:val="007E68AE"/>
    <w:rsid w:val="007E6C5E"/>
    <w:rsid w:val="007E6D4C"/>
    <w:rsid w:val="007E6D7A"/>
    <w:rsid w:val="007E7438"/>
    <w:rsid w:val="007E77DA"/>
    <w:rsid w:val="007E79C8"/>
    <w:rsid w:val="007E7FCC"/>
    <w:rsid w:val="007F001A"/>
    <w:rsid w:val="007F03F8"/>
    <w:rsid w:val="007F045E"/>
    <w:rsid w:val="007F07DD"/>
    <w:rsid w:val="007F1315"/>
    <w:rsid w:val="007F185F"/>
    <w:rsid w:val="007F18CA"/>
    <w:rsid w:val="007F1DD5"/>
    <w:rsid w:val="007F2249"/>
    <w:rsid w:val="007F2355"/>
    <w:rsid w:val="007F2427"/>
    <w:rsid w:val="007F2658"/>
    <w:rsid w:val="007F27CB"/>
    <w:rsid w:val="007F2C0D"/>
    <w:rsid w:val="007F301E"/>
    <w:rsid w:val="007F369C"/>
    <w:rsid w:val="007F38DF"/>
    <w:rsid w:val="007F3CC6"/>
    <w:rsid w:val="007F3E43"/>
    <w:rsid w:val="007F408B"/>
    <w:rsid w:val="007F43D6"/>
    <w:rsid w:val="007F46EB"/>
    <w:rsid w:val="007F479E"/>
    <w:rsid w:val="007F519F"/>
    <w:rsid w:val="007F6071"/>
    <w:rsid w:val="007F6AD9"/>
    <w:rsid w:val="007F6ECE"/>
    <w:rsid w:val="007F77A2"/>
    <w:rsid w:val="007F7887"/>
    <w:rsid w:val="007F7D9F"/>
    <w:rsid w:val="007F7F5A"/>
    <w:rsid w:val="008007C1"/>
    <w:rsid w:val="00800C6A"/>
    <w:rsid w:val="00800F93"/>
    <w:rsid w:val="00800FE2"/>
    <w:rsid w:val="00801373"/>
    <w:rsid w:val="008014C8"/>
    <w:rsid w:val="0080159D"/>
    <w:rsid w:val="00801934"/>
    <w:rsid w:val="00801E98"/>
    <w:rsid w:val="00802593"/>
    <w:rsid w:val="0080269D"/>
    <w:rsid w:val="008038DD"/>
    <w:rsid w:val="00803B69"/>
    <w:rsid w:val="00803B7A"/>
    <w:rsid w:val="00803BD9"/>
    <w:rsid w:val="008042F1"/>
    <w:rsid w:val="008042F2"/>
    <w:rsid w:val="00804666"/>
    <w:rsid w:val="008051E1"/>
    <w:rsid w:val="00805489"/>
    <w:rsid w:val="008055E3"/>
    <w:rsid w:val="008057FC"/>
    <w:rsid w:val="00805A58"/>
    <w:rsid w:val="00805BE1"/>
    <w:rsid w:val="00805F91"/>
    <w:rsid w:val="00806EF4"/>
    <w:rsid w:val="008070E9"/>
    <w:rsid w:val="00807170"/>
    <w:rsid w:val="00807C85"/>
    <w:rsid w:val="00810557"/>
    <w:rsid w:val="00810940"/>
    <w:rsid w:val="008109CD"/>
    <w:rsid w:val="00810C68"/>
    <w:rsid w:val="00810F92"/>
    <w:rsid w:val="00811643"/>
    <w:rsid w:val="0081197C"/>
    <w:rsid w:val="008119F4"/>
    <w:rsid w:val="00811E97"/>
    <w:rsid w:val="0081207A"/>
    <w:rsid w:val="00812D95"/>
    <w:rsid w:val="00812F55"/>
    <w:rsid w:val="00813836"/>
    <w:rsid w:val="00813B15"/>
    <w:rsid w:val="008141CE"/>
    <w:rsid w:val="008145A8"/>
    <w:rsid w:val="008147FF"/>
    <w:rsid w:val="008149C0"/>
    <w:rsid w:val="00814D2C"/>
    <w:rsid w:val="0081532F"/>
    <w:rsid w:val="0081533C"/>
    <w:rsid w:val="00815642"/>
    <w:rsid w:val="0081594D"/>
    <w:rsid w:val="00815AF6"/>
    <w:rsid w:val="00815E2D"/>
    <w:rsid w:val="0081605A"/>
    <w:rsid w:val="008164B2"/>
    <w:rsid w:val="008168DE"/>
    <w:rsid w:val="00816A6A"/>
    <w:rsid w:val="00816B58"/>
    <w:rsid w:val="00816D3D"/>
    <w:rsid w:val="00816D86"/>
    <w:rsid w:val="00817268"/>
    <w:rsid w:val="00817306"/>
    <w:rsid w:val="008175CE"/>
    <w:rsid w:val="0081764B"/>
    <w:rsid w:val="00817B3E"/>
    <w:rsid w:val="008209AB"/>
    <w:rsid w:val="00820A4F"/>
    <w:rsid w:val="00820A5B"/>
    <w:rsid w:val="00821480"/>
    <w:rsid w:val="00821951"/>
    <w:rsid w:val="00821D96"/>
    <w:rsid w:val="008229D9"/>
    <w:rsid w:val="00822A50"/>
    <w:rsid w:val="00822DF9"/>
    <w:rsid w:val="00822E46"/>
    <w:rsid w:val="00822EBC"/>
    <w:rsid w:val="008231A4"/>
    <w:rsid w:val="00823AED"/>
    <w:rsid w:val="0082491A"/>
    <w:rsid w:val="00824D82"/>
    <w:rsid w:val="008250D9"/>
    <w:rsid w:val="008255B0"/>
    <w:rsid w:val="00825976"/>
    <w:rsid w:val="00825BBA"/>
    <w:rsid w:val="00825C6D"/>
    <w:rsid w:val="00825E7D"/>
    <w:rsid w:val="008261F6"/>
    <w:rsid w:val="0082675D"/>
    <w:rsid w:val="0082681D"/>
    <w:rsid w:val="0082725E"/>
    <w:rsid w:val="008272AC"/>
    <w:rsid w:val="00827714"/>
    <w:rsid w:val="00827CE4"/>
    <w:rsid w:val="00830612"/>
    <w:rsid w:val="00830779"/>
    <w:rsid w:val="00830C77"/>
    <w:rsid w:val="00830D22"/>
    <w:rsid w:val="00830D90"/>
    <w:rsid w:val="00830F4C"/>
    <w:rsid w:val="00831164"/>
    <w:rsid w:val="00831486"/>
    <w:rsid w:val="0083161E"/>
    <w:rsid w:val="0083196A"/>
    <w:rsid w:val="00831CFE"/>
    <w:rsid w:val="00832157"/>
    <w:rsid w:val="00832550"/>
    <w:rsid w:val="00832ADE"/>
    <w:rsid w:val="00832DB7"/>
    <w:rsid w:val="0083320B"/>
    <w:rsid w:val="00833531"/>
    <w:rsid w:val="00833694"/>
    <w:rsid w:val="0083370D"/>
    <w:rsid w:val="00833803"/>
    <w:rsid w:val="00833852"/>
    <w:rsid w:val="00833E3F"/>
    <w:rsid w:val="008340A8"/>
    <w:rsid w:val="008344B4"/>
    <w:rsid w:val="008344E8"/>
    <w:rsid w:val="00834609"/>
    <w:rsid w:val="00834AD4"/>
    <w:rsid w:val="00835561"/>
    <w:rsid w:val="0083562A"/>
    <w:rsid w:val="00835730"/>
    <w:rsid w:val="00835C43"/>
    <w:rsid w:val="00836014"/>
    <w:rsid w:val="008362A5"/>
    <w:rsid w:val="008362CF"/>
    <w:rsid w:val="00836B31"/>
    <w:rsid w:val="0083741B"/>
    <w:rsid w:val="008378FB"/>
    <w:rsid w:val="00837A2B"/>
    <w:rsid w:val="00840A73"/>
    <w:rsid w:val="00840DC6"/>
    <w:rsid w:val="00840EAD"/>
    <w:rsid w:val="00840EF8"/>
    <w:rsid w:val="008413F3"/>
    <w:rsid w:val="00841571"/>
    <w:rsid w:val="00841DD3"/>
    <w:rsid w:val="008420C9"/>
    <w:rsid w:val="008424C4"/>
    <w:rsid w:val="008428B4"/>
    <w:rsid w:val="00842C34"/>
    <w:rsid w:val="00842D4B"/>
    <w:rsid w:val="00842FB6"/>
    <w:rsid w:val="0084310F"/>
    <w:rsid w:val="008432B1"/>
    <w:rsid w:val="00843458"/>
    <w:rsid w:val="00843593"/>
    <w:rsid w:val="00843939"/>
    <w:rsid w:val="0084429C"/>
    <w:rsid w:val="008447CA"/>
    <w:rsid w:val="00844950"/>
    <w:rsid w:val="00844B9A"/>
    <w:rsid w:val="00845058"/>
    <w:rsid w:val="0084511D"/>
    <w:rsid w:val="0084523F"/>
    <w:rsid w:val="00845B3B"/>
    <w:rsid w:val="00846801"/>
    <w:rsid w:val="00846F4E"/>
    <w:rsid w:val="00847106"/>
    <w:rsid w:val="0084735D"/>
    <w:rsid w:val="00847CAF"/>
    <w:rsid w:val="00847EB9"/>
    <w:rsid w:val="00847F34"/>
    <w:rsid w:val="00850317"/>
    <w:rsid w:val="008507BC"/>
    <w:rsid w:val="00850FA9"/>
    <w:rsid w:val="00852044"/>
    <w:rsid w:val="00852217"/>
    <w:rsid w:val="00852258"/>
    <w:rsid w:val="008525F7"/>
    <w:rsid w:val="00852C32"/>
    <w:rsid w:val="00852E95"/>
    <w:rsid w:val="008532BA"/>
    <w:rsid w:val="0085398A"/>
    <w:rsid w:val="00853A39"/>
    <w:rsid w:val="00853B38"/>
    <w:rsid w:val="00853B71"/>
    <w:rsid w:val="00853BDF"/>
    <w:rsid w:val="00853BF7"/>
    <w:rsid w:val="00853DDF"/>
    <w:rsid w:val="00853E68"/>
    <w:rsid w:val="00854085"/>
    <w:rsid w:val="008543FD"/>
    <w:rsid w:val="00854BE8"/>
    <w:rsid w:val="0085527E"/>
    <w:rsid w:val="008555D7"/>
    <w:rsid w:val="0085571E"/>
    <w:rsid w:val="008558C0"/>
    <w:rsid w:val="00855B01"/>
    <w:rsid w:val="00855C09"/>
    <w:rsid w:val="00855F86"/>
    <w:rsid w:val="00856210"/>
    <w:rsid w:val="0085640B"/>
    <w:rsid w:val="00856540"/>
    <w:rsid w:val="00856881"/>
    <w:rsid w:val="00856D02"/>
    <w:rsid w:val="00857360"/>
    <w:rsid w:val="008574F2"/>
    <w:rsid w:val="008576CC"/>
    <w:rsid w:val="0085786D"/>
    <w:rsid w:val="00857C69"/>
    <w:rsid w:val="00857DE0"/>
    <w:rsid w:val="008604EF"/>
    <w:rsid w:val="00860536"/>
    <w:rsid w:val="00861113"/>
    <w:rsid w:val="00861819"/>
    <w:rsid w:val="00862112"/>
    <w:rsid w:val="008625E8"/>
    <w:rsid w:val="0086263D"/>
    <w:rsid w:val="0086276C"/>
    <w:rsid w:val="00862954"/>
    <w:rsid w:val="00863217"/>
    <w:rsid w:val="008633AE"/>
    <w:rsid w:val="00863829"/>
    <w:rsid w:val="00863ACF"/>
    <w:rsid w:val="00863BB8"/>
    <w:rsid w:val="00863CF0"/>
    <w:rsid w:val="00863D10"/>
    <w:rsid w:val="00863E40"/>
    <w:rsid w:val="00863E84"/>
    <w:rsid w:val="00864360"/>
    <w:rsid w:val="00864A84"/>
    <w:rsid w:val="00864AF6"/>
    <w:rsid w:val="00865088"/>
    <w:rsid w:val="008650D1"/>
    <w:rsid w:val="00865C5A"/>
    <w:rsid w:val="00865D97"/>
    <w:rsid w:val="00865E22"/>
    <w:rsid w:val="00865FB6"/>
    <w:rsid w:val="0086615E"/>
    <w:rsid w:val="0086675C"/>
    <w:rsid w:val="008667FE"/>
    <w:rsid w:val="00866BB0"/>
    <w:rsid w:val="00866C84"/>
    <w:rsid w:val="00866CB5"/>
    <w:rsid w:val="00866D35"/>
    <w:rsid w:val="00866EB3"/>
    <w:rsid w:val="00866EF5"/>
    <w:rsid w:val="00866F70"/>
    <w:rsid w:val="00867B27"/>
    <w:rsid w:val="00867BB6"/>
    <w:rsid w:val="00867D06"/>
    <w:rsid w:val="00867F99"/>
    <w:rsid w:val="00867FBD"/>
    <w:rsid w:val="00870025"/>
    <w:rsid w:val="0087064A"/>
    <w:rsid w:val="00870CA7"/>
    <w:rsid w:val="008713A3"/>
    <w:rsid w:val="00871823"/>
    <w:rsid w:val="008718D7"/>
    <w:rsid w:val="0087264F"/>
    <w:rsid w:val="00872949"/>
    <w:rsid w:val="00873347"/>
    <w:rsid w:val="00873489"/>
    <w:rsid w:val="0087403E"/>
    <w:rsid w:val="0087442C"/>
    <w:rsid w:val="0087452A"/>
    <w:rsid w:val="0087490C"/>
    <w:rsid w:val="0087499A"/>
    <w:rsid w:val="008749F5"/>
    <w:rsid w:val="00874A2B"/>
    <w:rsid w:val="00874C91"/>
    <w:rsid w:val="00874F45"/>
    <w:rsid w:val="008756A4"/>
    <w:rsid w:val="008757A7"/>
    <w:rsid w:val="008758D2"/>
    <w:rsid w:val="00875D02"/>
    <w:rsid w:val="0087608E"/>
    <w:rsid w:val="0087629A"/>
    <w:rsid w:val="00876785"/>
    <w:rsid w:val="0087694D"/>
    <w:rsid w:val="00876BFF"/>
    <w:rsid w:val="00876E00"/>
    <w:rsid w:val="008770D2"/>
    <w:rsid w:val="008772EC"/>
    <w:rsid w:val="0087773B"/>
    <w:rsid w:val="00877F10"/>
    <w:rsid w:val="008808E0"/>
    <w:rsid w:val="00880A6F"/>
    <w:rsid w:val="00881031"/>
    <w:rsid w:val="008812F3"/>
    <w:rsid w:val="00881557"/>
    <w:rsid w:val="008815AC"/>
    <w:rsid w:val="0088185B"/>
    <w:rsid w:val="00881952"/>
    <w:rsid w:val="00881B4E"/>
    <w:rsid w:val="008823C1"/>
    <w:rsid w:val="0088243E"/>
    <w:rsid w:val="00882706"/>
    <w:rsid w:val="008829DE"/>
    <w:rsid w:val="00882D64"/>
    <w:rsid w:val="00882DD7"/>
    <w:rsid w:val="00882F9D"/>
    <w:rsid w:val="008830AD"/>
    <w:rsid w:val="00883608"/>
    <w:rsid w:val="008836AD"/>
    <w:rsid w:val="008836C3"/>
    <w:rsid w:val="00883706"/>
    <w:rsid w:val="008838C9"/>
    <w:rsid w:val="008839FD"/>
    <w:rsid w:val="00883C24"/>
    <w:rsid w:val="00883FF7"/>
    <w:rsid w:val="0088407B"/>
    <w:rsid w:val="00884427"/>
    <w:rsid w:val="008845AD"/>
    <w:rsid w:val="00884F48"/>
    <w:rsid w:val="0088537D"/>
    <w:rsid w:val="00885655"/>
    <w:rsid w:val="008856AD"/>
    <w:rsid w:val="00885D1E"/>
    <w:rsid w:val="00885DAC"/>
    <w:rsid w:val="00885E78"/>
    <w:rsid w:val="00885F18"/>
    <w:rsid w:val="00886153"/>
    <w:rsid w:val="00886237"/>
    <w:rsid w:val="00886864"/>
    <w:rsid w:val="00886C57"/>
    <w:rsid w:val="00886D29"/>
    <w:rsid w:val="00886EDA"/>
    <w:rsid w:val="008873AA"/>
    <w:rsid w:val="008875C6"/>
    <w:rsid w:val="00887647"/>
    <w:rsid w:val="0088764D"/>
    <w:rsid w:val="00887A18"/>
    <w:rsid w:val="00887D9B"/>
    <w:rsid w:val="00887F2E"/>
    <w:rsid w:val="00890827"/>
    <w:rsid w:val="008909FB"/>
    <w:rsid w:val="00890A36"/>
    <w:rsid w:val="00890ABA"/>
    <w:rsid w:val="00890ACF"/>
    <w:rsid w:val="00890F99"/>
    <w:rsid w:val="0089143F"/>
    <w:rsid w:val="0089193D"/>
    <w:rsid w:val="00891CE5"/>
    <w:rsid w:val="00891D18"/>
    <w:rsid w:val="0089226C"/>
    <w:rsid w:val="0089260D"/>
    <w:rsid w:val="00892C5E"/>
    <w:rsid w:val="00893707"/>
    <w:rsid w:val="00893D93"/>
    <w:rsid w:val="00894323"/>
    <w:rsid w:val="0089434D"/>
    <w:rsid w:val="0089442C"/>
    <w:rsid w:val="00894620"/>
    <w:rsid w:val="008947D8"/>
    <w:rsid w:val="00894D9E"/>
    <w:rsid w:val="00894E6F"/>
    <w:rsid w:val="00895509"/>
    <w:rsid w:val="008956B3"/>
    <w:rsid w:val="0089594F"/>
    <w:rsid w:val="00895BD7"/>
    <w:rsid w:val="00895D03"/>
    <w:rsid w:val="008964B1"/>
    <w:rsid w:val="008965A3"/>
    <w:rsid w:val="008966F8"/>
    <w:rsid w:val="008968FB"/>
    <w:rsid w:val="00896E89"/>
    <w:rsid w:val="00896F05"/>
    <w:rsid w:val="008972B6"/>
    <w:rsid w:val="00897589"/>
    <w:rsid w:val="00897716"/>
    <w:rsid w:val="00897913"/>
    <w:rsid w:val="00897F9E"/>
    <w:rsid w:val="008A03B6"/>
    <w:rsid w:val="008A07CC"/>
    <w:rsid w:val="008A090B"/>
    <w:rsid w:val="008A10F3"/>
    <w:rsid w:val="008A1146"/>
    <w:rsid w:val="008A11FD"/>
    <w:rsid w:val="008A1369"/>
    <w:rsid w:val="008A1473"/>
    <w:rsid w:val="008A1890"/>
    <w:rsid w:val="008A1B34"/>
    <w:rsid w:val="008A25EA"/>
    <w:rsid w:val="008A27D0"/>
    <w:rsid w:val="008A2833"/>
    <w:rsid w:val="008A28E4"/>
    <w:rsid w:val="008A2924"/>
    <w:rsid w:val="008A2A65"/>
    <w:rsid w:val="008A2EC2"/>
    <w:rsid w:val="008A32CC"/>
    <w:rsid w:val="008A3441"/>
    <w:rsid w:val="008A3C0D"/>
    <w:rsid w:val="008A414A"/>
    <w:rsid w:val="008A4BF5"/>
    <w:rsid w:val="008A4C39"/>
    <w:rsid w:val="008A4C94"/>
    <w:rsid w:val="008A5326"/>
    <w:rsid w:val="008A5814"/>
    <w:rsid w:val="008A5AB9"/>
    <w:rsid w:val="008A5D4D"/>
    <w:rsid w:val="008A5F56"/>
    <w:rsid w:val="008A609D"/>
    <w:rsid w:val="008A6AD3"/>
    <w:rsid w:val="008A6B71"/>
    <w:rsid w:val="008A7808"/>
    <w:rsid w:val="008A7C1F"/>
    <w:rsid w:val="008A7EBF"/>
    <w:rsid w:val="008A7F29"/>
    <w:rsid w:val="008B005E"/>
    <w:rsid w:val="008B058F"/>
    <w:rsid w:val="008B0688"/>
    <w:rsid w:val="008B0B9D"/>
    <w:rsid w:val="008B0C67"/>
    <w:rsid w:val="008B1AE6"/>
    <w:rsid w:val="008B1F05"/>
    <w:rsid w:val="008B1F24"/>
    <w:rsid w:val="008B20DA"/>
    <w:rsid w:val="008B2292"/>
    <w:rsid w:val="008B27B7"/>
    <w:rsid w:val="008B2ACF"/>
    <w:rsid w:val="008B30F5"/>
    <w:rsid w:val="008B36F1"/>
    <w:rsid w:val="008B391F"/>
    <w:rsid w:val="008B3BAA"/>
    <w:rsid w:val="008B3D0A"/>
    <w:rsid w:val="008B41E0"/>
    <w:rsid w:val="008B454C"/>
    <w:rsid w:val="008B4A5C"/>
    <w:rsid w:val="008B5067"/>
    <w:rsid w:val="008B5AE1"/>
    <w:rsid w:val="008B5B9B"/>
    <w:rsid w:val="008B5DFB"/>
    <w:rsid w:val="008B6F4C"/>
    <w:rsid w:val="008B6FA4"/>
    <w:rsid w:val="008B722A"/>
    <w:rsid w:val="008B790E"/>
    <w:rsid w:val="008C0520"/>
    <w:rsid w:val="008C0B6F"/>
    <w:rsid w:val="008C0BE6"/>
    <w:rsid w:val="008C0C44"/>
    <w:rsid w:val="008C105F"/>
    <w:rsid w:val="008C106A"/>
    <w:rsid w:val="008C1154"/>
    <w:rsid w:val="008C14C7"/>
    <w:rsid w:val="008C1695"/>
    <w:rsid w:val="008C219C"/>
    <w:rsid w:val="008C21EB"/>
    <w:rsid w:val="008C239B"/>
    <w:rsid w:val="008C2427"/>
    <w:rsid w:val="008C249C"/>
    <w:rsid w:val="008C2633"/>
    <w:rsid w:val="008C2A3F"/>
    <w:rsid w:val="008C2A6D"/>
    <w:rsid w:val="008C2D9D"/>
    <w:rsid w:val="008C3115"/>
    <w:rsid w:val="008C47C2"/>
    <w:rsid w:val="008C5311"/>
    <w:rsid w:val="008C5A11"/>
    <w:rsid w:val="008C5B30"/>
    <w:rsid w:val="008C5C2B"/>
    <w:rsid w:val="008C5CFB"/>
    <w:rsid w:val="008C6007"/>
    <w:rsid w:val="008C62C6"/>
    <w:rsid w:val="008C63DC"/>
    <w:rsid w:val="008C6611"/>
    <w:rsid w:val="008C67AF"/>
    <w:rsid w:val="008C6861"/>
    <w:rsid w:val="008C6CCB"/>
    <w:rsid w:val="008C75EA"/>
    <w:rsid w:val="008C7B1B"/>
    <w:rsid w:val="008D015B"/>
    <w:rsid w:val="008D06AE"/>
    <w:rsid w:val="008D0BB5"/>
    <w:rsid w:val="008D15A8"/>
    <w:rsid w:val="008D1672"/>
    <w:rsid w:val="008D188D"/>
    <w:rsid w:val="008D1A50"/>
    <w:rsid w:val="008D1C79"/>
    <w:rsid w:val="008D2303"/>
    <w:rsid w:val="008D28CB"/>
    <w:rsid w:val="008D29BC"/>
    <w:rsid w:val="008D2E2C"/>
    <w:rsid w:val="008D2F33"/>
    <w:rsid w:val="008D30C2"/>
    <w:rsid w:val="008D3137"/>
    <w:rsid w:val="008D3382"/>
    <w:rsid w:val="008D357E"/>
    <w:rsid w:val="008D37CE"/>
    <w:rsid w:val="008D3F08"/>
    <w:rsid w:val="008D3FC9"/>
    <w:rsid w:val="008D426A"/>
    <w:rsid w:val="008D465E"/>
    <w:rsid w:val="008D4B0F"/>
    <w:rsid w:val="008D4BC8"/>
    <w:rsid w:val="008D4D32"/>
    <w:rsid w:val="008D5239"/>
    <w:rsid w:val="008D5390"/>
    <w:rsid w:val="008D5393"/>
    <w:rsid w:val="008D5572"/>
    <w:rsid w:val="008D56FD"/>
    <w:rsid w:val="008D5ADF"/>
    <w:rsid w:val="008D5AFB"/>
    <w:rsid w:val="008D62A1"/>
    <w:rsid w:val="008D6683"/>
    <w:rsid w:val="008D6A30"/>
    <w:rsid w:val="008D6E9E"/>
    <w:rsid w:val="008D6F5E"/>
    <w:rsid w:val="008D70B1"/>
    <w:rsid w:val="008D72D5"/>
    <w:rsid w:val="008D76F4"/>
    <w:rsid w:val="008D7805"/>
    <w:rsid w:val="008D7850"/>
    <w:rsid w:val="008D7BF0"/>
    <w:rsid w:val="008D7DCD"/>
    <w:rsid w:val="008E035C"/>
    <w:rsid w:val="008E03A1"/>
    <w:rsid w:val="008E0689"/>
    <w:rsid w:val="008E0F5A"/>
    <w:rsid w:val="008E120A"/>
    <w:rsid w:val="008E135D"/>
    <w:rsid w:val="008E1659"/>
    <w:rsid w:val="008E1DE3"/>
    <w:rsid w:val="008E1DF3"/>
    <w:rsid w:val="008E21E5"/>
    <w:rsid w:val="008E22E4"/>
    <w:rsid w:val="008E289E"/>
    <w:rsid w:val="008E299F"/>
    <w:rsid w:val="008E29F8"/>
    <w:rsid w:val="008E3200"/>
    <w:rsid w:val="008E3A0E"/>
    <w:rsid w:val="008E3E39"/>
    <w:rsid w:val="008E4541"/>
    <w:rsid w:val="008E46CD"/>
    <w:rsid w:val="008E4A17"/>
    <w:rsid w:val="008E5591"/>
    <w:rsid w:val="008E56FD"/>
    <w:rsid w:val="008E5BA9"/>
    <w:rsid w:val="008E5C1E"/>
    <w:rsid w:val="008E6C7E"/>
    <w:rsid w:val="008E6C9E"/>
    <w:rsid w:val="008E755A"/>
    <w:rsid w:val="008E7A2A"/>
    <w:rsid w:val="008E7B53"/>
    <w:rsid w:val="008E7D54"/>
    <w:rsid w:val="008E7DBC"/>
    <w:rsid w:val="008F00F7"/>
    <w:rsid w:val="008F01F6"/>
    <w:rsid w:val="008F06F4"/>
    <w:rsid w:val="008F088B"/>
    <w:rsid w:val="008F094D"/>
    <w:rsid w:val="008F10DA"/>
    <w:rsid w:val="008F1230"/>
    <w:rsid w:val="008F12B4"/>
    <w:rsid w:val="008F16AD"/>
    <w:rsid w:val="008F1B78"/>
    <w:rsid w:val="008F1D1E"/>
    <w:rsid w:val="008F21AE"/>
    <w:rsid w:val="008F22CF"/>
    <w:rsid w:val="008F2564"/>
    <w:rsid w:val="008F2B25"/>
    <w:rsid w:val="008F3023"/>
    <w:rsid w:val="008F30CA"/>
    <w:rsid w:val="008F3167"/>
    <w:rsid w:val="008F3244"/>
    <w:rsid w:val="008F3731"/>
    <w:rsid w:val="008F38C9"/>
    <w:rsid w:val="008F393C"/>
    <w:rsid w:val="008F3D0D"/>
    <w:rsid w:val="008F3EE7"/>
    <w:rsid w:val="008F4350"/>
    <w:rsid w:val="008F442F"/>
    <w:rsid w:val="008F51AD"/>
    <w:rsid w:val="008F5A5D"/>
    <w:rsid w:val="008F5D7F"/>
    <w:rsid w:val="008F5EEA"/>
    <w:rsid w:val="008F5FC0"/>
    <w:rsid w:val="008F622B"/>
    <w:rsid w:val="008F634F"/>
    <w:rsid w:val="008F63CC"/>
    <w:rsid w:val="008F6658"/>
    <w:rsid w:val="008F6BE9"/>
    <w:rsid w:val="008F6CBD"/>
    <w:rsid w:val="008F6E66"/>
    <w:rsid w:val="008F6ECE"/>
    <w:rsid w:val="008F7505"/>
    <w:rsid w:val="008F7775"/>
    <w:rsid w:val="008F7941"/>
    <w:rsid w:val="009002BB"/>
    <w:rsid w:val="009007E3"/>
    <w:rsid w:val="00900FDC"/>
    <w:rsid w:val="009010CA"/>
    <w:rsid w:val="0090188E"/>
    <w:rsid w:val="00901CED"/>
    <w:rsid w:val="00901E18"/>
    <w:rsid w:val="00901EFA"/>
    <w:rsid w:val="0090244E"/>
    <w:rsid w:val="009024C9"/>
    <w:rsid w:val="0090275F"/>
    <w:rsid w:val="009033F9"/>
    <w:rsid w:val="00903757"/>
    <w:rsid w:val="00903853"/>
    <w:rsid w:val="009038B0"/>
    <w:rsid w:val="00903964"/>
    <w:rsid w:val="009039A0"/>
    <w:rsid w:val="00903CF0"/>
    <w:rsid w:val="00903E42"/>
    <w:rsid w:val="009047CB"/>
    <w:rsid w:val="00904CC7"/>
    <w:rsid w:val="00905086"/>
    <w:rsid w:val="009055D1"/>
    <w:rsid w:val="00905A79"/>
    <w:rsid w:val="00905D34"/>
    <w:rsid w:val="00905E3D"/>
    <w:rsid w:val="00906143"/>
    <w:rsid w:val="0090645D"/>
    <w:rsid w:val="00906506"/>
    <w:rsid w:val="00906677"/>
    <w:rsid w:val="0090670D"/>
    <w:rsid w:val="00906A7B"/>
    <w:rsid w:val="00906C92"/>
    <w:rsid w:val="009073A1"/>
    <w:rsid w:val="00907425"/>
    <w:rsid w:val="00907984"/>
    <w:rsid w:val="00907986"/>
    <w:rsid w:val="00907B03"/>
    <w:rsid w:val="00907D13"/>
    <w:rsid w:val="00910687"/>
    <w:rsid w:val="00910930"/>
    <w:rsid w:val="0091167E"/>
    <w:rsid w:val="00911745"/>
    <w:rsid w:val="00911F64"/>
    <w:rsid w:val="009120A3"/>
    <w:rsid w:val="00912B83"/>
    <w:rsid w:val="00912CCE"/>
    <w:rsid w:val="0091333A"/>
    <w:rsid w:val="0091333B"/>
    <w:rsid w:val="009135DF"/>
    <w:rsid w:val="00913654"/>
    <w:rsid w:val="0091386E"/>
    <w:rsid w:val="009139C8"/>
    <w:rsid w:val="00913A37"/>
    <w:rsid w:val="00913FF5"/>
    <w:rsid w:val="00914420"/>
    <w:rsid w:val="0091444B"/>
    <w:rsid w:val="00914A21"/>
    <w:rsid w:val="00914C4A"/>
    <w:rsid w:val="00914C64"/>
    <w:rsid w:val="009152C7"/>
    <w:rsid w:val="00915741"/>
    <w:rsid w:val="0091584E"/>
    <w:rsid w:val="009160A3"/>
    <w:rsid w:val="009164EB"/>
    <w:rsid w:val="00916E41"/>
    <w:rsid w:val="00917077"/>
    <w:rsid w:val="009171D9"/>
    <w:rsid w:val="009176F3"/>
    <w:rsid w:val="00917DAD"/>
    <w:rsid w:val="00917FAF"/>
    <w:rsid w:val="00920097"/>
    <w:rsid w:val="0092097B"/>
    <w:rsid w:val="00920AC1"/>
    <w:rsid w:val="00920C89"/>
    <w:rsid w:val="00920CA7"/>
    <w:rsid w:val="009212CA"/>
    <w:rsid w:val="00921B82"/>
    <w:rsid w:val="00921E48"/>
    <w:rsid w:val="00921E6B"/>
    <w:rsid w:val="00922555"/>
    <w:rsid w:val="00922CF5"/>
    <w:rsid w:val="00922EF7"/>
    <w:rsid w:val="009232A2"/>
    <w:rsid w:val="00923973"/>
    <w:rsid w:val="00923A71"/>
    <w:rsid w:val="00923DDD"/>
    <w:rsid w:val="00923E61"/>
    <w:rsid w:val="0092462C"/>
    <w:rsid w:val="0092486D"/>
    <w:rsid w:val="00924B95"/>
    <w:rsid w:val="00924DFC"/>
    <w:rsid w:val="00924FF7"/>
    <w:rsid w:val="009254B9"/>
    <w:rsid w:val="00925525"/>
    <w:rsid w:val="00925953"/>
    <w:rsid w:val="00925C6E"/>
    <w:rsid w:val="00925E87"/>
    <w:rsid w:val="00925F1B"/>
    <w:rsid w:val="009265B2"/>
    <w:rsid w:val="00926941"/>
    <w:rsid w:val="00926AB2"/>
    <w:rsid w:val="00926B4A"/>
    <w:rsid w:val="00926DF3"/>
    <w:rsid w:val="009278FB"/>
    <w:rsid w:val="00927AB2"/>
    <w:rsid w:val="00927C84"/>
    <w:rsid w:val="00927DD2"/>
    <w:rsid w:val="0093005A"/>
    <w:rsid w:val="00930D64"/>
    <w:rsid w:val="00930EAF"/>
    <w:rsid w:val="00931025"/>
    <w:rsid w:val="009310FE"/>
    <w:rsid w:val="009311C9"/>
    <w:rsid w:val="009315B8"/>
    <w:rsid w:val="009316CD"/>
    <w:rsid w:val="00931961"/>
    <w:rsid w:val="009319F1"/>
    <w:rsid w:val="00931B26"/>
    <w:rsid w:val="00931C02"/>
    <w:rsid w:val="00931C3D"/>
    <w:rsid w:val="00931CC9"/>
    <w:rsid w:val="00931D99"/>
    <w:rsid w:val="00931DB0"/>
    <w:rsid w:val="00932280"/>
    <w:rsid w:val="009323B1"/>
    <w:rsid w:val="00932CEF"/>
    <w:rsid w:val="00932E37"/>
    <w:rsid w:val="00932F0A"/>
    <w:rsid w:val="00933129"/>
    <w:rsid w:val="00934684"/>
    <w:rsid w:val="00934B05"/>
    <w:rsid w:val="00935AD2"/>
    <w:rsid w:val="009366D3"/>
    <w:rsid w:val="0093695E"/>
    <w:rsid w:val="00936A0A"/>
    <w:rsid w:val="00936AD9"/>
    <w:rsid w:val="009373B7"/>
    <w:rsid w:val="0093751E"/>
    <w:rsid w:val="00937842"/>
    <w:rsid w:val="00940C23"/>
    <w:rsid w:val="00940ED7"/>
    <w:rsid w:val="0094148F"/>
    <w:rsid w:val="0094159B"/>
    <w:rsid w:val="009415DA"/>
    <w:rsid w:val="00941809"/>
    <w:rsid w:val="00941969"/>
    <w:rsid w:val="00941DCE"/>
    <w:rsid w:val="00941FF5"/>
    <w:rsid w:val="0094275E"/>
    <w:rsid w:val="00943244"/>
    <w:rsid w:val="0094346A"/>
    <w:rsid w:val="00943669"/>
    <w:rsid w:val="009439F6"/>
    <w:rsid w:val="009446E5"/>
    <w:rsid w:val="00944D51"/>
    <w:rsid w:val="00944E91"/>
    <w:rsid w:val="009456C6"/>
    <w:rsid w:val="009456ED"/>
    <w:rsid w:val="00945B2C"/>
    <w:rsid w:val="00946176"/>
    <w:rsid w:val="0094724E"/>
    <w:rsid w:val="009473E0"/>
    <w:rsid w:val="00947687"/>
    <w:rsid w:val="009476EF"/>
    <w:rsid w:val="00947AA8"/>
    <w:rsid w:val="00947AFC"/>
    <w:rsid w:val="00947B4F"/>
    <w:rsid w:val="00947C72"/>
    <w:rsid w:val="00947E2D"/>
    <w:rsid w:val="00947EDF"/>
    <w:rsid w:val="00950915"/>
    <w:rsid w:val="00950C53"/>
    <w:rsid w:val="009514DC"/>
    <w:rsid w:val="009514EF"/>
    <w:rsid w:val="009515F4"/>
    <w:rsid w:val="00951887"/>
    <w:rsid w:val="0095224C"/>
    <w:rsid w:val="009522B7"/>
    <w:rsid w:val="009522C0"/>
    <w:rsid w:val="0095237A"/>
    <w:rsid w:val="00952410"/>
    <w:rsid w:val="009526EA"/>
    <w:rsid w:val="009528CB"/>
    <w:rsid w:val="00952AE0"/>
    <w:rsid w:val="00952C05"/>
    <w:rsid w:val="00953816"/>
    <w:rsid w:val="009538E3"/>
    <w:rsid w:val="009539BB"/>
    <w:rsid w:val="009546FC"/>
    <w:rsid w:val="00954A45"/>
    <w:rsid w:val="00954EE7"/>
    <w:rsid w:val="0095550D"/>
    <w:rsid w:val="0095555A"/>
    <w:rsid w:val="009555CE"/>
    <w:rsid w:val="0095616D"/>
    <w:rsid w:val="009563C1"/>
    <w:rsid w:val="00957177"/>
    <w:rsid w:val="009577EB"/>
    <w:rsid w:val="009578A0"/>
    <w:rsid w:val="009579C4"/>
    <w:rsid w:val="009579FD"/>
    <w:rsid w:val="00957B34"/>
    <w:rsid w:val="009605BA"/>
    <w:rsid w:val="0096064A"/>
    <w:rsid w:val="00960926"/>
    <w:rsid w:val="009609E9"/>
    <w:rsid w:val="00960EB3"/>
    <w:rsid w:val="0096138B"/>
    <w:rsid w:val="0096148E"/>
    <w:rsid w:val="00961B97"/>
    <w:rsid w:val="00961C2C"/>
    <w:rsid w:val="009624E4"/>
    <w:rsid w:val="00962735"/>
    <w:rsid w:val="0096278F"/>
    <w:rsid w:val="009628F6"/>
    <w:rsid w:val="00962C22"/>
    <w:rsid w:val="00962C64"/>
    <w:rsid w:val="00962D07"/>
    <w:rsid w:val="00962EA5"/>
    <w:rsid w:val="00962FFC"/>
    <w:rsid w:val="009633B5"/>
    <w:rsid w:val="00963726"/>
    <w:rsid w:val="0096393B"/>
    <w:rsid w:val="00963BC0"/>
    <w:rsid w:val="009643F9"/>
    <w:rsid w:val="009646D8"/>
    <w:rsid w:val="00964740"/>
    <w:rsid w:val="00964CA6"/>
    <w:rsid w:val="00964E4B"/>
    <w:rsid w:val="00965319"/>
    <w:rsid w:val="00965870"/>
    <w:rsid w:val="00965A7A"/>
    <w:rsid w:val="00965DF1"/>
    <w:rsid w:val="00965E73"/>
    <w:rsid w:val="00966062"/>
    <w:rsid w:val="0096618F"/>
    <w:rsid w:val="00966853"/>
    <w:rsid w:val="00967044"/>
    <w:rsid w:val="0096707E"/>
    <w:rsid w:val="00967632"/>
    <w:rsid w:val="00967941"/>
    <w:rsid w:val="00967C90"/>
    <w:rsid w:val="00967EF0"/>
    <w:rsid w:val="0097004B"/>
    <w:rsid w:val="009703CF"/>
    <w:rsid w:val="00970518"/>
    <w:rsid w:val="00970679"/>
    <w:rsid w:val="00970A33"/>
    <w:rsid w:val="00970ABE"/>
    <w:rsid w:val="00970C6D"/>
    <w:rsid w:val="00970D34"/>
    <w:rsid w:val="00971284"/>
    <w:rsid w:val="0097132C"/>
    <w:rsid w:val="00971ACF"/>
    <w:rsid w:val="00971BCD"/>
    <w:rsid w:val="00972110"/>
    <w:rsid w:val="00972CC0"/>
    <w:rsid w:val="009732CE"/>
    <w:rsid w:val="00973894"/>
    <w:rsid w:val="009738FF"/>
    <w:rsid w:val="009739B7"/>
    <w:rsid w:val="00973A46"/>
    <w:rsid w:val="00973D0E"/>
    <w:rsid w:val="009743B3"/>
    <w:rsid w:val="0097450A"/>
    <w:rsid w:val="00974C8C"/>
    <w:rsid w:val="00974CD7"/>
    <w:rsid w:val="009759AD"/>
    <w:rsid w:val="00975B6B"/>
    <w:rsid w:val="00975CDC"/>
    <w:rsid w:val="00976053"/>
    <w:rsid w:val="00976449"/>
    <w:rsid w:val="009766A6"/>
    <w:rsid w:val="00976B10"/>
    <w:rsid w:val="00976ED5"/>
    <w:rsid w:val="009772EE"/>
    <w:rsid w:val="0097746A"/>
    <w:rsid w:val="009775B9"/>
    <w:rsid w:val="009777ED"/>
    <w:rsid w:val="0098017A"/>
    <w:rsid w:val="00980E9C"/>
    <w:rsid w:val="00981320"/>
    <w:rsid w:val="00981A20"/>
    <w:rsid w:val="00981BAF"/>
    <w:rsid w:val="00981FDE"/>
    <w:rsid w:val="009821C3"/>
    <w:rsid w:val="009821EC"/>
    <w:rsid w:val="0098248C"/>
    <w:rsid w:val="00982612"/>
    <w:rsid w:val="00982852"/>
    <w:rsid w:val="009830F1"/>
    <w:rsid w:val="0098315A"/>
    <w:rsid w:val="0098360D"/>
    <w:rsid w:val="00983B95"/>
    <w:rsid w:val="009840B7"/>
    <w:rsid w:val="009840CA"/>
    <w:rsid w:val="00984D4A"/>
    <w:rsid w:val="00985324"/>
    <w:rsid w:val="00985482"/>
    <w:rsid w:val="00985627"/>
    <w:rsid w:val="0098625E"/>
    <w:rsid w:val="00986368"/>
    <w:rsid w:val="0098638E"/>
    <w:rsid w:val="009863A4"/>
    <w:rsid w:val="00986B7D"/>
    <w:rsid w:val="00986F3E"/>
    <w:rsid w:val="009876B1"/>
    <w:rsid w:val="00987B51"/>
    <w:rsid w:val="00990079"/>
    <w:rsid w:val="00990B7A"/>
    <w:rsid w:val="00990C59"/>
    <w:rsid w:val="00990CA8"/>
    <w:rsid w:val="00990E77"/>
    <w:rsid w:val="009912A6"/>
    <w:rsid w:val="009915E6"/>
    <w:rsid w:val="00991698"/>
    <w:rsid w:val="009924B8"/>
    <w:rsid w:val="0099278F"/>
    <w:rsid w:val="009928B3"/>
    <w:rsid w:val="00993112"/>
    <w:rsid w:val="0099323B"/>
    <w:rsid w:val="0099352C"/>
    <w:rsid w:val="0099390B"/>
    <w:rsid w:val="00993A0B"/>
    <w:rsid w:val="00993AA0"/>
    <w:rsid w:val="00993E2C"/>
    <w:rsid w:val="009949CD"/>
    <w:rsid w:val="00994A68"/>
    <w:rsid w:val="00994B77"/>
    <w:rsid w:val="00994E72"/>
    <w:rsid w:val="00995058"/>
    <w:rsid w:val="00995106"/>
    <w:rsid w:val="00996372"/>
    <w:rsid w:val="009964A2"/>
    <w:rsid w:val="0099661D"/>
    <w:rsid w:val="0099671C"/>
    <w:rsid w:val="009967B8"/>
    <w:rsid w:val="009967E7"/>
    <w:rsid w:val="00996890"/>
    <w:rsid w:val="00996A11"/>
    <w:rsid w:val="009971AA"/>
    <w:rsid w:val="009972FB"/>
    <w:rsid w:val="0099753D"/>
    <w:rsid w:val="00997ABC"/>
    <w:rsid w:val="009A0159"/>
    <w:rsid w:val="009A0674"/>
    <w:rsid w:val="009A06CD"/>
    <w:rsid w:val="009A1232"/>
    <w:rsid w:val="009A1333"/>
    <w:rsid w:val="009A16C9"/>
    <w:rsid w:val="009A18BD"/>
    <w:rsid w:val="009A18C7"/>
    <w:rsid w:val="009A2168"/>
    <w:rsid w:val="009A23AE"/>
    <w:rsid w:val="009A2416"/>
    <w:rsid w:val="009A25AE"/>
    <w:rsid w:val="009A25B9"/>
    <w:rsid w:val="009A29D1"/>
    <w:rsid w:val="009A2BED"/>
    <w:rsid w:val="009A2C46"/>
    <w:rsid w:val="009A2C8A"/>
    <w:rsid w:val="009A2DC1"/>
    <w:rsid w:val="009A2FDE"/>
    <w:rsid w:val="009A33F7"/>
    <w:rsid w:val="009A342C"/>
    <w:rsid w:val="009A3F7F"/>
    <w:rsid w:val="009A3F96"/>
    <w:rsid w:val="009A502F"/>
    <w:rsid w:val="009A5218"/>
    <w:rsid w:val="009A5242"/>
    <w:rsid w:val="009A52B9"/>
    <w:rsid w:val="009A53CD"/>
    <w:rsid w:val="009A5872"/>
    <w:rsid w:val="009A5876"/>
    <w:rsid w:val="009A5F51"/>
    <w:rsid w:val="009A6515"/>
    <w:rsid w:val="009A6A8E"/>
    <w:rsid w:val="009A6B9A"/>
    <w:rsid w:val="009A7351"/>
    <w:rsid w:val="009A773E"/>
    <w:rsid w:val="009A791F"/>
    <w:rsid w:val="009A7B22"/>
    <w:rsid w:val="009A7FF9"/>
    <w:rsid w:val="009B071C"/>
    <w:rsid w:val="009B0954"/>
    <w:rsid w:val="009B0CB6"/>
    <w:rsid w:val="009B0E13"/>
    <w:rsid w:val="009B0F8E"/>
    <w:rsid w:val="009B12D9"/>
    <w:rsid w:val="009B1983"/>
    <w:rsid w:val="009B1A28"/>
    <w:rsid w:val="009B1A53"/>
    <w:rsid w:val="009B1DB2"/>
    <w:rsid w:val="009B208C"/>
    <w:rsid w:val="009B2765"/>
    <w:rsid w:val="009B276F"/>
    <w:rsid w:val="009B2A59"/>
    <w:rsid w:val="009B2BAA"/>
    <w:rsid w:val="009B2D8A"/>
    <w:rsid w:val="009B31AC"/>
    <w:rsid w:val="009B3775"/>
    <w:rsid w:val="009B3893"/>
    <w:rsid w:val="009B3E99"/>
    <w:rsid w:val="009B416E"/>
    <w:rsid w:val="009B4B85"/>
    <w:rsid w:val="009B5049"/>
    <w:rsid w:val="009B512E"/>
    <w:rsid w:val="009B5393"/>
    <w:rsid w:val="009B57A8"/>
    <w:rsid w:val="009B5AEF"/>
    <w:rsid w:val="009B606B"/>
    <w:rsid w:val="009B610C"/>
    <w:rsid w:val="009B644B"/>
    <w:rsid w:val="009B6931"/>
    <w:rsid w:val="009B6CEA"/>
    <w:rsid w:val="009B709E"/>
    <w:rsid w:val="009B71C4"/>
    <w:rsid w:val="009B7260"/>
    <w:rsid w:val="009B76C4"/>
    <w:rsid w:val="009B7C1E"/>
    <w:rsid w:val="009B7EB5"/>
    <w:rsid w:val="009C010E"/>
    <w:rsid w:val="009C02DB"/>
    <w:rsid w:val="009C02EE"/>
    <w:rsid w:val="009C06B8"/>
    <w:rsid w:val="009C0AC7"/>
    <w:rsid w:val="009C0CAD"/>
    <w:rsid w:val="009C0D36"/>
    <w:rsid w:val="009C0D58"/>
    <w:rsid w:val="009C0FCD"/>
    <w:rsid w:val="009C0FFA"/>
    <w:rsid w:val="009C1700"/>
    <w:rsid w:val="009C1A15"/>
    <w:rsid w:val="009C1A73"/>
    <w:rsid w:val="009C1DCD"/>
    <w:rsid w:val="009C1E61"/>
    <w:rsid w:val="009C20F7"/>
    <w:rsid w:val="009C224E"/>
    <w:rsid w:val="009C22E8"/>
    <w:rsid w:val="009C23F6"/>
    <w:rsid w:val="009C26E4"/>
    <w:rsid w:val="009C2892"/>
    <w:rsid w:val="009C2916"/>
    <w:rsid w:val="009C2AB7"/>
    <w:rsid w:val="009C2EA2"/>
    <w:rsid w:val="009C30C5"/>
    <w:rsid w:val="009C352C"/>
    <w:rsid w:val="009C3B4E"/>
    <w:rsid w:val="009C3CC9"/>
    <w:rsid w:val="009C4159"/>
    <w:rsid w:val="009C4A08"/>
    <w:rsid w:val="009C4B11"/>
    <w:rsid w:val="009C4B6B"/>
    <w:rsid w:val="009C4D8D"/>
    <w:rsid w:val="009C4E0D"/>
    <w:rsid w:val="009C56A7"/>
    <w:rsid w:val="009C56C5"/>
    <w:rsid w:val="009C5B12"/>
    <w:rsid w:val="009C5DB7"/>
    <w:rsid w:val="009C5F10"/>
    <w:rsid w:val="009C6DD6"/>
    <w:rsid w:val="009C6F7B"/>
    <w:rsid w:val="009C72B8"/>
    <w:rsid w:val="009C7361"/>
    <w:rsid w:val="009C76DB"/>
    <w:rsid w:val="009C7701"/>
    <w:rsid w:val="009C7CD1"/>
    <w:rsid w:val="009C7DBC"/>
    <w:rsid w:val="009D04E7"/>
    <w:rsid w:val="009D0597"/>
    <w:rsid w:val="009D0842"/>
    <w:rsid w:val="009D0BBB"/>
    <w:rsid w:val="009D1300"/>
    <w:rsid w:val="009D162B"/>
    <w:rsid w:val="009D1F2C"/>
    <w:rsid w:val="009D2A91"/>
    <w:rsid w:val="009D2E7B"/>
    <w:rsid w:val="009D2F73"/>
    <w:rsid w:val="009D31F8"/>
    <w:rsid w:val="009D3258"/>
    <w:rsid w:val="009D325C"/>
    <w:rsid w:val="009D3361"/>
    <w:rsid w:val="009D4188"/>
    <w:rsid w:val="009D43D5"/>
    <w:rsid w:val="009D511C"/>
    <w:rsid w:val="009D580A"/>
    <w:rsid w:val="009D5BE9"/>
    <w:rsid w:val="009D5F5D"/>
    <w:rsid w:val="009D6911"/>
    <w:rsid w:val="009D6B16"/>
    <w:rsid w:val="009D6E51"/>
    <w:rsid w:val="009D7382"/>
    <w:rsid w:val="009D7424"/>
    <w:rsid w:val="009D74C2"/>
    <w:rsid w:val="009D74C8"/>
    <w:rsid w:val="009D7683"/>
    <w:rsid w:val="009D7AB2"/>
    <w:rsid w:val="009E02F2"/>
    <w:rsid w:val="009E0A73"/>
    <w:rsid w:val="009E0EC8"/>
    <w:rsid w:val="009E10B7"/>
    <w:rsid w:val="009E127E"/>
    <w:rsid w:val="009E1282"/>
    <w:rsid w:val="009E155E"/>
    <w:rsid w:val="009E19DC"/>
    <w:rsid w:val="009E1AF5"/>
    <w:rsid w:val="009E1F04"/>
    <w:rsid w:val="009E22B8"/>
    <w:rsid w:val="009E2619"/>
    <w:rsid w:val="009E2824"/>
    <w:rsid w:val="009E2BE3"/>
    <w:rsid w:val="009E2DED"/>
    <w:rsid w:val="009E3031"/>
    <w:rsid w:val="009E33CB"/>
    <w:rsid w:val="009E3523"/>
    <w:rsid w:val="009E358D"/>
    <w:rsid w:val="009E3B4C"/>
    <w:rsid w:val="009E488C"/>
    <w:rsid w:val="009E534A"/>
    <w:rsid w:val="009E5543"/>
    <w:rsid w:val="009E5937"/>
    <w:rsid w:val="009E5A8B"/>
    <w:rsid w:val="009E5B61"/>
    <w:rsid w:val="009E5D37"/>
    <w:rsid w:val="009E5EA1"/>
    <w:rsid w:val="009E612E"/>
    <w:rsid w:val="009E67A3"/>
    <w:rsid w:val="009E68AD"/>
    <w:rsid w:val="009E6F20"/>
    <w:rsid w:val="009E7901"/>
    <w:rsid w:val="009E7AFC"/>
    <w:rsid w:val="009E7BD6"/>
    <w:rsid w:val="009E7E1C"/>
    <w:rsid w:val="009F0067"/>
    <w:rsid w:val="009F01CB"/>
    <w:rsid w:val="009F0241"/>
    <w:rsid w:val="009F0AA6"/>
    <w:rsid w:val="009F0DC6"/>
    <w:rsid w:val="009F1275"/>
    <w:rsid w:val="009F1445"/>
    <w:rsid w:val="009F16DC"/>
    <w:rsid w:val="009F191A"/>
    <w:rsid w:val="009F1E17"/>
    <w:rsid w:val="009F1E24"/>
    <w:rsid w:val="009F1E72"/>
    <w:rsid w:val="009F23D0"/>
    <w:rsid w:val="009F35A6"/>
    <w:rsid w:val="009F38F3"/>
    <w:rsid w:val="009F3BE3"/>
    <w:rsid w:val="009F44BD"/>
    <w:rsid w:val="009F46AE"/>
    <w:rsid w:val="009F4ED7"/>
    <w:rsid w:val="009F5150"/>
    <w:rsid w:val="009F5726"/>
    <w:rsid w:val="009F5825"/>
    <w:rsid w:val="009F5C93"/>
    <w:rsid w:val="009F5CD3"/>
    <w:rsid w:val="009F5DD1"/>
    <w:rsid w:val="009F5E6B"/>
    <w:rsid w:val="009F609A"/>
    <w:rsid w:val="009F65AA"/>
    <w:rsid w:val="009F667C"/>
    <w:rsid w:val="009F6F3B"/>
    <w:rsid w:val="009F70A8"/>
    <w:rsid w:val="009F7606"/>
    <w:rsid w:val="009F7824"/>
    <w:rsid w:val="009F7C0B"/>
    <w:rsid w:val="009F7DA4"/>
    <w:rsid w:val="00A00295"/>
    <w:rsid w:val="00A00296"/>
    <w:rsid w:val="00A00A4B"/>
    <w:rsid w:val="00A00B6D"/>
    <w:rsid w:val="00A010E0"/>
    <w:rsid w:val="00A01447"/>
    <w:rsid w:val="00A0144A"/>
    <w:rsid w:val="00A016A9"/>
    <w:rsid w:val="00A01DAB"/>
    <w:rsid w:val="00A01EAF"/>
    <w:rsid w:val="00A020E2"/>
    <w:rsid w:val="00A02654"/>
    <w:rsid w:val="00A028F5"/>
    <w:rsid w:val="00A03343"/>
    <w:rsid w:val="00A03D31"/>
    <w:rsid w:val="00A03D51"/>
    <w:rsid w:val="00A041BC"/>
    <w:rsid w:val="00A04657"/>
    <w:rsid w:val="00A04749"/>
    <w:rsid w:val="00A0483F"/>
    <w:rsid w:val="00A04C16"/>
    <w:rsid w:val="00A053AD"/>
    <w:rsid w:val="00A0581E"/>
    <w:rsid w:val="00A05924"/>
    <w:rsid w:val="00A05A03"/>
    <w:rsid w:val="00A05BA1"/>
    <w:rsid w:val="00A05D57"/>
    <w:rsid w:val="00A05F7C"/>
    <w:rsid w:val="00A061A1"/>
    <w:rsid w:val="00A063C0"/>
    <w:rsid w:val="00A0640A"/>
    <w:rsid w:val="00A06509"/>
    <w:rsid w:val="00A07405"/>
    <w:rsid w:val="00A07CFE"/>
    <w:rsid w:val="00A07D95"/>
    <w:rsid w:val="00A102A5"/>
    <w:rsid w:val="00A102D9"/>
    <w:rsid w:val="00A106C4"/>
    <w:rsid w:val="00A108FE"/>
    <w:rsid w:val="00A10F22"/>
    <w:rsid w:val="00A1172C"/>
    <w:rsid w:val="00A11974"/>
    <w:rsid w:val="00A119E8"/>
    <w:rsid w:val="00A11ABC"/>
    <w:rsid w:val="00A11B30"/>
    <w:rsid w:val="00A12189"/>
    <w:rsid w:val="00A12207"/>
    <w:rsid w:val="00A122E3"/>
    <w:rsid w:val="00A126F7"/>
    <w:rsid w:val="00A1292F"/>
    <w:rsid w:val="00A133CC"/>
    <w:rsid w:val="00A13431"/>
    <w:rsid w:val="00A134E7"/>
    <w:rsid w:val="00A13C31"/>
    <w:rsid w:val="00A1435C"/>
    <w:rsid w:val="00A14509"/>
    <w:rsid w:val="00A14928"/>
    <w:rsid w:val="00A14E0C"/>
    <w:rsid w:val="00A14FF9"/>
    <w:rsid w:val="00A15335"/>
    <w:rsid w:val="00A153A8"/>
    <w:rsid w:val="00A15560"/>
    <w:rsid w:val="00A156E2"/>
    <w:rsid w:val="00A159E4"/>
    <w:rsid w:val="00A15FE8"/>
    <w:rsid w:val="00A16353"/>
    <w:rsid w:val="00A1643F"/>
    <w:rsid w:val="00A16CBB"/>
    <w:rsid w:val="00A1745C"/>
    <w:rsid w:val="00A174A5"/>
    <w:rsid w:val="00A17611"/>
    <w:rsid w:val="00A17885"/>
    <w:rsid w:val="00A17955"/>
    <w:rsid w:val="00A17AC6"/>
    <w:rsid w:val="00A17C54"/>
    <w:rsid w:val="00A2049A"/>
    <w:rsid w:val="00A20564"/>
    <w:rsid w:val="00A208CB"/>
    <w:rsid w:val="00A2095F"/>
    <w:rsid w:val="00A209B4"/>
    <w:rsid w:val="00A20DA3"/>
    <w:rsid w:val="00A20DC2"/>
    <w:rsid w:val="00A211B0"/>
    <w:rsid w:val="00A2147C"/>
    <w:rsid w:val="00A214E4"/>
    <w:rsid w:val="00A217B4"/>
    <w:rsid w:val="00A21A6D"/>
    <w:rsid w:val="00A21E61"/>
    <w:rsid w:val="00A21E9F"/>
    <w:rsid w:val="00A222B9"/>
    <w:rsid w:val="00A2233D"/>
    <w:rsid w:val="00A223DE"/>
    <w:rsid w:val="00A225F6"/>
    <w:rsid w:val="00A22EE8"/>
    <w:rsid w:val="00A22F57"/>
    <w:rsid w:val="00A22FC1"/>
    <w:rsid w:val="00A2332B"/>
    <w:rsid w:val="00A235AE"/>
    <w:rsid w:val="00A23CCD"/>
    <w:rsid w:val="00A23D19"/>
    <w:rsid w:val="00A24473"/>
    <w:rsid w:val="00A24C22"/>
    <w:rsid w:val="00A24C38"/>
    <w:rsid w:val="00A2511B"/>
    <w:rsid w:val="00A2574C"/>
    <w:rsid w:val="00A25F36"/>
    <w:rsid w:val="00A2615D"/>
    <w:rsid w:val="00A26245"/>
    <w:rsid w:val="00A26374"/>
    <w:rsid w:val="00A26B8A"/>
    <w:rsid w:val="00A27641"/>
    <w:rsid w:val="00A27AEA"/>
    <w:rsid w:val="00A30092"/>
    <w:rsid w:val="00A301C2"/>
    <w:rsid w:val="00A301D1"/>
    <w:rsid w:val="00A30585"/>
    <w:rsid w:val="00A3060F"/>
    <w:rsid w:val="00A30859"/>
    <w:rsid w:val="00A30A70"/>
    <w:rsid w:val="00A31328"/>
    <w:rsid w:val="00A313DC"/>
    <w:rsid w:val="00A3197E"/>
    <w:rsid w:val="00A32004"/>
    <w:rsid w:val="00A32074"/>
    <w:rsid w:val="00A32975"/>
    <w:rsid w:val="00A33953"/>
    <w:rsid w:val="00A341A4"/>
    <w:rsid w:val="00A342CB"/>
    <w:rsid w:val="00A343A2"/>
    <w:rsid w:val="00A344D4"/>
    <w:rsid w:val="00A34619"/>
    <w:rsid w:val="00A34CD0"/>
    <w:rsid w:val="00A34E9A"/>
    <w:rsid w:val="00A34EF7"/>
    <w:rsid w:val="00A35024"/>
    <w:rsid w:val="00A35369"/>
    <w:rsid w:val="00A35538"/>
    <w:rsid w:val="00A35644"/>
    <w:rsid w:val="00A35646"/>
    <w:rsid w:val="00A35A32"/>
    <w:rsid w:val="00A35AAE"/>
    <w:rsid w:val="00A35E53"/>
    <w:rsid w:val="00A365DD"/>
    <w:rsid w:val="00A368BD"/>
    <w:rsid w:val="00A36A1F"/>
    <w:rsid w:val="00A36B4D"/>
    <w:rsid w:val="00A36B66"/>
    <w:rsid w:val="00A36EA5"/>
    <w:rsid w:val="00A36F2D"/>
    <w:rsid w:val="00A37415"/>
    <w:rsid w:val="00A375EA"/>
    <w:rsid w:val="00A378F6"/>
    <w:rsid w:val="00A379AB"/>
    <w:rsid w:val="00A37CBB"/>
    <w:rsid w:val="00A37CE5"/>
    <w:rsid w:val="00A37E25"/>
    <w:rsid w:val="00A37E8A"/>
    <w:rsid w:val="00A37F50"/>
    <w:rsid w:val="00A37F8A"/>
    <w:rsid w:val="00A4011C"/>
    <w:rsid w:val="00A40B60"/>
    <w:rsid w:val="00A40CF7"/>
    <w:rsid w:val="00A40D41"/>
    <w:rsid w:val="00A41402"/>
    <w:rsid w:val="00A41671"/>
    <w:rsid w:val="00A416FB"/>
    <w:rsid w:val="00A416FF"/>
    <w:rsid w:val="00A4180D"/>
    <w:rsid w:val="00A42754"/>
    <w:rsid w:val="00A42F73"/>
    <w:rsid w:val="00A430DC"/>
    <w:rsid w:val="00A43955"/>
    <w:rsid w:val="00A43C3A"/>
    <w:rsid w:val="00A43D54"/>
    <w:rsid w:val="00A4457C"/>
    <w:rsid w:val="00A446B0"/>
    <w:rsid w:val="00A454AA"/>
    <w:rsid w:val="00A45936"/>
    <w:rsid w:val="00A45D15"/>
    <w:rsid w:val="00A45FF8"/>
    <w:rsid w:val="00A46079"/>
    <w:rsid w:val="00A4635B"/>
    <w:rsid w:val="00A46843"/>
    <w:rsid w:val="00A46901"/>
    <w:rsid w:val="00A46A42"/>
    <w:rsid w:val="00A46D38"/>
    <w:rsid w:val="00A46FBE"/>
    <w:rsid w:val="00A4709B"/>
    <w:rsid w:val="00A47333"/>
    <w:rsid w:val="00A4739E"/>
    <w:rsid w:val="00A47A07"/>
    <w:rsid w:val="00A47B58"/>
    <w:rsid w:val="00A47C27"/>
    <w:rsid w:val="00A47C91"/>
    <w:rsid w:val="00A47DC7"/>
    <w:rsid w:val="00A47F5E"/>
    <w:rsid w:val="00A50342"/>
    <w:rsid w:val="00A50551"/>
    <w:rsid w:val="00A508A6"/>
    <w:rsid w:val="00A50B3F"/>
    <w:rsid w:val="00A511A6"/>
    <w:rsid w:val="00A513FB"/>
    <w:rsid w:val="00A51510"/>
    <w:rsid w:val="00A51648"/>
    <w:rsid w:val="00A51F4E"/>
    <w:rsid w:val="00A51F64"/>
    <w:rsid w:val="00A52051"/>
    <w:rsid w:val="00A52C04"/>
    <w:rsid w:val="00A52C32"/>
    <w:rsid w:val="00A52D95"/>
    <w:rsid w:val="00A52D98"/>
    <w:rsid w:val="00A536F9"/>
    <w:rsid w:val="00A537F0"/>
    <w:rsid w:val="00A53828"/>
    <w:rsid w:val="00A538FC"/>
    <w:rsid w:val="00A539E6"/>
    <w:rsid w:val="00A53E1A"/>
    <w:rsid w:val="00A53F85"/>
    <w:rsid w:val="00A5441C"/>
    <w:rsid w:val="00A545ED"/>
    <w:rsid w:val="00A54DE2"/>
    <w:rsid w:val="00A54E2A"/>
    <w:rsid w:val="00A55051"/>
    <w:rsid w:val="00A55104"/>
    <w:rsid w:val="00A552DE"/>
    <w:rsid w:val="00A56306"/>
    <w:rsid w:val="00A56D0C"/>
    <w:rsid w:val="00A5713E"/>
    <w:rsid w:val="00A574FF"/>
    <w:rsid w:val="00A575FF"/>
    <w:rsid w:val="00A5766E"/>
    <w:rsid w:val="00A576A5"/>
    <w:rsid w:val="00A576D6"/>
    <w:rsid w:val="00A5773A"/>
    <w:rsid w:val="00A57E9F"/>
    <w:rsid w:val="00A57F72"/>
    <w:rsid w:val="00A60350"/>
    <w:rsid w:val="00A6043C"/>
    <w:rsid w:val="00A60586"/>
    <w:rsid w:val="00A607D0"/>
    <w:rsid w:val="00A60B07"/>
    <w:rsid w:val="00A60D4F"/>
    <w:rsid w:val="00A612D9"/>
    <w:rsid w:val="00A6151B"/>
    <w:rsid w:val="00A61BF6"/>
    <w:rsid w:val="00A61F39"/>
    <w:rsid w:val="00A6202F"/>
    <w:rsid w:val="00A62D98"/>
    <w:rsid w:val="00A62F5B"/>
    <w:rsid w:val="00A632AB"/>
    <w:rsid w:val="00A63BBD"/>
    <w:rsid w:val="00A63BEC"/>
    <w:rsid w:val="00A63EBD"/>
    <w:rsid w:val="00A642DE"/>
    <w:rsid w:val="00A6454B"/>
    <w:rsid w:val="00A64597"/>
    <w:rsid w:val="00A64966"/>
    <w:rsid w:val="00A65085"/>
    <w:rsid w:val="00A6543D"/>
    <w:rsid w:val="00A65C29"/>
    <w:rsid w:val="00A65D9D"/>
    <w:rsid w:val="00A65EFB"/>
    <w:rsid w:val="00A663F4"/>
    <w:rsid w:val="00A669AF"/>
    <w:rsid w:val="00A66B81"/>
    <w:rsid w:val="00A66BD2"/>
    <w:rsid w:val="00A66D47"/>
    <w:rsid w:val="00A67B56"/>
    <w:rsid w:val="00A67CAE"/>
    <w:rsid w:val="00A700CD"/>
    <w:rsid w:val="00A7037A"/>
    <w:rsid w:val="00A70B20"/>
    <w:rsid w:val="00A70B63"/>
    <w:rsid w:val="00A70E9B"/>
    <w:rsid w:val="00A70F54"/>
    <w:rsid w:val="00A70F98"/>
    <w:rsid w:val="00A70FB2"/>
    <w:rsid w:val="00A714FA"/>
    <w:rsid w:val="00A7219D"/>
    <w:rsid w:val="00A723C2"/>
    <w:rsid w:val="00A72B15"/>
    <w:rsid w:val="00A72B2B"/>
    <w:rsid w:val="00A72E2C"/>
    <w:rsid w:val="00A73CD2"/>
    <w:rsid w:val="00A73D31"/>
    <w:rsid w:val="00A73FCD"/>
    <w:rsid w:val="00A7433E"/>
    <w:rsid w:val="00A7437C"/>
    <w:rsid w:val="00A74DE7"/>
    <w:rsid w:val="00A74F05"/>
    <w:rsid w:val="00A754EA"/>
    <w:rsid w:val="00A75689"/>
    <w:rsid w:val="00A75A61"/>
    <w:rsid w:val="00A75CDA"/>
    <w:rsid w:val="00A75F53"/>
    <w:rsid w:val="00A76082"/>
    <w:rsid w:val="00A76208"/>
    <w:rsid w:val="00A76382"/>
    <w:rsid w:val="00A7650D"/>
    <w:rsid w:val="00A77166"/>
    <w:rsid w:val="00A77352"/>
    <w:rsid w:val="00A773E4"/>
    <w:rsid w:val="00A77550"/>
    <w:rsid w:val="00A77832"/>
    <w:rsid w:val="00A77991"/>
    <w:rsid w:val="00A77C0B"/>
    <w:rsid w:val="00A77C1D"/>
    <w:rsid w:val="00A803E0"/>
    <w:rsid w:val="00A80815"/>
    <w:rsid w:val="00A808D8"/>
    <w:rsid w:val="00A80C1D"/>
    <w:rsid w:val="00A80D4A"/>
    <w:rsid w:val="00A81086"/>
    <w:rsid w:val="00A8140B"/>
    <w:rsid w:val="00A815EE"/>
    <w:rsid w:val="00A816AC"/>
    <w:rsid w:val="00A81990"/>
    <w:rsid w:val="00A819F4"/>
    <w:rsid w:val="00A81B1B"/>
    <w:rsid w:val="00A81C2B"/>
    <w:rsid w:val="00A81DEC"/>
    <w:rsid w:val="00A81EBE"/>
    <w:rsid w:val="00A81FB0"/>
    <w:rsid w:val="00A820E4"/>
    <w:rsid w:val="00A82343"/>
    <w:rsid w:val="00A828A9"/>
    <w:rsid w:val="00A82CD6"/>
    <w:rsid w:val="00A82F7F"/>
    <w:rsid w:val="00A83187"/>
    <w:rsid w:val="00A835CE"/>
    <w:rsid w:val="00A83A17"/>
    <w:rsid w:val="00A83C41"/>
    <w:rsid w:val="00A83F30"/>
    <w:rsid w:val="00A846E4"/>
    <w:rsid w:val="00A846EC"/>
    <w:rsid w:val="00A85129"/>
    <w:rsid w:val="00A8520E"/>
    <w:rsid w:val="00A85689"/>
    <w:rsid w:val="00A856F6"/>
    <w:rsid w:val="00A8591E"/>
    <w:rsid w:val="00A86989"/>
    <w:rsid w:val="00A872C5"/>
    <w:rsid w:val="00A872D6"/>
    <w:rsid w:val="00A875CF"/>
    <w:rsid w:val="00A87AD1"/>
    <w:rsid w:val="00A87DEE"/>
    <w:rsid w:val="00A87EB2"/>
    <w:rsid w:val="00A87FED"/>
    <w:rsid w:val="00A90819"/>
    <w:rsid w:val="00A90F69"/>
    <w:rsid w:val="00A915AA"/>
    <w:rsid w:val="00A91624"/>
    <w:rsid w:val="00A91676"/>
    <w:rsid w:val="00A91CE7"/>
    <w:rsid w:val="00A91F31"/>
    <w:rsid w:val="00A924D6"/>
    <w:rsid w:val="00A92B3E"/>
    <w:rsid w:val="00A93102"/>
    <w:rsid w:val="00A93423"/>
    <w:rsid w:val="00A93A1F"/>
    <w:rsid w:val="00A93EF1"/>
    <w:rsid w:val="00A94000"/>
    <w:rsid w:val="00A94AC9"/>
    <w:rsid w:val="00A950FA"/>
    <w:rsid w:val="00A95335"/>
    <w:rsid w:val="00A95984"/>
    <w:rsid w:val="00A963DF"/>
    <w:rsid w:val="00A9643F"/>
    <w:rsid w:val="00A96672"/>
    <w:rsid w:val="00A96F3E"/>
    <w:rsid w:val="00A973CA"/>
    <w:rsid w:val="00A9757A"/>
    <w:rsid w:val="00A97671"/>
    <w:rsid w:val="00A9780E"/>
    <w:rsid w:val="00A97B7D"/>
    <w:rsid w:val="00A97B8B"/>
    <w:rsid w:val="00A97E0B"/>
    <w:rsid w:val="00A97E4D"/>
    <w:rsid w:val="00A97F84"/>
    <w:rsid w:val="00AA0023"/>
    <w:rsid w:val="00AA0040"/>
    <w:rsid w:val="00AA0198"/>
    <w:rsid w:val="00AA0333"/>
    <w:rsid w:val="00AA0720"/>
    <w:rsid w:val="00AA0FD6"/>
    <w:rsid w:val="00AA0FDD"/>
    <w:rsid w:val="00AA109D"/>
    <w:rsid w:val="00AA1187"/>
    <w:rsid w:val="00AA12CB"/>
    <w:rsid w:val="00AA15ED"/>
    <w:rsid w:val="00AA1D51"/>
    <w:rsid w:val="00AA1E3C"/>
    <w:rsid w:val="00AA2084"/>
    <w:rsid w:val="00AA2531"/>
    <w:rsid w:val="00AA2A9B"/>
    <w:rsid w:val="00AA2B8C"/>
    <w:rsid w:val="00AA2D48"/>
    <w:rsid w:val="00AA2D9B"/>
    <w:rsid w:val="00AA2EB6"/>
    <w:rsid w:val="00AA319D"/>
    <w:rsid w:val="00AA31A0"/>
    <w:rsid w:val="00AA3638"/>
    <w:rsid w:val="00AA37AC"/>
    <w:rsid w:val="00AA396E"/>
    <w:rsid w:val="00AA3D01"/>
    <w:rsid w:val="00AA4301"/>
    <w:rsid w:val="00AA45E5"/>
    <w:rsid w:val="00AA473D"/>
    <w:rsid w:val="00AA50CC"/>
    <w:rsid w:val="00AA53A5"/>
    <w:rsid w:val="00AA5503"/>
    <w:rsid w:val="00AA5E0A"/>
    <w:rsid w:val="00AA6741"/>
    <w:rsid w:val="00AA68C6"/>
    <w:rsid w:val="00AA6CC2"/>
    <w:rsid w:val="00AA7264"/>
    <w:rsid w:val="00AA732F"/>
    <w:rsid w:val="00AA74A3"/>
    <w:rsid w:val="00AB00A9"/>
    <w:rsid w:val="00AB074E"/>
    <w:rsid w:val="00AB0A9E"/>
    <w:rsid w:val="00AB0D16"/>
    <w:rsid w:val="00AB133C"/>
    <w:rsid w:val="00AB1375"/>
    <w:rsid w:val="00AB1691"/>
    <w:rsid w:val="00AB1CDB"/>
    <w:rsid w:val="00AB1F52"/>
    <w:rsid w:val="00AB2550"/>
    <w:rsid w:val="00AB26E4"/>
    <w:rsid w:val="00AB26FB"/>
    <w:rsid w:val="00AB2C4C"/>
    <w:rsid w:val="00AB2EE7"/>
    <w:rsid w:val="00AB2F4C"/>
    <w:rsid w:val="00AB3270"/>
    <w:rsid w:val="00AB33C0"/>
    <w:rsid w:val="00AB344E"/>
    <w:rsid w:val="00AB3891"/>
    <w:rsid w:val="00AB3D66"/>
    <w:rsid w:val="00AB41D4"/>
    <w:rsid w:val="00AB430D"/>
    <w:rsid w:val="00AB437C"/>
    <w:rsid w:val="00AB45A4"/>
    <w:rsid w:val="00AB47BA"/>
    <w:rsid w:val="00AB4EDC"/>
    <w:rsid w:val="00AB54AB"/>
    <w:rsid w:val="00AB58A9"/>
    <w:rsid w:val="00AB5C9F"/>
    <w:rsid w:val="00AB6106"/>
    <w:rsid w:val="00AB6A06"/>
    <w:rsid w:val="00AB6AE1"/>
    <w:rsid w:val="00AB6BA3"/>
    <w:rsid w:val="00AB6BB6"/>
    <w:rsid w:val="00AB6C80"/>
    <w:rsid w:val="00AB7482"/>
    <w:rsid w:val="00AB7704"/>
    <w:rsid w:val="00AB7A74"/>
    <w:rsid w:val="00AC0496"/>
    <w:rsid w:val="00AC0665"/>
    <w:rsid w:val="00AC125A"/>
    <w:rsid w:val="00AC1A74"/>
    <w:rsid w:val="00AC2034"/>
    <w:rsid w:val="00AC2844"/>
    <w:rsid w:val="00AC2BE6"/>
    <w:rsid w:val="00AC310C"/>
    <w:rsid w:val="00AC3554"/>
    <w:rsid w:val="00AC376A"/>
    <w:rsid w:val="00AC3EC6"/>
    <w:rsid w:val="00AC4B82"/>
    <w:rsid w:val="00AC4D0F"/>
    <w:rsid w:val="00AC4DD5"/>
    <w:rsid w:val="00AC5067"/>
    <w:rsid w:val="00AC573D"/>
    <w:rsid w:val="00AC57C1"/>
    <w:rsid w:val="00AC5A17"/>
    <w:rsid w:val="00AC61D2"/>
    <w:rsid w:val="00AC663F"/>
    <w:rsid w:val="00AC69D1"/>
    <w:rsid w:val="00AC6BC6"/>
    <w:rsid w:val="00AC6D6C"/>
    <w:rsid w:val="00AC7041"/>
    <w:rsid w:val="00AC7145"/>
    <w:rsid w:val="00AC7290"/>
    <w:rsid w:val="00AC7408"/>
    <w:rsid w:val="00AC7553"/>
    <w:rsid w:val="00AC7FAA"/>
    <w:rsid w:val="00AD0306"/>
    <w:rsid w:val="00AD06CA"/>
    <w:rsid w:val="00AD0957"/>
    <w:rsid w:val="00AD0BA6"/>
    <w:rsid w:val="00AD0C6D"/>
    <w:rsid w:val="00AD11A9"/>
    <w:rsid w:val="00AD1255"/>
    <w:rsid w:val="00AD129B"/>
    <w:rsid w:val="00AD14FD"/>
    <w:rsid w:val="00AD165F"/>
    <w:rsid w:val="00AD1940"/>
    <w:rsid w:val="00AD1C29"/>
    <w:rsid w:val="00AD1EF2"/>
    <w:rsid w:val="00AD2721"/>
    <w:rsid w:val="00AD2BF6"/>
    <w:rsid w:val="00AD2E06"/>
    <w:rsid w:val="00AD2EF7"/>
    <w:rsid w:val="00AD31F3"/>
    <w:rsid w:val="00AD3446"/>
    <w:rsid w:val="00AD3628"/>
    <w:rsid w:val="00AD386A"/>
    <w:rsid w:val="00AD39A9"/>
    <w:rsid w:val="00AD3A50"/>
    <w:rsid w:val="00AD3A66"/>
    <w:rsid w:val="00AD3AC9"/>
    <w:rsid w:val="00AD3BFD"/>
    <w:rsid w:val="00AD3DF5"/>
    <w:rsid w:val="00AD44DA"/>
    <w:rsid w:val="00AD4E6C"/>
    <w:rsid w:val="00AD5075"/>
    <w:rsid w:val="00AD54F7"/>
    <w:rsid w:val="00AD5581"/>
    <w:rsid w:val="00AD5C3D"/>
    <w:rsid w:val="00AD5D0B"/>
    <w:rsid w:val="00AD5F01"/>
    <w:rsid w:val="00AD5FFD"/>
    <w:rsid w:val="00AD6660"/>
    <w:rsid w:val="00AD6837"/>
    <w:rsid w:val="00AD69E9"/>
    <w:rsid w:val="00AD73BD"/>
    <w:rsid w:val="00AD7872"/>
    <w:rsid w:val="00AD79B2"/>
    <w:rsid w:val="00AD7C1C"/>
    <w:rsid w:val="00AD7DDC"/>
    <w:rsid w:val="00AD7EEA"/>
    <w:rsid w:val="00AE0049"/>
    <w:rsid w:val="00AE0DBD"/>
    <w:rsid w:val="00AE1CE2"/>
    <w:rsid w:val="00AE1EB3"/>
    <w:rsid w:val="00AE1FE2"/>
    <w:rsid w:val="00AE2606"/>
    <w:rsid w:val="00AE2987"/>
    <w:rsid w:val="00AE3229"/>
    <w:rsid w:val="00AE3434"/>
    <w:rsid w:val="00AE3699"/>
    <w:rsid w:val="00AE3745"/>
    <w:rsid w:val="00AE37F9"/>
    <w:rsid w:val="00AE3DB0"/>
    <w:rsid w:val="00AE3E2D"/>
    <w:rsid w:val="00AE4022"/>
    <w:rsid w:val="00AE41AE"/>
    <w:rsid w:val="00AE474E"/>
    <w:rsid w:val="00AE4837"/>
    <w:rsid w:val="00AE4B0A"/>
    <w:rsid w:val="00AE52AB"/>
    <w:rsid w:val="00AE52F3"/>
    <w:rsid w:val="00AE5330"/>
    <w:rsid w:val="00AE5953"/>
    <w:rsid w:val="00AE5A03"/>
    <w:rsid w:val="00AE5D3F"/>
    <w:rsid w:val="00AE6054"/>
    <w:rsid w:val="00AE6BEB"/>
    <w:rsid w:val="00AE7160"/>
    <w:rsid w:val="00AE71D5"/>
    <w:rsid w:val="00AE7544"/>
    <w:rsid w:val="00AE7AEF"/>
    <w:rsid w:val="00AF0398"/>
    <w:rsid w:val="00AF04AB"/>
    <w:rsid w:val="00AF0798"/>
    <w:rsid w:val="00AF0898"/>
    <w:rsid w:val="00AF09CE"/>
    <w:rsid w:val="00AF0B79"/>
    <w:rsid w:val="00AF0F7F"/>
    <w:rsid w:val="00AF0FE0"/>
    <w:rsid w:val="00AF133A"/>
    <w:rsid w:val="00AF1526"/>
    <w:rsid w:val="00AF1536"/>
    <w:rsid w:val="00AF173C"/>
    <w:rsid w:val="00AF1853"/>
    <w:rsid w:val="00AF2165"/>
    <w:rsid w:val="00AF222F"/>
    <w:rsid w:val="00AF26EF"/>
    <w:rsid w:val="00AF2757"/>
    <w:rsid w:val="00AF332C"/>
    <w:rsid w:val="00AF3B10"/>
    <w:rsid w:val="00AF3CDA"/>
    <w:rsid w:val="00AF3F72"/>
    <w:rsid w:val="00AF3FA5"/>
    <w:rsid w:val="00AF402D"/>
    <w:rsid w:val="00AF4FD3"/>
    <w:rsid w:val="00AF51B4"/>
    <w:rsid w:val="00AF530E"/>
    <w:rsid w:val="00AF537F"/>
    <w:rsid w:val="00AF57CA"/>
    <w:rsid w:val="00AF5837"/>
    <w:rsid w:val="00AF5AC8"/>
    <w:rsid w:val="00AF5B93"/>
    <w:rsid w:val="00AF5BA3"/>
    <w:rsid w:val="00AF5DE4"/>
    <w:rsid w:val="00AF61A7"/>
    <w:rsid w:val="00AF63F2"/>
    <w:rsid w:val="00AF642B"/>
    <w:rsid w:val="00AF6A99"/>
    <w:rsid w:val="00AF6C2E"/>
    <w:rsid w:val="00AF732E"/>
    <w:rsid w:val="00AF7616"/>
    <w:rsid w:val="00AF786A"/>
    <w:rsid w:val="00AF78D6"/>
    <w:rsid w:val="00B00310"/>
    <w:rsid w:val="00B003C3"/>
    <w:rsid w:val="00B00445"/>
    <w:rsid w:val="00B00C84"/>
    <w:rsid w:val="00B00D6B"/>
    <w:rsid w:val="00B010F5"/>
    <w:rsid w:val="00B015C4"/>
    <w:rsid w:val="00B016A8"/>
    <w:rsid w:val="00B019E3"/>
    <w:rsid w:val="00B02296"/>
    <w:rsid w:val="00B0290C"/>
    <w:rsid w:val="00B029DC"/>
    <w:rsid w:val="00B02B6F"/>
    <w:rsid w:val="00B02E84"/>
    <w:rsid w:val="00B02F8B"/>
    <w:rsid w:val="00B03140"/>
    <w:rsid w:val="00B03524"/>
    <w:rsid w:val="00B037F7"/>
    <w:rsid w:val="00B03EF1"/>
    <w:rsid w:val="00B04241"/>
    <w:rsid w:val="00B04371"/>
    <w:rsid w:val="00B04747"/>
    <w:rsid w:val="00B047EC"/>
    <w:rsid w:val="00B04D68"/>
    <w:rsid w:val="00B05107"/>
    <w:rsid w:val="00B05121"/>
    <w:rsid w:val="00B05655"/>
    <w:rsid w:val="00B059D6"/>
    <w:rsid w:val="00B05BF5"/>
    <w:rsid w:val="00B06012"/>
    <w:rsid w:val="00B06590"/>
    <w:rsid w:val="00B065DD"/>
    <w:rsid w:val="00B06938"/>
    <w:rsid w:val="00B06952"/>
    <w:rsid w:val="00B06A69"/>
    <w:rsid w:val="00B079F5"/>
    <w:rsid w:val="00B07BCA"/>
    <w:rsid w:val="00B07EB8"/>
    <w:rsid w:val="00B07F18"/>
    <w:rsid w:val="00B1069D"/>
    <w:rsid w:val="00B108FD"/>
    <w:rsid w:val="00B10D88"/>
    <w:rsid w:val="00B11137"/>
    <w:rsid w:val="00B11173"/>
    <w:rsid w:val="00B11594"/>
    <w:rsid w:val="00B115A2"/>
    <w:rsid w:val="00B118D8"/>
    <w:rsid w:val="00B11940"/>
    <w:rsid w:val="00B11D9F"/>
    <w:rsid w:val="00B1273C"/>
    <w:rsid w:val="00B1287B"/>
    <w:rsid w:val="00B12B1C"/>
    <w:rsid w:val="00B12C8E"/>
    <w:rsid w:val="00B12D49"/>
    <w:rsid w:val="00B13119"/>
    <w:rsid w:val="00B13344"/>
    <w:rsid w:val="00B137B8"/>
    <w:rsid w:val="00B13F6E"/>
    <w:rsid w:val="00B14170"/>
    <w:rsid w:val="00B14B75"/>
    <w:rsid w:val="00B14E3D"/>
    <w:rsid w:val="00B15146"/>
    <w:rsid w:val="00B156DD"/>
    <w:rsid w:val="00B15B54"/>
    <w:rsid w:val="00B1606E"/>
    <w:rsid w:val="00B161B1"/>
    <w:rsid w:val="00B161DC"/>
    <w:rsid w:val="00B16441"/>
    <w:rsid w:val="00B16591"/>
    <w:rsid w:val="00B16762"/>
    <w:rsid w:val="00B173AD"/>
    <w:rsid w:val="00B1759D"/>
    <w:rsid w:val="00B17E4B"/>
    <w:rsid w:val="00B208E4"/>
    <w:rsid w:val="00B2130B"/>
    <w:rsid w:val="00B2146D"/>
    <w:rsid w:val="00B21B85"/>
    <w:rsid w:val="00B21E52"/>
    <w:rsid w:val="00B21ED7"/>
    <w:rsid w:val="00B22838"/>
    <w:rsid w:val="00B22CF3"/>
    <w:rsid w:val="00B22D5A"/>
    <w:rsid w:val="00B230EA"/>
    <w:rsid w:val="00B231F9"/>
    <w:rsid w:val="00B233E9"/>
    <w:rsid w:val="00B23A37"/>
    <w:rsid w:val="00B23B83"/>
    <w:rsid w:val="00B23ED1"/>
    <w:rsid w:val="00B245AB"/>
    <w:rsid w:val="00B24635"/>
    <w:rsid w:val="00B24674"/>
    <w:rsid w:val="00B249E5"/>
    <w:rsid w:val="00B24B8A"/>
    <w:rsid w:val="00B24EF4"/>
    <w:rsid w:val="00B251BD"/>
    <w:rsid w:val="00B253FC"/>
    <w:rsid w:val="00B25496"/>
    <w:rsid w:val="00B25665"/>
    <w:rsid w:val="00B25976"/>
    <w:rsid w:val="00B25AA7"/>
    <w:rsid w:val="00B25AC0"/>
    <w:rsid w:val="00B25F39"/>
    <w:rsid w:val="00B260C0"/>
    <w:rsid w:val="00B26598"/>
    <w:rsid w:val="00B26A06"/>
    <w:rsid w:val="00B26D34"/>
    <w:rsid w:val="00B27613"/>
    <w:rsid w:val="00B27B89"/>
    <w:rsid w:val="00B27FCD"/>
    <w:rsid w:val="00B302A2"/>
    <w:rsid w:val="00B3033C"/>
    <w:rsid w:val="00B305D9"/>
    <w:rsid w:val="00B30878"/>
    <w:rsid w:val="00B30974"/>
    <w:rsid w:val="00B30D72"/>
    <w:rsid w:val="00B318D9"/>
    <w:rsid w:val="00B31926"/>
    <w:rsid w:val="00B31942"/>
    <w:rsid w:val="00B31F28"/>
    <w:rsid w:val="00B32B08"/>
    <w:rsid w:val="00B32BF0"/>
    <w:rsid w:val="00B3313A"/>
    <w:rsid w:val="00B3317A"/>
    <w:rsid w:val="00B335C2"/>
    <w:rsid w:val="00B337D9"/>
    <w:rsid w:val="00B33D95"/>
    <w:rsid w:val="00B33F51"/>
    <w:rsid w:val="00B34B8D"/>
    <w:rsid w:val="00B3594B"/>
    <w:rsid w:val="00B35EDE"/>
    <w:rsid w:val="00B36070"/>
    <w:rsid w:val="00B363D5"/>
    <w:rsid w:val="00B371FA"/>
    <w:rsid w:val="00B37533"/>
    <w:rsid w:val="00B37799"/>
    <w:rsid w:val="00B377A9"/>
    <w:rsid w:val="00B37B5A"/>
    <w:rsid w:val="00B37C94"/>
    <w:rsid w:val="00B37CBC"/>
    <w:rsid w:val="00B37EFF"/>
    <w:rsid w:val="00B37FB7"/>
    <w:rsid w:val="00B4036D"/>
    <w:rsid w:val="00B4038C"/>
    <w:rsid w:val="00B40C11"/>
    <w:rsid w:val="00B40F1A"/>
    <w:rsid w:val="00B41177"/>
    <w:rsid w:val="00B41226"/>
    <w:rsid w:val="00B41504"/>
    <w:rsid w:val="00B4156A"/>
    <w:rsid w:val="00B41CEA"/>
    <w:rsid w:val="00B41F92"/>
    <w:rsid w:val="00B41FA7"/>
    <w:rsid w:val="00B42284"/>
    <w:rsid w:val="00B42303"/>
    <w:rsid w:val="00B42516"/>
    <w:rsid w:val="00B429CF"/>
    <w:rsid w:val="00B42C45"/>
    <w:rsid w:val="00B42D35"/>
    <w:rsid w:val="00B4300E"/>
    <w:rsid w:val="00B43144"/>
    <w:rsid w:val="00B4336D"/>
    <w:rsid w:val="00B434A5"/>
    <w:rsid w:val="00B434BE"/>
    <w:rsid w:val="00B4358E"/>
    <w:rsid w:val="00B4361D"/>
    <w:rsid w:val="00B4364B"/>
    <w:rsid w:val="00B437B8"/>
    <w:rsid w:val="00B43BC2"/>
    <w:rsid w:val="00B43D85"/>
    <w:rsid w:val="00B445A4"/>
    <w:rsid w:val="00B44AC3"/>
    <w:rsid w:val="00B4546B"/>
    <w:rsid w:val="00B45F90"/>
    <w:rsid w:val="00B460EB"/>
    <w:rsid w:val="00B464A2"/>
    <w:rsid w:val="00B464B6"/>
    <w:rsid w:val="00B46580"/>
    <w:rsid w:val="00B4663B"/>
    <w:rsid w:val="00B46684"/>
    <w:rsid w:val="00B46797"/>
    <w:rsid w:val="00B468AF"/>
    <w:rsid w:val="00B46A4A"/>
    <w:rsid w:val="00B472C4"/>
    <w:rsid w:val="00B476E7"/>
    <w:rsid w:val="00B47888"/>
    <w:rsid w:val="00B50447"/>
    <w:rsid w:val="00B50A99"/>
    <w:rsid w:val="00B5117A"/>
    <w:rsid w:val="00B51288"/>
    <w:rsid w:val="00B512DA"/>
    <w:rsid w:val="00B513D7"/>
    <w:rsid w:val="00B51641"/>
    <w:rsid w:val="00B516B6"/>
    <w:rsid w:val="00B518E6"/>
    <w:rsid w:val="00B5197C"/>
    <w:rsid w:val="00B51F23"/>
    <w:rsid w:val="00B5209D"/>
    <w:rsid w:val="00B520DE"/>
    <w:rsid w:val="00B5212B"/>
    <w:rsid w:val="00B5218E"/>
    <w:rsid w:val="00B52675"/>
    <w:rsid w:val="00B526BF"/>
    <w:rsid w:val="00B5272A"/>
    <w:rsid w:val="00B532A7"/>
    <w:rsid w:val="00B533A0"/>
    <w:rsid w:val="00B53FE2"/>
    <w:rsid w:val="00B54143"/>
    <w:rsid w:val="00B543FC"/>
    <w:rsid w:val="00B5450D"/>
    <w:rsid w:val="00B5487A"/>
    <w:rsid w:val="00B54946"/>
    <w:rsid w:val="00B54AD9"/>
    <w:rsid w:val="00B552AF"/>
    <w:rsid w:val="00B5579F"/>
    <w:rsid w:val="00B55892"/>
    <w:rsid w:val="00B55906"/>
    <w:rsid w:val="00B562B1"/>
    <w:rsid w:val="00B56337"/>
    <w:rsid w:val="00B567B7"/>
    <w:rsid w:val="00B56BC7"/>
    <w:rsid w:val="00B56C15"/>
    <w:rsid w:val="00B56C2D"/>
    <w:rsid w:val="00B56FC2"/>
    <w:rsid w:val="00B5735F"/>
    <w:rsid w:val="00B57790"/>
    <w:rsid w:val="00B57909"/>
    <w:rsid w:val="00B57C73"/>
    <w:rsid w:val="00B603C9"/>
    <w:rsid w:val="00B60601"/>
    <w:rsid w:val="00B6079E"/>
    <w:rsid w:val="00B60B67"/>
    <w:rsid w:val="00B60C1B"/>
    <w:rsid w:val="00B610CB"/>
    <w:rsid w:val="00B61473"/>
    <w:rsid w:val="00B61A60"/>
    <w:rsid w:val="00B61A9C"/>
    <w:rsid w:val="00B61B40"/>
    <w:rsid w:val="00B61F48"/>
    <w:rsid w:val="00B61FBC"/>
    <w:rsid w:val="00B623C6"/>
    <w:rsid w:val="00B62BF4"/>
    <w:rsid w:val="00B62F0C"/>
    <w:rsid w:val="00B6326B"/>
    <w:rsid w:val="00B6352E"/>
    <w:rsid w:val="00B63975"/>
    <w:rsid w:val="00B63CC4"/>
    <w:rsid w:val="00B63E98"/>
    <w:rsid w:val="00B63EB4"/>
    <w:rsid w:val="00B64291"/>
    <w:rsid w:val="00B642B6"/>
    <w:rsid w:val="00B6560A"/>
    <w:rsid w:val="00B656A4"/>
    <w:rsid w:val="00B65B8D"/>
    <w:rsid w:val="00B65DD5"/>
    <w:rsid w:val="00B65FFF"/>
    <w:rsid w:val="00B660E7"/>
    <w:rsid w:val="00B66544"/>
    <w:rsid w:val="00B66980"/>
    <w:rsid w:val="00B66A54"/>
    <w:rsid w:val="00B66EBC"/>
    <w:rsid w:val="00B66EDF"/>
    <w:rsid w:val="00B670B6"/>
    <w:rsid w:val="00B67106"/>
    <w:rsid w:val="00B6739D"/>
    <w:rsid w:val="00B6750F"/>
    <w:rsid w:val="00B679EB"/>
    <w:rsid w:val="00B67A69"/>
    <w:rsid w:val="00B67E9D"/>
    <w:rsid w:val="00B70220"/>
    <w:rsid w:val="00B70372"/>
    <w:rsid w:val="00B704F8"/>
    <w:rsid w:val="00B70529"/>
    <w:rsid w:val="00B707D4"/>
    <w:rsid w:val="00B708B0"/>
    <w:rsid w:val="00B709A5"/>
    <w:rsid w:val="00B7121E"/>
    <w:rsid w:val="00B71283"/>
    <w:rsid w:val="00B71A84"/>
    <w:rsid w:val="00B71ACA"/>
    <w:rsid w:val="00B71CB8"/>
    <w:rsid w:val="00B71D69"/>
    <w:rsid w:val="00B71DA2"/>
    <w:rsid w:val="00B71FD1"/>
    <w:rsid w:val="00B7207C"/>
    <w:rsid w:val="00B723DC"/>
    <w:rsid w:val="00B72597"/>
    <w:rsid w:val="00B728BC"/>
    <w:rsid w:val="00B72CA4"/>
    <w:rsid w:val="00B72D44"/>
    <w:rsid w:val="00B731E2"/>
    <w:rsid w:val="00B7367B"/>
    <w:rsid w:val="00B73B87"/>
    <w:rsid w:val="00B73C3A"/>
    <w:rsid w:val="00B74306"/>
    <w:rsid w:val="00B74423"/>
    <w:rsid w:val="00B74C1C"/>
    <w:rsid w:val="00B74FD2"/>
    <w:rsid w:val="00B7510C"/>
    <w:rsid w:val="00B755FF"/>
    <w:rsid w:val="00B7585E"/>
    <w:rsid w:val="00B75FBF"/>
    <w:rsid w:val="00B762C8"/>
    <w:rsid w:val="00B766EA"/>
    <w:rsid w:val="00B76D11"/>
    <w:rsid w:val="00B77472"/>
    <w:rsid w:val="00B7780B"/>
    <w:rsid w:val="00B77C23"/>
    <w:rsid w:val="00B8039E"/>
    <w:rsid w:val="00B80444"/>
    <w:rsid w:val="00B80923"/>
    <w:rsid w:val="00B81038"/>
    <w:rsid w:val="00B810AE"/>
    <w:rsid w:val="00B81936"/>
    <w:rsid w:val="00B81F53"/>
    <w:rsid w:val="00B82013"/>
    <w:rsid w:val="00B8251A"/>
    <w:rsid w:val="00B82CC7"/>
    <w:rsid w:val="00B837E2"/>
    <w:rsid w:val="00B839F2"/>
    <w:rsid w:val="00B83C31"/>
    <w:rsid w:val="00B84263"/>
    <w:rsid w:val="00B843A1"/>
    <w:rsid w:val="00B847F1"/>
    <w:rsid w:val="00B84CB5"/>
    <w:rsid w:val="00B854D2"/>
    <w:rsid w:val="00B85C6A"/>
    <w:rsid w:val="00B85D02"/>
    <w:rsid w:val="00B85FE0"/>
    <w:rsid w:val="00B86109"/>
    <w:rsid w:val="00B86B0A"/>
    <w:rsid w:val="00B86D43"/>
    <w:rsid w:val="00B86EB1"/>
    <w:rsid w:val="00B87582"/>
    <w:rsid w:val="00B87813"/>
    <w:rsid w:val="00B87B32"/>
    <w:rsid w:val="00B900CB"/>
    <w:rsid w:val="00B903EE"/>
    <w:rsid w:val="00B90528"/>
    <w:rsid w:val="00B908E9"/>
    <w:rsid w:val="00B90942"/>
    <w:rsid w:val="00B90CA0"/>
    <w:rsid w:val="00B91268"/>
    <w:rsid w:val="00B91C16"/>
    <w:rsid w:val="00B91C77"/>
    <w:rsid w:val="00B91FD3"/>
    <w:rsid w:val="00B92490"/>
    <w:rsid w:val="00B927EB"/>
    <w:rsid w:val="00B9299C"/>
    <w:rsid w:val="00B934AF"/>
    <w:rsid w:val="00B9397D"/>
    <w:rsid w:val="00B93BC0"/>
    <w:rsid w:val="00B941CD"/>
    <w:rsid w:val="00B947EA"/>
    <w:rsid w:val="00B94CCF"/>
    <w:rsid w:val="00B94D99"/>
    <w:rsid w:val="00B950BA"/>
    <w:rsid w:val="00B951A4"/>
    <w:rsid w:val="00B95BF4"/>
    <w:rsid w:val="00B95E36"/>
    <w:rsid w:val="00B9612C"/>
    <w:rsid w:val="00B96480"/>
    <w:rsid w:val="00B96947"/>
    <w:rsid w:val="00B96952"/>
    <w:rsid w:val="00B96D0A"/>
    <w:rsid w:val="00B96DC1"/>
    <w:rsid w:val="00B9742D"/>
    <w:rsid w:val="00B97891"/>
    <w:rsid w:val="00B978E9"/>
    <w:rsid w:val="00B97B52"/>
    <w:rsid w:val="00BA0768"/>
    <w:rsid w:val="00BA083E"/>
    <w:rsid w:val="00BA098D"/>
    <w:rsid w:val="00BA0992"/>
    <w:rsid w:val="00BA0F30"/>
    <w:rsid w:val="00BA0FCD"/>
    <w:rsid w:val="00BA15AE"/>
    <w:rsid w:val="00BA189B"/>
    <w:rsid w:val="00BA1BB4"/>
    <w:rsid w:val="00BA1D9B"/>
    <w:rsid w:val="00BA1E15"/>
    <w:rsid w:val="00BA21DE"/>
    <w:rsid w:val="00BA2931"/>
    <w:rsid w:val="00BA2CB2"/>
    <w:rsid w:val="00BA2E9C"/>
    <w:rsid w:val="00BA2EA5"/>
    <w:rsid w:val="00BA2FD4"/>
    <w:rsid w:val="00BA3918"/>
    <w:rsid w:val="00BA3FB0"/>
    <w:rsid w:val="00BA41AB"/>
    <w:rsid w:val="00BA4365"/>
    <w:rsid w:val="00BA4794"/>
    <w:rsid w:val="00BA49FA"/>
    <w:rsid w:val="00BA4EA7"/>
    <w:rsid w:val="00BA4EAF"/>
    <w:rsid w:val="00BA516D"/>
    <w:rsid w:val="00BA5366"/>
    <w:rsid w:val="00BA5B95"/>
    <w:rsid w:val="00BA5D31"/>
    <w:rsid w:val="00BA5D3D"/>
    <w:rsid w:val="00BA63B5"/>
    <w:rsid w:val="00BA6FA6"/>
    <w:rsid w:val="00BA7176"/>
    <w:rsid w:val="00BA7916"/>
    <w:rsid w:val="00BA7918"/>
    <w:rsid w:val="00BA791A"/>
    <w:rsid w:val="00BA7ACC"/>
    <w:rsid w:val="00BA7BAE"/>
    <w:rsid w:val="00BB0309"/>
    <w:rsid w:val="00BB0394"/>
    <w:rsid w:val="00BB05C0"/>
    <w:rsid w:val="00BB09DD"/>
    <w:rsid w:val="00BB0B36"/>
    <w:rsid w:val="00BB117B"/>
    <w:rsid w:val="00BB1838"/>
    <w:rsid w:val="00BB1B1A"/>
    <w:rsid w:val="00BB1BAD"/>
    <w:rsid w:val="00BB1D41"/>
    <w:rsid w:val="00BB29C3"/>
    <w:rsid w:val="00BB29CB"/>
    <w:rsid w:val="00BB2BFC"/>
    <w:rsid w:val="00BB2DCF"/>
    <w:rsid w:val="00BB34E5"/>
    <w:rsid w:val="00BB3989"/>
    <w:rsid w:val="00BB4325"/>
    <w:rsid w:val="00BB46A9"/>
    <w:rsid w:val="00BB46BE"/>
    <w:rsid w:val="00BB4843"/>
    <w:rsid w:val="00BB4943"/>
    <w:rsid w:val="00BB503F"/>
    <w:rsid w:val="00BB50BD"/>
    <w:rsid w:val="00BB54D7"/>
    <w:rsid w:val="00BB5A8C"/>
    <w:rsid w:val="00BB5B91"/>
    <w:rsid w:val="00BB5C55"/>
    <w:rsid w:val="00BB5FFB"/>
    <w:rsid w:val="00BB6075"/>
    <w:rsid w:val="00BB653D"/>
    <w:rsid w:val="00BB6990"/>
    <w:rsid w:val="00BB710E"/>
    <w:rsid w:val="00BB79D9"/>
    <w:rsid w:val="00BB7C13"/>
    <w:rsid w:val="00BC0916"/>
    <w:rsid w:val="00BC0A4F"/>
    <w:rsid w:val="00BC0EB2"/>
    <w:rsid w:val="00BC1476"/>
    <w:rsid w:val="00BC160B"/>
    <w:rsid w:val="00BC160D"/>
    <w:rsid w:val="00BC1992"/>
    <w:rsid w:val="00BC1CC1"/>
    <w:rsid w:val="00BC2356"/>
    <w:rsid w:val="00BC23B2"/>
    <w:rsid w:val="00BC2408"/>
    <w:rsid w:val="00BC25AC"/>
    <w:rsid w:val="00BC28AE"/>
    <w:rsid w:val="00BC28DE"/>
    <w:rsid w:val="00BC2910"/>
    <w:rsid w:val="00BC2E0B"/>
    <w:rsid w:val="00BC3149"/>
    <w:rsid w:val="00BC3CE9"/>
    <w:rsid w:val="00BC3D7B"/>
    <w:rsid w:val="00BC4341"/>
    <w:rsid w:val="00BC4681"/>
    <w:rsid w:val="00BC4CF6"/>
    <w:rsid w:val="00BC4DE3"/>
    <w:rsid w:val="00BC4E53"/>
    <w:rsid w:val="00BC5390"/>
    <w:rsid w:val="00BC5974"/>
    <w:rsid w:val="00BC5B5C"/>
    <w:rsid w:val="00BC5BAB"/>
    <w:rsid w:val="00BC602C"/>
    <w:rsid w:val="00BC6119"/>
    <w:rsid w:val="00BC6418"/>
    <w:rsid w:val="00BC6C7E"/>
    <w:rsid w:val="00BC6F10"/>
    <w:rsid w:val="00BD03A6"/>
    <w:rsid w:val="00BD0589"/>
    <w:rsid w:val="00BD0AD6"/>
    <w:rsid w:val="00BD0B16"/>
    <w:rsid w:val="00BD0D28"/>
    <w:rsid w:val="00BD0E46"/>
    <w:rsid w:val="00BD107D"/>
    <w:rsid w:val="00BD1A6F"/>
    <w:rsid w:val="00BD1B36"/>
    <w:rsid w:val="00BD1B6D"/>
    <w:rsid w:val="00BD24BC"/>
    <w:rsid w:val="00BD2A3E"/>
    <w:rsid w:val="00BD2E1A"/>
    <w:rsid w:val="00BD3133"/>
    <w:rsid w:val="00BD3B52"/>
    <w:rsid w:val="00BD3FB5"/>
    <w:rsid w:val="00BD4146"/>
    <w:rsid w:val="00BD4A5F"/>
    <w:rsid w:val="00BD4C7B"/>
    <w:rsid w:val="00BD4D26"/>
    <w:rsid w:val="00BD4D56"/>
    <w:rsid w:val="00BD4DA5"/>
    <w:rsid w:val="00BD5486"/>
    <w:rsid w:val="00BD54F4"/>
    <w:rsid w:val="00BD6179"/>
    <w:rsid w:val="00BD668B"/>
    <w:rsid w:val="00BD6780"/>
    <w:rsid w:val="00BD692A"/>
    <w:rsid w:val="00BD6B44"/>
    <w:rsid w:val="00BD6B6B"/>
    <w:rsid w:val="00BD6B95"/>
    <w:rsid w:val="00BD6C00"/>
    <w:rsid w:val="00BD6D66"/>
    <w:rsid w:val="00BD7626"/>
    <w:rsid w:val="00BD775A"/>
    <w:rsid w:val="00BD799F"/>
    <w:rsid w:val="00BD7A1D"/>
    <w:rsid w:val="00BE0184"/>
    <w:rsid w:val="00BE0584"/>
    <w:rsid w:val="00BE0B40"/>
    <w:rsid w:val="00BE0C3F"/>
    <w:rsid w:val="00BE0CA9"/>
    <w:rsid w:val="00BE0FD2"/>
    <w:rsid w:val="00BE127B"/>
    <w:rsid w:val="00BE1AA6"/>
    <w:rsid w:val="00BE1C21"/>
    <w:rsid w:val="00BE1CA5"/>
    <w:rsid w:val="00BE226D"/>
    <w:rsid w:val="00BE235B"/>
    <w:rsid w:val="00BE244E"/>
    <w:rsid w:val="00BE24A0"/>
    <w:rsid w:val="00BE2689"/>
    <w:rsid w:val="00BE26BE"/>
    <w:rsid w:val="00BE29AC"/>
    <w:rsid w:val="00BE2AF5"/>
    <w:rsid w:val="00BE2D41"/>
    <w:rsid w:val="00BE32CE"/>
    <w:rsid w:val="00BE34BF"/>
    <w:rsid w:val="00BE3620"/>
    <w:rsid w:val="00BE3BDB"/>
    <w:rsid w:val="00BE3DAE"/>
    <w:rsid w:val="00BE4B00"/>
    <w:rsid w:val="00BE537F"/>
    <w:rsid w:val="00BE549E"/>
    <w:rsid w:val="00BE54FE"/>
    <w:rsid w:val="00BE5AAD"/>
    <w:rsid w:val="00BE5F4C"/>
    <w:rsid w:val="00BE60D3"/>
    <w:rsid w:val="00BE6366"/>
    <w:rsid w:val="00BE65EC"/>
    <w:rsid w:val="00BE68F9"/>
    <w:rsid w:val="00BE6DEF"/>
    <w:rsid w:val="00BE7031"/>
    <w:rsid w:val="00BE71D3"/>
    <w:rsid w:val="00BE74B3"/>
    <w:rsid w:val="00BE7E6C"/>
    <w:rsid w:val="00BF046E"/>
    <w:rsid w:val="00BF0651"/>
    <w:rsid w:val="00BF076C"/>
    <w:rsid w:val="00BF0BA9"/>
    <w:rsid w:val="00BF1008"/>
    <w:rsid w:val="00BF12D9"/>
    <w:rsid w:val="00BF19EA"/>
    <w:rsid w:val="00BF2500"/>
    <w:rsid w:val="00BF2516"/>
    <w:rsid w:val="00BF26CF"/>
    <w:rsid w:val="00BF26F7"/>
    <w:rsid w:val="00BF2F41"/>
    <w:rsid w:val="00BF3394"/>
    <w:rsid w:val="00BF36F4"/>
    <w:rsid w:val="00BF3878"/>
    <w:rsid w:val="00BF39CA"/>
    <w:rsid w:val="00BF3C3F"/>
    <w:rsid w:val="00BF3C76"/>
    <w:rsid w:val="00BF48AE"/>
    <w:rsid w:val="00BF4966"/>
    <w:rsid w:val="00BF49F1"/>
    <w:rsid w:val="00BF4BBB"/>
    <w:rsid w:val="00BF53FE"/>
    <w:rsid w:val="00BF56CF"/>
    <w:rsid w:val="00BF5786"/>
    <w:rsid w:val="00BF58E5"/>
    <w:rsid w:val="00BF5961"/>
    <w:rsid w:val="00BF5E69"/>
    <w:rsid w:val="00BF60FF"/>
    <w:rsid w:val="00BF6223"/>
    <w:rsid w:val="00BF622F"/>
    <w:rsid w:val="00BF62BA"/>
    <w:rsid w:val="00BF63B5"/>
    <w:rsid w:val="00BF6803"/>
    <w:rsid w:val="00BF6A71"/>
    <w:rsid w:val="00BF7463"/>
    <w:rsid w:val="00BF78F8"/>
    <w:rsid w:val="00BF7CBF"/>
    <w:rsid w:val="00C00013"/>
    <w:rsid w:val="00C00099"/>
    <w:rsid w:val="00C000C3"/>
    <w:rsid w:val="00C001A2"/>
    <w:rsid w:val="00C0038E"/>
    <w:rsid w:val="00C0066E"/>
    <w:rsid w:val="00C0068F"/>
    <w:rsid w:val="00C010E6"/>
    <w:rsid w:val="00C01683"/>
    <w:rsid w:val="00C017E6"/>
    <w:rsid w:val="00C0184F"/>
    <w:rsid w:val="00C01C39"/>
    <w:rsid w:val="00C01F9B"/>
    <w:rsid w:val="00C01FD8"/>
    <w:rsid w:val="00C026C3"/>
    <w:rsid w:val="00C028E3"/>
    <w:rsid w:val="00C02A5E"/>
    <w:rsid w:val="00C02F4D"/>
    <w:rsid w:val="00C031B0"/>
    <w:rsid w:val="00C0320F"/>
    <w:rsid w:val="00C032EB"/>
    <w:rsid w:val="00C0365B"/>
    <w:rsid w:val="00C03798"/>
    <w:rsid w:val="00C03CBA"/>
    <w:rsid w:val="00C03DDB"/>
    <w:rsid w:val="00C0477D"/>
    <w:rsid w:val="00C047A1"/>
    <w:rsid w:val="00C04914"/>
    <w:rsid w:val="00C04ABE"/>
    <w:rsid w:val="00C0504A"/>
    <w:rsid w:val="00C052BA"/>
    <w:rsid w:val="00C0547F"/>
    <w:rsid w:val="00C05A83"/>
    <w:rsid w:val="00C05F09"/>
    <w:rsid w:val="00C0606A"/>
    <w:rsid w:val="00C06296"/>
    <w:rsid w:val="00C0632B"/>
    <w:rsid w:val="00C064A5"/>
    <w:rsid w:val="00C066EE"/>
    <w:rsid w:val="00C068DD"/>
    <w:rsid w:val="00C0698B"/>
    <w:rsid w:val="00C06B15"/>
    <w:rsid w:val="00C076F8"/>
    <w:rsid w:val="00C07708"/>
    <w:rsid w:val="00C07902"/>
    <w:rsid w:val="00C07C3C"/>
    <w:rsid w:val="00C07EC4"/>
    <w:rsid w:val="00C104C6"/>
    <w:rsid w:val="00C107E6"/>
    <w:rsid w:val="00C10C1C"/>
    <w:rsid w:val="00C10E99"/>
    <w:rsid w:val="00C1103E"/>
    <w:rsid w:val="00C110C7"/>
    <w:rsid w:val="00C1127E"/>
    <w:rsid w:val="00C11522"/>
    <w:rsid w:val="00C11BAD"/>
    <w:rsid w:val="00C12052"/>
    <w:rsid w:val="00C124F7"/>
    <w:rsid w:val="00C12822"/>
    <w:rsid w:val="00C133AC"/>
    <w:rsid w:val="00C13565"/>
    <w:rsid w:val="00C1381F"/>
    <w:rsid w:val="00C1391A"/>
    <w:rsid w:val="00C13B36"/>
    <w:rsid w:val="00C13CD6"/>
    <w:rsid w:val="00C14146"/>
    <w:rsid w:val="00C14EF3"/>
    <w:rsid w:val="00C14F89"/>
    <w:rsid w:val="00C15830"/>
    <w:rsid w:val="00C159AE"/>
    <w:rsid w:val="00C15E96"/>
    <w:rsid w:val="00C1604D"/>
    <w:rsid w:val="00C161F3"/>
    <w:rsid w:val="00C16566"/>
    <w:rsid w:val="00C169B1"/>
    <w:rsid w:val="00C16D0D"/>
    <w:rsid w:val="00C1777E"/>
    <w:rsid w:val="00C1787E"/>
    <w:rsid w:val="00C17AFA"/>
    <w:rsid w:val="00C17BE9"/>
    <w:rsid w:val="00C200F2"/>
    <w:rsid w:val="00C204E7"/>
    <w:rsid w:val="00C2057C"/>
    <w:rsid w:val="00C20806"/>
    <w:rsid w:val="00C20AC6"/>
    <w:rsid w:val="00C217CE"/>
    <w:rsid w:val="00C21E25"/>
    <w:rsid w:val="00C21F7B"/>
    <w:rsid w:val="00C21FB2"/>
    <w:rsid w:val="00C223BF"/>
    <w:rsid w:val="00C231C5"/>
    <w:rsid w:val="00C23297"/>
    <w:rsid w:val="00C2341C"/>
    <w:rsid w:val="00C23C74"/>
    <w:rsid w:val="00C23C7A"/>
    <w:rsid w:val="00C23D78"/>
    <w:rsid w:val="00C23E8D"/>
    <w:rsid w:val="00C23F65"/>
    <w:rsid w:val="00C24209"/>
    <w:rsid w:val="00C24529"/>
    <w:rsid w:val="00C245A9"/>
    <w:rsid w:val="00C245D3"/>
    <w:rsid w:val="00C2462D"/>
    <w:rsid w:val="00C24677"/>
    <w:rsid w:val="00C2469B"/>
    <w:rsid w:val="00C246A0"/>
    <w:rsid w:val="00C24AD0"/>
    <w:rsid w:val="00C24F68"/>
    <w:rsid w:val="00C2522D"/>
    <w:rsid w:val="00C2541E"/>
    <w:rsid w:val="00C26221"/>
    <w:rsid w:val="00C2642E"/>
    <w:rsid w:val="00C267EA"/>
    <w:rsid w:val="00C26894"/>
    <w:rsid w:val="00C268DA"/>
    <w:rsid w:val="00C26998"/>
    <w:rsid w:val="00C26C53"/>
    <w:rsid w:val="00C26C92"/>
    <w:rsid w:val="00C26DC2"/>
    <w:rsid w:val="00C26E62"/>
    <w:rsid w:val="00C271E9"/>
    <w:rsid w:val="00C273C8"/>
    <w:rsid w:val="00C274B8"/>
    <w:rsid w:val="00C27515"/>
    <w:rsid w:val="00C27CA5"/>
    <w:rsid w:val="00C30004"/>
    <w:rsid w:val="00C310B4"/>
    <w:rsid w:val="00C31369"/>
    <w:rsid w:val="00C315E2"/>
    <w:rsid w:val="00C31B8F"/>
    <w:rsid w:val="00C32A1E"/>
    <w:rsid w:val="00C32A3D"/>
    <w:rsid w:val="00C32FE9"/>
    <w:rsid w:val="00C334CD"/>
    <w:rsid w:val="00C33EF2"/>
    <w:rsid w:val="00C34241"/>
    <w:rsid w:val="00C3426D"/>
    <w:rsid w:val="00C344ED"/>
    <w:rsid w:val="00C3472F"/>
    <w:rsid w:val="00C34A36"/>
    <w:rsid w:val="00C353C7"/>
    <w:rsid w:val="00C353F7"/>
    <w:rsid w:val="00C355C6"/>
    <w:rsid w:val="00C35934"/>
    <w:rsid w:val="00C35A08"/>
    <w:rsid w:val="00C35BF3"/>
    <w:rsid w:val="00C35C91"/>
    <w:rsid w:val="00C35D0A"/>
    <w:rsid w:val="00C35DEE"/>
    <w:rsid w:val="00C35F74"/>
    <w:rsid w:val="00C3606A"/>
    <w:rsid w:val="00C3657B"/>
    <w:rsid w:val="00C36689"/>
    <w:rsid w:val="00C3681B"/>
    <w:rsid w:val="00C3690E"/>
    <w:rsid w:val="00C36A14"/>
    <w:rsid w:val="00C36A74"/>
    <w:rsid w:val="00C3727D"/>
    <w:rsid w:val="00C37565"/>
    <w:rsid w:val="00C402D3"/>
    <w:rsid w:val="00C40407"/>
    <w:rsid w:val="00C41127"/>
    <w:rsid w:val="00C416EB"/>
    <w:rsid w:val="00C41799"/>
    <w:rsid w:val="00C419EA"/>
    <w:rsid w:val="00C41B3A"/>
    <w:rsid w:val="00C41B99"/>
    <w:rsid w:val="00C41F42"/>
    <w:rsid w:val="00C42253"/>
    <w:rsid w:val="00C4258E"/>
    <w:rsid w:val="00C42F3C"/>
    <w:rsid w:val="00C434A0"/>
    <w:rsid w:val="00C4392E"/>
    <w:rsid w:val="00C43954"/>
    <w:rsid w:val="00C43DFE"/>
    <w:rsid w:val="00C43FDD"/>
    <w:rsid w:val="00C44281"/>
    <w:rsid w:val="00C4450C"/>
    <w:rsid w:val="00C4454A"/>
    <w:rsid w:val="00C44C07"/>
    <w:rsid w:val="00C44F9F"/>
    <w:rsid w:val="00C451D0"/>
    <w:rsid w:val="00C4544F"/>
    <w:rsid w:val="00C45C95"/>
    <w:rsid w:val="00C45E7E"/>
    <w:rsid w:val="00C4604F"/>
    <w:rsid w:val="00C461EB"/>
    <w:rsid w:val="00C469D3"/>
    <w:rsid w:val="00C46A16"/>
    <w:rsid w:val="00C46C2B"/>
    <w:rsid w:val="00C46C54"/>
    <w:rsid w:val="00C4702C"/>
    <w:rsid w:val="00C472CD"/>
    <w:rsid w:val="00C47881"/>
    <w:rsid w:val="00C47931"/>
    <w:rsid w:val="00C4799E"/>
    <w:rsid w:val="00C479C1"/>
    <w:rsid w:val="00C50169"/>
    <w:rsid w:val="00C506C0"/>
    <w:rsid w:val="00C507CD"/>
    <w:rsid w:val="00C50F0C"/>
    <w:rsid w:val="00C518C9"/>
    <w:rsid w:val="00C5227E"/>
    <w:rsid w:val="00C52388"/>
    <w:rsid w:val="00C5274D"/>
    <w:rsid w:val="00C52A5F"/>
    <w:rsid w:val="00C52D52"/>
    <w:rsid w:val="00C531EE"/>
    <w:rsid w:val="00C531F4"/>
    <w:rsid w:val="00C536E3"/>
    <w:rsid w:val="00C53C18"/>
    <w:rsid w:val="00C53F4A"/>
    <w:rsid w:val="00C54261"/>
    <w:rsid w:val="00C547B8"/>
    <w:rsid w:val="00C549A3"/>
    <w:rsid w:val="00C54E42"/>
    <w:rsid w:val="00C5544D"/>
    <w:rsid w:val="00C5567A"/>
    <w:rsid w:val="00C55A1F"/>
    <w:rsid w:val="00C55A2C"/>
    <w:rsid w:val="00C55CC9"/>
    <w:rsid w:val="00C55D00"/>
    <w:rsid w:val="00C55D55"/>
    <w:rsid w:val="00C55E7F"/>
    <w:rsid w:val="00C55ED9"/>
    <w:rsid w:val="00C560AA"/>
    <w:rsid w:val="00C562E0"/>
    <w:rsid w:val="00C56EFC"/>
    <w:rsid w:val="00C57594"/>
    <w:rsid w:val="00C57A68"/>
    <w:rsid w:val="00C57A9D"/>
    <w:rsid w:val="00C60095"/>
    <w:rsid w:val="00C600BA"/>
    <w:rsid w:val="00C60184"/>
    <w:rsid w:val="00C601D3"/>
    <w:rsid w:val="00C60313"/>
    <w:rsid w:val="00C60676"/>
    <w:rsid w:val="00C60AAA"/>
    <w:rsid w:val="00C60B1C"/>
    <w:rsid w:val="00C60BBD"/>
    <w:rsid w:val="00C61057"/>
    <w:rsid w:val="00C61203"/>
    <w:rsid w:val="00C6147F"/>
    <w:rsid w:val="00C614F5"/>
    <w:rsid w:val="00C61571"/>
    <w:rsid w:val="00C61863"/>
    <w:rsid w:val="00C61E44"/>
    <w:rsid w:val="00C61EEC"/>
    <w:rsid w:val="00C61F69"/>
    <w:rsid w:val="00C6252D"/>
    <w:rsid w:val="00C62A2F"/>
    <w:rsid w:val="00C62AA8"/>
    <w:rsid w:val="00C62B4A"/>
    <w:rsid w:val="00C632DE"/>
    <w:rsid w:val="00C63CC4"/>
    <w:rsid w:val="00C65708"/>
    <w:rsid w:val="00C65F2B"/>
    <w:rsid w:val="00C66092"/>
    <w:rsid w:val="00C66DC8"/>
    <w:rsid w:val="00C6749F"/>
    <w:rsid w:val="00C67D69"/>
    <w:rsid w:val="00C703F4"/>
    <w:rsid w:val="00C70597"/>
    <w:rsid w:val="00C7093C"/>
    <w:rsid w:val="00C70AF1"/>
    <w:rsid w:val="00C70EAC"/>
    <w:rsid w:val="00C70FF1"/>
    <w:rsid w:val="00C71091"/>
    <w:rsid w:val="00C71203"/>
    <w:rsid w:val="00C71403"/>
    <w:rsid w:val="00C71796"/>
    <w:rsid w:val="00C719CC"/>
    <w:rsid w:val="00C71D0D"/>
    <w:rsid w:val="00C71D6A"/>
    <w:rsid w:val="00C722FC"/>
    <w:rsid w:val="00C72558"/>
    <w:rsid w:val="00C726D5"/>
    <w:rsid w:val="00C72B52"/>
    <w:rsid w:val="00C72C0F"/>
    <w:rsid w:val="00C72D5B"/>
    <w:rsid w:val="00C73147"/>
    <w:rsid w:val="00C73197"/>
    <w:rsid w:val="00C740BA"/>
    <w:rsid w:val="00C742C9"/>
    <w:rsid w:val="00C74680"/>
    <w:rsid w:val="00C74880"/>
    <w:rsid w:val="00C74C1B"/>
    <w:rsid w:val="00C751B0"/>
    <w:rsid w:val="00C751C2"/>
    <w:rsid w:val="00C758EE"/>
    <w:rsid w:val="00C75A0C"/>
    <w:rsid w:val="00C75C32"/>
    <w:rsid w:val="00C7659B"/>
    <w:rsid w:val="00C77030"/>
    <w:rsid w:val="00C772BC"/>
    <w:rsid w:val="00C772FD"/>
    <w:rsid w:val="00C77A1D"/>
    <w:rsid w:val="00C77BA1"/>
    <w:rsid w:val="00C77CE4"/>
    <w:rsid w:val="00C77D26"/>
    <w:rsid w:val="00C77FA2"/>
    <w:rsid w:val="00C801C5"/>
    <w:rsid w:val="00C803BF"/>
    <w:rsid w:val="00C805F4"/>
    <w:rsid w:val="00C8067F"/>
    <w:rsid w:val="00C81007"/>
    <w:rsid w:val="00C81107"/>
    <w:rsid w:val="00C8128B"/>
    <w:rsid w:val="00C816D9"/>
    <w:rsid w:val="00C81806"/>
    <w:rsid w:val="00C8183E"/>
    <w:rsid w:val="00C81FBC"/>
    <w:rsid w:val="00C820CA"/>
    <w:rsid w:val="00C82144"/>
    <w:rsid w:val="00C8231E"/>
    <w:rsid w:val="00C825ED"/>
    <w:rsid w:val="00C82BDD"/>
    <w:rsid w:val="00C82CEB"/>
    <w:rsid w:val="00C83084"/>
    <w:rsid w:val="00C8347C"/>
    <w:rsid w:val="00C8385D"/>
    <w:rsid w:val="00C838DE"/>
    <w:rsid w:val="00C83DEB"/>
    <w:rsid w:val="00C83E45"/>
    <w:rsid w:val="00C83E8E"/>
    <w:rsid w:val="00C843EB"/>
    <w:rsid w:val="00C84545"/>
    <w:rsid w:val="00C849ED"/>
    <w:rsid w:val="00C84A87"/>
    <w:rsid w:val="00C84D27"/>
    <w:rsid w:val="00C84DAE"/>
    <w:rsid w:val="00C84FAD"/>
    <w:rsid w:val="00C85110"/>
    <w:rsid w:val="00C85710"/>
    <w:rsid w:val="00C8588E"/>
    <w:rsid w:val="00C859F9"/>
    <w:rsid w:val="00C85B3E"/>
    <w:rsid w:val="00C86412"/>
    <w:rsid w:val="00C86AE5"/>
    <w:rsid w:val="00C874C6"/>
    <w:rsid w:val="00C87556"/>
    <w:rsid w:val="00C876B5"/>
    <w:rsid w:val="00C8787E"/>
    <w:rsid w:val="00C87918"/>
    <w:rsid w:val="00C87A15"/>
    <w:rsid w:val="00C90061"/>
    <w:rsid w:val="00C9039D"/>
    <w:rsid w:val="00C9040A"/>
    <w:rsid w:val="00C90545"/>
    <w:rsid w:val="00C9076B"/>
    <w:rsid w:val="00C90995"/>
    <w:rsid w:val="00C90A9D"/>
    <w:rsid w:val="00C90C2B"/>
    <w:rsid w:val="00C90EA0"/>
    <w:rsid w:val="00C90EA8"/>
    <w:rsid w:val="00C90F90"/>
    <w:rsid w:val="00C914E6"/>
    <w:rsid w:val="00C9153A"/>
    <w:rsid w:val="00C918FD"/>
    <w:rsid w:val="00C91C72"/>
    <w:rsid w:val="00C91E6B"/>
    <w:rsid w:val="00C91F9A"/>
    <w:rsid w:val="00C92345"/>
    <w:rsid w:val="00C9321D"/>
    <w:rsid w:val="00C93335"/>
    <w:rsid w:val="00C93A92"/>
    <w:rsid w:val="00C93B2D"/>
    <w:rsid w:val="00C93BBA"/>
    <w:rsid w:val="00C93CD4"/>
    <w:rsid w:val="00C93E37"/>
    <w:rsid w:val="00C94187"/>
    <w:rsid w:val="00C9449E"/>
    <w:rsid w:val="00C944CB"/>
    <w:rsid w:val="00C947DC"/>
    <w:rsid w:val="00C947F2"/>
    <w:rsid w:val="00C95043"/>
    <w:rsid w:val="00C9580F"/>
    <w:rsid w:val="00C95858"/>
    <w:rsid w:val="00C95ADC"/>
    <w:rsid w:val="00C975D8"/>
    <w:rsid w:val="00C97A0B"/>
    <w:rsid w:val="00C97EBD"/>
    <w:rsid w:val="00CA0771"/>
    <w:rsid w:val="00CA077F"/>
    <w:rsid w:val="00CA0811"/>
    <w:rsid w:val="00CA08BE"/>
    <w:rsid w:val="00CA0F22"/>
    <w:rsid w:val="00CA16FA"/>
    <w:rsid w:val="00CA1D0D"/>
    <w:rsid w:val="00CA1E84"/>
    <w:rsid w:val="00CA2022"/>
    <w:rsid w:val="00CA2141"/>
    <w:rsid w:val="00CA2352"/>
    <w:rsid w:val="00CA2540"/>
    <w:rsid w:val="00CA25A8"/>
    <w:rsid w:val="00CA2957"/>
    <w:rsid w:val="00CA2B64"/>
    <w:rsid w:val="00CA3076"/>
    <w:rsid w:val="00CA3416"/>
    <w:rsid w:val="00CA34B7"/>
    <w:rsid w:val="00CA359A"/>
    <w:rsid w:val="00CA3648"/>
    <w:rsid w:val="00CA3C2D"/>
    <w:rsid w:val="00CA3C83"/>
    <w:rsid w:val="00CA3F7F"/>
    <w:rsid w:val="00CA4185"/>
    <w:rsid w:val="00CA4857"/>
    <w:rsid w:val="00CA485B"/>
    <w:rsid w:val="00CA4925"/>
    <w:rsid w:val="00CA4F1D"/>
    <w:rsid w:val="00CA4F41"/>
    <w:rsid w:val="00CA51D9"/>
    <w:rsid w:val="00CA52FF"/>
    <w:rsid w:val="00CA59A8"/>
    <w:rsid w:val="00CA5C1F"/>
    <w:rsid w:val="00CA60F3"/>
    <w:rsid w:val="00CA6199"/>
    <w:rsid w:val="00CA6C38"/>
    <w:rsid w:val="00CA6E3C"/>
    <w:rsid w:val="00CA70C8"/>
    <w:rsid w:val="00CA70E8"/>
    <w:rsid w:val="00CA71F0"/>
    <w:rsid w:val="00CA7325"/>
    <w:rsid w:val="00CA7456"/>
    <w:rsid w:val="00CA74C6"/>
    <w:rsid w:val="00CB02C0"/>
    <w:rsid w:val="00CB0376"/>
    <w:rsid w:val="00CB0861"/>
    <w:rsid w:val="00CB08EC"/>
    <w:rsid w:val="00CB0A9F"/>
    <w:rsid w:val="00CB0B66"/>
    <w:rsid w:val="00CB0EE4"/>
    <w:rsid w:val="00CB13EC"/>
    <w:rsid w:val="00CB15B2"/>
    <w:rsid w:val="00CB169B"/>
    <w:rsid w:val="00CB1AD7"/>
    <w:rsid w:val="00CB2133"/>
    <w:rsid w:val="00CB2352"/>
    <w:rsid w:val="00CB2368"/>
    <w:rsid w:val="00CB27AA"/>
    <w:rsid w:val="00CB289F"/>
    <w:rsid w:val="00CB301D"/>
    <w:rsid w:val="00CB3059"/>
    <w:rsid w:val="00CB3147"/>
    <w:rsid w:val="00CB3765"/>
    <w:rsid w:val="00CB3F7F"/>
    <w:rsid w:val="00CB3F80"/>
    <w:rsid w:val="00CB403A"/>
    <w:rsid w:val="00CB4431"/>
    <w:rsid w:val="00CB4599"/>
    <w:rsid w:val="00CB4906"/>
    <w:rsid w:val="00CB5102"/>
    <w:rsid w:val="00CB5265"/>
    <w:rsid w:val="00CB59BB"/>
    <w:rsid w:val="00CB5C6D"/>
    <w:rsid w:val="00CB6040"/>
    <w:rsid w:val="00CB6539"/>
    <w:rsid w:val="00CB66F6"/>
    <w:rsid w:val="00CB6C4F"/>
    <w:rsid w:val="00CB6D75"/>
    <w:rsid w:val="00CB6D85"/>
    <w:rsid w:val="00CB7721"/>
    <w:rsid w:val="00CB7CE0"/>
    <w:rsid w:val="00CC02EF"/>
    <w:rsid w:val="00CC0504"/>
    <w:rsid w:val="00CC0945"/>
    <w:rsid w:val="00CC0E1E"/>
    <w:rsid w:val="00CC1BCE"/>
    <w:rsid w:val="00CC1D6D"/>
    <w:rsid w:val="00CC1DAA"/>
    <w:rsid w:val="00CC1E7A"/>
    <w:rsid w:val="00CC24E7"/>
    <w:rsid w:val="00CC25F2"/>
    <w:rsid w:val="00CC362C"/>
    <w:rsid w:val="00CC37E6"/>
    <w:rsid w:val="00CC3B71"/>
    <w:rsid w:val="00CC409D"/>
    <w:rsid w:val="00CC4737"/>
    <w:rsid w:val="00CC4871"/>
    <w:rsid w:val="00CC4EB4"/>
    <w:rsid w:val="00CC4FB1"/>
    <w:rsid w:val="00CC4FEF"/>
    <w:rsid w:val="00CC5101"/>
    <w:rsid w:val="00CC5304"/>
    <w:rsid w:val="00CC55BB"/>
    <w:rsid w:val="00CC5980"/>
    <w:rsid w:val="00CC59C0"/>
    <w:rsid w:val="00CC5DE8"/>
    <w:rsid w:val="00CC5E47"/>
    <w:rsid w:val="00CC62D8"/>
    <w:rsid w:val="00CC684C"/>
    <w:rsid w:val="00CC69ED"/>
    <w:rsid w:val="00CC69EF"/>
    <w:rsid w:val="00CC6C1B"/>
    <w:rsid w:val="00CC72F8"/>
    <w:rsid w:val="00CC7955"/>
    <w:rsid w:val="00CD04AD"/>
    <w:rsid w:val="00CD06F6"/>
    <w:rsid w:val="00CD0769"/>
    <w:rsid w:val="00CD0C33"/>
    <w:rsid w:val="00CD0E3F"/>
    <w:rsid w:val="00CD0F1E"/>
    <w:rsid w:val="00CD1602"/>
    <w:rsid w:val="00CD1771"/>
    <w:rsid w:val="00CD1EF2"/>
    <w:rsid w:val="00CD1F7E"/>
    <w:rsid w:val="00CD204A"/>
    <w:rsid w:val="00CD25F0"/>
    <w:rsid w:val="00CD29EE"/>
    <w:rsid w:val="00CD2A9A"/>
    <w:rsid w:val="00CD2B11"/>
    <w:rsid w:val="00CD2F1C"/>
    <w:rsid w:val="00CD3151"/>
    <w:rsid w:val="00CD3278"/>
    <w:rsid w:val="00CD3330"/>
    <w:rsid w:val="00CD33CE"/>
    <w:rsid w:val="00CD37F4"/>
    <w:rsid w:val="00CD3AF3"/>
    <w:rsid w:val="00CD3BB8"/>
    <w:rsid w:val="00CD3E02"/>
    <w:rsid w:val="00CD42D7"/>
    <w:rsid w:val="00CD4521"/>
    <w:rsid w:val="00CD48F3"/>
    <w:rsid w:val="00CD4C2E"/>
    <w:rsid w:val="00CD4C4C"/>
    <w:rsid w:val="00CD4E4E"/>
    <w:rsid w:val="00CD5107"/>
    <w:rsid w:val="00CD593B"/>
    <w:rsid w:val="00CD595A"/>
    <w:rsid w:val="00CD597B"/>
    <w:rsid w:val="00CD5993"/>
    <w:rsid w:val="00CD5A07"/>
    <w:rsid w:val="00CD5CD3"/>
    <w:rsid w:val="00CD6328"/>
    <w:rsid w:val="00CD6526"/>
    <w:rsid w:val="00CD66BC"/>
    <w:rsid w:val="00CD6D61"/>
    <w:rsid w:val="00CD738C"/>
    <w:rsid w:val="00CD7789"/>
    <w:rsid w:val="00CD7D5C"/>
    <w:rsid w:val="00CD7D69"/>
    <w:rsid w:val="00CE02E3"/>
    <w:rsid w:val="00CE03B2"/>
    <w:rsid w:val="00CE0761"/>
    <w:rsid w:val="00CE07C7"/>
    <w:rsid w:val="00CE1163"/>
    <w:rsid w:val="00CE129F"/>
    <w:rsid w:val="00CE136B"/>
    <w:rsid w:val="00CE1671"/>
    <w:rsid w:val="00CE16B6"/>
    <w:rsid w:val="00CE17E3"/>
    <w:rsid w:val="00CE1B99"/>
    <w:rsid w:val="00CE200E"/>
    <w:rsid w:val="00CE2293"/>
    <w:rsid w:val="00CE266B"/>
    <w:rsid w:val="00CE2877"/>
    <w:rsid w:val="00CE2ACD"/>
    <w:rsid w:val="00CE2F23"/>
    <w:rsid w:val="00CE3538"/>
    <w:rsid w:val="00CE35EE"/>
    <w:rsid w:val="00CE3B6B"/>
    <w:rsid w:val="00CE3B84"/>
    <w:rsid w:val="00CE3F5A"/>
    <w:rsid w:val="00CE442B"/>
    <w:rsid w:val="00CE46E4"/>
    <w:rsid w:val="00CE4CD7"/>
    <w:rsid w:val="00CE5028"/>
    <w:rsid w:val="00CE5CDB"/>
    <w:rsid w:val="00CE5E57"/>
    <w:rsid w:val="00CE64FC"/>
    <w:rsid w:val="00CE6692"/>
    <w:rsid w:val="00CE67C8"/>
    <w:rsid w:val="00CE6DC2"/>
    <w:rsid w:val="00CE7251"/>
    <w:rsid w:val="00CE78E6"/>
    <w:rsid w:val="00CE7B14"/>
    <w:rsid w:val="00CF0294"/>
    <w:rsid w:val="00CF04E1"/>
    <w:rsid w:val="00CF0501"/>
    <w:rsid w:val="00CF065E"/>
    <w:rsid w:val="00CF0BD7"/>
    <w:rsid w:val="00CF0DF4"/>
    <w:rsid w:val="00CF138F"/>
    <w:rsid w:val="00CF1AA6"/>
    <w:rsid w:val="00CF1C0F"/>
    <w:rsid w:val="00CF1DDD"/>
    <w:rsid w:val="00CF20A7"/>
    <w:rsid w:val="00CF216C"/>
    <w:rsid w:val="00CF228C"/>
    <w:rsid w:val="00CF22F6"/>
    <w:rsid w:val="00CF28D1"/>
    <w:rsid w:val="00CF2973"/>
    <w:rsid w:val="00CF2B16"/>
    <w:rsid w:val="00CF319D"/>
    <w:rsid w:val="00CF3941"/>
    <w:rsid w:val="00CF39C1"/>
    <w:rsid w:val="00CF469E"/>
    <w:rsid w:val="00CF4AC4"/>
    <w:rsid w:val="00CF4B39"/>
    <w:rsid w:val="00CF51C0"/>
    <w:rsid w:val="00CF593C"/>
    <w:rsid w:val="00CF5BD9"/>
    <w:rsid w:val="00CF5E9B"/>
    <w:rsid w:val="00CF635B"/>
    <w:rsid w:val="00CF645A"/>
    <w:rsid w:val="00CF67E3"/>
    <w:rsid w:val="00CF6AA1"/>
    <w:rsid w:val="00CF6E97"/>
    <w:rsid w:val="00CF6F4F"/>
    <w:rsid w:val="00CF7427"/>
    <w:rsid w:val="00CF74D7"/>
    <w:rsid w:val="00CF7620"/>
    <w:rsid w:val="00CF76D0"/>
    <w:rsid w:val="00CF7831"/>
    <w:rsid w:val="00CF7C08"/>
    <w:rsid w:val="00CF7C41"/>
    <w:rsid w:val="00D0022E"/>
    <w:rsid w:val="00D0038B"/>
    <w:rsid w:val="00D0049C"/>
    <w:rsid w:val="00D00A5A"/>
    <w:rsid w:val="00D0133E"/>
    <w:rsid w:val="00D01363"/>
    <w:rsid w:val="00D016FB"/>
    <w:rsid w:val="00D019AD"/>
    <w:rsid w:val="00D01FED"/>
    <w:rsid w:val="00D02090"/>
    <w:rsid w:val="00D026E9"/>
    <w:rsid w:val="00D02E37"/>
    <w:rsid w:val="00D02E54"/>
    <w:rsid w:val="00D02FF8"/>
    <w:rsid w:val="00D03229"/>
    <w:rsid w:val="00D03CE8"/>
    <w:rsid w:val="00D03F9C"/>
    <w:rsid w:val="00D0427E"/>
    <w:rsid w:val="00D0457A"/>
    <w:rsid w:val="00D046D2"/>
    <w:rsid w:val="00D0486F"/>
    <w:rsid w:val="00D04BA8"/>
    <w:rsid w:val="00D05036"/>
    <w:rsid w:val="00D055BC"/>
    <w:rsid w:val="00D0561C"/>
    <w:rsid w:val="00D059D2"/>
    <w:rsid w:val="00D05E89"/>
    <w:rsid w:val="00D061B2"/>
    <w:rsid w:val="00D06298"/>
    <w:rsid w:val="00D06E08"/>
    <w:rsid w:val="00D07294"/>
    <w:rsid w:val="00D07A73"/>
    <w:rsid w:val="00D1015F"/>
    <w:rsid w:val="00D10356"/>
    <w:rsid w:val="00D104C0"/>
    <w:rsid w:val="00D10D92"/>
    <w:rsid w:val="00D10E18"/>
    <w:rsid w:val="00D11617"/>
    <w:rsid w:val="00D116B0"/>
    <w:rsid w:val="00D11E5E"/>
    <w:rsid w:val="00D11E7F"/>
    <w:rsid w:val="00D12663"/>
    <w:rsid w:val="00D12C66"/>
    <w:rsid w:val="00D12DB2"/>
    <w:rsid w:val="00D13048"/>
    <w:rsid w:val="00D13227"/>
    <w:rsid w:val="00D1337D"/>
    <w:rsid w:val="00D133A7"/>
    <w:rsid w:val="00D13A09"/>
    <w:rsid w:val="00D13A5B"/>
    <w:rsid w:val="00D13D47"/>
    <w:rsid w:val="00D14160"/>
    <w:rsid w:val="00D14915"/>
    <w:rsid w:val="00D149DD"/>
    <w:rsid w:val="00D14A4B"/>
    <w:rsid w:val="00D14B51"/>
    <w:rsid w:val="00D14CAA"/>
    <w:rsid w:val="00D14F92"/>
    <w:rsid w:val="00D1519C"/>
    <w:rsid w:val="00D152FE"/>
    <w:rsid w:val="00D15747"/>
    <w:rsid w:val="00D15C0D"/>
    <w:rsid w:val="00D160FF"/>
    <w:rsid w:val="00D164B0"/>
    <w:rsid w:val="00D1658D"/>
    <w:rsid w:val="00D16A40"/>
    <w:rsid w:val="00D16A50"/>
    <w:rsid w:val="00D16D34"/>
    <w:rsid w:val="00D16EBA"/>
    <w:rsid w:val="00D179A9"/>
    <w:rsid w:val="00D17B46"/>
    <w:rsid w:val="00D20371"/>
    <w:rsid w:val="00D205A3"/>
    <w:rsid w:val="00D2083E"/>
    <w:rsid w:val="00D2095C"/>
    <w:rsid w:val="00D20AD1"/>
    <w:rsid w:val="00D21418"/>
    <w:rsid w:val="00D21849"/>
    <w:rsid w:val="00D21997"/>
    <w:rsid w:val="00D21EC7"/>
    <w:rsid w:val="00D22060"/>
    <w:rsid w:val="00D2217D"/>
    <w:rsid w:val="00D22563"/>
    <w:rsid w:val="00D22834"/>
    <w:rsid w:val="00D22A81"/>
    <w:rsid w:val="00D22E3F"/>
    <w:rsid w:val="00D2307F"/>
    <w:rsid w:val="00D233D8"/>
    <w:rsid w:val="00D2340F"/>
    <w:rsid w:val="00D237E3"/>
    <w:rsid w:val="00D23A25"/>
    <w:rsid w:val="00D23CC8"/>
    <w:rsid w:val="00D2413B"/>
    <w:rsid w:val="00D24817"/>
    <w:rsid w:val="00D24B12"/>
    <w:rsid w:val="00D24BAD"/>
    <w:rsid w:val="00D24C56"/>
    <w:rsid w:val="00D24FBE"/>
    <w:rsid w:val="00D25A6C"/>
    <w:rsid w:val="00D25B46"/>
    <w:rsid w:val="00D26278"/>
    <w:rsid w:val="00D263AF"/>
    <w:rsid w:val="00D265D2"/>
    <w:rsid w:val="00D26769"/>
    <w:rsid w:val="00D26A21"/>
    <w:rsid w:val="00D272CD"/>
    <w:rsid w:val="00D272D5"/>
    <w:rsid w:val="00D27371"/>
    <w:rsid w:val="00D277C8"/>
    <w:rsid w:val="00D27986"/>
    <w:rsid w:val="00D27E6C"/>
    <w:rsid w:val="00D27FF3"/>
    <w:rsid w:val="00D3088F"/>
    <w:rsid w:val="00D30994"/>
    <w:rsid w:val="00D30DB6"/>
    <w:rsid w:val="00D31078"/>
    <w:rsid w:val="00D313DF"/>
    <w:rsid w:val="00D3141E"/>
    <w:rsid w:val="00D315C4"/>
    <w:rsid w:val="00D319D0"/>
    <w:rsid w:val="00D31B9B"/>
    <w:rsid w:val="00D31DAD"/>
    <w:rsid w:val="00D321C7"/>
    <w:rsid w:val="00D32547"/>
    <w:rsid w:val="00D32753"/>
    <w:rsid w:val="00D32B56"/>
    <w:rsid w:val="00D32CDF"/>
    <w:rsid w:val="00D332EE"/>
    <w:rsid w:val="00D33A33"/>
    <w:rsid w:val="00D33BB0"/>
    <w:rsid w:val="00D33CA6"/>
    <w:rsid w:val="00D3441C"/>
    <w:rsid w:val="00D3454E"/>
    <w:rsid w:val="00D3459D"/>
    <w:rsid w:val="00D345DD"/>
    <w:rsid w:val="00D3472D"/>
    <w:rsid w:val="00D348E3"/>
    <w:rsid w:val="00D351DC"/>
    <w:rsid w:val="00D35706"/>
    <w:rsid w:val="00D35B10"/>
    <w:rsid w:val="00D35B2E"/>
    <w:rsid w:val="00D35C29"/>
    <w:rsid w:val="00D35CB0"/>
    <w:rsid w:val="00D35F06"/>
    <w:rsid w:val="00D360F2"/>
    <w:rsid w:val="00D3643A"/>
    <w:rsid w:val="00D36A9A"/>
    <w:rsid w:val="00D36CA5"/>
    <w:rsid w:val="00D37074"/>
    <w:rsid w:val="00D370B6"/>
    <w:rsid w:val="00D371B3"/>
    <w:rsid w:val="00D378C3"/>
    <w:rsid w:val="00D37AAF"/>
    <w:rsid w:val="00D37B95"/>
    <w:rsid w:val="00D37D4C"/>
    <w:rsid w:val="00D37D57"/>
    <w:rsid w:val="00D37E7F"/>
    <w:rsid w:val="00D40A83"/>
    <w:rsid w:val="00D40CB9"/>
    <w:rsid w:val="00D40DD6"/>
    <w:rsid w:val="00D41395"/>
    <w:rsid w:val="00D41D54"/>
    <w:rsid w:val="00D42680"/>
    <w:rsid w:val="00D429D9"/>
    <w:rsid w:val="00D432EF"/>
    <w:rsid w:val="00D435B7"/>
    <w:rsid w:val="00D43C7D"/>
    <w:rsid w:val="00D43C89"/>
    <w:rsid w:val="00D43F13"/>
    <w:rsid w:val="00D43F2D"/>
    <w:rsid w:val="00D44180"/>
    <w:rsid w:val="00D4454B"/>
    <w:rsid w:val="00D448AC"/>
    <w:rsid w:val="00D448AD"/>
    <w:rsid w:val="00D449A6"/>
    <w:rsid w:val="00D44A1C"/>
    <w:rsid w:val="00D44B6A"/>
    <w:rsid w:val="00D45425"/>
    <w:rsid w:val="00D455C1"/>
    <w:rsid w:val="00D45C53"/>
    <w:rsid w:val="00D45D45"/>
    <w:rsid w:val="00D45E46"/>
    <w:rsid w:val="00D461C1"/>
    <w:rsid w:val="00D46249"/>
    <w:rsid w:val="00D464CA"/>
    <w:rsid w:val="00D4684A"/>
    <w:rsid w:val="00D468C9"/>
    <w:rsid w:val="00D4699C"/>
    <w:rsid w:val="00D46C13"/>
    <w:rsid w:val="00D4738F"/>
    <w:rsid w:val="00D477E8"/>
    <w:rsid w:val="00D4794B"/>
    <w:rsid w:val="00D47AEB"/>
    <w:rsid w:val="00D47B41"/>
    <w:rsid w:val="00D47BDB"/>
    <w:rsid w:val="00D47C43"/>
    <w:rsid w:val="00D50158"/>
    <w:rsid w:val="00D50576"/>
    <w:rsid w:val="00D505C4"/>
    <w:rsid w:val="00D506BC"/>
    <w:rsid w:val="00D507FB"/>
    <w:rsid w:val="00D50E2C"/>
    <w:rsid w:val="00D51316"/>
    <w:rsid w:val="00D5131B"/>
    <w:rsid w:val="00D513CD"/>
    <w:rsid w:val="00D51802"/>
    <w:rsid w:val="00D519DD"/>
    <w:rsid w:val="00D51D8B"/>
    <w:rsid w:val="00D51E53"/>
    <w:rsid w:val="00D51F88"/>
    <w:rsid w:val="00D5250E"/>
    <w:rsid w:val="00D52543"/>
    <w:rsid w:val="00D5257F"/>
    <w:rsid w:val="00D525FF"/>
    <w:rsid w:val="00D52818"/>
    <w:rsid w:val="00D52968"/>
    <w:rsid w:val="00D52AAC"/>
    <w:rsid w:val="00D52C13"/>
    <w:rsid w:val="00D53172"/>
    <w:rsid w:val="00D531B1"/>
    <w:rsid w:val="00D53797"/>
    <w:rsid w:val="00D53954"/>
    <w:rsid w:val="00D53A2C"/>
    <w:rsid w:val="00D53E5C"/>
    <w:rsid w:val="00D541FF"/>
    <w:rsid w:val="00D5443A"/>
    <w:rsid w:val="00D54EC4"/>
    <w:rsid w:val="00D55320"/>
    <w:rsid w:val="00D55708"/>
    <w:rsid w:val="00D559AB"/>
    <w:rsid w:val="00D55BAA"/>
    <w:rsid w:val="00D55D45"/>
    <w:rsid w:val="00D55E07"/>
    <w:rsid w:val="00D55E72"/>
    <w:rsid w:val="00D55EF4"/>
    <w:rsid w:val="00D56736"/>
    <w:rsid w:val="00D56C0E"/>
    <w:rsid w:val="00D56ED5"/>
    <w:rsid w:val="00D571B0"/>
    <w:rsid w:val="00D571F1"/>
    <w:rsid w:val="00D57E45"/>
    <w:rsid w:val="00D601CF"/>
    <w:rsid w:val="00D605C5"/>
    <w:rsid w:val="00D60718"/>
    <w:rsid w:val="00D60736"/>
    <w:rsid w:val="00D607ED"/>
    <w:rsid w:val="00D60D3E"/>
    <w:rsid w:val="00D60D9A"/>
    <w:rsid w:val="00D60E9F"/>
    <w:rsid w:val="00D61F90"/>
    <w:rsid w:val="00D626EA"/>
    <w:rsid w:val="00D629C8"/>
    <w:rsid w:val="00D629CB"/>
    <w:rsid w:val="00D62EDE"/>
    <w:rsid w:val="00D62EFE"/>
    <w:rsid w:val="00D639E7"/>
    <w:rsid w:val="00D63BE6"/>
    <w:rsid w:val="00D63D84"/>
    <w:rsid w:val="00D63EAA"/>
    <w:rsid w:val="00D6412F"/>
    <w:rsid w:val="00D64799"/>
    <w:rsid w:val="00D64A84"/>
    <w:rsid w:val="00D64AA1"/>
    <w:rsid w:val="00D64D79"/>
    <w:rsid w:val="00D64EBE"/>
    <w:rsid w:val="00D65221"/>
    <w:rsid w:val="00D65266"/>
    <w:rsid w:val="00D65359"/>
    <w:rsid w:val="00D65742"/>
    <w:rsid w:val="00D65751"/>
    <w:rsid w:val="00D658AA"/>
    <w:rsid w:val="00D65A88"/>
    <w:rsid w:val="00D65B34"/>
    <w:rsid w:val="00D661DB"/>
    <w:rsid w:val="00D661F3"/>
    <w:rsid w:val="00D66588"/>
    <w:rsid w:val="00D667C4"/>
    <w:rsid w:val="00D66B6A"/>
    <w:rsid w:val="00D66DA2"/>
    <w:rsid w:val="00D66F7C"/>
    <w:rsid w:val="00D67187"/>
    <w:rsid w:val="00D671F7"/>
    <w:rsid w:val="00D67F74"/>
    <w:rsid w:val="00D7017D"/>
    <w:rsid w:val="00D70A80"/>
    <w:rsid w:val="00D70C5D"/>
    <w:rsid w:val="00D70DD0"/>
    <w:rsid w:val="00D70FAB"/>
    <w:rsid w:val="00D7107D"/>
    <w:rsid w:val="00D71477"/>
    <w:rsid w:val="00D7181C"/>
    <w:rsid w:val="00D72776"/>
    <w:rsid w:val="00D728C8"/>
    <w:rsid w:val="00D72BFA"/>
    <w:rsid w:val="00D72DA6"/>
    <w:rsid w:val="00D72DB7"/>
    <w:rsid w:val="00D732CB"/>
    <w:rsid w:val="00D7332C"/>
    <w:rsid w:val="00D7362F"/>
    <w:rsid w:val="00D73674"/>
    <w:rsid w:val="00D73682"/>
    <w:rsid w:val="00D73E91"/>
    <w:rsid w:val="00D73F46"/>
    <w:rsid w:val="00D73F71"/>
    <w:rsid w:val="00D74137"/>
    <w:rsid w:val="00D742FB"/>
    <w:rsid w:val="00D7441F"/>
    <w:rsid w:val="00D7457E"/>
    <w:rsid w:val="00D74744"/>
    <w:rsid w:val="00D74777"/>
    <w:rsid w:val="00D74945"/>
    <w:rsid w:val="00D74E5E"/>
    <w:rsid w:val="00D750A0"/>
    <w:rsid w:val="00D7511E"/>
    <w:rsid w:val="00D758C5"/>
    <w:rsid w:val="00D758DE"/>
    <w:rsid w:val="00D76128"/>
    <w:rsid w:val="00D762B4"/>
    <w:rsid w:val="00D7681C"/>
    <w:rsid w:val="00D769E5"/>
    <w:rsid w:val="00D76D76"/>
    <w:rsid w:val="00D76FDD"/>
    <w:rsid w:val="00D772B9"/>
    <w:rsid w:val="00D775D2"/>
    <w:rsid w:val="00D77D29"/>
    <w:rsid w:val="00D77D61"/>
    <w:rsid w:val="00D77EA9"/>
    <w:rsid w:val="00D77ED7"/>
    <w:rsid w:val="00D80169"/>
    <w:rsid w:val="00D80431"/>
    <w:rsid w:val="00D804DD"/>
    <w:rsid w:val="00D80597"/>
    <w:rsid w:val="00D80687"/>
    <w:rsid w:val="00D80807"/>
    <w:rsid w:val="00D8087A"/>
    <w:rsid w:val="00D809A6"/>
    <w:rsid w:val="00D80A05"/>
    <w:rsid w:val="00D81327"/>
    <w:rsid w:val="00D81384"/>
    <w:rsid w:val="00D81966"/>
    <w:rsid w:val="00D81B9C"/>
    <w:rsid w:val="00D823C3"/>
    <w:rsid w:val="00D83230"/>
    <w:rsid w:val="00D83511"/>
    <w:rsid w:val="00D8389B"/>
    <w:rsid w:val="00D83F9A"/>
    <w:rsid w:val="00D842D1"/>
    <w:rsid w:val="00D84661"/>
    <w:rsid w:val="00D84E8A"/>
    <w:rsid w:val="00D84F00"/>
    <w:rsid w:val="00D84F95"/>
    <w:rsid w:val="00D852CB"/>
    <w:rsid w:val="00D85403"/>
    <w:rsid w:val="00D85B3B"/>
    <w:rsid w:val="00D86AB7"/>
    <w:rsid w:val="00D86B43"/>
    <w:rsid w:val="00D86CAD"/>
    <w:rsid w:val="00D870ED"/>
    <w:rsid w:val="00D87D82"/>
    <w:rsid w:val="00D87DCE"/>
    <w:rsid w:val="00D90B51"/>
    <w:rsid w:val="00D90CE9"/>
    <w:rsid w:val="00D90FA2"/>
    <w:rsid w:val="00D9100D"/>
    <w:rsid w:val="00D919C0"/>
    <w:rsid w:val="00D92164"/>
    <w:rsid w:val="00D921B2"/>
    <w:rsid w:val="00D9288B"/>
    <w:rsid w:val="00D93524"/>
    <w:rsid w:val="00D93799"/>
    <w:rsid w:val="00D93B14"/>
    <w:rsid w:val="00D93FAE"/>
    <w:rsid w:val="00D941DA"/>
    <w:rsid w:val="00D94223"/>
    <w:rsid w:val="00D94C8B"/>
    <w:rsid w:val="00D9545D"/>
    <w:rsid w:val="00D95DE1"/>
    <w:rsid w:val="00D95F41"/>
    <w:rsid w:val="00D9658F"/>
    <w:rsid w:val="00D969D7"/>
    <w:rsid w:val="00D97C7B"/>
    <w:rsid w:val="00D97FDB"/>
    <w:rsid w:val="00DA07AF"/>
    <w:rsid w:val="00DA083E"/>
    <w:rsid w:val="00DA08DC"/>
    <w:rsid w:val="00DA0932"/>
    <w:rsid w:val="00DA0D27"/>
    <w:rsid w:val="00DA0EC1"/>
    <w:rsid w:val="00DA1564"/>
    <w:rsid w:val="00DA1676"/>
    <w:rsid w:val="00DA256B"/>
    <w:rsid w:val="00DA28C3"/>
    <w:rsid w:val="00DA2F1E"/>
    <w:rsid w:val="00DA309A"/>
    <w:rsid w:val="00DA320C"/>
    <w:rsid w:val="00DA3AC0"/>
    <w:rsid w:val="00DA4DC0"/>
    <w:rsid w:val="00DA4DF4"/>
    <w:rsid w:val="00DA4E8F"/>
    <w:rsid w:val="00DA4F20"/>
    <w:rsid w:val="00DA5083"/>
    <w:rsid w:val="00DA54B1"/>
    <w:rsid w:val="00DA5524"/>
    <w:rsid w:val="00DA5654"/>
    <w:rsid w:val="00DA565A"/>
    <w:rsid w:val="00DA5F4B"/>
    <w:rsid w:val="00DA6A4A"/>
    <w:rsid w:val="00DA6A4B"/>
    <w:rsid w:val="00DA6F7D"/>
    <w:rsid w:val="00DA6F9E"/>
    <w:rsid w:val="00DA6FCA"/>
    <w:rsid w:val="00DA7083"/>
    <w:rsid w:val="00DA7C31"/>
    <w:rsid w:val="00DB02AC"/>
    <w:rsid w:val="00DB0386"/>
    <w:rsid w:val="00DB058F"/>
    <w:rsid w:val="00DB0D8D"/>
    <w:rsid w:val="00DB11BA"/>
    <w:rsid w:val="00DB1675"/>
    <w:rsid w:val="00DB185D"/>
    <w:rsid w:val="00DB1BCA"/>
    <w:rsid w:val="00DB2237"/>
    <w:rsid w:val="00DB22A8"/>
    <w:rsid w:val="00DB2E16"/>
    <w:rsid w:val="00DB3752"/>
    <w:rsid w:val="00DB3873"/>
    <w:rsid w:val="00DB4071"/>
    <w:rsid w:val="00DB40BE"/>
    <w:rsid w:val="00DB411D"/>
    <w:rsid w:val="00DB415A"/>
    <w:rsid w:val="00DB448C"/>
    <w:rsid w:val="00DB44FB"/>
    <w:rsid w:val="00DB46E1"/>
    <w:rsid w:val="00DB477C"/>
    <w:rsid w:val="00DB4814"/>
    <w:rsid w:val="00DB4B37"/>
    <w:rsid w:val="00DB4C9B"/>
    <w:rsid w:val="00DB53CA"/>
    <w:rsid w:val="00DB54DC"/>
    <w:rsid w:val="00DB56BC"/>
    <w:rsid w:val="00DB57B5"/>
    <w:rsid w:val="00DB5C11"/>
    <w:rsid w:val="00DB61FA"/>
    <w:rsid w:val="00DB6B54"/>
    <w:rsid w:val="00DB7079"/>
    <w:rsid w:val="00DB722F"/>
    <w:rsid w:val="00DB72AF"/>
    <w:rsid w:val="00DB7429"/>
    <w:rsid w:val="00DB7772"/>
    <w:rsid w:val="00DB7A57"/>
    <w:rsid w:val="00DB7C10"/>
    <w:rsid w:val="00DC0033"/>
    <w:rsid w:val="00DC029C"/>
    <w:rsid w:val="00DC0362"/>
    <w:rsid w:val="00DC093E"/>
    <w:rsid w:val="00DC0D3E"/>
    <w:rsid w:val="00DC1DA1"/>
    <w:rsid w:val="00DC1F9B"/>
    <w:rsid w:val="00DC229A"/>
    <w:rsid w:val="00DC230F"/>
    <w:rsid w:val="00DC2389"/>
    <w:rsid w:val="00DC26D9"/>
    <w:rsid w:val="00DC2A5A"/>
    <w:rsid w:val="00DC2E0E"/>
    <w:rsid w:val="00DC302C"/>
    <w:rsid w:val="00DC30E3"/>
    <w:rsid w:val="00DC32BD"/>
    <w:rsid w:val="00DC3758"/>
    <w:rsid w:val="00DC37CF"/>
    <w:rsid w:val="00DC3CAF"/>
    <w:rsid w:val="00DC425F"/>
    <w:rsid w:val="00DC4476"/>
    <w:rsid w:val="00DC4597"/>
    <w:rsid w:val="00DC48CE"/>
    <w:rsid w:val="00DC4B41"/>
    <w:rsid w:val="00DC4D68"/>
    <w:rsid w:val="00DC4E6C"/>
    <w:rsid w:val="00DC52FD"/>
    <w:rsid w:val="00DC55C2"/>
    <w:rsid w:val="00DC5BE5"/>
    <w:rsid w:val="00DC5D7B"/>
    <w:rsid w:val="00DC685E"/>
    <w:rsid w:val="00DC6CA4"/>
    <w:rsid w:val="00DC7528"/>
    <w:rsid w:val="00DC7AEC"/>
    <w:rsid w:val="00DC7EB8"/>
    <w:rsid w:val="00DD003E"/>
    <w:rsid w:val="00DD0351"/>
    <w:rsid w:val="00DD0407"/>
    <w:rsid w:val="00DD0695"/>
    <w:rsid w:val="00DD07EE"/>
    <w:rsid w:val="00DD0A6B"/>
    <w:rsid w:val="00DD181E"/>
    <w:rsid w:val="00DD1824"/>
    <w:rsid w:val="00DD1D29"/>
    <w:rsid w:val="00DD201A"/>
    <w:rsid w:val="00DD2185"/>
    <w:rsid w:val="00DD2794"/>
    <w:rsid w:val="00DD2AD5"/>
    <w:rsid w:val="00DD2B0D"/>
    <w:rsid w:val="00DD2E4C"/>
    <w:rsid w:val="00DD2EF4"/>
    <w:rsid w:val="00DD331A"/>
    <w:rsid w:val="00DD3CFC"/>
    <w:rsid w:val="00DD3D0B"/>
    <w:rsid w:val="00DD3D22"/>
    <w:rsid w:val="00DD3D8A"/>
    <w:rsid w:val="00DD4032"/>
    <w:rsid w:val="00DD4569"/>
    <w:rsid w:val="00DD469F"/>
    <w:rsid w:val="00DD46BB"/>
    <w:rsid w:val="00DD4835"/>
    <w:rsid w:val="00DD483F"/>
    <w:rsid w:val="00DD4CFE"/>
    <w:rsid w:val="00DD4ED0"/>
    <w:rsid w:val="00DD4F16"/>
    <w:rsid w:val="00DD5157"/>
    <w:rsid w:val="00DD5158"/>
    <w:rsid w:val="00DD523B"/>
    <w:rsid w:val="00DD5291"/>
    <w:rsid w:val="00DD585A"/>
    <w:rsid w:val="00DD5C59"/>
    <w:rsid w:val="00DD5D71"/>
    <w:rsid w:val="00DD5FA2"/>
    <w:rsid w:val="00DD60D0"/>
    <w:rsid w:val="00DD60EB"/>
    <w:rsid w:val="00DD671D"/>
    <w:rsid w:val="00DD6D14"/>
    <w:rsid w:val="00DD703F"/>
    <w:rsid w:val="00DD72AA"/>
    <w:rsid w:val="00DD76C4"/>
    <w:rsid w:val="00DD783A"/>
    <w:rsid w:val="00DD7917"/>
    <w:rsid w:val="00DD7923"/>
    <w:rsid w:val="00DD7977"/>
    <w:rsid w:val="00DD7B9A"/>
    <w:rsid w:val="00DD7E3E"/>
    <w:rsid w:val="00DD7EC7"/>
    <w:rsid w:val="00DE0658"/>
    <w:rsid w:val="00DE0E64"/>
    <w:rsid w:val="00DE115E"/>
    <w:rsid w:val="00DE11CF"/>
    <w:rsid w:val="00DE17EE"/>
    <w:rsid w:val="00DE19FE"/>
    <w:rsid w:val="00DE1CD9"/>
    <w:rsid w:val="00DE226F"/>
    <w:rsid w:val="00DE2801"/>
    <w:rsid w:val="00DE2994"/>
    <w:rsid w:val="00DE2B6F"/>
    <w:rsid w:val="00DE2DA4"/>
    <w:rsid w:val="00DE346E"/>
    <w:rsid w:val="00DE391D"/>
    <w:rsid w:val="00DE3A9D"/>
    <w:rsid w:val="00DE3CD3"/>
    <w:rsid w:val="00DE3D36"/>
    <w:rsid w:val="00DE4045"/>
    <w:rsid w:val="00DE4577"/>
    <w:rsid w:val="00DE5069"/>
    <w:rsid w:val="00DE5AA9"/>
    <w:rsid w:val="00DE5F64"/>
    <w:rsid w:val="00DE6066"/>
    <w:rsid w:val="00DE616F"/>
    <w:rsid w:val="00DE63FE"/>
    <w:rsid w:val="00DE6986"/>
    <w:rsid w:val="00DE6A3B"/>
    <w:rsid w:val="00DE6CC8"/>
    <w:rsid w:val="00DE6FD6"/>
    <w:rsid w:val="00DE70EA"/>
    <w:rsid w:val="00DE7197"/>
    <w:rsid w:val="00DE71D4"/>
    <w:rsid w:val="00DE7452"/>
    <w:rsid w:val="00DE780F"/>
    <w:rsid w:val="00DF003D"/>
    <w:rsid w:val="00DF01ED"/>
    <w:rsid w:val="00DF0932"/>
    <w:rsid w:val="00DF0B12"/>
    <w:rsid w:val="00DF0D30"/>
    <w:rsid w:val="00DF106F"/>
    <w:rsid w:val="00DF1AD7"/>
    <w:rsid w:val="00DF1B42"/>
    <w:rsid w:val="00DF1BB1"/>
    <w:rsid w:val="00DF1FD9"/>
    <w:rsid w:val="00DF255F"/>
    <w:rsid w:val="00DF26D5"/>
    <w:rsid w:val="00DF29FA"/>
    <w:rsid w:val="00DF29FE"/>
    <w:rsid w:val="00DF2FAD"/>
    <w:rsid w:val="00DF309E"/>
    <w:rsid w:val="00DF3712"/>
    <w:rsid w:val="00DF388E"/>
    <w:rsid w:val="00DF389D"/>
    <w:rsid w:val="00DF3F57"/>
    <w:rsid w:val="00DF408C"/>
    <w:rsid w:val="00DF4178"/>
    <w:rsid w:val="00DF45FB"/>
    <w:rsid w:val="00DF4691"/>
    <w:rsid w:val="00DF475C"/>
    <w:rsid w:val="00DF49A1"/>
    <w:rsid w:val="00DF4D9D"/>
    <w:rsid w:val="00DF4FBA"/>
    <w:rsid w:val="00DF517A"/>
    <w:rsid w:val="00DF588D"/>
    <w:rsid w:val="00DF5CD2"/>
    <w:rsid w:val="00DF5D0F"/>
    <w:rsid w:val="00DF61E7"/>
    <w:rsid w:val="00DF634E"/>
    <w:rsid w:val="00DF64B2"/>
    <w:rsid w:val="00DF6797"/>
    <w:rsid w:val="00DF68E0"/>
    <w:rsid w:val="00DF697B"/>
    <w:rsid w:val="00DF6C93"/>
    <w:rsid w:val="00DF6E74"/>
    <w:rsid w:val="00DF70F7"/>
    <w:rsid w:val="00DF710E"/>
    <w:rsid w:val="00DF7185"/>
    <w:rsid w:val="00DF73C8"/>
    <w:rsid w:val="00DF7700"/>
    <w:rsid w:val="00DF7F2D"/>
    <w:rsid w:val="00E00652"/>
    <w:rsid w:val="00E010E0"/>
    <w:rsid w:val="00E012C3"/>
    <w:rsid w:val="00E02350"/>
    <w:rsid w:val="00E028D3"/>
    <w:rsid w:val="00E02F34"/>
    <w:rsid w:val="00E0313C"/>
    <w:rsid w:val="00E03203"/>
    <w:rsid w:val="00E0336D"/>
    <w:rsid w:val="00E035B4"/>
    <w:rsid w:val="00E03A03"/>
    <w:rsid w:val="00E03A75"/>
    <w:rsid w:val="00E03B59"/>
    <w:rsid w:val="00E03D29"/>
    <w:rsid w:val="00E03FBA"/>
    <w:rsid w:val="00E04096"/>
    <w:rsid w:val="00E04293"/>
    <w:rsid w:val="00E04313"/>
    <w:rsid w:val="00E043CE"/>
    <w:rsid w:val="00E048FA"/>
    <w:rsid w:val="00E04985"/>
    <w:rsid w:val="00E04CA6"/>
    <w:rsid w:val="00E04CAB"/>
    <w:rsid w:val="00E055F4"/>
    <w:rsid w:val="00E05685"/>
    <w:rsid w:val="00E0574F"/>
    <w:rsid w:val="00E063F3"/>
    <w:rsid w:val="00E0658E"/>
    <w:rsid w:val="00E0697E"/>
    <w:rsid w:val="00E06A72"/>
    <w:rsid w:val="00E06D58"/>
    <w:rsid w:val="00E07706"/>
    <w:rsid w:val="00E07B48"/>
    <w:rsid w:val="00E07EC3"/>
    <w:rsid w:val="00E10047"/>
    <w:rsid w:val="00E10708"/>
    <w:rsid w:val="00E10846"/>
    <w:rsid w:val="00E10E95"/>
    <w:rsid w:val="00E1125C"/>
    <w:rsid w:val="00E115F2"/>
    <w:rsid w:val="00E11B51"/>
    <w:rsid w:val="00E11EF2"/>
    <w:rsid w:val="00E12121"/>
    <w:rsid w:val="00E12132"/>
    <w:rsid w:val="00E123C7"/>
    <w:rsid w:val="00E12853"/>
    <w:rsid w:val="00E12A65"/>
    <w:rsid w:val="00E12B90"/>
    <w:rsid w:val="00E12FD6"/>
    <w:rsid w:val="00E1302A"/>
    <w:rsid w:val="00E133DF"/>
    <w:rsid w:val="00E13607"/>
    <w:rsid w:val="00E13837"/>
    <w:rsid w:val="00E13910"/>
    <w:rsid w:val="00E13AA6"/>
    <w:rsid w:val="00E13D9E"/>
    <w:rsid w:val="00E144D7"/>
    <w:rsid w:val="00E144F9"/>
    <w:rsid w:val="00E14CFA"/>
    <w:rsid w:val="00E14F5C"/>
    <w:rsid w:val="00E1521B"/>
    <w:rsid w:val="00E1560C"/>
    <w:rsid w:val="00E156E6"/>
    <w:rsid w:val="00E157D5"/>
    <w:rsid w:val="00E15A53"/>
    <w:rsid w:val="00E15D1C"/>
    <w:rsid w:val="00E16079"/>
    <w:rsid w:val="00E16247"/>
    <w:rsid w:val="00E16339"/>
    <w:rsid w:val="00E1661B"/>
    <w:rsid w:val="00E16706"/>
    <w:rsid w:val="00E1692D"/>
    <w:rsid w:val="00E16B40"/>
    <w:rsid w:val="00E16B46"/>
    <w:rsid w:val="00E16B74"/>
    <w:rsid w:val="00E16C45"/>
    <w:rsid w:val="00E16C67"/>
    <w:rsid w:val="00E176BC"/>
    <w:rsid w:val="00E17949"/>
    <w:rsid w:val="00E17FF7"/>
    <w:rsid w:val="00E20021"/>
    <w:rsid w:val="00E20924"/>
    <w:rsid w:val="00E20F02"/>
    <w:rsid w:val="00E20F29"/>
    <w:rsid w:val="00E21073"/>
    <w:rsid w:val="00E2124D"/>
    <w:rsid w:val="00E21475"/>
    <w:rsid w:val="00E21C19"/>
    <w:rsid w:val="00E22019"/>
    <w:rsid w:val="00E22685"/>
    <w:rsid w:val="00E229EC"/>
    <w:rsid w:val="00E22A93"/>
    <w:rsid w:val="00E22DB6"/>
    <w:rsid w:val="00E22E6C"/>
    <w:rsid w:val="00E23041"/>
    <w:rsid w:val="00E2340F"/>
    <w:rsid w:val="00E23AFF"/>
    <w:rsid w:val="00E23F6C"/>
    <w:rsid w:val="00E242D3"/>
    <w:rsid w:val="00E24373"/>
    <w:rsid w:val="00E24680"/>
    <w:rsid w:val="00E24725"/>
    <w:rsid w:val="00E2497A"/>
    <w:rsid w:val="00E24A65"/>
    <w:rsid w:val="00E2515B"/>
    <w:rsid w:val="00E253D7"/>
    <w:rsid w:val="00E259B9"/>
    <w:rsid w:val="00E25E76"/>
    <w:rsid w:val="00E25F17"/>
    <w:rsid w:val="00E2673A"/>
    <w:rsid w:val="00E26A24"/>
    <w:rsid w:val="00E26CC3"/>
    <w:rsid w:val="00E27210"/>
    <w:rsid w:val="00E27520"/>
    <w:rsid w:val="00E2769F"/>
    <w:rsid w:val="00E27AE4"/>
    <w:rsid w:val="00E27C2F"/>
    <w:rsid w:val="00E3005E"/>
    <w:rsid w:val="00E3047F"/>
    <w:rsid w:val="00E30520"/>
    <w:rsid w:val="00E30D08"/>
    <w:rsid w:val="00E3107E"/>
    <w:rsid w:val="00E3114A"/>
    <w:rsid w:val="00E315A7"/>
    <w:rsid w:val="00E31796"/>
    <w:rsid w:val="00E3181F"/>
    <w:rsid w:val="00E31E46"/>
    <w:rsid w:val="00E31EAF"/>
    <w:rsid w:val="00E31F3C"/>
    <w:rsid w:val="00E3200C"/>
    <w:rsid w:val="00E32188"/>
    <w:rsid w:val="00E323B8"/>
    <w:rsid w:val="00E329FB"/>
    <w:rsid w:val="00E32A2C"/>
    <w:rsid w:val="00E32AD0"/>
    <w:rsid w:val="00E32B09"/>
    <w:rsid w:val="00E33896"/>
    <w:rsid w:val="00E33A9A"/>
    <w:rsid w:val="00E34933"/>
    <w:rsid w:val="00E3496E"/>
    <w:rsid w:val="00E34CE4"/>
    <w:rsid w:val="00E34DE6"/>
    <w:rsid w:val="00E355E9"/>
    <w:rsid w:val="00E3580E"/>
    <w:rsid w:val="00E3583A"/>
    <w:rsid w:val="00E35BBA"/>
    <w:rsid w:val="00E360C7"/>
    <w:rsid w:val="00E361AF"/>
    <w:rsid w:val="00E365D7"/>
    <w:rsid w:val="00E36914"/>
    <w:rsid w:val="00E372E3"/>
    <w:rsid w:val="00E3734C"/>
    <w:rsid w:val="00E373DC"/>
    <w:rsid w:val="00E3740B"/>
    <w:rsid w:val="00E376DA"/>
    <w:rsid w:val="00E3774E"/>
    <w:rsid w:val="00E37C56"/>
    <w:rsid w:val="00E37CC2"/>
    <w:rsid w:val="00E37F0F"/>
    <w:rsid w:val="00E40990"/>
    <w:rsid w:val="00E40F5A"/>
    <w:rsid w:val="00E414C2"/>
    <w:rsid w:val="00E41D87"/>
    <w:rsid w:val="00E42072"/>
    <w:rsid w:val="00E42A3B"/>
    <w:rsid w:val="00E43019"/>
    <w:rsid w:val="00E43198"/>
    <w:rsid w:val="00E43241"/>
    <w:rsid w:val="00E43319"/>
    <w:rsid w:val="00E433DE"/>
    <w:rsid w:val="00E4368F"/>
    <w:rsid w:val="00E4373C"/>
    <w:rsid w:val="00E43788"/>
    <w:rsid w:val="00E43809"/>
    <w:rsid w:val="00E43B0B"/>
    <w:rsid w:val="00E44837"/>
    <w:rsid w:val="00E45059"/>
    <w:rsid w:val="00E451B2"/>
    <w:rsid w:val="00E456A5"/>
    <w:rsid w:val="00E45BAE"/>
    <w:rsid w:val="00E45D7B"/>
    <w:rsid w:val="00E4640C"/>
    <w:rsid w:val="00E467A0"/>
    <w:rsid w:val="00E46F6A"/>
    <w:rsid w:val="00E4706F"/>
    <w:rsid w:val="00E475D3"/>
    <w:rsid w:val="00E47698"/>
    <w:rsid w:val="00E47ADD"/>
    <w:rsid w:val="00E5021C"/>
    <w:rsid w:val="00E50348"/>
    <w:rsid w:val="00E50536"/>
    <w:rsid w:val="00E50A09"/>
    <w:rsid w:val="00E50B2E"/>
    <w:rsid w:val="00E50F9B"/>
    <w:rsid w:val="00E512A7"/>
    <w:rsid w:val="00E51597"/>
    <w:rsid w:val="00E5192F"/>
    <w:rsid w:val="00E52050"/>
    <w:rsid w:val="00E52887"/>
    <w:rsid w:val="00E52A7E"/>
    <w:rsid w:val="00E52D16"/>
    <w:rsid w:val="00E52E8A"/>
    <w:rsid w:val="00E52EFB"/>
    <w:rsid w:val="00E53278"/>
    <w:rsid w:val="00E537EC"/>
    <w:rsid w:val="00E53A48"/>
    <w:rsid w:val="00E5405A"/>
    <w:rsid w:val="00E5447F"/>
    <w:rsid w:val="00E54676"/>
    <w:rsid w:val="00E548D6"/>
    <w:rsid w:val="00E54A8C"/>
    <w:rsid w:val="00E54B10"/>
    <w:rsid w:val="00E54F92"/>
    <w:rsid w:val="00E55383"/>
    <w:rsid w:val="00E55510"/>
    <w:rsid w:val="00E55A60"/>
    <w:rsid w:val="00E55D02"/>
    <w:rsid w:val="00E55D4F"/>
    <w:rsid w:val="00E568F2"/>
    <w:rsid w:val="00E56BB8"/>
    <w:rsid w:val="00E57194"/>
    <w:rsid w:val="00E572C7"/>
    <w:rsid w:val="00E57DC6"/>
    <w:rsid w:val="00E60498"/>
    <w:rsid w:val="00E60C5A"/>
    <w:rsid w:val="00E6101E"/>
    <w:rsid w:val="00E61401"/>
    <w:rsid w:val="00E6181A"/>
    <w:rsid w:val="00E61973"/>
    <w:rsid w:val="00E62271"/>
    <w:rsid w:val="00E6232E"/>
    <w:rsid w:val="00E623D7"/>
    <w:rsid w:val="00E62D93"/>
    <w:rsid w:val="00E63135"/>
    <w:rsid w:val="00E631C6"/>
    <w:rsid w:val="00E6435D"/>
    <w:rsid w:val="00E644DE"/>
    <w:rsid w:val="00E6454E"/>
    <w:rsid w:val="00E64A1D"/>
    <w:rsid w:val="00E64A47"/>
    <w:rsid w:val="00E64BB1"/>
    <w:rsid w:val="00E6558E"/>
    <w:rsid w:val="00E65829"/>
    <w:rsid w:val="00E6599A"/>
    <w:rsid w:val="00E65CF9"/>
    <w:rsid w:val="00E662AF"/>
    <w:rsid w:val="00E6658C"/>
    <w:rsid w:val="00E66C69"/>
    <w:rsid w:val="00E66E94"/>
    <w:rsid w:val="00E67720"/>
    <w:rsid w:val="00E679DF"/>
    <w:rsid w:val="00E67A82"/>
    <w:rsid w:val="00E67D41"/>
    <w:rsid w:val="00E701DE"/>
    <w:rsid w:val="00E7027F"/>
    <w:rsid w:val="00E7040A"/>
    <w:rsid w:val="00E70646"/>
    <w:rsid w:val="00E70724"/>
    <w:rsid w:val="00E70CBB"/>
    <w:rsid w:val="00E70DD2"/>
    <w:rsid w:val="00E716FD"/>
    <w:rsid w:val="00E718E6"/>
    <w:rsid w:val="00E72378"/>
    <w:rsid w:val="00E72A31"/>
    <w:rsid w:val="00E73099"/>
    <w:rsid w:val="00E737C1"/>
    <w:rsid w:val="00E737F1"/>
    <w:rsid w:val="00E73C08"/>
    <w:rsid w:val="00E73C2B"/>
    <w:rsid w:val="00E74516"/>
    <w:rsid w:val="00E74AF9"/>
    <w:rsid w:val="00E74CB8"/>
    <w:rsid w:val="00E74E93"/>
    <w:rsid w:val="00E75098"/>
    <w:rsid w:val="00E752E2"/>
    <w:rsid w:val="00E7538F"/>
    <w:rsid w:val="00E7569A"/>
    <w:rsid w:val="00E75746"/>
    <w:rsid w:val="00E75777"/>
    <w:rsid w:val="00E7596E"/>
    <w:rsid w:val="00E75D86"/>
    <w:rsid w:val="00E75F37"/>
    <w:rsid w:val="00E76320"/>
    <w:rsid w:val="00E76657"/>
    <w:rsid w:val="00E7670C"/>
    <w:rsid w:val="00E76961"/>
    <w:rsid w:val="00E769AB"/>
    <w:rsid w:val="00E76C9F"/>
    <w:rsid w:val="00E7724C"/>
    <w:rsid w:val="00E801F5"/>
    <w:rsid w:val="00E81085"/>
    <w:rsid w:val="00E811CB"/>
    <w:rsid w:val="00E81390"/>
    <w:rsid w:val="00E81F1E"/>
    <w:rsid w:val="00E81FE4"/>
    <w:rsid w:val="00E828AA"/>
    <w:rsid w:val="00E829B8"/>
    <w:rsid w:val="00E82A39"/>
    <w:rsid w:val="00E82B23"/>
    <w:rsid w:val="00E82EE2"/>
    <w:rsid w:val="00E82FE2"/>
    <w:rsid w:val="00E8307F"/>
    <w:rsid w:val="00E8358F"/>
    <w:rsid w:val="00E83BEE"/>
    <w:rsid w:val="00E84489"/>
    <w:rsid w:val="00E847AF"/>
    <w:rsid w:val="00E849AB"/>
    <w:rsid w:val="00E85118"/>
    <w:rsid w:val="00E856E8"/>
    <w:rsid w:val="00E85C1D"/>
    <w:rsid w:val="00E85CBB"/>
    <w:rsid w:val="00E85DC2"/>
    <w:rsid w:val="00E85DE2"/>
    <w:rsid w:val="00E86274"/>
    <w:rsid w:val="00E863B6"/>
    <w:rsid w:val="00E86634"/>
    <w:rsid w:val="00E868AD"/>
    <w:rsid w:val="00E86C00"/>
    <w:rsid w:val="00E86EBB"/>
    <w:rsid w:val="00E86EC5"/>
    <w:rsid w:val="00E87437"/>
    <w:rsid w:val="00E874B3"/>
    <w:rsid w:val="00E87994"/>
    <w:rsid w:val="00E87A39"/>
    <w:rsid w:val="00E87EB2"/>
    <w:rsid w:val="00E87F0F"/>
    <w:rsid w:val="00E90115"/>
    <w:rsid w:val="00E90439"/>
    <w:rsid w:val="00E908DE"/>
    <w:rsid w:val="00E90BB9"/>
    <w:rsid w:val="00E9162E"/>
    <w:rsid w:val="00E91C91"/>
    <w:rsid w:val="00E91E58"/>
    <w:rsid w:val="00E92199"/>
    <w:rsid w:val="00E9243F"/>
    <w:rsid w:val="00E92629"/>
    <w:rsid w:val="00E929C5"/>
    <w:rsid w:val="00E92C9F"/>
    <w:rsid w:val="00E92DCB"/>
    <w:rsid w:val="00E937A5"/>
    <w:rsid w:val="00E937B5"/>
    <w:rsid w:val="00E937C7"/>
    <w:rsid w:val="00E93E20"/>
    <w:rsid w:val="00E94C99"/>
    <w:rsid w:val="00E95680"/>
    <w:rsid w:val="00E95A2C"/>
    <w:rsid w:val="00E95DF0"/>
    <w:rsid w:val="00E9611E"/>
    <w:rsid w:val="00E96190"/>
    <w:rsid w:val="00E96459"/>
    <w:rsid w:val="00E96551"/>
    <w:rsid w:val="00E965EC"/>
    <w:rsid w:val="00E968C9"/>
    <w:rsid w:val="00E969C8"/>
    <w:rsid w:val="00E96AA7"/>
    <w:rsid w:val="00E97446"/>
    <w:rsid w:val="00E9748D"/>
    <w:rsid w:val="00E97530"/>
    <w:rsid w:val="00E977C4"/>
    <w:rsid w:val="00EA0080"/>
    <w:rsid w:val="00EA02B1"/>
    <w:rsid w:val="00EA089E"/>
    <w:rsid w:val="00EA0BE1"/>
    <w:rsid w:val="00EA1605"/>
    <w:rsid w:val="00EA1719"/>
    <w:rsid w:val="00EA1753"/>
    <w:rsid w:val="00EA1759"/>
    <w:rsid w:val="00EA18F7"/>
    <w:rsid w:val="00EA1B5C"/>
    <w:rsid w:val="00EA1C5B"/>
    <w:rsid w:val="00EA2130"/>
    <w:rsid w:val="00EA215E"/>
    <w:rsid w:val="00EA21C6"/>
    <w:rsid w:val="00EA2767"/>
    <w:rsid w:val="00EA2EE4"/>
    <w:rsid w:val="00EA31D1"/>
    <w:rsid w:val="00EA3917"/>
    <w:rsid w:val="00EA3BE4"/>
    <w:rsid w:val="00EA4312"/>
    <w:rsid w:val="00EA4368"/>
    <w:rsid w:val="00EA44BA"/>
    <w:rsid w:val="00EA467A"/>
    <w:rsid w:val="00EA4CFD"/>
    <w:rsid w:val="00EA4DE6"/>
    <w:rsid w:val="00EA528E"/>
    <w:rsid w:val="00EA55EA"/>
    <w:rsid w:val="00EA5C66"/>
    <w:rsid w:val="00EA5ED5"/>
    <w:rsid w:val="00EA61E4"/>
    <w:rsid w:val="00EA621C"/>
    <w:rsid w:val="00EA64EA"/>
    <w:rsid w:val="00EA65C6"/>
    <w:rsid w:val="00EA6999"/>
    <w:rsid w:val="00EA6A87"/>
    <w:rsid w:val="00EA7338"/>
    <w:rsid w:val="00EA75AD"/>
    <w:rsid w:val="00EA79AE"/>
    <w:rsid w:val="00EA7A83"/>
    <w:rsid w:val="00EB0413"/>
    <w:rsid w:val="00EB0801"/>
    <w:rsid w:val="00EB1540"/>
    <w:rsid w:val="00EB169B"/>
    <w:rsid w:val="00EB1D95"/>
    <w:rsid w:val="00EB1FD8"/>
    <w:rsid w:val="00EB203E"/>
    <w:rsid w:val="00EB25DB"/>
    <w:rsid w:val="00EB260A"/>
    <w:rsid w:val="00EB2685"/>
    <w:rsid w:val="00EB2763"/>
    <w:rsid w:val="00EB2AF9"/>
    <w:rsid w:val="00EB2BF6"/>
    <w:rsid w:val="00EB32FF"/>
    <w:rsid w:val="00EB3C27"/>
    <w:rsid w:val="00EB4110"/>
    <w:rsid w:val="00EB4E57"/>
    <w:rsid w:val="00EB50C0"/>
    <w:rsid w:val="00EB5210"/>
    <w:rsid w:val="00EB531C"/>
    <w:rsid w:val="00EB5A81"/>
    <w:rsid w:val="00EB6259"/>
    <w:rsid w:val="00EB713B"/>
    <w:rsid w:val="00EB7222"/>
    <w:rsid w:val="00EB72EB"/>
    <w:rsid w:val="00EB7370"/>
    <w:rsid w:val="00EB7494"/>
    <w:rsid w:val="00EC0748"/>
    <w:rsid w:val="00EC089D"/>
    <w:rsid w:val="00EC0E58"/>
    <w:rsid w:val="00EC0E9F"/>
    <w:rsid w:val="00EC0EE9"/>
    <w:rsid w:val="00EC1149"/>
    <w:rsid w:val="00EC128F"/>
    <w:rsid w:val="00EC12B8"/>
    <w:rsid w:val="00EC1685"/>
    <w:rsid w:val="00EC1D2B"/>
    <w:rsid w:val="00EC2695"/>
    <w:rsid w:val="00EC2AF1"/>
    <w:rsid w:val="00EC372A"/>
    <w:rsid w:val="00EC388A"/>
    <w:rsid w:val="00EC3BF7"/>
    <w:rsid w:val="00EC3DD6"/>
    <w:rsid w:val="00EC418B"/>
    <w:rsid w:val="00EC42DB"/>
    <w:rsid w:val="00EC46A1"/>
    <w:rsid w:val="00EC4942"/>
    <w:rsid w:val="00EC49A8"/>
    <w:rsid w:val="00EC4BB2"/>
    <w:rsid w:val="00EC4ECD"/>
    <w:rsid w:val="00EC5BF6"/>
    <w:rsid w:val="00EC5C87"/>
    <w:rsid w:val="00EC5DFE"/>
    <w:rsid w:val="00EC5F05"/>
    <w:rsid w:val="00EC60F4"/>
    <w:rsid w:val="00EC61CB"/>
    <w:rsid w:val="00EC623F"/>
    <w:rsid w:val="00EC6282"/>
    <w:rsid w:val="00EC637D"/>
    <w:rsid w:val="00EC63A7"/>
    <w:rsid w:val="00EC7139"/>
    <w:rsid w:val="00EC7583"/>
    <w:rsid w:val="00EC7ADB"/>
    <w:rsid w:val="00EC7AF3"/>
    <w:rsid w:val="00EC7D14"/>
    <w:rsid w:val="00ED0424"/>
    <w:rsid w:val="00ED054A"/>
    <w:rsid w:val="00ED0838"/>
    <w:rsid w:val="00ED0A29"/>
    <w:rsid w:val="00ED0AE5"/>
    <w:rsid w:val="00ED0B72"/>
    <w:rsid w:val="00ED1489"/>
    <w:rsid w:val="00ED14F8"/>
    <w:rsid w:val="00ED1744"/>
    <w:rsid w:val="00ED19B0"/>
    <w:rsid w:val="00ED1A4B"/>
    <w:rsid w:val="00ED1B14"/>
    <w:rsid w:val="00ED1BC2"/>
    <w:rsid w:val="00ED213B"/>
    <w:rsid w:val="00ED221A"/>
    <w:rsid w:val="00ED222B"/>
    <w:rsid w:val="00ED2603"/>
    <w:rsid w:val="00ED2A95"/>
    <w:rsid w:val="00ED2BF3"/>
    <w:rsid w:val="00ED2F27"/>
    <w:rsid w:val="00ED3175"/>
    <w:rsid w:val="00ED394D"/>
    <w:rsid w:val="00ED3A7A"/>
    <w:rsid w:val="00ED3D24"/>
    <w:rsid w:val="00ED3D41"/>
    <w:rsid w:val="00ED3F23"/>
    <w:rsid w:val="00ED3FDD"/>
    <w:rsid w:val="00ED412A"/>
    <w:rsid w:val="00ED481B"/>
    <w:rsid w:val="00ED562D"/>
    <w:rsid w:val="00ED5B12"/>
    <w:rsid w:val="00ED64B0"/>
    <w:rsid w:val="00ED6766"/>
    <w:rsid w:val="00ED6B58"/>
    <w:rsid w:val="00ED6C90"/>
    <w:rsid w:val="00ED6CC3"/>
    <w:rsid w:val="00ED6CF2"/>
    <w:rsid w:val="00ED70FF"/>
    <w:rsid w:val="00ED77AB"/>
    <w:rsid w:val="00ED7865"/>
    <w:rsid w:val="00ED7DFB"/>
    <w:rsid w:val="00ED7E49"/>
    <w:rsid w:val="00EE0237"/>
    <w:rsid w:val="00EE04A8"/>
    <w:rsid w:val="00EE0632"/>
    <w:rsid w:val="00EE0797"/>
    <w:rsid w:val="00EE0A2B"/>
    <w:rsid w:val="00EE0E8C"/>
    <w:rsid w:val="00EE0EE5"/>
    <w:rsid w:val="00EE0F69"/>
    <w:rsid w:val="00EE13F8"/>
    <w:rsid w:val="00EE158B"/>
    <w:rsid w:val="00EE15DA"/>
    <w:rsid w:val="00EE177E"/>
    <w:rsid w:val="00EE1A3B"/>
    <w:rsid w:val="00EE1A7A"/>
    <w:rsid w:val="00EE1B02"/>
    <w:rsid w:val="00EE214A"/>
    <w:rsid w:val="00EE2B28"/>
    <w:rsid w:val="00EE2BC6"/>
    <w:rsid w:val="00EE2FC8"/>
    <w:rsid w:val="00EE3220"/>
    <w:rsid w:val="00EE36E8"/>
    <w:rsid w:val="00EE3785"/>
    <w:rsid w:val="00EE4023"/>
    <w:rsid w:val="00EE4656"/>
    <w:rsid w:val="00EE4BDF"/>
    <w:rsid w:val="00EE5690"/>
    <w:rsid w:val="00EE588E"/>
    <w:rsid w:val="00EE593D"/>
    <w:rsid w:val="00EE5E37"/>
    <w:rsid w:val="00EE62D0"/>
    <w:rsid w:val="00EE63FC"/>
    <w:rsid w:val="00EE6859"/>
    <w:rsid w:val="00EE68DB"/>
    <w:rsid w:val="00EE6A13"/>
    <w:rsid w:val="00EE6ECD"/>
    <w:rsid w:val="00EE6F7D"/>
    <w:rsid w:val="00EE7A53"/>
    <w:rsid w:val="00EE7B5B"/>
    <w:rsid w:val="00EE7D6B"/>
    <w:rsid w:val="00EF0066"/>
    <w:rsid w:val="00EF0190"/>
    <w:rsid w:val="00EF01EB"/>
    <w:rsid w:val="00EF04A2"/>
    <w:rsid w:val="00EF088A"/>
    <w:rsid w:val="00EF08B7"/>
    <w:rsid w:val="00EF09A8"/>
    <w:rsid w:val="00EF1973"/>
    <w:rsid w:val="00EF1B41"/>
    <w:rsid w:val="00EF1B52"/>
    <w:rsid w:val="00EF20E2"/>
    <w:rsid w:val="00EF2217"/>
    <w:rsid w:val="00EF27B1"/>
    <w:rsid w:val="00EF2AF8"/>
    <w:rsid w:val="00EF2D2B"/>
    <w:rsid w:val="00EF34EA"/>
    <w:rsid w:val="00EF3E7C"/>
    <w:rsid w:val="00EF4276"/>
    <w:rsid w:val="00EF4537"/>
    <w:rsid w:val="00EF4580"/>
    <w:rsid w:val="00EF45AC"/>
    <w:rsid w:val="00EF4734"/>
    <w:rsid w:val="00EF4757"/>
    <w:rsid w:val="00EF4D24"/>
    <w:rsid w:val="00EF5318"/>
    <w:rsid w:val="00EF5536"/>
    <w:rsid w:val="00EF5770"/>
    <w:rsid w:val="00EF6093"/>
    <w:rsid w:val="00EF657E"/>
    <w:rsid w:val="00EF6606"/>
    <w:rsid w:val="00EF6909"/>
    <w:rsid w:val="00EF6D53"/>
    <w:rsid w:val="00EF6FFF"/>
    <w:rsid w:val="00EF73D9"/>
    <w:rsid w:val="00EF75C7"/>
    <w:rsid w:val="00EF77C8"/>
    <w:rsid w:val="00EF77EA"/>
    <w:rsid w:val="00EF7A6B"/>
    <w:rsid w:val="00F000A2"/>
    <w:rsid w:val="00F00B2D"/>
    <w:rsid w:val="00F010CB"/>
    <w:rsid w:val="00F01806"/>
    <w:rsid w:val="00F01E9B"/>
    <w:rsid w:val="00F02471"/>
    <w:rsid w:val="00F02AE9"/>
    <w:rsid w:val="00F02E14"/>
    <w:rsid w:val="00F02E3C"/>
    <w:rsid w:val="00F032D9"/>
    <w:rsid w:val="00F038B8"/>
    <w:rsid w:val="00F0394E"/>
    <w:rsid w:val="00F04262"/>
    <w:rsid w:val="00F04E8E"/>
    <w:rsid w:val="00F05703"/>
    <w:rsid w:val="00F05BB6"/>
    <w:rsid w:val="00F05C88"/>
    <w:rsid w:val="00F06374"/>
    <w:rsid w:val="00F079B6"/>
    <w:rsid w:val="00F07CE8"/>
    <w:rsid w:val="00F07F20"/>
    <w:rsid w:val="00F07FF9"/>
    <w:rsid w:val="00F1004B"/>
    <w:rsid w:val="00F1058D"/>
    <w:rsid w:val="00F1059E"/>
    <w:rsid w:val="00F10707"/>
    <w:rsid w:val="00F117C0"/>
    <w:rsid w:val="00F119A2"/>
    <w:rsid w:val="00F11DA5"/>
    <w:rsid w:val="00F126CC"/>
    <w:rsid w:val="00F127D1"/>
    <w:rsid w:val="00F128C0"/>
    <w:rsid w:val="00F12B19"/>
    <w:rsid w:val="00F12BCE"/>
    <w:rsid w:val="00F12C72"/>
    <w:rsid w:val="00F12D3C"/>
    <w:rsid w:val="00F135CE"/>
    <w:rsid w:val="00F13770"/>
    <w:rsid w:val="00F137D3"/>
    <w:rsid w:val="00F13DFA"/>
    <w:rsid w:val="00F14011"/>
    <w:rsid w:val="00F14235"/>
    <w:rsid w:val="00F14650"/>
    <w:rsid w:val="00F148BC"/>
    <w:rsid w:val="00F14B13"/>
    <w:rsid w:val="00F15241"/>
    <w:rsid w:val="00F152C3"/>
    <w:rsid w:val="00F153B2"/>
    <w:rsid w:val="00F15C50"/>
    <w:rsid w:val="00F15EA4"/>
    <w:rsid w:val="00F16741"/>
    <w:rsid w:val="00F16796"/>
    <w:rsid w:val="00F16834"/>
    <w:rsid w:val="00F173C0"/>
    <w:rsid w:val="00F17716"/>
    <w:rsid w:val="00F17CB1"/>
    <w:rsid w:val="00F2021D"/>
    <w:rsid w:val="00F20234"/>
    <w:rsid w:val="00F2057B"/>
    <w:rsid w:val="00F20820"/>
    <w:rsid w:val="00F20B65"/>
    <w:rsid w:val="00F20BC1"/>
    <w:rsid w:val="00F20CA2"/>
    <w:rsid w:val="00F21002"/>
    <w:rsid w:val="00F211FD"/>
    <w:rsid w:val="00F22508"/>
    <w:rsid w:val="00F227F7"/>
    <w:rsid w:val="00F22979"/>
    <w:rsid w:val="00F22F20"/>
    <w:rsid w:val="00F2322B"/>
    <w:rsid w:val="00F232B2"/>
    <w:rsid w:val="00F2355A"/>
    <w:rsid w:val="00F23595"/>
    <w:rsid w:val="00F23751"/>
    <w:rsid w:val="00F23B7A"/>
    <w:rsid w:val="00F2400B"/>
    <w:rsid w:val="00F241E0"/>
    <w:rsid w:val="00F2422A"/>
    <w:rsid w:val="00F24244"/>
    <w:rsid w:val="00F2461E"/>
    <w:rsid w:val="00F24FE7"/>
    <w:rsid w:val="00F251EB"/>
    <w:rsid w:val="00F2549D"/>
    <w:rsid w:val="00F254AB"/>
    <w:rsid w:val="00F256F0"/>
    <w:rsid w:val="00F25AAD"/>
    <w:rsid w:val="00F25CBB"/>
    <w:rsid w:val="00F25F9A"/>
    <w:rsid w:val="00F261EA"/>
    <w:rsid w:val="00F26371"/>
    <w:rsid w:val="00F26504"/>
    <w:rsid w:val="00F26993"/>
    <w:rsid w:val="00F26C28"/>
    <w:rsid w:val="00F26CA2"/>
    <w:rsid w:val="00F270E5"/>
    <w:rsid w:val="00F27269"/>
    <w:rsid w:val="00F27349"/>
    <w:rsid w:val="00F274B4"/>
    <w:rsid w:val="00F275AC"/>
    <w:rsid w:val="00F27A6B"/>
    <w:rsid w:val="00F27E16"/>
    <w:rsid w:val="00F30689"/>
    <w:rsid w:val="00F307F2"/>
    <w:rsid w:val="00F30AD5"/>
    <w:rsid w:val="00F30C01"/>
    <w:rsid w:val="00F30F44"/>
    <w:rsid w:val="00F311B4"/>
    <w:rsid w:val="00F322A6"/>
    <w:rsid w:val="00F33318"/>
    <w:rsid w:val="00F333AC"/>
    <w:rsid w:val="00F33400"/>
    <w:rsid w:val="00F33786"/>
    <w:rsid w:val="00F33C61"/>
    <w:rsid w:val="00F33F3F"/>
    <w:rsid w:val="00F3427A"/>
    <w:rsid w:val="00F34472"/>
    <w:rsid w:val="00F344BE"/>
    <w:rsid w:val="00F34DCB"/>
    <w:rsid w:val="00F34E20"/>
    <w:rsid w:val="00F3514D"/>
    <w:rsid w:val="00F35646"/>
    <w:rsid w:val="00F35D4C"/>
    <w:rsid w:val="00F35F86"/>
    <w:rsid w:val="00F3615B"/>
    <w:rsid w:val="00F366D9"/>
    <w:rsid w:val="00F36AC0"/>
    <w:rsid w:val="00F36B72"/>
    <w:rsid w:val="00F36DD6"/>
    <w:rsid w:val="00F36EA0"/>
    <w:rsid w:val="00F37077"/>
    <w:rsid w:val="00F37114"/>
    <w:rsid w:val="00F373A7"/>
    <w:rsid w:val="00F377C3"/>
    <w:rsid w:val="00F37A31"/>
    <w:rsid w:val="00F37C50"/>
    <w:rsid w:val="00F37E48"/>
    <w:rsid w:val="00F40289"/>
    <w:rsid w:val="00F41097"/>
    <w:rsid w:val="00F410B5"/>
    <w:rsid w:val="00F41167"/>
    <w:rsid w:val="00F41256"/>
    <w:rsid w:val="00F413E2"/>
    <w:rsid w:val="00F41534"/>
    <w:rsid w:val="00F4162F"/>
    <w:rsid w:val="00F4218E"/>
    <w:rsid w:val="00F42393"/>
    <w:rsid w:val="00F42404"/>
    <w:rsid w:val="00F42604"/>
    <w:rsid w:val="00F42BED"/>
    <w:rsid w:val="00F42C50"/>
    <w:rsid w:val="00F42D21"/>
    <w:rsid w:val="00F431EE"/>
    <w:rsid w:val="00F4323E"/>
    <w:rsid w:val="00F43A55"/>
    <w:rsid w:val="00F43E31"/>
    <w:rsid w:val="00F44325"/>
    <w:rsid w:val="00F45425"/>
    <w:rsid w:val="00F4557B"/>
    <w:rsid w:val="00F459BD"/>
    <w:rsid w:val="00F45A25"/>
    <w:rsid w:val="00F4618D"/>
    <w:rsid w:val="00F462B2"/>
    <w:rsid w:val="00F463DA"/>
    <w:rsid w:val="00F464AC"/>
    <w:rsid w:val="00F4663E"/>
    <w:rsid w:val="00F468DA"/>
    <w:rsid w:val="00F46E6B"/>
    <w:rsid w:val="00F476C3"/>
    <w:rsid w:val="00F47752"/>
    <w:rsid w:val="00F5056D"/>
    <w:rsid w:val="00F505D3"/>
    <w:rsid w:val="00F50684"/>
    <w:rsid w:val="00F506B7"/>
    <w:rsid w:val="00F51360"/>
    <w:rsid w:val="00F51383"/>
    <w:rsid w:val="00F515DB"/>
    <w:rsid w:val="00F51D85"/>
    <w:rsid w:val="00F5233A"/>
    <w:rsid w:val="00F524C0"/>
    <w:rsid w:val="00F52D58"/>
    <w:rsid w:val="00F52F7A"/>
    <w:rsid w:val="00F5394B"/>
    <w:rsid w:val="00F53AD8"/>
    <w:rsid w:val="00F53D87"/>
    <w:rsid w:val="00F54290"/>
    <w:rsid w:val="00F543B1"/>
    <w:rsid w:val="00F54694"/>
    <w:rsid w:val="00F5502A"/>
    <w:rsid w:val="00F555C4"/>
    <w:rsid w:val="00F55E9E"/>
    <w:rsid w:val="00F5626C"/>
    <w:rsid w:val="00F56347"/>
    <w:rsid w:val="00F56462"/>
    <w:rsid w:val="00F568F4"/>
    <w:rsid w:val="00F56974"/>
    <w:rsid w:val="00F56DA8"/>
    <w:rsid w:val="00F56E59"/>
    <w:rsid w:val="00F57362"/>
    <w:rsid w:val="00F5746F"/>
    <w:rsid w:val="00F57B77"/>
    <w:rsid w:val="00F57DD0"/>
    <w:rsid w:val="00F601AB"/>
    <w:rsid w:val="00F60213"/>
    <w:rsid w:val="00F6062A"/>
    <w:rsid w:val="00F60807"/>
    <w:rsid w:val="00F60958"/>
    <w:rsid w:val="00F60B3A"/>
    <w:rsid w:val="00F60BCB"/>
    <w:rsid w:val="00F60F5A"/>
    <w:rsid w:val="00F61143"/>
    <w:rsid w:val="00F614D8"/>
    <w:rsid w:val="00F61658"/>
    <w:rsid w:val="00F61EC4"/>
    <w:rsid w:val="00F622DA"/>
    <w:rsid w:val="00F6265A"/>
    <w:rsid w:val="00F63203"/>
    <w:rsid w:val="00F63B4B"/>
    <w:rsid w:val="00F63E9A"/>
    <w:rsid w:val="00F640C1"/>
    <w:rsid w:val="00F64294"/>
    <w:rsid w:val="00F6463A"/>
    <w:rsid w:val="00F6491E"/>
    <w:rsid w:val="00F64B64"/>
    <w:rsid w:val="00F64BA0"/>
    <w:rsid w:val="00F65735"/>
    <w:rsid w:val="00F65C9C"/>
    <w:rsid w:val="00F65E6E"/>
    <w:rsid w:val="00F66086"/>
    <w:rsid w:val="00F66272"/>
    <w:rsid w:val="00F66338"/>
    <w:rsid w:val="00F6669C"/>
    <w:rsid w:val="00F667E6"/>
    <w:rsid w:val="00F66DDC"/>
    <w:rsid w:val="00F66FC9"/>
    <w:rsid w:val="00F66FEE"/>
    <w:rsid w:val="00F67008"/>
    <w:rsid w:val="00F67451"/>
    <w:rsid w:val="00F67913"/>
    <w:rsid w:val="00F67AA7"/>
    <w:rsid w:val="00F67B2F"/>
    <w:rsid w:val="00F67C18"/>
    <w:rsid w:val="00F67FD5"/>
    <w:rsid w:val="00F701C7"/>
    <w:rsid w:val="00F707DC"/>
    <w:rsid w:val="00F70A02"/>
    <w:rsid w:val="00F71281"/>
    <w:rsid w:val="00F71325"/>
    <w:rsid w:val="00F7173D"/>
    <w:rsid w:val="00F71E52"/>
    <w:rsid w:val="00F71EBA"/>
    <w:rsid w:val="00F728FE"/>
    <w:rsid w:val="00F72C43"/>
    <w:rsid w:val="00F72ED0"/>
    <w:rsid w:val="00F73056"/>
    <w:rsid w:val="00F73449"/>
    <w:rsid w:val="00F73A37"/>
    <w:rsid w:val="00F73D3E"/>
    <w:rsid w:val="00F73E4B"/>
    <w:rsid w:val="00F7479F"/>
    <w:rsid w:val="00F747C2"/>
    <w:rsid w:val="00F74930"/>
    <w:rsid w:val="00F74F69"/>
    <w:rsid w:val="00F75063"/>
    <w:rsid w:val="00F756D9"/>
    <w:rsid w:val="00F75880"/>
    <w:rsid w:val="00F760A3"/>
    <w:rsid w:val="00F767AA"/>
    <w:rsid w:val="00F76ED7"/>
    <w:rsid w:val="00F76FD3"/>
    <w:rsid w:val="00F7719F"/>
    <w:rsid w:val="00F7722F"/>
    <w:rsid w:val="00F772BB"/>
    <w:rsid w:val="00F77505"/>
    <w:rsid w:val="00F77A38"/>
    <w:rsid w:val="00F77BB6"/>
    <w:rsid w:val="00F8005D"/>
    <w:rsid w:val="00F808B9"/>
    <w:rsid w:val="00F808E1"/>
    <w:rsid w:val="00F80C35"/>
    <w:rsid w:val="00F80D01"/>
    <w:rsid w:val="00F80D88"/>
    <w:rsid w:val="00F81BCE"/>
    <w:rsid w:val="00F8208A"/>
    <w:rsid w:val="00F820AF"/>
    <w:rsid w:val="00F82269"/>
    <w:rsid w:val="00F828ED"/>
    <w:rsid w:val="00F82AF2"/>
    <w:rsid w:val="00F83D3C"/>
    <w:rsid w:val="00F83DE3"/>
    <w:rsid w:val="00F843B8"/>
    <w:rsid w:val="00F847BC"/>
    <w:rsid w:val="00F84B38"/>
    <w:rsid w:val="00F84C81"/>
    <w:rsid w:val="00F8533F"/>
    <w:rsid w:val="00F853E7"/>
    <w:rsid w:val="00F856A0"/>
    <w:rsid w:val="00F85C78"/>
    <w:rsid w:val="00F85E30"/>
    <w:rsid w:val="00F86669"/>
    <w:rsid w:val="00F866F0"/>
    <w:rsid w:val="00F86A37"/>
    <w:rsid w:val="00F86FA2"/>
    <w:rsid w:val="00F87091"/>
    <w:rsid w:val="00F875A8"/>
    <w:rsid w:val="00F878FD"/>
    <w:rsid w:val="00F87DE2"/>
    <w:rsid w:val="00F87E2D"/>
    <w:rsid w:val="00F87E7E"/>
    <w:rsid w:val="00F90106"/>
    <w:rsid w:val="00F90370"/>
    <w:rsid w:val="00F90A95"/>
    <w:rsid w:val="00F90EF5"/>
    <w:rsid w:val="00F91896"/>
    <w:rsid w:val="00F91DCA"/>
    <w:rsid w:val="00F91F43"/>
    <w:rsid w:val="00F9239D"/>
    <w:rsid w:val="00F923A3"/>
    <w:rsid w:val="00F926E6"/>
    <w:rsid w:val="00F92CEF"/>
    <w:rsid w:val="00F93707"/>
    <w:rsid w:val="00F938B4"/>
    <w:rsid w:val="00F939F3"/>
    <w:rsid w:val="00F93BED"/>
    <w:rsid w:val="00F946D0"/>
    <w:rsid w:val="00F9499F"/>
    <w:rsid w:val="00F94A1A"/>
    <w:rsid w:val="00F94A85"/>
    <w:rsid w:val="00F94F15"/>
    <w:rsid w:val="00F95031"/>
    <w:rsid w:val="00F958ED"/>
    <w:rsid w:val="00F95902"/>
    <w:rsid w:val="00F9597A"/>
    <w:rsid w:val="00F95A29"/>
    <w:rsid w:val="00F95B4B"/>
    <w:rsid w:val="00F963C5"/>
    <w:rsid w:val="00F966B0"/>
    <w:rsid w:val="00F96BD8"/>
    <w:rsid w:val="00F96CBA"/>
    <w:rsid w:val="00F96FCF"/>
    <w:rsid w:val="00F970A8"/>
    <w:rsid w:val="00F972C0"/>
    <w:rsid w:val="00F97307"/>
    <w:rsid w:val="00F973B1"/>
    <w:rsid w:val="00F97661"/>
    <w:rsid w:val="00F97C54"/>
    <w:rsid w:val="00F97D03"/>
    <w:rsid w:val="00FA02F4"/>
    <w:rsid w:val="00FA0759"/>
    <w:rsid w:val="00FA0AD1"/>
    <w:rsid w:val="00FA0C68"/>
    <w:rsid w:val="00FA1126"/>
    <w:rsid w:val="00FA14B6"/>
    <w:rsid w:val="00FA14E0"/>
    <w:rsid w:val="00FA172F"/>
    <w:rsid w:val="00FA1DBC"/>
    <w:rsid w:val="00FA27E0"/>
    <w:rsid w:val="00FA316B"/>
    <w:rsid w:val="00FA346E"/>
    <w:rsid w:val="00FA3F1D"/>
    <w:rsid w:val="00FA4191"/>
    <w:rsid w:val="00FA43A6"/>
    <w:rsid w:val="00FA4CB7"/>
    <w:rsid w:val="00FA4F9B"/>
    <w:rsid w:val="00FA5394"/>
    <w:rsid w:val="00FA593B"/>
    <w:rsid w:val="00FA5B8A"/>
    <w:rsid w:val="00FA5C1C"/>
    <w:rsid w:val="00FA60F5"/>
    <w:rsid w:val="00FA65D2"/>
    <w:rsid w:val="00FA7114"/>
    <w:rsid w:val="00FA7169"/>
    <w:rsid w:val="00FA744E"/>
    <w:rsid w:val="00FA7E16"/>
    <w:rsid w:val="00FB03D7"/>
    <w:rsid w:val="00FB0CAF"/>
    <w:rsid w:val="00FB0D6B"/>
    <w:rsid w:val="00FB1823"/>
    <w:rsid w:val="00FB1CC8"/>
    <w:rsid w:val="00FB1F7E"/>
    <w:rsid w:val="00FB20D6"/>
    <w:rsid w:val="00FB252A"/>
    <w:rsid w:val="00FB26C2"/>
    <w:rsid w:val="00FB2D06"/>
    <w:rsid w:val="00FB3120"/>
    <w:rsid w:val="00FB3AD4"/>
    <w:rsid w:val="00FB3AD8"/>
    <w:rsid w:val="00FB3C42"/>
    <w:rsid w:val="00FB3C47"/>
    <w:rsid w:val="00FB448E"/>
    <w:rsid w:val="00FB4669"/>
    <w:rsid w:val="00FB46A0"/>
    <w:rsid w:val="00FB49D3"/>
    <w:rsid w:val="00FB4EFB"/>
    <w:rsid w:val="00FB52E6"/>
    <w:rsid w:val="00FB547D"/>
    <w:rsid w:val="00FB5663"/>
    <w:rsid w:val="00FB5A03"/>
    <w:rsid w:val="00FB5AF3"/>
    <w:rsid w:val="00FB60E7"/>
    <w:rsid w:val="00FB61FA"/>
    <w:rsid w:val="00FB632B"/>
    <w:rsid w:val="00FB6920"/>
    <w:rsid w:val="00FB74B5"/>
    <w:rsid w:val="00FB754F"/>
    <w:rsid w:val="00FB76F1"/>
    <w:rsid w:val="00FB7784"/>
    <w:rsid w:val="00FB7877"/>
    <w:rsid w:val="00FB7966"/>
    <w:rsid w:val="00FB7DA6"/>
    <w:rsid w:val="00FC03CE"/>
    <w:rsid w:val="00FC047B"/>
    <w:rsid w:val="00FC0595"/>
    <w:rsid w:val="00FC07FC"/>
    <w:rsid w:val="00FC0F00"/>
    <w:rsid w:val="00FC1078"/>
    <w:rsid w:val="00FC1653"/>
    <w:rsid w:val="00FC1A19"/>
    <w:rsid w:val="00FC1B26"/>
    <w:rsid w:val="00FC1D2B"/>
    <w:rsid w:val="00FC1D86"/>
    <w:rsid w:val="00FC2255"/>
    <w:rsid w:val="00FC2EC6"/>
    <w:rsid w:val="00FC2FD2"/>
    <w:rsid w:val="00FC3575"/>
    <w:rsid w:val="00FC3D6D"/>
    <w:rsid w:val="00FC4099"/>
    <w:rsid w:val="00FC45AF"/>
    <w:rsid w:val="00FC47A9"/>
    <w:rsid w:val="00FC50A9"/>
    <w:rsid w:val="00FC52FD"/>
    <w:rsid w:val="00FC5304"/>
    <w:rsid w:val="00FC61EB"/>
    <w:rsid w:val="00FC6C1C"/>
    <w:rsid w:val="00FC701A"/>
    <w:rsid w:val="00FC7598"/>
    <w:rsid w:val="00FC782D"/>
    <w:rsid w:val="00FD008A"/>
    <w:rsid w:val="00FD0229"/>
    <w:rsid w:val="00FD0318"/>
    <w:rsid w:val="00FD0402"/>
    <w:rsid w:val="00FD0650"/>
    <w:rsid w:val="00FD0683"/>
    <w:rsid w:val="00FD0E34"/>
    <w:rsid w:val="00FD1105"/>
    <w:rsid w:val="00FD136E"/>
    <w:rsid w:val="00FD1715"/>
    <w:rsid w:val="00FD1844"/>
    <w:rsid w:val="00FD1875"/>
    <w:rsid w:val="00FD18CA"/>
    <w:rsid w:val="00FD1B00"/>
    <w:rsid w:val="00FD1B76"/>
    <w:rsid w:val="00FD1BED"/>
    <w:rsid w:val="00FD1C39"/>
    <w:rsid w:val="00FD1D1E"/>
    <w:rsid w:val="00FD2075"/>
    <w:rsid w:val="00FD2336"/>
    <w:rsid w:val="00FD2604"/>
    <w:rsid w:val="00FD3321"/>
    <w:rsid w:val="00FD3335"/>
    <w:rsid w:val="00FD33F0"/>
    <w:rsid w:val="00FD34DD"/>
    <w:rsid w:val="00FD3626"/>
    <w:rsid w:val="00FD3C95"/>
    <w:rsid w:val="00FD3E49"/>
    <w:rsid w:val="00FD3EAC"/>
    <w:rsid w:val="00FD3F2E"/>
    <w:rsid w:val="00FD452D"/>
    <w:rsid w:val="00FD4C97"/>
    <w:rsid w:val="00FD52E5"/>
    <w:rsid w:val="00FD54CE"/>
    <w:rsid w:val="00FD5B05"/>
    <w:rsid w:val="00FD5D51"/>
    <w:rsid w:val="00FD61FF"/>
    <w:rsid w:val="00FD67D2"/>
    <w:rsid w:val="00FD6BAF"/>
    <w:rsid w:val="00FD753E"/>
    <w:rsid w:val="00FD7D4E"/>
    <w:rsid w:val="00FE02BB"/>
    <w:rsid w:val="00FE0DB7"/>
    <w:rsid w:val="00FE0EFC"/>
    <w:rsid w:val="00FE0F98"/>
    <w:rsid w:val="00FE10BB"/>
    <w:rsid w:val="00FE10FE"/>
    <w:rsid w:val="00FE12D6"/>
    <w:rsid w:val="00FE130D"/>
    <w:rsid w:val="00FE1407"/>
    <w:rsid w:val="00FE17D7"/>
    <w:rsid w:val="00FE1983"/>
    <w:rsid w:val="00FE1A28"/>
    <w:rsid w:val="00FE1A8C"/>
    <w:rsid w:val="00FE1C5B"/>
    <w:rsid w:val="00FE1C63"/>
    <w:rsid w:val="00FE2566"/>
    <w:rsid w:val="00FE262E"/>
    <w:rsid w:val="00FE274E"/>
    <w:rsid w:val="00FE27FC"/>
    <w:rsid w:val="00FE2CE6"/>
    <w:rsid w:val="00FE315E"/>
    <w:rsid w:val="00FE31C9"/>
    <w:rsid w:val="00FE33A2"/>
    <w:rsid w:val="00FE3499"/>
    <w:rsid w:val="00FE355E"/>
    <w:rsid w:val="00FE35ED"/>
    <w:rsid w:val="00FE3696"/>
    <w:rsid w:val="00FE38AB"/>
    <w:rsid w:val="00FE3BDA"/>
    <w:rsid w:val="00FE4270"/>
    <w:rsid w:val="00FE4B8F"/>
    <w:rsid w:val="00FE5353"/>
    <w:rsid w:val="00FE5640"/>
    <w:rsid w:val="00FE5791"/>
    <w:rsid w:val="00FE6024"/>
    <w:rsid w:val="00FE651F"/>
    <w:rsid w:val="00FE6DF9"/>
    <w:rsid w:val="00FE6E46"/>
    <w:rsid w:val="00FE74C0"/>
    <w:rsid w:val="00FE7727"/>
    <w:rsid w:val="00FE78F4"/>
    <w:rsid w:val="00FE7976"/>
    <w:rsid w:val="00FE7D47"/>
    <w:rsid w:val="00FE7FFB"/>
    <w:rsid w:val="00FF0236"/>
    <w:rsid w:val="00FF08E0"/>
    <w:rsid w:val="00FF0A16"/>
    <w:rsid w:val="00FF0D03"/>
    <w:rsid w:val="00FF0D1A"/>
    <w:rsid w:val="00FF12EF"/>
    <w:rsid w:val="00FF17A2"/>
    <w:rsid w:val="00FF19E1"/>
    <w:rsid w:val="00FF1D18"/>
    <w:rsid w:val="00FF1EBE"/>
    <w:rsid w:val="00FF2328"/>
    <w:rsid w:val="00FF287D"/>
    <w:rsid w:val="00FF29F4"/>
    <w:rsid w:val="00FF3215"/>
    <w:rsid w:val="00FF332E"/>
    <w:rsid w:val="00FF394D"/>
    <w:rsid w:val="00FF3CD7"/>
    <w:rsid w:val="00FF3DFB"/>
    <w:rsid w:val="00FF41BA"/>
    <w:rsid w:val="00FF449B"/>
    <w:rsid w:val="00FF45CD"/>
    <w:rsid w:val="00FF48FE"/>
    <w:rsid w:val="00FF4A1D"/>
    <w:rsid w:val="00FF4FEA"/>
    <w:rsid w:val="00FF53E7"/>
    <w:rsid w:val="00FF55D7"/>
    <w:rsid w:val="00FF55E2"/>
    <w:rsid w:val="00FF5734"/>
    <w:rsid w:val="00FF5E21"/>
    <w:rsid w:val="00FF5F08"/>
    <w:rsid w:val="00FF6001"/>
    <w:rsid w:val="00FF60FD"/>
    <w:rsid w:val="00FF6229"/>
    <w:rsid w:val="00FF6389"/>
    <w:rsid w:val="00FF6460"/>
    <w:rsid w:val="00FF6757"/>
    <w:rsid w:val="00FF6AE2"/>
    <w:rsid w:val="00FF6C7E"/>
    <w:rsid w:val="00FF72C7"/>
    <w:rsid w:val="00FF7682"/>
    <w:rsid w:val="00FF7EFE"/>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550913"/>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AU" w:eastAsia="en-AU"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qFormat="1"/>
    <w:lsdException w:name="Title" w:qFormat="1"/>
    <w:lsdException w:name="Default Paragraph Font" w:uiPriority="1"/>
    <w:lsdException w:name="Body Text" w:qFormat="1"/>
    <w:lsdException w:name="Subtitle" w:qFormat="1"/>
    <w:lsdException w:name="Hyperlink" w:uiPriority="99"/>
    <w:lsdException w:name="Strong" w:qFormat="1"/>
    <w:lsdException w:name="Emphasis" w:qFormat="1"/>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rsid w:val="001C2234"/>
    <w:rPr>
      <w:sz w:val="24"/>
      <w:szCs w:val="24"/>
    </w:rPr>
  </w:style>
  <w:style w:type="paragraph" w:styleId="Heading1">
    <w:name w:val="heading 1"/>
    <w:basedOn w:val="BodyText"/>
    <w:next w:val="BodyText"/>
    <w:rsid w:val="001C2234"/>
    <w:pPr>
      <w:keepNext/>
      <w:spacing w:before="160" w:after="1360" w:line="600" w:lineRule="exact"/>
      <w:ind w:left="907" w:hanging="907"/>
      <w:jc w:val="left"/>
      <w:outlineLvl w:val="0"/>
    </w:pPr>
    <w:rPr>
      <w:sz w:val="52"/>
    </w:rPr>
  </w:style>
  <w:style w:type="paragraph" w:styleId="Heading2">
    <w:name w:val="heading 2"/>
    <w:basedOn w:val="Chapter"/>
    <w:next w:val="BodyText"/>
    <w:qFormat/>
    <w:rsid w:val="001C2234"/>
    <w:pPr>
      <w:spacing w:before="600" w:after="0" w:line="400" w:lineRule="exact"/>
      <w:ind w:left="907" w:hanging="907"/>
      <w:outlineLvl w:val="1"/>
    </w:pPr>
    <w:rPr>
      <w:rFonts w:ascii="Arial" w:hAnsi="Arial"/>
      <w:b/>
      <w:sz w:val="32"/>
    </w:rPr>
  </w:style>
  <w:style w:type="paragraph" w:styleId="Heading3">
    <w:name w:val="heading 3"/>
    <w:basedOn w:val="Heading2"/>
    <w:next w:val="BodyText"/>
    <w:qFormat/>
    <w:rsid w:val="001C2234"/>
    <w:pPr>
      <w:spacing w:before="560" w:line="320" w:lineRule="exact"/>
      <w:ind w:left="0" w:firstLine="0"/>
      <w:outlineLvl w:val="2"/>
    </w:pPr>
    <w:rPr>
      <w:sz w:val="26"/>
    </w:rPr>
  </w:style>
  <w:style w:type="paragraph" w:styleId="Heading4">
    <w:name w:val="heading 4"/>
    <w:basedOn w:val="Heading3"/>
    <w:next w:val="BodyText"/>
    <w:qFormat/>
    <w:rsid w:val="001C2234"/>
    <w:pPr>
      <w:spacing w:before="480"/>
      <w:outlineLvl w:val="3"/>
    </w:pPr>
    <w:rPr>
      <w:b w:val="0"/>
      <w:sz w:val="24"/>
    </w:rPr>
  </w:style>
  <w:style w:type="paragraph" w:styleId="Heading5">
    <w:name w:val="heading 5"/>
    <w:basedOn w:val="Heading4"/>
    <w:next w:val="BodyText"/>
    <w:link w:val="Heading5Char"/>
    <w:qFormat/>
    <w:rsid w:val="001C2234"/>
    <w:pPr>
      <w:outlineLvl w:val="4"/>
    </w:pPr>
    <w:rPr>
      <w:i/>
      <w:sz w:val="22"/>
    </w:rPr>
  </w:style>
  <w:style w:type="paragraph" w:styleId="Heading6">
    <w:name w:val="heading 6"/>
    <w:basedOn w:val="BodyText"/>
    <w:next w:val="BodyText"/>
    <w:rsid w:val="001C2234"/>
    <w:pPr>
      <w:spacing w:after="60"/>
      <w:jc w:val="left"/>
      <w:outlineLvl w:val="5"/>
    </w:pPr>
    <w:rPr>
      <w:i/>
      <w:sz w:val="22"/>
    </w:rPr>
  </w:style>
  <w:style w:type="paragraph" w:styleId="Heading7">
    <w:name w:val="heading 7"/>
    <w:basedOn w:val="BodyText"/>
    <w:next w:val="BodyText"/>
    <w:rsid w:val="001C2234"/>
    <w:pPr>
      <w:spacing w:after="60" w:line="240" w:lineRule="auto"/>
      <w:jc w:val="left"/>
      <w:outlineLvl w:val="6"/>
    </w:pPr>
    <w:rPr>
      <w:rFonts w:ascii="Arial" w:hAnsi="Arial"/>
      <w:sz w:val="20"/>
    </w:rPr>
  </w:style>
  <w:style w:type="paragraph" w:styleId="Heading8">
    <w:name w:val="heading 8"/>
    <w:basedOn w:val="BodyText"/>
    <w:next w:val="BodyText"/>
    <w:rsid w:val="001C2234"/>
    <w:pPr>
      <w:spacing w:after="60" w:line="240" w:lineRule="auto"/>
      <w:jc w:val="left"/>
      <w:outlineLvl w:val="7"/>
    </w:pPr>
    <w:rPr>
      <w:rFonts w:ascii="Arial" w:hAnsi="Arial"/>
      <w:i/>
      <w:sz w:val="20"/>
    </w:rPr>
  </w:style>
  <w:style w:type="paragraph" w:styleId="Heading9">
    <w:name w:val="heading 9"/>
    <w:basedOn w:val="BodyText"/>
    <w:next w:val="BodyText"/>
    <w:rsid w:val="001C2234"/>
    <w:pPr>
      <w:spacing w:after="60" w:line="240" w:lineRule="auto"/>
      <w:jc w:val="left"/>
      <w:outlineLvl w:val="8"/>
    </w:pPr>
    <w:rPr>
      <w:rFonts w:ascii="Arial" w:hAnsi="Arial"/>
      <w:b/>
      <w:i/>
      <w:sz w:val="18"/>
    </w:rPr>
  </w:style>
  <w:style w:type="character" w:default="1" w:styleId="DefaultParagraphFont">
    <w:name w:val="Default Paragraph Font"/>
    <w:uiPriority w:val="1"/>
    <w:semiHidden/>
    <w:unhideWhenUsed/>
    <w:rsid w:val="001C2234"/>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rsid w:val="001C2234"/>
  </w:style>
  <w:style w:type="paragraph" w:styleId="BodyText">
    <w:name w:val="Body Text"/>
    <w:link w:val="BodyTextChar"/>
    <w:qFormat/>
    <w:rsid w:val="001C2234"/>
    <w:pPr>
      <w:spacing w:before="240" w:line="300" w:lineRule="atLeast"/>
      <w:jc w:val="both"/>
    </w:pPr>
    <w:rPr>
      <w:sz w:val="24"/>
    </w:rPr>
  </w:style>
  <w:style w:type="paragraph" w:customStyle="1" w:styleId="Chapter">
    <w:name w:val="Chapter"/>
    <w:basedOn w:val="Heading1"/>
    <w:next w:val="BodyText"/>
    <w:semiHidden/>
    <w:rsid w:val="001C2234"/>
    <w:pPr>
      <w:ind w:left="0" w:firstLine="0"/>
      <w:outlineLvl w:val="9"/>
    </w:pPr>
  </w:style>
  <w:style w:type="paragraph" w:customStyle="1" w:styleId="SequenceInfo">
    <w:name w:val="Sequence Info"/>
    <w:basedOn w:val="BodyText"/>
    <w:semiHidden/>
    <w:rsid w:val="001C2234"/>
    <w:rPr>
      <w:vanish/>
      <w:sz w:val="16"/>
    </w:rPr>
  </w:style>
  <w:style w:type="character" w:styleId="CommentReference">
    <w:name w:val="annotation reference"/>
    <w:basedOn w:val="DefaultParagraphFont"/>
    <w:semiHidden/>
    <w:rsid w:val="001C2234"/>
    <w:rPr>
      <w:b/>
      <w:vanish/>
      <w:color w:val="FF00FF"/>
      <w:sz w:val="20"/>
    </w:rPr>
  </w:style>
  <w:style w:type="paragraph" w:styleId="CommentText">
    <w:name w:val="annotation text"/>
    <w:basedOn w:val="Normal"/>
    <w:semiHidden/>
    <w:rsid w:val="001C2234"/>
    <w:pPr>
      <w:spacing w:before="120" w:line="240" w:lineRule="atLeast"/>
      <w:ind w:left="567" w:hanging="567"/>
    </w:pPr>
    <w:rPr>
      <w:sz w:val="20"/>
    </w:rPr>
  </w:style>
  <w:style w:type="paragraph" w:customStyle="1" w:styleId="Abbreviation">
    <w:name w:val="Abbreviation"/>
    <w:basedOn w:val="BodyText"/>
    <w:rsid w:val="001C2234"/>
    <w:pPr>
      <w:spacing w:before="120"/>
      <w:ind w:left="2381" w:hanging="2381"/>
      <w:jc w:val="left"/>
    </w:pPr>
  </w:style>
  <w:style w:type="paragraph" w:customStyle="1" w:styleId="Box">
    <w:name w:val="Box"/>
    <w:basedOn w:val="BodyText"/>
    <w:qFormat/>
    <w:rsid w:val="001C2234"/>
    <w:pPr>
      <w:keepNext/>
      <w:spacing w:before="120" w:line="260" w:lineRule="atLeast"/>
    </w:pPr>
    <w:rPr>
      <w:rFonts w:ascii="Arial" w:hAnsi="Arial"/>
      <w:sz w:val="20"/>
    </w:rPr>
  </w:style>
  <w:style w:type="paragraph" w:customStyle="1" w:styleId="QuoteBullet">
    <w:name w:val="Quote Bullet"/>
    <w:basedOn w:val="Quote"/>
    <w:rsid w:val="001C2234"/>
    <w:pPr>
      <w:numPr>
        <w:numId w:val="11"/>
      </w:numPr>
    </w:pPr>
  </w:style>
  <w:style w:type="paragraph" w:styleId="Quote">
    <w:name w:val="Quote"/>
    <w:basedOn w:val="BodyText"/>
    <w:next w:val="BodyText"/>
    <w:qFormat/>
    <w:rsid w:val="001C2234"/>
    <w:pPr>
      <w:spacing w:before="120" w:line="280" w:lineRule="exact"/>
      <w:ind w:left="340"/>
    </w:pPr>
    <w:rPr>
      <w:sz w:val="22"/>
    </w:rPr>
  </w:style>
  <w:style w:type="paragraph" w:customStyle="1" w:styleId="BoxListBullet">
    <w:name w:val="Box List Bullet"/>
    <w:basedOn w:val="BodyText"/>
    <w:rsid w:val="001C2234"/>
    <w:pPr>
      <w:keepNext/>
      <w:numPr>
        <w:numId w:val="6"/>
      </w:numPr>
      <w:spacing w:before="100" w:line="260" w:lineRule="atLeast"/>
    </w:pPr>
    <w:rPr>
      <w:rFonts w:ascii="Arial" w:hAnsi="Arial"/>
      <w:sz w:val="20"/>
    </w:rPr>
  </w:style>
  <w:style w:type="paragraph" w:customStyle="1" w:styleId="BoxListBullet2">
    <w:name w:val="Box List Bullet 2"/>
    <w:basedOn w:val="BoxListBullet"/>
    <w:rsid w:val="001C2234"/>
    <w:pPr>
      <w:numPr>
        <w:numId w:val="3"/>
      </w:numPr>
      <w:ind w:left="568" w:hanging="284"/>
    </w:pPr>
  </w:style>
  <w:style w:type="paragraph" w:customStyle="1" w:styleId="BoxListNumber">
    <w:name w:val="Box List Number"/>
    <w:basedOn w:val="BodyText"/>
    <w:rsid w:val="001C2234"/>
    <w:pPr>
      <w:keepNext/>
      <w:numPr>
        <w:numId w:val="14"/>
      </w:numPr>
      <w:spacing w:before="100" w:line="260" w:lineRule="atLeast"/>
    </w:pPr>
    <w:rPr>
      <w:rFonts w:ascii="Arial" w:hAnsi="Arial"/>
      <w:sz w:val="20"/>
    </w:rPr>
  </w:style>
  <w:style w:type="paragraph" w:customStyle="1" w:styleId="BoxListNumber2">
    <w:name w:val="Box List Number 2"/>
    <w:basedOn w:val="BoxListNumber"/>
    <w:rsid w:val="001C2234"/>
    <w:pPr>
      <w:numPr>
        <w:ilvl w:val="1"/>
      </w:numPr>
      <w:ind w:left="681" w:hanging="397"/>
    </w:pPr>
  </w:style>
  <w:style w:type="paragraph" w:customStyle="1" w:styleId="BoxQuote">
    <w:name w:val="Box Quote"/>
    <w:basedOn w:val="BodyText"/>
    <w:next w:val="Box"/>
    <w:qFormat/>
    <w:rsid w:val="001C2234"/>
    <w:pPr>
      <w:keepNext/>
      <w:spacing w:before="60" w:line="240" w:lineRule="exact"/>
      <w:ind w:left="284"/>
    </w:pPr>
    <w:rPr>
      <w:rFonts w:ascii="Arial" w:hAnsi="Arial"/>
      <w:sz w:val="18"/>
    </w:rPr>
  </w:style>
  <w:style w:type="paragraph" w:customStyle="1" w:styleId="BoxSource">
    <w:name w:val="Box Source"/>
    <w:basedOn w:val="Source"/>
    <w:next w:val="BodyText"/>
    <w:rsid w:val="001C2234"/>
    <w:pPr>
      <w:spacing w:before="120"/>
    </w:pPr>
  </w:style>
  <w:style w:type="paragraph" w:customStyle="1" w:styleId="Source">
    <w:name w:val="Source"/>
    <w:basedOn w:val="Normal"/>
    <w:next w:val="BodyText"/>
    <w:rsid w:val="001C2234"/>
    <w:pPr>
      <w:keepLines/>
      <w:spacing w:before="80" w:line="220" w:lineRule="exact"/>
      <w:jc w:val="both"/>
    </w:pPr>
    <w:rPr>
      <w:rFonts w:ascii="Arial" w:hAnsi="Arial"/>
      <w:sz w:val="18"/>
      <w:szCs w:val="20"/>
    </w:rPr>
  </w:style>
  <w:style w:type="paragraph" w:customStyle="1" w:styleId="Note">
    <w:name w:val="Note"/>
    <w:basedOn w:val="BodyText"/>
    <w:next w:val="BodyText"/>
    <w:link w:val="NoteChar"/>
    <w:rsid w:val="001C2234"/>
    <w:pPr>
      <w:keepLines/>
      <w:spacing w:before="80" w:line="220" w:lineRule="exact"/>
    </w:pPr>
    <w:rPr>
      <w:rFonts w:ascii="Arial" w:hAnsi="Arial"/>
      <w:sz w:val="18"/>
    </w:rPr>
  </w:style>
  <w:style w:type="paragraph" w:customStyle="1" w:styleId="BoxSpace">
    <w:name w:val="Box Space"/>
    <w:basedOn w:val="BodyText"/>
    <w:rsid w:val="009D31F8"/>
    <w:pPr>
      <w:keepNext/>
      <w:spacing w:before="360" w:line="80" w:lineRule="exact"/>
      <w:jc w:val="left"/>
    </w:pPr>
  </w:style>
  <w:style w:type="paragraph" w:customStyle="1" w:styleId="BoxSubtitle">
    <w:name w:val="Box Subtitle"/>
    <w:basedOn w:val="BoxTitle"/>
    <w:next w:val="Normal"/>
    <w:rsid w:val="001C2234"/>
    <w:pPr>
      <w:spacing w:after="80" w:line="200" w:lineRule="exact"/>
      <w:ind w:firstLine="0"/>
    </w:pPr>
    <w:rPr>
      <w:b w:val="0"/>
      <w:sz w:val="20"/>
    </w:rPr>
  </w:style>
  <w:style w:type="paragraph" w:customStyle="1" w:styleId="BoxTitle">
    <w:name w:val="Box Title"/>
    <w:basedOn w:val="Caption"/>
    <w:next w:val="BoxSubtitle"/>
    <w:rsid w:val="001C2234"/>
    <w:pPr>
      <w:spacing w:before="120" w:after="0"/>
    </w:pPr>
  </w:style>
  <w:style w:type="paragraph" w:styleId="Caption">
    <w:name w:val="caption"/>
    <w:basedOn w:val="Normal"/>
    <w:next w:val="BodyText"/>
    <w:rsid w:val="001C2234"/>
    <w:pPr>
      <w:keepNext/>
      <w:keepLines/>
      <w:spacing w:before="360" w:after="80" w:line="280" w:lineRule="exact"/>
      <w:ind w:left="1474" w:hanging="1474"/>
    </w:pPr>
    <w:rPr>
      <w:rFonts w:ascii="Arial" w:hAnsi="Arial"/>
      <w:b/>
    </w:rPr>
  </w:style>
  <w:style w:type="paragraph" w:customStyle="1" w:styleId="ChapterSummary">
    <w:name w:val="Chapter Summary"/>
    <w:basedOn w:val="BodyText"/>
    <w:rsid w:val="001C2234"/>
    <w:pPr>
      <w:spacing w:line="280" w:lineRule="atLeast"/>
      <w:ind w:left="907"/>
    </w:pPr>
    <w:rPr>
      <w:rFonts w:ascii="Arial" w:hAnsi="Arial"/>
      <w:b/>
      <w:sz w:val="20"/>
    </w:rPr>
  </w:style>
  <w:style w:type="character" w:customStyle="1" w:styleId="DocumentInfo">
    <w:name w:val="Document Info"/>
    <w:basedOn w:val="DefaultParagraphFont"/>
    <w:semiHidden/>
    <w:rsid w:val="001C2234"/>
    <w:rPr>
      <w:rFonts w:ascii="Arial" w:hAnsi="Arial"/>
      <w:sz w:val="14"/>
    </w:rPr>
  </w:style>
  <w:style w:type="paragraph" w:styleId="Footer">
    <w:name w:val="footer"/>
    <w:basedOn w:val="BodyText"/>
    <w:link w:val="FooterChar"/>
    <w:rsid w:val="001C2234"/>
    <w:pPr>
      <w:spacing w:before="80" w:line="200" w:lineRule="exact"/>
      <w:ind w:right="6"/>
      <w:jc w:val="left"/>
    </w:pPr>
    <w:rPr>
      <w:rFonts w:ascii="Arial" w:hAnsi="Arial"/>
      <w:caps/>
      <w:spacing w:val="-4"/>
      <w:sz w:val="16"/>
    </w:rPr>
  </w:style>
  <w:style w:type="character" w:customStyle="1" w:styleId="DraftingNote">
    <w:name w:val="Drafting Note"/>
    <w:basedOn w:val="DefaultParagraphFont"/>
    <w:rsid w:val="001C2234"/>
    <w:rPr>
      <w:b/>
      <w:color w:val="FF0000"/>
      <w:sz w:val="24"/>
      <w:u w:val="dotted"/>
    </w:rPr>
  </w:style>
  <w:style w:type="table" w:styleId="TableGrid">
    <w:name w:val="Table Grid"/>
    <w:basedOn w:val="TableNormal"/>
    <w:rsid w:val="001C2234"/>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Figure">
    <w:name w:val="Figure"/>
    <w:basedOn w:val="BodyText"/>
    <w:rsid w:val="001C2234"/>
    <w:pPr>
      <w:keepNext/>
      <w:spacing w:before="120" w:after="120" w:line="240" w:lineRule="atLeast"/>
      <w:jc w:val="center"/>
    </w:pPr>
  </w:style>
  <w:style w:type="paragraph" w:customStyle="1" w:styleId="FigureTitle">
    <w:name w:val="Figure Title"/>
    <w:basedOn w:val="Caption"/>
    <w:next w:val="Subtitle"/>
    <w:rsid w:val="001C2234"/>
    <w:pPr>
      <w:spacing w:before="120"/>
    </w:pPr>
  </w:style>
  <w:style w:type="paragraph" w:styleId="Subtitle">
    <w:name w:val="Subtitle"/>
    <w:basedOn w:val="Caption"/>
    <w:link w:val="SubtitleChar"/>
    <w:qFormat/>
    <w:rsid w:val="001C2234"/>
    <w:pPr>
      <w:spacing w:before="0" w:line="200" w:lineRule="exact"/>
      <w:ind w:firstLine="0"/>
    </w:pPr>
    <w:rPr>
      <w:b w:val="0"/>
      <w:sz w:val="20"/>
    </w:rPr>
  </w:style>
  <w:style w:type="paragraph" w:customStyle="1" w:styleId="Finding">
    <w:name w:val="Finding"/>
    <w:basedOn w:val="BodyText"/>
    <w:rsid w:val="001C2234"/>
    <w:pPr>
      <w:keepLines/>
      <w:spacing w:before="120" w:line="280" w:lineRule="atLeast"/>
    </w:pPr>
    <w:rPr>
      <w:rFonts w:ascii="Arial" w:hAnsi="Arial"/>
      <w:sz w:val="22"/>
    </w:rPr>
  </w:style>
  <w:style w:type="paragraph" w:customStyle="1" w:styleId="FindingBullet">
    <w:name w:val="Finding Bullet"/>
    <w:basedOn w:val="Finding"/>
    <w:rsid w:val="001C2234"/>
    <w:pPr>
      <w:numPr>
        <w:numId w:val="7"/>
      </w:numPr>
      <w:spacing w:before="80"/>
    </w:pPr>
  </w:style>
  <w:style w:type="paragraph" w:customStyle="1" w:styleId="FindingNoTitle">
    <w:name w:val="Finding NoTitle"/>
    <w:basedOn w:val="Finding"/>
    <w:rsid w:val="001C2234"/>
    <w:pPr>
      <w:spacing w:before="240"/>
    </w:pPr>
  </w:style>
  <w:style w:type="paragraph" w:customStyle="1" w:styleId="FindingTitle">
    <w:name w:val="Finding Title"/>
    <w:basedOn w:val="RecTitle"/>
    <w:next w:val="Finding"/>
    <w:rsid w:val="001C2234"/>
  </w:style>
  <w:style w:type="paragraph" w:customStyle="1" w:styleId="RecTitle">
    <w:name w:val="Rec Title"/>
    <w:basedOn w:val="BodyText"/>
    <w:next w:val="Rec"/>
    <w:qFormat/>
    <w:rsid w:val="001C2234"/>
    <w:pPr>
      <w:keepNext/>
      <w:keepLines/>
      <w:spacing w:line="280" w:lineRule="atLeast"/>
    </w:pPr>
    <w:rPr>
      <w:rFonts w:ascii="Arial" w:hAnsi="Arial"/>
      <w:caps/>
      <w:sz w:val="18"/>
    </w:rPr>
  </w:style>
  <w:style w:type="paragraph" w:customStyle="1" w:styleId="FooterEnd">
    <w:name w:val="Footer End"/>
    <w:basedOn w:val="Footer"/>
    <w:rsid w:val="001C2234"/>
    <w:pPr>
      <w:spacing w:before="0" w:line="20" w:lineRule="exact"/>
    </w:pPr>
  </w:style>
  <w:style w:type="character" w:styleId="FootnoteReference">
    <w:name w:val="footnote reference"/>
    <w:basedOn w:val="DefaultParagraphFont"/>
    <w:semiHidden/>
    <w:rsid w:val="001C2234"/>
    <w:rPr>
      <w:rFonts w:ascii="Times New Roman" w:hAnsi="Times New Roman"/>
      <w:position w:val="6"/>
      <w:sz w:val="20"/>
      <w:vertAlign w:val="baseline"/>
    </w:rPr>
  </w:style>
  <w:style w:type="paragraph" w:styleId="FootnoteText">
    <w:name w:val="footnote text"/>
    <w:basedOn w:val="BodyText"/>
    <w:rsid w:val="001C2234"/>
    <w:pPr>
      <w:tabs>
        <w:tab w:val="left" w:pos="284"/>
      </w:tabs>
      <w:spacing w:before="80" w:line="240" w:lineRule="exact"/>
      <w:ind w:left="284" w:hanging="284"/>
    </w:pPr>
    <w:rPr>
      <w:sz w:val="20"/>
    </w:rPr>
  </w:style>
  <w:style w:type="paragraph" w:styleId="Header">
    <w:name w:val="header"/>
    <w:basedOn w:val="BodyText"/>
    <w:rsid w:val="001C2234"/>
    <w:pPr>
      <w:tabs>
        <w:tab w:val="center" w:pos="4394"/>
        <w:tab w:val="right" w:pos="8789"/>
      </w:tabs>
      <w:spacing w:before="0" w:line="240" w:lineRule="atLeast"/>
      <w:jc w:val="left"/>
    </w:pPr>
    <w:rPr>
      <w:rFonts w:ascii="Arial" w:hAnsi="Arial"/>
      <w:caps/>
    </w:rPr>
  </w:style>
  <w:style w:type="paragraph" w:customStyle="1" w:styleId="HeaderEnd">
    <w:name w:val="Header End"/>
    <w:basedOn w:val="Header"/>
    <w:autoRedefine/>
    <w:rsid w:val="001C2234"/>
    <w:pPr>
      <w:spacing w:line="20" w:lineRule="exact"/>
    </w:pPr>
    <w:rPr>
      <w:sz w:val="16"/>
    </w:rPr>
  </w:style>
  <w:style w:type="paragraph" w:customStyle="1" w:styleId="HeaderEven">
    <w:name w:val="Header Even"/>
    <w:basedOn w:val="Header"/>
    <w:semiHidden/>
    <w:rsid w:val="001C2234"/>
  </w:style>
  <w:style w:type="paragraph" w:customStyle="1" w:styleId="HeaderOdd">
    <w:name w:val="Header Odd"/>
    <w:basedOn w:val="Header"/>
    <w:semiHidden/>
    <w:rsid w:val="001C2234"/>
  </w:style>
  <w:style w:type="paragraph" w:customStyle="1" w:styleId="InformationRequest">
    <w:name w:val="Information Request"/>
    <w:basedOn w:val="Finding"/>
    <w:next w:val="BodyText"/>
    <w:rsid w:val="001C2234"/>
    <w:rPr>
      <w:i/>
    </w:rPr>
  </w:style>
  <w:style w:type="paragraph" w:styleId="ListBullet">
    <w:name w:val="List Bullet"/>
    <w:basedOn w:val="BodyText"/>
    <w:rsid w:val="001C2234"/>
    <w:pPr>
      <w:numPr>
        <w:numId w:val="5"/>
      </w:numPr>
      <w:spacing w:before="120"/>
    </w:pPr>
  </w:style>
  <w:style w:type="paragraph" w:styleId="ListBullet2">
    <w:name w:val="List Bullet 2"/>
    <w:basedOn w:val="BodyText"/>
    <w:rsid w:val="001C2234"/>
    <w:pPr>
      <w:numPr>
        <w:numId w:val="2"/>
      </w:numPr>
      <w:spacing w:before="120"/>
    </w:pPr>
  </w:style>
  <w:style w:type="paragraph" w:styleId="ListBullet3">
    <w:name w:val="List Bullet 3"/>
    <w:basedOn w:val="BodyText"/>
    <w:rsid w:val="001C2234"/>
    <w:pPr>
      <w:numPr>
        <w:numId w:val="1"/>
      </w:numPr>
      <w:spacing w:before="120"/>
      <w:ind w:left="1020" w:hanging="340"/>
    </w:pPr>
  </w:style>
  <w:style w:type="paragraph" w:styleId="ListNumber">
    <w:name w:val="List Number"/>
    <w:basedOn w:val="BodyText"/>
    <w:rsid w:val="001C2234"/>
    <w:pPr>
      <w:numPr>
        <w:numId w:val="13"/>
      </w:numPr>
      <w:spacing w:before="120"/>
    </w:pPr>
  </w:style>
  <w:style w:type="paragraph" w:styleId="ListNumber2">
    <w:name w:val="List Number 2"/>
    <w:basedOn w:val="ListNumber"/>
    <w:rsid w:val="001C2234"/>
    <w:pPr>
      <w:numPr>
        <w:ilvl w:val="1"/>
      </w:numPr>
    </w:pPr>
  </w:style>
  <w:style w:type="paragraph" w:styleId="ListNumber3">
    <w:name w:val="List Number 3"/>
    <w:basedOn w:val="ListNumber2"/>
    <w:rsid w:val="001C2234"/>
    <w:pPr>
      <w:numPr>
        <w:ilvl w:val="2"/>
      </w:numPr>
    </w:pPr>
  </w:style>
  <w:style w:type="character" w:customStyle="1" w:styleId="NoteLabel">
    <w:name w:val="Note Label"/>
    <w:basedOn w:val="DefaultParagraphFont"/>
    <w:rsid w:val="001C2234"/>
    <w:rPr>
      <w:rFonts w:ascii="Arial" w:hAnsi="Arial"/>
      <w:b/>
      <w:position w:val="6"/>
      <w:sz w:val="18"/>
    </w:rPr>
  </w:style>
  <w:style w:type="character" w:styleId="PageNumber">
    <w:name w:val="page number"/>
    <w:basedOn w:val="DefaultParagraphFont"/>
    <w:rsid w:val="001C2234"/>
    <w:rPr>
      <w:rFonts w:ascii="Arial" w:hAnsi="Arial"/>
      <w:b/>
      <w:sz w:val="16"/>
    </w:rPr>
  </w:style>
  <w:style w:type="paragraph" w:customStyle="1" w:styleId="PartDivider">
    <w:name w:val="Part Divider"/>
    <w:basedOn w:val="BodyText"/>
    <w:next w:val="BodyText"/>
    <w:semiHidden/>
    <w:rsid w:val="001C2234"/>
    <w:pPr>
      <w:spacing w:before="0" w:line="40" w:lineRule="exact"/>
      <w:jc w:val="right"/>
    </w:pPr>
    <w:rPr>
      <w:smallCaps/>
      <w:sz w:val="16"/>
    </w:rPr>
  </w:style>
  <w:style w:type="paragraph" w:customStyle="1" w:styleId="PartNumber">
    <w:name w:val="Part Number"/>
    <w:basedOn w:val="BodyText"/>
    <w:next w:val="BodyText"/>
    <w:semiHidden/>
    <w:rsid w:val="001C2234"/>
    <w:pPr>
      <w:spacing w:before="4000" w:line="320" w:lineRule="exact"/>
      <w:ind w:left="6634"/>
      <w:jc w:val="right"/>
    </w:pPr>
    <w:rPr>
      <w:smallCaps/>
      <w:spacing w:val="60"/>
      <w:sz w:val="32"/>
    </w:rPr>
  </w:style>
  <w:style w:type="paragraph" w:customStyle="1" w:styleId="PartTitle">
    <w:name w:val="Part Title"/>
    <w:basedOn w:val="BodyText"/>
    <w:semiHidden/>
    <w:rsid w:val="001C2234"/>
    <w:pPr>
      <w:spacing w:before="160" w:after="1360" w:line="520" w:lineRule="exact"/>
      <w:ind w:right="2381"/>
      <w:jc w:val="right"/>
    </w:pPr>
    <w:rPr>
      <w:smallCaps/>
      <w:sz w:val="52"/>
    </w:rPr>
  </w:style>
  <w:style w:type="paragraph" w:customStyle="1" w:styleId="Rec">
    <w:name w:val="Rec"/>
    <w:basedOn w:val="BodyText"/>
    <w:qFormat/>
    <w:rsid w:val="001C2234"/>
    <w:pPr>
      <w:keepLines/>
      <w:spacing w:before="120" w:line="280" w:lineRule="atLeast"/>
    </w:pPr>
    <w:rPr>
      <w:rFonts w:ascii="Arial" w:hAnsi="Arial"/>
      <w:sz w:val="22"/>
    </w:rPr>
  </w:style>
  <w:style w:type="paragraph" w:customStyle="1" w:styleId="RecBullet">
    <w:name w:val="Rec Bullet"/>
    <w:basedOn w:val="Rec"/>
    <w:rsid w:val="001C2234"/>
    <w:pPr>
      <w:numPr>
        <w:numId w:val="8"/>
      </w:numPr>
      <w:spacing w:before="80"/>
    </w:pPr>
  </w:style>
  <w:style w:type="paragraph" w:customStyle="1" w:styleId="RecB">
    <w:name w:val="RecB"/>
    <w:basedOn w:val="Normal"/>
    <w:rsid w:val="001C2234"/>
    <w:pPr>
      <w:keepLines/>
      <w:pBdr>
        <w:left w:val="single" w:sz="24" w:space="12" w:color="C0C0C0"/>
      </w:pBdr>
      <w:spacing w:before="180" w:line="320" w:lineRule="atLeast"/>
      <w:jc w:val="both"/>
    </w:pPr>
    <w:rPr>
      <w:b/>
      <w:i/>
      <w:szCs w:val="20"/>
    </w:rPr>
  </w:style>
  <w:style w:type="paragraph" w:customStyle="1" w:styleId="RecBBullet">
    <w:name w:val="RecB Bullet"/>
    <w:basedOn w:val="RecB"/>
    <w:rsid w:val="001C2234"/>
    <w:pPr>
      <w:numPr>
        <w:numId w:val="9"/>
      </w:numPr>
      <w:spacing w:before="80"/>
    </w:pPr>
  </w:style>
  <w:style w:type="paragraph" w:customStyle="1" w:styleId="RecBNoTitle">
    <w:name w:val="RecB NoTitle"/>
    <w:basedOn w:val="RecB"/>
    <w:rsid w:val="001C2234"/>
    <w:pPr>
      <w:spacing w:before="240"/>
    </w:pPr>
  </w:style>
  <w:style w:type="paragraph" w:customStyle="1" w:styleId="Reference">
    <w:name w:val="Reference"/>
    <w:basedOn w:val="BodyText"/>
    <w:rsid w:val="001C2234"/>
    <w:pPr>
      <w:spacing w:before="120"/>
      <w:ind w:left="340" w:hanging="340"/>
    </w:pPr>
  </w:style>
  <w:style w:type="paragraph" w:customStyle="1" w:styleId="SideNote">
    <w:name w:val="Side Note"/>
    <w:basedOn w:val="BodyText"/>
    <w:next w:val="BodyText"/>
    <w:semiHidden/>
    <w:rsid w:val="001C2234"/>
    <w:pPr>
      <w:keepNext/>
      <w:keepLines/>
      <w:framePr w:w="2155" w:hSpace="227" w:vSpace="181" w:wrap="around" w:vAnchor="text" w:hAnchor="page" w:xAlign="outside" w:y="1"/>
      <w:jc w:val="left"/>
    </w:pPr>
    <w:rPr>
      <w:i/>
    </w:rPr>
  </w:style>
  <w:style w:type="paragraph" w:customStyle="1" w:styleId="SideNoteBullet">
    <w:name w:val="Side Note Bullet"/>
    <w:basedOn w:val="SideNote"/>
    <w:next w:val="BodyText"/>
    <w:semiHidden/>
    <w:rsid w:val="001C2234"/>
    <w:pPr>
      <w:framePr w:wrap="around"/>
      <w:numPr>
        <w:numId w:val="4"/>
      </w:numPr>
      <w:tabs>
        <w:tab w:val="left" w:pos="227"/>
      </w:tabs>
    </w:pPr>
  </w:style>
  <w:style w:type="paragraph" w:customStyle="1" w:styleId="SideNoteGraphic">
    <w:name w:val="Side Note Graphic"/>
    <w:basedOn w:val="SideNote"/>
    <w:next w:val="BodyText"/>
    <w:semiHidden/>
    <w:rsid w:val="001C2234"/>
    <w:pPr>
      <w:framePr w:wrap="around"/>
    </w:pPr>
  </w:style>
  <w:style w:type="paragraph" w:customStyle="1" w:styleId="TableBodyText">
    <w:name w:val="Table Body Text"/>
    <w:basedOn w:val="BodyText"/>
    <w:rsid w:val="001C2234"/>
    <w:pPr>
      <w:keepNext/>
      <w:keepLines/>
      <w:spacing w:before="0" w:after="40" w:line="200" w:lineRule="atLeast"/>
      <w:ind w:left="6" w:right="113"/>
      <w:jc w:val="right"/>
    </w:pPr>
    <w:rPr>
      <w:rFonts w:ascii="Arial" w:hAnsi="Arial"/>
      <w:sz w:val="18"/>
    </w:rPr>
  </w:style>
  <w:style w:type="paragraph" w:customStyle="1" w:styleId="TableBullet">
    <w:name w:val="Table Bullet"/>
    <w:basedOn w:val="TableBodyText"/>
    <w:rsid w:val="001C2234"/>
    <w:pPr>
      <w:numPr>
        <w:numId w:val="10"/>
      </w:numPr>
      <w:jc w:val="left"/>
    </w:pPr>
  </w:style>
  <w:style w:type="paragraph" w:customStyle="1" w:styleId="TableColumnHeading">
    <w:name w:val="Table Column Heading"/>
    <w:basedOn w:val="TableBodyText"/>
    <w:rsid w:val="001C2234"/>
    <w:pPr>
      <w:spacing w:before="80" w:after="80"/>
    </w:pPr>
    <w:rPr>
      <w:i/>
    </w:rPr>
  </w:style>
  <w:style w:type="paragraph" w:styleId="TableofFigures">
    <w:name w:val="table of figures"/>
    <w:basedOn w:val="TOC3"/>
    <w:next w:val="BodyText"/>
    <w:semiHidden/>
    <w:rsid w:val="001C2234"/>
    <w:pPr>
      <w:ind w:left="737" w:hanging="737"/>
    </w:pPr>
  </w:style>
  <w:style w:type="paragraph" w:styleId="TOC3">
    <w:name w:val="toc 3"/>
    <w:basedOn w:val="TOC2"/>
    <w:rsid w:val="001C2234"/>
    <w:pPr>
      <w:spacing w:before="60"/>
      <w:ind w:left="1190" w:hanging="680"/>
    </w:pPr>
  </w:style>
  <w:style w:type="paragraph" w:styleId="TOC2">
    <w:name w:val="toc 2"/>
    <w:basedOn w:val="TOC1"/>
    <w:rsid w:val="001C2234"/>
    <w:pPr>
      <w:ind w:left="1134" w:hanging="624"/>
    </w:pPr>
    <w:rPr>
      <w:b w:val="0"/>
    </w:rPr>
  </w:style>
  <w:style w:type="paragraph" w:customStyle="1" w:styleId="TableTitle">
    <w:name w:val="Table Title"/>
    <w:basedOn w:val="Caption"/>
    <w:next w:val="Subtitle"/>
    <w:qFormat/>
    <w:rsid w:val="001C2234"/>
    <w:pPr>
      <w:spacing w:before="120"/>
    </w:pPr>
  </w:style>
  <w:style w:type="paragraph" w:customStyle="1" w:styleId="TableUnitsRow">
    <w:name w:val="Table Units Row"/>
    <w:basedOn w:val="TableBodyText"/>
    <w:rsid w:val="001C2234"/>
    <w:pPr>
      <w:spacing w:before="40"/>
    </w:pPr>
  </w:style>
  <w:style w:type="paragraph" w:styleId="TOC1">
    <w:name w:val="toc 1"/>
    <w:basedOn w:val="Normal"/>
    <w:next w:val="TOC2"/>
    <w:link w:val="TOC1Char"/>
    <w:rsid w:val="001C2234"/>
    <w:pPr>
      <w:tabs>
        <w:tab w:val="right" w:pos="8789"/>
      </w:tabs>
      <w:spacing w:before="120" w:line="320" w:lineRule="exact"/>
      <w:ind w:left="510" w:right="851" w:hanging="510"/>
    </w:pPr>
    <w:rPr>
      <w:rFonts w:ascii="Arial" w:hAnsi="Arial"/>
      <w:b/>
      <w:sz w:val="26"/>
      <w:szCs w:val="26"/>
      <w:lang w:eastAsia="en-US"/>
    </w:rPr>
  </w:style>
  <w:style w:type="paragraph" w:styleId="TOC4">
    <w:name w:val="toc 4"/>
    <w:basedOn w:val="TOC3"/>
    <w:semiHidden/>
    <w:rsid w:val="001C2234"/>
    <w:pPr>
      <w:ind w:left="1191" w:firstLine="0"/>
    </w:pPr>
  </w:style>
  <w:style w:type="paragraph" w:customStyle="1" w:styleId="BoxContinued">
    <w:name w:val="Box Continued"/>
    <w:basedOn w:val="BodyText"/>
    <w:next w:val="BodyText"/>
    <w:semiHidden/>
    <w:rsid w:val="001C2234"/>
    <w:pPr>
      <w:spacing w:before="180" w:line="220" w:lineRule="exact"/>
      <w:jc w:val="right"/>
    </w:pPr>
    <w:rPr>
      <w:rFonts w:ascii="Arial" w:hAnsi="Arial"/>
      <w:sz w:val="18"/>
    </w:rPr>
  </w:style>
  <w:style w:type="paragraph" w:customStyle="1" w:styleId="Continued">
    <w:name w:val="Continued"/>
    <w:basedOn w:val="BoxContinued"/>
    <w:next w:val="BodyText"/>
    <w:rsid w:val="001C2234"/>
  </w:style>
  <w:style w:type="paragraph" w:customStyle="1" w:styleId="BoxHeading1">
    <w:name w:val="Box Heading 1"/>
    <w:basedOn w:val="BodyText"/>
    <w:next w:val="Box"/>
    <w:rsid w:val="001C2234"/>
    <w:pPr>
      <w:keepNext/>
      <w:spacing w:before="200" w:line="280" w:lineRule="atLeast"/>
    </w:pPr>
    <w:rPr>
      <w:rFonts w:ascii="Arial" w:hAnsi="Arial"/>
      <w:b/>
      <w:sz w:val="22"/>
    </w:rPr>
  </w:style>
  <w:style w:type="paragraph" w:customStyle="1" w:styleId="BoxHeading2">
    <w:name w:val="Box Heading 2"/>
    <w:basedOn w:val="BoxHeading1"/>
    <w:next w:val="Normal"/>
    <w:rsid w:val="001C2234"/>
    <w:rPr>
      <w:b w:val="0"/>
      <w:i/>
    </w:rPr>
  </w:style>
  <w:style w:type="paragraph" w:customStyle="1" w:styleId="Jurisdictioncommentsbodytext">
    <w:name w:val="Jurisdiction comments body text"/>
    <w:rsid w:val="001C2234"/>
    <w:pPr>
      <w:spacing w:after="140"/>
      <w:jc w:val="both"/>
    </w:pPr>
    <w:rPr>
      <w:rFonts w:ascii="Arial" w:hAnsi="Arial"/>
      <w:sz w:val="24"/>
      <w:lang w:eastAsia="en-US"/>
    </w:rPr>
  </w:style>
  <w:style w:type="paragraph" w:customStyle="1" w:styleId="Jurisdictioncommentsheading">
    <w:name w:val="Jurisdiction comments heading"/>
    <w:rsid w:val="001C2234"/>
    <w:pPr>
      <w:spacing w:after="140" w:line="320" w:lineRule="atLeast"/>
      <w:jc w:val="both"/>
    </w:pPr>
    <w:rPr>
      <w:rFonts w:ascii="Arial" w:hAnsi="Arial"/>
      <w:b/>
      <w:sz w:val="24"/>
      <w:lang w:eastAsia="en-US"/>
    </w:rPr>
  </w:style>
  <w:style w:type="paragraph" w:customStyle="1" w:styleId="Jurisdictioncommentslistbullet">
    <w:name w:val="Jurisdiction comments list bullet"/>
    <w:rsid w:val="001C2234"/>
    <w:pPr>
      <w:numPr>
        <w:numId w:val="12"/>
      </w:numPr>
      <w:spacing w:after="140"/>
      <w:jc w:val="both"/>
    </w:pPr>
    <w:rPr>
      <w:rFonts w:ascii="Arial" w:hAnsi="Arial"/>
      <w:sz w:val="24"/>
      <w:lang w:eastAsia="en-US"/>
    </w:rPr>
  </w:style>
  <w:style w:type="character" w:styleId="Hyperlink">
    <w:name w:val="Hyperlink"/>
    <w:uiPriority w:val="99"/>
    <w:rsid w:val="00914C64"/>
    <w:rPr>
      <w:color w:val="0000FF"/>
      <w:u w:val="single"/>
    </w:rPr>
  </w:style>
  <w:style w:type="paragraph" w:styleId="BalloonText">
    <w:name w:val="Balloon Text"/>
    <w:basedOn w:val="Normal"/>
    <w:link w:val="BalloonTextChar"/>
    <w:rsid w:val="001C2234"/>
    <w:rPr>
      <w:rFonts w:ascii="Tahoma" w:hAnsi="Tahoma" w:cs="Tahoma"/>
      <w:sz w:val="16"/>
      <w:szCs w:val="16"/>
    </w:rPr>
  </w:style>
  <w:style w:type="paragraph" w:customStyle="1" w:styleId="DocInfo">
    <w:name w:val="Doc Info"/>
    <w:basedOn w:val="Normal"/>
    <w:next w:val="Normal"/>
    <w:rsid w:val="001D0866"/>
    <w:pPr>
      <w:jc w:val="center"/>
    </w:pPr>
    <w:rPr>
      <w:rFonts w:ascii="Arial" w:hAnsi="Arial"/>
      <w:sz w:val="14"/>
    </w:rPr>
  </w:style>
  <w:style w:type="paragraph" w:customStyle="1" w:styleId="Heading2NotTOC">
    <w:name w:val="Heading 2 Not TOC"/>
    <w:basedOn w:val="Heading2"/>
    <w:next w:val="BodyText"/>
    <w:rsid w:val="001D0866"/>
    <w:pPr>
      <w:outlineLvl w:val="9"/>
    </w:pPr>
  </w:style>
  <w:style w:type="paragraph" w:customStyle="1" w:styleId="SOC">
    <w:name w:val="SOC"/>
    <w:basedOn w:val="BodyText"/>
    <w:rsid w:val="001D0866"/>
    <w:pPr>
      <w:spacing w:before="0" w:after="140" w:line="240" w:lineRule="auto"/>
    </w:pPr>
    <w:rPr>
      <w:rFonts w:ascii="Arial" w:hAnsi="Arial"/>
    </w:rPr>
  </w:style>
  <w:style w:type="paragraph" w:customStyle="1" w:styleId="Rd">
    <w:name w:val="Rd"/>
    <w:basedOn w:val="ListBullet2"/>
    <w:rsid w:val="008D2E2C"/>
  </w:style>
  <w:style w:type="paragraph" w:customStyle="1" w:styleId="Se">
    <w:name w:val="Se"/>
    <w:basedOn w:val="BodyText"/>
    <w:rsid w:val="006E3F26"/>
    <w:pPr>
      <w:pBdr>
        <w:right w:val="single" w:sz="4" w:space="4" w:color="auto"/>
      </w:pBdr>
    </w:pPr>
  </w:style>
  <w:style w:type="paragraph" w:styleId="CommentSubject">
    <w:name w:val="annotation subject"/>
    <w:basedOn w:val="CommentText"/>
    <w:next w:val="CommentText"/>
    <w:semiHidden/>
    <w:rsid w:val="0021502E"/>
    <w:pPr>
      <w:spacing w:before="0" w:line="240" w:lineRule="auto"/>
      <w:ind w:left="0" w:firstLine="0"/>
    </w:pPr>
    <w:rPr>
      <w:b/>
      <w:bCs/>
      <w:szCs w:val="20"/>
    </w:rPr>
  </w:style>
  <w:style w:type="character" w:customStyle="1" w:styleId="BodyTextChar">
    <w:name w:val="Body Text Char"/>
    <w:basedOn w:val="DefaultParagraphFont"/>
    <w:link w:val="BodyText"/>
    <w:rsid w:val="001C2234"/>
    <w:rPr>
      <w:sz w:val="24"/>
    </w:rPr>
  </w:style>
  <w:style w:type="character" w:customStyle="1" w:styleId="NoteChar">
    <w:name w:val="Note Char"/>
    <w:link w:val="Note"/>
    <w:rsid w:val="004B0818"/>
    <w:rPr>
      <w:rFonts w:ascii="Arial" w:hAnsi="Arial"/>
      <w:sz w:val="18"/>
    </w:rPr>
  </w:style>
  <w:style w:type="paragraph" w:customStyle="1" w:styleId="RecBBullet2">
    <w:name w:val="RecB Bullet 2"/>
    <w:basedOn w:val="ListBullet2"/>
    <w:semiHidden/>
    <w:rsid w:val="001C2234"/>
    <w:pPr>
      <w:pBdr>
        <w:left w:val="single" w:sz="24" w:space="29" w:color="C0C0C0"/>
      </w:pBdr>
    </w:pPr>
    <w:rPr>
      <w:b/>
      <w:i/>
    </w:rPr>
  </w:style>
  <w:style w:type="character" w:customStyle="1" w:styleId="BalloonTextChar">
    <w:name w:val="Balloon Text Char"/>
    <w:basedOn w:val="DefaultParagraphFont"/>
    <w:link w:val="BalloonText"/>
    <w:rsid w:val="001C2234"/>
    <w:rPr>
      <w:rFonts w:ascii="Tahoma" w:hAnsi="Tahoma" w:cs="Tahoma"/>
      <w:sz w:val="16"/>
      <w:szCs w:val="16"/>
    </w:rPr>
  </w:style>
  <w:style w:type="character" w:customStyle="1" w:styleId="SubtitleChar">
    <w:name w:val="Subtitle Char"/>
    <w:basedOn w:val="DefaultParagraphFont"/>
    <w:link w:val="Subtitle"/>
    <w:rsid w:val="001C2234"/>
    <w:rPr>
      <w:rFonts w:ascii="Arial" w:hAnsi="Arial"/>
      <w:szCs w:val="24"/>
    </w:rPr>
  </w:style>
  <w:style w:type="paragraph" w:customStyle="1" w:styleId="BoxListBullet3">
    <w:name w:val="Box List Bullet 3"/>
    <w:basedOn w:val="ListBullet3"/>
    <w:rsid w:val="001C2234"/>
    <w:pPr>
      <w:numPr>
        <w:numId w:val="17"/>
      </w:numPr>
      <w:tabs>
        <w:tab w:val="left" w:pos="907"/>
      </w:tabs>
      <w:spacing w:before="60" w:line="260" w:lineRule="atLeast"/>
      <w:ind w:left="907" w:hanging="340"/>
    </w:pPr>
    <w:rPr>
      <w:rFonts w:ascii="Arial" w:hAnsi="Arial"/>
      <w:sz w:val="20"/>
    </w:rPr>
  </w:style>
  <w:style w:type="character" w:styleId="Emphasis">
    <w:name w:val="Emphasis"/>
    <w:basedOn w:val="DefaultParagraphFont"/>
    <w:rsid w:val="001C2234"/>
    <w:rPr>
      <w:i/>
      <w:iCs/>
    </w:rPr>
  </w:style>
  <w:style w:type="paragraph" w:customStyle="1" w:styleId="BoxQuoteBullet">
    <w:name w:val="Box Quote Bullet"/>
    <w:basedOn w:val="BoxQuote"/>
    <w:next w:val="Box"/>
    <w:rsid w:val="001C2234"/>
    <w:pPr>
      <w:numPr>
        <w:numId w:val="15"/>
      </w:numPr>
      <w:ind w:left="568" w:hanging="284"/>
    </w:pPr>
  </w:style>
  <w:style w:type="paragraph" w:customStyle="1" w:styleId="InformationRequestBullet">
    <w:name w:val="Information Request Bullet"/>
    <w:basedOn w:val="ListBullet"/>
    <w:next w:val="BodyText"/>
    <w:rsid w:val="001C2234"/>
    <w:pPr>
      <w:numPr>
        <w:numId w:val="16"/>
      </w:numPr>
      <w:spacing w:before="80" w:line="280" w:lineRule="atLeast"/>
      <w:ind w:left="357" w:hanging="357"/>
    </w:pPr>
    <w:rPr>
      <w:rFonts w:ascii="Arial" w:hAnsi="Arial"/>
      <w:i/>
      <w:sz w:val="22"/>
    </w:rPr>
  </w:style>
  <w:style w:type="character" w:customStyle="1" w:styleId="Heading5Char">
    <w:name w:val="Heading 5 Char"/>
    <w:basedOn w:val="DefaultParagraphFont"/>
    <w:link w:val="Heading5"/>
    <w:rsid w:val="001C2234"/>
    <w:rPr>
      <w:rFonts w:ascii="Arial" w:hAnsi="Arial"/>
      <w:i/>
      <w:sz w:val="22"/>
    </w:rPr>
  </w:style>
  <w:style w:type="paragraph" w:customStyle="1" w:styleId="BoxSpaceAbove">
    <w:name w:val="Box Space Above"/>
    <w:basedOn w:val="BodyText"/>
    <w:rsid w:val="001C2234"/>
    <w:pPr>
      <w:keepNext/>
      <w:spacing w:before="360" w:line="80" w:lineRule="exact"/>
      <w:jc w:val="left"/>
    </w:pPr>
  </w:style>
  <w:style w:type="paragraph" w:customStyle="1" w:styleId="BoxSpaceBelow">
    <w:name w:val="Box Space Below"/>
    <w:basedOn w:val="Box"/>
    <w:rsid w:val="001C2234"/>
    <w:pPr>
      <w:keepNext w:val="0"/>
      <w:spacing w:before="60" w:after="60" w:line="80" w:lineRule="exact"/>
    </w:pPr>
    <w:rPr>
      <w:sz w:val="14"/>
    </w:rPr>
  </w:style>
  <w:style w:type="paragraph" w:styleId="ListParagraph">
    <w:name w:val="List Paragraph"/>
    <w:basedOn w:val="Normal"/>
    <w:uiPriority w:val="34"/>
    <w:qFormat/>
    <w:rsid w:val="0026730D"/>
    <w:pPr>
      <w:spacing w:after="200" w:line="276" w:lineRule="auto"/>
      <w:ind w:left="720"/>
      <w:contextualSpacing/>
    </w:pPr>
    <w:rPr>
      <w:rFonts w:asciiTheme="minorHAnsi" w:eastAsiaTheme="minorHAnsi" w:hAnsiTheme="minorHAnsi" w:cstheme="minorBidi"/>
      <w:sz w:val="22"/>
      <w:szCs w:val="22"/>
      <w:lang w:eastAsia="en-US"/>
    </w:rPr>
  </w:style>
  <w:style w:type="paragraph" w:customStyle="1" w:styleId="KeyPointsListBullet">
    <w:name w:val="Key Points List Bullet"/>
    <w:basedOn w:val="Normal"/>
    <w:qFormat/>
    <w:rsid w:val="001C2234"/>
    <w:pPr>
      <w:keepNext/>
      <w:numPr>
        <w:numId w:val="18"/>
      </w:numPr>
      <w:spacing w:before="100" w:line="260" w:lineRule="atLeast"/>
      <w:ind w:left="357" w:hanging="357"/>
      <w:jc w:val="both"/>
    </w:pPr>
    <w:rPr>
      <w:rFonts w:ascii="Arial" w:hAnsi="Arial"/>
      <w:sz w:val="20"/>
      <w:szCs w:val="20"/>
      <w:lang w:eastAsia="en-US"/>
    </w:rPr>
  </w:style>
  <w:style w:type="paragraph" w:customStyle="1" w:styleId="KeyPointsListBullet2">
    <w:name w:val="Key Points List Bullet 2"/>
    <w:basedOn w:val="BoxListBullet2"/>
    <w:rsid w:val="001C2234"/>
    <w:pPr>
      <w:numPr>
        <w:numId w:val="19"/>
      </w:numPr>
      <w:ind w:left="568" w:hanging="284"/>
    </w:pPr>
  </w:style>
  <w:style w:type="paragraph" w:customStyle="1" w:styleId="InformationRequestTitle">
    <w:name w:val="Information Request Title"/>
    <w:basedOn w:val="FindingTitle"/>
    <w:next w:val="InformationRequest"/>
    <w:rsid w:val="001C2234"/>
    <w:rPr>
      <w:i/>
    </w:rPr>
  </w:style>
  <w:style w:type="paragraph" w:customStyle="1" w:styleId="Space">
    <w:name w:val="Space"/>
    <w:basedOn w:val="Normal"/>
    <w:rsid w:val="001C2234"/>
    <w:pPr>
      <w:keepNext/>
      <w:spacing w:line="120" w:lineRule="exact"/>
      <w:jc w:val="both"/>
    </w:pPr>
    <w:rPr>
      <w:rFonts w:ascii="Arial" w:hAnsi="Arial"/>
      <w:sz w:val="20"/>
      <w:szCs w:val="20"/>
    </w:rPr>
  </w:style>
  <w:style w:type="paragraph" w:customStyle="1" w:styleId="Heading1nochapterno">
    <w:name w:val="Heading 1 (no chapter no.)"/>
    <w:basedOn w:val="Heading1"/>
    <w:rsid w:val="001C2234"/>
    <w:pPr>
      <w:spacing w:before="0"/>
      <w:ind w:left="0" w:firstLine="0"/>
    </w:pPr>
  </w:style>
  <w:style w:type="paragraph" w:customStyle="1" w:styleId="Heading2nosectionno">
    <w:name w:val="Heading 2 (no section no.)"/>
    <w:basedOn w:val="Heading2"/>
    <w:rsid w:val="001C2234"/>
    <w:pPr>
      <w:ind w:left="0" w:firstLine="0"/>
    </w:pPr>
  </w:style>
  <w:style w:type="paragraph" w:customStyle="1" w:styleId="Figurespace">
    <w:name w:val="Figure space"/>
    <w:basedOn w:val="Box"/>
    <w:rsid w:val="001C2234"/>
    <w:pPr>
      <w:spacing w:before="0" w:line="120" w:lineRule="exact"/>
    </w:pPr>
  </w:style>
  <w:style w:type="paragraph" w:customStyle="1" w:styleId="FooterDraftReport">
    <w:name w:val="FooterDraftReport"/>
    <w:basedOn w:val="Footer"/>
    <w:link w:val="FooterDraftReportChar"/>
    <w:rsid w:val="001C2234"/>
    <w:pPr>
      <w:spacing w:before="40"/>
    </w:pPr>
    <w:rPr>
      <w:rFonts w:cs="Arial"/>
      <w:color w:val="808080"/>
      <w14:textFill>
        <w14:solidFill>
          <w14:srgbClr w14:val="808080">
            <w14:lumMod w14:val="50000"/>
            <w14:lumOff w14:val="50000"/>
            <w14:lumMod w14:val="50000"/>
            <w14:lumOff w14:val="50000"/>
            <w14:lumMod w14:val="50000"/>
          </w14:srgbClr>
        </w14:solidFill>
      </w14:textFill>
    </w:rPr>
  </w:style>
  <w:style w:type="character" w:customStyle="1" w:styleId="FooterChar">
    <w:name w:val="Footer Char"/>
    <w:basedOn w:val="BodyTextChar"/>
    <w:link w:val="Footer"/>
    <w:rsid w:val="001C2234"/>
    <w:rPr>
      <w:rFonts w:ascii="Arial" w:hAnsi="Arial"/>
      <w:caps/>
      <w:spacing w:val="-4"/>
      <w:sz w:val="16"/>
    </w:rPr>
  </w:style>
  <w:style w:type="character" w:customStyle="1" w:styleId="FooterDraftReportChar">
    <w:name w:val="FooterDraftReport Char"/>
    <w:basedOn w:val="FooterChar"/>
    <w:link w:val="FooterDraftReport"/>
    <w:rsid w:val="001C2234"/>
    <w:rPr>
      <w:rFonts w:ascii="Arial" w:hAnsi="Arial" w:cs="Arial"/>
      <w:caps/>
      <w:color w:val="808080"/>
      <w:spacing w:val="-4"/>
      <w:sz w:val="16"/>
      <w14:textFill>
        <w14:solidFill>
          <w14:srgbClr w14:val="808080">
            <w14:lumMod w14:val="50000"/>
            <w14:lumOff w14:val="50000"/>
            <w14:lumMod w14:val="50000"/>
            <w14:lumOff w14:val="50000"/>
            <w14:lumMod w14:val="50000"/>
          </w14:srgbClr>
        </w14:solidFill>
      </w14:textFill>
    </w:rPr>
  </w:style>
  <w:style w:type="character" w:customStyle="1" w:styleId="TOC1Char">
    <w:name w:val="TOC 1 Char"/>
    <w:basedOn w:val="DefaultParagraphFont"/>
    <w:link w:val="TOC1"/>
    <w:rsid w:val="001C2234"/>
    <w:rPr>
      <w:rFonts w:ascii="Arial" w:hAnsi="Arial"/>
      <w:b/>
      <w:sz w:val="26"/>
      <w:szCs w:val="26"/>
      <w:lang w:eastAsia="en-US"/>
    </w:rPr>
  </w:style>
  <w:style w:type="paragraph" w:customStyle="1" w:styleId="Heading1NotTOC">
    <w:name w:val="Heading 1 Not TOC"/>
    <w:basedOn w:val="Heading1"/>
    <w:next w:val="BodyText"/>
    <w:rsid w:val="009830F1"/>
    <w:rPr>
      <w:kern w:val="28"/>
      <w:szCs w:val="26"/>
      <w:lang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AU" w:eastAsia="en-AU"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qFormat="1"/>
    <w:lsdException w:name="Title" w:qFormat="1"/>
    <w:lsdException w:name="Default Paragraph Font" w:uiPriority="1"/>
    <w:lsdException w:name="Body Text" w:qFormat="1"/>
    <w:lsdException w:name="Subtitle" w:qFormat="1"/>
    <w:lsdException w:name="Hyperlink" w:uiPriority="99"/>
    <w:lsdException w:name="Strong" w:qFormat="1"/>
    <w:lsdException w:name="Emphasis" w:qFormat="1"/>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rsid w:val="001C2234"/>
    <w:rPr>
      <w:sz w:val="24"/>
      <w:szCs w:val="24"/>
    </w:rPr>
  </w:style>
  <w:style w:type="paragraph" w:styleId="Heading1">
    <w:name w:val="heading 1"/>
    <w:basedOn w:val="BodyText"/>
    <w:next w:val="BodyText"/>
    <w:rsid w:val="001C2234"/>
    <w:pPr>
      <w:keepNext/>
      <w:spacing w:before="160" w:after="1360" w:line="600" w:lineRule="exact"/>
      <w:ind w:left="907" w:hanging="907"/>
      <w:jc w:val="left"/>
      <w:outlineLvl w:val="0"/>
    </w:pPr>
    <w:rPr>
      <w:sz w:val="52"/>
    </w:rPr>
  </w:style>
  <w:style w:type="paragraph" w:styleId="Heading2">
    <w:name w:val="heading 2"/>
    <w:basedOn w:val="Chapter"/>
    <w:next w:val="BodyText"/>
    <w:qFormat/>
    <w:rsid w:val="001C2234"/>
    <w:pPr>
      <w:spacing w:before="600" w:after="0" w:line="400" w:lineRule="exact"/>
      <w:ind w:left="907" w:hanging="907"/>
      <w:outlineLvl w:val="1"/>
    </w:pPr>
    <w:rPr>
      <w:rFonts w:ascii="Arial" w:hAnsi="Arial"/>
      <w:b/>
      <w:sz w:val="32"/>
    </w:rPr>
  </w:style>
  <w:style w:type="paragraph" w:styleId="Heading3">
    <w:name w:val="heading 3"/>
    <w:basedOn w:val="Heading2"/>
    <w:next w:val="BodyText"/>
    <w:qFormat/>
    <w:rsid w:val="001C2234"/>
    <w:pPr>
      <w:spacing w:before="560" w:line="320" w:lineRule="exact"/>
      <w:ind w:left="0" w:firstLine="0"/>
      <w:outlineLvl w:val="2"/>
    </w:pPr>
    <w:rPr>
      <w:sz w:val="26"/>
    </w:rPr>
  </w:style>
  <w:style w:type="paragraph" w:styleId="Heading4">
    <w:name w:val="heading 4"/>
    <w:basedOn w:val="Heading3"/>
    <w:next w:val="BodyText"/>
    <w:qFormat/>
    <w:rsid w:val="001C2234"/>
    <w:pPr>
      <w:spacing w:before="480"/>
      <w:outlineLvl w:val="3"/>
    </w:pPr>
    <w:rPr>
      <w:b w:val="0"/>
      <w:sz w:val="24"/>
    </w:rPr>
  </w:style>
  <w:style w:type="paragraph" w:styleId="Heading5">
    <w:name w:val="heading 5"/>
    <w:basedOn w:val="Heading4"/>
    <w:next w:val="BodyText"/>
    <w:link w:val="Heading5Char"/>
    <w:qFormat/>
    <w:rsid w:val="001C2234"/>
    <w:pPr>
      <w:outlineLvl w:val="4"/>
    </w:pPr>
    <w:rPr>
      <w:i/>
      <w:sz w:val="22"/>
    </w:rPr>
  </w:style>
  <w:style w:type="paragraph" w:styleId="Heading6">
    <w:name w:val="heading 6"/>
    <w:basedOn w:val="BodyText"/>
    <w:next w:val="BodyText"/>
    <w:rsid w:val="001C2234"/>
    <w:pPr>
      <w:spacing w:after="60"/>
      <w:jc w:val="left"/>
      <w:outlineLvl w:val="5"/>
    </w:pPr>
    <w:rPr>
      <w:i/>
      <w:sz w:val="22"/>
    </w:rPr>
  </w:style>
  <w:style w:type="paragraph" w:styleId="Heading7">
    <w:name w:val="heading 7"/>
    <w:basedOn w:val="BodyText"/>
    <w:next w:val="BodyText"/>
    <w:rsid w:val="001C2234"/>
    <w:pPr>
      <w:spacing w:after="60" w:line="240" w:lineRule="auto"/>
      <w:jc w:val="left"/>
      <w:outlineLvl w:val="6"/>
    </w:pPr>
    <w:rPr>
      <w:rFonts w:ascii="Arial" w:hAnsi="Arial"/>
      <w:sz w:val="20"/>
    </w:rPr>
  </w:style>
  <w:style w:type="paragraph" w:styleId="Heading8">
    <w:name w:val="heading 8"/>
    <w:basedOn w:val="BodyText"/>
    <w:next w:val="BodyText"/>
    <w:rsid w:val="001C2234"/>
    <w:pPr>
      <w:spacing w:after="60" w:line="240" w:lineRule="auto"/>
      <w:jc w:val="left"/>
      <w:outlineLvl w:val="7"/>
    </w:pPr>
    <w:rPr>
      <w:rFonts w:ascii="Arial" w:hAnsi="Arial"/>
      <w:i/>
      <w:sz w:val="20"/>
    </w:rPr>
  </w:style>
  <w:style w:type="paragraph" w:styleId="Heading9">
    <w:name w:val="heading 9"/>
    <w:basedOn w:val="BodyText"/>
    <w:next w:val="BodyText"/>
    <w:rsid w:val="001C2234"/>
    <w:pPr>
      <w:spacing w:after="60" w:line="240" w:lineRule="auto"/>
      <w:jc w:val="left"/>
      <w:outlineLvl w:val="8"/>
    </w:pPr>
    <w:rPr>
      <w:rFonts w:ascii="Arial" w:hAnsi="Arial"/>
      <w:b/>
      <w:i/>
      <w:sz w:val="18"/>
    </w:rPr>
  </w:style>
  <w:style w:type="character" w:default="1" w:styleId="DefaultParagraphFont">
    <w:name w:val="Default Paragraph Font"/>
    <w:uiPriority w:val="1"/>
    <w:semiHidden/>
    <w:unhideWhenUsed/>
    <w:rsid w:val="001C2234"/>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rsid w:val="001C2234"/>
  </w:style>
  <w:style w:type="paragraph" w:styleId="BodyText">
    <w:name w:val="Body Text"/>
    <w:link w:val="BodyTextChar"/>
    <w:qFormat/>
    <w:rsid w:val="001C2234"/>
    <w:pPr>
      <w:spacing w:before="240" w:line="300" w:lineRule="atLeast"/>
      <w:jc w:val="both"/>
    </w:pPr>
    <w:rPr>
      <w:sz w:val="24"/>
    </w:rPr>
  </w:style>
  <w:style w:type="paragraph" w:customStyle="1" w:styleId="Chapter">
    <w:name w:val="Chapter"/>
    <w:basedOn w:val="Heading1"/>
    <w:next w:val="BodyText"/>
    <w:semiHidden/>
    <w:rsid w:val="001C2234"/>
    <w:pPr>
      <w:ind w:left="0" w:firstLine="0"/>
      <w:outlineLvl w:val="9"/>
    </w:pPr>
  </w:style>
  <w:style w:type="paragraph" w:customStyle="1" w:styleId="SequenceInfo">
    <w:name w:val="Sequence Info"/>
    <w:basedOn w:val="BodyText"/>
    <w:semiHidden/>
    <w:rsid w:val="001C2234"/>
    <w:rPr>
      <w:vanish/>
      <w:sz w:val="16"/>
    </w:rPr>
  </w:style>
  <w:style w:type="character" w:styleId="CommentReference">
    <w:name w:val="annotation reference"/>
    <w:basedOn w:val="DefaultParagraphFont"/>
    <w:semiHidden/>
    <w:rsid w:val="001C2234"/>
    <w:rPr>
      <w:b/>
      <w:vanish/>
      <w:color w:val="FF00FF"/>
      <w:sz w:val="20"/>
    </w:rPr>
  </w:style>
  <w:style w:type="paragraph" w:styleId="CommentText">
    <w:name w:val="annotation text"/>
    <w:basedOn w:val="Normal"/>
    <w:semiHidden/>
    <w:rsid w:val="001C2234"/>
    <w:pPr>
      <w:spacing w:before="120" w:line="240" w:lineRule="atLeast"/>
      <w:ind w:left="567" w:hanging="567"/>
    </w:pPr>
    <w:rPr>
      <w:sz w:val="20"/>
    </w:rPr>
  </w:style>
  <w:style w:type="paragraph" w:customStyle="1" w:styleId="Abbreviation">
    <w:name w:val="Abbreviation"/>
    <w:basedOn w:val="BodyText"/>
    <w:rsid w:val="001C2234"/>
    <w:pPr>
      <w:spacing w:before="120"/>
      <w:ind w:left="2381" w:hanging="2381"/>
      <w:jc w:val="left"/>
    </w:pPr>
  </w:style>
  <w:style w:type="paragraph" w:customStyle="1" w:styleId="Box">
    <w:name w:val="Box"/>
    <w:basedOn w:val="BodyText"/>
    <w:qFormat/>
    <w:rsid w:val="001C2234"/>
    <w:pPr>
      <w:keepNext/>
      <w:spacing w:before="120" w:line="260" w:lineRule="atLeast"/>
    </w:pPr>
    <w:rPr>
      <w:rFonts w:ascii="Arial" w:hAnsi="Arial"/>
      <w:sz w:val="20"/>
    </w:rPr>
  </w:style>
  <w:style w:type="paragraph" w:customStyle="1" w:styleId="QuoteBullet">
    <w:name w:val="Quote Bullet"/>
    <w:basedOn w:val="Quote"/>
    <w:rsid w:val="001C2234"/>
    <w:pPr>
      <w:numPr>
        <w:numId w:val="11"/>
      </w:numPr>
    </w:pPr>
  </w:style>
  <w:style w:type="paragraph" w:styleId="Quote">
    <w:name w:val="Quote"/>
    <w:basedOn w:val="BodyText"/>
    <w:next w:val="BodyText"/>
    <w:qFormat/>
    <w:rsid w:val="001C2234"/>
    <w:pPr>
      <w:spacing w:before="120" w:line="280" w:lineRule="exact"/>
      <w:ind w:left="340"/>
    </w:pPr>
    <w:rPr>
      <w:sz w:val="22"/>
    </w:rPr>
  </w:style>
  <w:style w:type="paragraph" w:customStyle="1" w:styleId="BoxListBullet">
    <w:name w:val="Box List Bullet"/>
    <w:basedOn w:val="BodyText"/>
    <w:rsid w:val="001C2234"/>
    <w:pPr>
      <w:keepNext/>
      <w:numPr>
        <w:numId w:val="6"/>
      </w:numPr>
      <w:spacing w:before="100" w:line="260" w:lineRule="atLeast"/>
    </w:pPr>
    <w:rPr>
      <w:rFonts w:ascii="Arial" w:hAnsi="Arial"/>
      <w:sz w:val="20"/>
    </w:rPr>
  </w:style>
  <w:style w:type="paragraph" w:customStyle="1" w:styleId="BoxListBullet2">
    <w:name w:val="Box List Bullet 2"/>
    <w:basedOn w:val="BoxListBullet"/>
    <w:rsid w:val="001C2234"/>
    <w:pPr>
      <w:numPr>
        <w:numId w:val="3"/>
      </w:numPr>
      <w:ind w:left="568" w:hanging="284"/>
    </w:pPr>
  </w:style>
  <w:style w:type="paragraph" w:customStyle="1" w:styleId="BoxListNumber">
    <w:name w:val="Box List Number"/>
    <w:basedOn w:val="BodyText"/>
    <w:rsid w:val="001C2234"/>
    <w:pPr>
      <w:keepNext/>
      <w:numPr>
        <w:numId w:val="14"/>
      </w:numPr>
      <w:spacing w:before="100" w:line="260" w:lineRule="atLeast"/>
    </w:pPr>
    <w:rPr>
      <w:rFonts w:ascii="Arial" w:hAnsi="Arial"/>
      <w:sz w:val="20"/>
    </w:rPr>
  </w:style>
  <w:style w:type="paragraph" w:customStyle="1" w:styleId="BoxListNumber2">
    <w:name w:val="Box List Number 2"/>
    <w:basedOn w:val="BoxListNumber"/>
    <w:rsid w:val="001C2234"/>
    <w:pPr>
      <w:numPr>
        <w:ilvl w:val="1"/>
      </w:numPr>
      <w:ind w:left="681" w:hanging="397"/>
    </w:pPr>
  </w:style>
  <w:style w:type="paragraph" w:customStyle="1" w:styleId="BoxQuote">
    <w:name w:val="Box Quote"/>
    <w:basedOn w:val="BodyText"/>
    <w:next w:val="Box"/>
    <w:qFormat/>
    <w:rsid w:val="001C2234"/>
    <w:pPr>
      <w:keepNext/>
      <w:spacing w:before="60" w:line="240" w:lineRule="exact"/>
      <w:ind w:left="284"/>
    </w:pPr>
    <w:rPr>
      <w:rFonts w:ascii="Arial" w:hAnsi="Arial"/>
      <w:sz w:val="18"/>
    </w:rPr>
  </w:style>
  <w:style w:type="paragraph" w:customStyle="1" w:styleId="BoxSource">
    <w:name w:val="Box Source"/>
    <w:basedOn w:val="Source"/>
    <w:next w:val="BodyText"/>
    <w:rsid w:val="001C2234"/>
    <w:pPr>
      <w:spacing w:before="120"/>
    </w:pPr>
  </w:style>
  <w:style w:type="paragraph" w:customStyle="1" w:styleId="Source">
    <w:name w:val="Source"/>
    <w:basedOn w:val="Normal"/>
    <w:next w:val="BodyText"/>
    <w:rsid w:val="001C2234"/>
    <w:pPr>
      <w:keepLines/>
      <w:spacing w:before="80" w:line="220" w:lineRule="exact"/>
      <w:jc w:val="both"/>
    </w:pPr>
    <w:rPr>
      <w:rFonts w:ascii="Arial" w:hAnsi="Arial"/>
      <w:sz w:val="18"/>
      <w:szCs w:val="20"/>
    </w:rPr>
  </w:style>
  <w:style w:type="paragraph" w:customStyle="1" w:styleId="Note">
    <w:name w:val="Note"/>
    <w:basedOn w:val="BodyText"/>
    <w:next w:val="BodyText"/>
    <w:link w:val="NoteChar"/>
    <w:rsid w:val="001C2234"/>
    <w:pPr>
      <w:keepLines/>
      <w:spacing w:before="80" w:line="220" w:lineRule="exact"/>
    </w:pPr>
    <w:rPr>
      <w:rFonts w:ascii="Arial" w:hAnsi="Arial"/>
      <w:sz w:val="18"/>
    </w:rPr>
  </w:style>
  <w:style w:type="paragraph" w:customStyle="1" w:styleId="BoxSpace">
    <w:name w:val="Box Space"/>
    <w:basedOn w:val="BodyText"/>
    <w:rsid w:val="009D31F8"/>
    <w:pPr>
      <w:keepNext/>
      <w:spacing w:before="360" w:line="80" w:lineRule="exact"/>
      <w:jc w:val="left"/>
    </w:pPr>
  </w:style>
  <w:style w:type="paragraph" w:customStyle="1" w:styleId="BoxSubtitle">
    <w:name w:val="Box Subtitle"/>
    <w:basedOn w:val="BoxTitle"/>
    <w:next w:val="Normal"/>
    <w:rsid w:val="001C2234"/>
    <w:pPr>
      <w:spacing w:after="80" w:line="200" w:lineRule="exact"/>
      <w:ind w:firstLine="0"/>
    </w:pPr>
    <w:rPr>
      <w:b w:val="0"/>
      <w:sz w:val="20"/>
    </w:rPr>
  </w:style>
  <w:style w:type="paragraph" w:customStyle="1" w:styleId="BoxTitle">
    <w:name w:val="Box Title"/>
    <w:basedOn w:val="Caption"/>
    <w:next w:val="BoxSubtitle"/>
    <w:rsid w:val="001C2234"/>
    <w:pPr>
      <w:spacing w:before="120" w:after="0"/>
    </w:pPr>
  </w:style>
  <w:style w:type="paragraph" w:styleId="Caption">
    <w:name w:val="caption"/>
    <w:basedOn w:val="Normal"/>
    <w:next w:val="BodyText"/>
    <w:rsid w:val="001C2234"/>
    <w:pPr>
      <w:keepNext/>
      <w:keepLines/>
      <w:spacing w:before="360" w:after="80" w:line="280" w:lineRule="exact"/>
      <w:ind w:left="1474" w:hanging="1474"/>
    </w:pPr>
    <w:rPr>
      <w:rFonts w:ascii="Arial" w:hAnsi="Arial"/>
      <w:b/>
    </w:rPr>
  </w:style>
  <w:style w:type="paragraph" w:customStyle="1" w:styleId="ChapterSummary">
    <w:name w:val="Chapter Summary"/>
    <w:basedOn w:val="BodyText"/>
    <w:rsid w:val="001C2234"/>
    <w:pPr>
      <w:spacing w:line="280" w:lineRule="atLeast"/>
      <w:ind w:left="907"/>
    </w:pPr>
    <w:rPr>
      <w:rFonts w:ascii="Arial" w:hAnsi="Arial"/>
      <w:b/>
      <w:sz w:val="20"/>
    </w:rPr>
  </w:style>
  <w:style w:type="character" w:customStyle="1" w:styleId="DocumentInfo">
    <w:name w:val="Document Info"/>
    <w:basedOn w:val="DefaultParagraphFont"/>
    <w:semiHidden/>
    <w:rsid w:val="001C2234"/>
    <w:rPr>
      <w:rFonts w:ascii="Arial" w:hAnsi="Arial"/>
      <w:sz w:val="14"/>
    </w:rPr>
  </w:style>
  <w:style w:type="paragraph" w:styleId="Footer">
    <w:name w:val="footer"/>
    <w:basedOn w:val="BodyText"/>
    <w:link w:val="FooterChar"/>
    <w:rsid w:val="001C2234"/>
    <w:pPr>
      <w:spacing w:before="80" w:line="200" w:lineRule="exact"/>
      <w:ind w:right="6"/>
      <w:jc w:val="left"/>
    </w:pPr>
    <w:rPr>
      <w:rFonts w:ascii="Arial" w:hAnsi="Arial"/>
      <w:caps/>
      <w:spacing w:val="-4"/>
      <w:sz w:val="16"/>
    </w:rPr>
  </w:style>
  <w:style w:type="character" w:customStyle="1" w:styleId="DraftingNote">
    <w:name w:val="Drafting Note"/>
    <w:basedOn w:val="DefaultParagraphFont"/>
    <w:rsid w:val="001C2234"/>
    <w:rPr>
      <w:b/>
      <w:color w:val="FF0000"/>
      <w:sz w:val="24"/>
      <w:u w:val="dotted"/>
    </w:rPr>
  </w:style>
  <w:style w:type="table" w:styleId="TableGrid">
    <w:name w:val="Table Grid"/>
    <w:basedOn w:val="TableNormal"/>
    <w:rsid w:val="001C2234"/>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Figure">
    <w:name w:val="Figure"/>
    <w:basedOn w:val="BodyText"/>
    <w:rsid w:val="001C2234"/>
    <w:pPr>
      <w:keepNext/>
      <w:spacing w:before="120" w:after="120" w:line="240" w:lineRule="atLeast"/>
      <w:jc w:val="center"/>
    </w:pPr>
  </w:style>
  <w:style w:type="paragraph" w:customStyle="1" w:styleId="FigureTitle">
    <w:name w:val="Figure Title"/>
    <w:basedOn w:val="Caption"/>
    <w:next w:val="Subtitle"/>
    <w:rsid w:val="001C2234"/>
    <w:pPr>
      <w:spacing w:before="120"/>
    </w:pPr>
  </w:style>
  <w:style w:type="paragraph" w:styleId="Subtitle">
    <w:name w:val="Subtitle"/>
    <w:basedOn w:val="Caption"/>
    <w:link w:val="SubtitleChar"/>
    <w:qFormat/>
    <w:rsid w:val="001C2234"/>
    <w:pPr>
      <w:spacing w:before="0" w:line="200" w:lineRule="exact"/>
      <w:ind w:firstLine="0"/>
    </w:pPr>
    <w:rPr>
      <w:b w:val="0"/>
      <w:sz w:val="20"/>
    </w:rPr>
  </w:style>
  <w:style w:type="paragraph" w:customStyle="1" w:styleId="Finding">
    <w:name w:val="Finding"/>
    <w:basedOn w:val="BodyText"/>
    <w:rsid w:val="001C2234"/>
    <w:pPr>
      <w:keepLines/>
      <w:spacing w:before="120" w:line="280" w:lineRule="atLeast"/>
    </w:pPr>
    <w:rPr>
      <w:rFonts w:ascii="Arial" w:hAnsi="Arial"/>
      <w:sz w:val="22"/>
    </w:rPr>
  </w:style>
  <w:style w:type="paragraph" w:customStyle="1" w:styleId="FindingBullet">
    <w:name w:val="Finding Bullet"/>
    <w:basedOn w:val="Finding"/>
    <w:rsid w:val="001C2234"/>
    <w:pPr>
      <w:numPr>
        <w:numId w:val="7"/>
      </w:numPr>
      <w:spacing w:before="80"/>
    </w:pPr>
  </w:style>
  <w:style w:type="paragraph" w:customStyle="1" w:styleId="FindingNoTitle">
    <w:name w:val="Finding NoTitle"/>
    <w:basedOn w:val="Finding"/>
    <w:rsid w:val="001C2234"/>
    <w:pPr>
      <w:spacing w:before="240"/>
    </w:pPr>
  </w:style>
  <w:style w:type="paragraph" w:customStyle="1" w:styleId="FindingTitle">
    <w:name w:val="Finding Title"/>
    <w:basedOn w:val="RecTitle"/>
    <w:next w:val="Finding"/>
    <w:rsid w:val="001C2234"/>
  </w:style>
  <w:style w:type="paragraph" w:customStyle="1" w:styleId="RecTitle">
    <w:name w:val="Rec Title"/>
    <w:basedOn w:val="BodyText"/>
    <w:next w:val="Rec"/>
    <w:qFormat/>
    <w:rsid w:val="001C2234"/>
    <w:pPr>
      <w:keepNext/>
      <w:keepLines/>
      <w:spacing w:line="280" w:lineRule="atLeast"/>
    </w:pPr>
    <w:rPr>
      <w:rFonts w:ascii="Arial" w:hAnsi="Arial"/>
      <w:caps/>
      <w:sz w:val="18"/>
    </w:rPr>
  </w:style>
  <w:style w:type="paragraph" w:customStyle="1" w:styleId="FooterEnd">
    <w:name w:val="Footer End"/>
    <w:basedOn w:val="Footer"/>
    <w:rsid w:val="001C2234"/>
    <w:pPr>
      <w:spacing w:before="0" w:line="20" w:lineRule="exact"/>
    </w:pPr>
  </w:style>
  <w:style w:type="character" w:styleId="FootnoteReference">
    <w:name w:val="footnote reference"/>
    <w:basedOn w:val="DefaultParagraphFont"/>
    <w:semiHidden/>
    <w:rsid w:val="001C2234"/>
    <w:rPr>
      <w:rFonts w:ascii="Times New Roman" w:hAnsi="Times New Roman"/>
      <w:position w:val="6"/>
      <w:sz w:val="20"/>
      <w:vertAlign w:val="baseline"/>
    </w:rPr>
  </w:style>
  <w:style w:type="paragraph" w:styleId="FootnoteText">
    <w:name w:val="footnote text"/>
    <w:basedOn w:val="BodyText"/>
    <w:rsid w:val="001C2234"/>
    <w:pPr>
      <w:tabs>
        <w:tab w:val="left" w:pos="284"/>
      </w:tabs>
      <w:spacing w:before="80" w:line="240" w:lineRule="exact"/>
      <w:ind w:left="284" w:hanging="284"/>
    </w:pPr>
    <w:rPr>
      <w:sz w:val="20"/>
    </w:rPr>
  </w:style>
  <w:style w:type="paragraph" w:styleId="Header">
    <w:name w:val="header"/>
    <w:basedOn w:val="BodyText"/>
    <w:rsid w:val="001C2234"/>
    <w:pPr>
      <w:tabs>
        <w:tab w:val="center" w:pos="4394"/>
        <w:tab w:val="right" w:pos="8789"/>
      </w:tabs>
      <w:spacing w:before="0" w:line="240" w:lineRule="atLeast"/>
      <w:jc w:val="left"/>
    </w:pPr>
    <w:rPr>
      <w:rFonts w:ascii="Arial" w:hAnsi="Arial"/>
      <w:caps/>
    </w:rPr>
  </w:style>
  <w:style w:type="paragraph" w:customStyle="1" w:styleId="HeaderEnd">
    <w:name w:val="Header End"/>
    <w:basedOn w:val="Header"/>
    <w:autoRedefine/>
    <w:rsid w:val="001C2234"/>
    <w:pPr>
      <w:spacing w:line="20" w:lineRule="exact"/>
    </w:pPr>
    <w:rPr>
      <w:sz w:val="16"/>
    </w:rPr>
  </w:style>
  <w:style w:type="paragraph" w:customStyle="1" w:styleId="HeaderEven">
    <w:name w:val="Header Even"/>
    <w:basedOn w:val="Header"/>
    <w:semiHidden/>
    <w:rsid w:val="001C2234"/>
  </w:style>
  <w:style w:type="paragraph" w:customStyle="1" w:styleId="HeaderOdd">
    <w:name w:val="Header Odd"/>
    <w:basedOn w:val="Header"/>
    <w:semiHidden/>
    <w:rsid w:val="001C2234"/>
  </w:style>
  <w:style w:type="paragraph" w:customStyle="1" w:styleId="InformationRequest">
    <w:name w:val="Information Request"/>
    <w:basedOn w:val="Finding"/>
    <w:next w:val="BodyText"/>
    <w:rsid w:val="001C2234"/>
    <w:rPr>
      <w:i/>
    </w:rPr>
  </w:style>
  <w:style w:type="paragraph" w:styleId="ListBullet">
    <w:name w:val="List Bullet"/>
    <w:basedOn w:val="BodyText"/>
    <w:rsid w:val="001C2234"/>
    <w:pPr>
      <w:numPr>
        <w:numId w:val="5"/>
      </w:numPr>
      <w:spacing w:before="120"/>
    </w:pPr>
  </w:style>
  <w:style w:type="paragraph" w:styleId="ListBullet2">
    <w:name w:val="List Bullet 2"/>
    <w:basedOn w:val="BodyText"/>
    <w:rsid w:val="001C2234"/>
    <w:pPr>
      <w:numPr>
        <w:numId w:val="2"/>
      </w:numPr>
      <w:spacing w:before="120"/>
    </w:pPr>
  </w:style>
  <w:style w:type="paragraph" w:styleId="ListBullet3">
    <w:name w:val="List Bullet 3"/>
    <w:basedOn w:val="BodyText"/>
    <w:rsid w:val="001C2234"/>
    <w:pPr>
      <w:numPr>
        <w:numId w:val="1"/>
      </w:numPr>
      <w:spacing w:before="120"/>
      <w:ind w:left="1020" w:hanging="340"/>
    </w:pPr>
  </w:style>
  <w:style w:type="paragraph" w:styleId="ListNumber">
    <w:name w:val="List Number"/>
    <w:basedOn w:val="BodyText"/>
    <w:rsid w:val="001C2234"/>
    <w:pPr>
      <w:numPr>
        <w:numId w:val="13"/>
      </w:numPr>
      <w:spacing w:before="120"/>
    </w:pPr>
  </w:style>
  <w:style w:type="paragraph" w:styleId="ListNumber2">
    <w:name w:val="List Number 2"/>
    <w:basedOn w:val="ListNumber"/>
    <w:rsid w:val="001C2234"/>
    <w:pPr>
      <w:numPr>
        <w:ilvl w:val="1"/>
      </w:numPr>
    </w:pPr>
  </w:style>
  <w:style w:type="paragraph" w:styleId="ListNumber3">
    <w:name w:val="List Number 3"/>
    <w:basedOn w:val="ListNumber2"/>
    <w:rsid w:val="001C2234"/>
    <w:pPr>
      <w:numPr>
        <w:ilvl w:val="2"/>
      </w:numPr>
    </w:pPr>
  </w:style>
  <w:style w:type="character" w:customStyle="1" w:styleId="NoteLabel">
    <w:name w:val="Note Label"/>
    <w:basedOn w:val="DefaultParagraphFont"/>
    <w:rsid w:val="001C2234"/>
    <w:rPr>
      <w:rFonts w:ascii="Arial" w:hAnsi="Arial"/>
      <w:b/>
      <w:position w:val="6"/>
      <w:sz w:val="18"/>
    </w:rPr>
  </w:style>
  <w:style w:type="character" w:styleId="PageNumber">
    <w:name w:val="page number"/>
    <w:basedOn w:val="DefaultParagraphFont"/>
    <w:rsid w:val="001C2234"/>
    <w:rPr>
      <w:rFonts w:ascii="Arial" w:hAnsi="Arial"/>
      <w:b/>
      <w:sz w:val="16"/>
    </w:rPr>
  </w:style>
  <w:style w:type="paragraph" w:customStyle="1" w:styleId="PartDivider">
    <w:name w:val="Part Divider"/>
    <w:basedOn w:val="BodyText"/>
    <w:next w:val="BodyText"/>
    <w:semiHidden/>
    <w:rsid w:val="001C2234"/>
    <w:pPr>
      <w:spacing w:before="0" w:line="40" w:lineRule="exact"/>
      <w:jc w:val="right"/>
    </w:pPr>
    <w:rPr>
      <w:smallCaps/>
      <w:sz w:val="16"/>
    </w:rPr>
  </w:style>
  <w:style w:type="paragraph" w:customStyle="1" w:styleId="PartNumber">
    <w:name w:val="Part Number"/>
    <w:basedOn w:val="BodyText"/>
    <w:next w:val="BodyText"/>
    <w:semiHidden/>
    <w:rsid w:val="001C2234"/>
    <w:pPr>
      <w:spacing w:before="4000" w:line="320" w:lineRule="exact"/>
      <w:ind w:left="6634"/>
      <w:jc w:val="right"/>
    </w:pPr>
    <w:rPr>
      <w:smallCaps/>
      <w:spacing w:val="60"/>
      <w:sz w:val="32"/>
    </w:rPr>
  </w:style>
  <w:style w:type="paragraph" w:customStyle="1" w:styleId="PartTitle">
    <w:name w:val="Part Title"/>
    <w:basedOn w:val="BodyText"/>
    <w:semiHidden/>
    <w:rsid w:val="001C2234"/>
    <w:pPr>
      <w:spacing w:before="160" w:after="1360" w:line="520" w:lineRule="exact"/>
      <w:ind w:right="2381"/>
      <w:jc w:val="right"/>
    </w:pPr>
    <w:rPr>
      <w:smallCaps/>
      <w:sz w:val="52"/>
    </w:rPr>
  </w:style>
  <w:style w:type="paragraph" w:customStyle="1" w:styleId="Rec">
    <w:name w:val="Rec"/>
    <w:basedOn w:val="BodyText"/>
    <w:qFormat/>
    <w:rsid w:val="001C2234"/>
    <w:pPr>
      <w:keepLines/>
      <w:spacing w:before="120" w:line="280" w:lineRule="atLeast"/>
    </w:pPr>
    <w:rPr>
      <w:rFonts w:ascii="Arial" w:hAnsi="Arial"/>
      <w:sz w:val="22"/>
    </w:rPr>
  </w:style>
  <w:style w:type="paragraph" w:customStyle="1" w:styleId="RecBullet">
    <w:name w:val="Rec Bullet"/>
    <w:basedOn w:val="Rec"/>
    <w:rsid w:val="001C2234"/>
    <w:pPr>
      <w:numPr>
        <w:numId w:val="8"/>
      </w:numPr>
      <w:spacing w:before="80"/>
    </w:pPr>
  </w:style>
  <w:style w:type="paragraph" w:customStyle="1" w:styleId="RecB">
    <w:name w:val="RecB"/>
    <w:basedOn w:val="Normal"/>
    <w:rsid w:val="001C2234"/>
    <w:pPr>
      <w:keepLines/>
      <w:pBdr>
        <w:left w:val="single" w:sz="24" w:space="12" w:color="C0C0C0"/>
      </w:pBdr>
      <w:spacing w:before="180" w:line="320" w:lineRule="atLeast"/>
      <w:jc w:val="both"/>
    </w:pPr>
    <w:rPr>
      <w:b/>
      <w:i/>
      <w:szCs w:val="20"/>
    </w:rPr>
  </w:style>
  <w:style w:type="paragraph" w:customStyle="1" w:styleId="RecBBullet">
    <w:name w:val="RecB Bullet"/>
    <w:basedOn w:val="RecB"/>
    <w:rsid w:val="001C2234"/>
    <w:pPr>
      <w:numPr>
        <w:numId w:val="9"/>
      </w:numPr>
      <w:spacing w:before="80"/>
    </w:pPr>
  </w:style>
  <w:style w:type="paragraph" w:customStyle="1" w:styleId="RecBNoTitle">
    <w:name w:val="RecB NoTitle"/>
    <w:basedOn w:val="RecB"/>
    <w:rsid w:val="001C2234"/>
    <w:pPr>
      <w:spacing w:before="240"/>
    </w:pPr>
  </w:style>
  <w:style w:type="paragraph" w:customStyle="1" w:styleId="Reference">
    <w:name w:val="Reference"/>
    <w:basedOn w:val="BodyText"/>
    <w:rsid w:val="001C2234"/>
    <w:pPr>
      <w:spacing w:before="120"/>
      <w:ind w:left="340" w:hanging="340"/>
    </w:pPr>
  </w:style>
  <w:style w:type="paragraph" w:customStyle="1" w:styleId="SideNote">
    <w:name w:val="Side Note"/>
    <w:basedOn w:val="BodyText"/>
    <w:next w:val="BodyText"/>
    <w:semiHidden/>
    <w:rsid w:val="001C2234"/>
    <w:pPr>
      <w:keepNext/>
      <w:keepLines/>
      <w:framePr w:w="2155" w:hSpace="227" w:vSpace="181" w:wrap="around" w:vAnchor="text" w:hAnchor="page" w:xAlign="outside" w:y="1"/>
      <w:jc w:val="left"/>
    </w:pPr>
    <w:rPr>
      <w:i/>
    </w:rPr>
  </w:style>
  <w:style w:type="paragraph" w:customStyle="1" w:styleId="SideNoteBullet">
    <w:name w:val="Side Note Bullet"/>
    <w:basedOn w:val="SideNote"/>
    <w:next w:val="BodyText"/>
    <w:semiHidden/>
    <w:rsid w:val="001C2234"/>
    <w:pPr>
      <w:framePr w:wrap="around"/>
      <w:numPr>
        <w:numId w:val="4"/>
      </w:numPr>
      <w:tabs>
        <w:tab w:val="left" w:pos="227"/>
      </w:tabs>
    </w:pPr>
  </w:style>
  <w:style w:type="paragraph" w:customStyle="1" w:styleId="SideNoteGraphic">
    <w:name w:val="Side Note Graphic"/>
    <w:basedOn w:val="SideNote"/>
    <w:next w:val="BodyText"/>
    <w:semiHidden/>
    <w:rsid w:val="001C2234"/>
    <w:pPr>
      <w:framePr w:wrap="around"/>
    </w:pPr>
  </w:style>
  <w:style w:type="paragraph" w:customStyle="1" w:styleId="TableBodyText">
    <w:name w:val="Table Body Text"/>
    <w:basedOn w:val="BodyText"/>
    <w:rsid w:val="001C2234"/>
    <w:pPr>
      <w:keepNext/>
      <w:keepLines/>
      <w:spacing w:before="0" w:after="40" w:line="200" w:lineRule="atLeast"/>
      <w:ind w:left="6" w:right="113"/>
      <w:jc w:val="right"/>
    </w:pPr>
    <w:rPr>
      <w:rFonts w:ascii="Arial" w:hAnsi="Arial"/>
      <w:sz w:val="18"/>
    </w:rPr>
  </w:style>
  <w:style w:type="paragraph" w:customStyle="1" w:styleId="TableBullet">
    <w:name w:val="Table Bullet"/>
    <w:basedOn w:val="TableBodyText"/>
    <w:rsid w:val="001C2234"/>
    <w:pPr>
      <w:numPr>
        <w:numId w:val="10"/>
      </w:numPr>
      <w:jc w:val="left"/>
    </w:pPr>
  </w:style>
  <w:style w:type="paragraph" w:customStyle="1" w:styleId="TableColumnHeading">
    <w:name w:val="Table Column Heading"/>
    <w:basedOn w:val="TableBodyText"/>
    <w:rsid w:val="001C2234"/>
    <w:pPr>
      <w:spacing w:before="80" w:after="80"/>
    </w:pPr>
    <w:rPr>
      <w:i/>
    </w:rPr>
  </w:style>
  <w:style w:type="paragraph" w:styleId="TableofFigures">
    <w:name w:val="table of figures"/>
    <w:basedOn w:val="TOC3"/>
    <w:next w:val="BodyText"/>
    <w:semiHidden/>
    <w:rsid w:val="001C2234"/>
    <w:pPr>
      <w:ind w:left="737" w:hanging="737"/>
    </w:pPr>
  </w:style>
  <w:style w:type="paragraph" w:styleId="TOC3">
    <w:name w:val="toc 3"/>
    <w:basedOn w:val="TOC2"/>
    <w:rsid w:val="001C2234"/>
    <w:pPr>
      <w:spacing w:before="60"/>
      <w:ind w:left="1190" w:hanging="680"/>
    </w:pPr>
  </w:style>
  <w:style w:type="paragraph" w:styleId="TOC2">
    <w:name w:val="toc 2"/>
    <w:basedOn w:val="TOC1"/>
    <w:rsid w:val="001C2234"/>
    <w:pPr>
      <w:ind w:left="1134" w:hanging="624"/>
    </w:pPr>
    <w:rPr>
      <w:b w:val="0"/>
    </w:rPr>
  </w:style>
  <w:style w:type="paragraph" w:customStyle="1" w:styleId="TableTitle">
    <w:name w:val="Table Title"/>
    <w:basedOn w:val="Caption"/>
    <w:next w:val="Subtitle"/>
    <w:qFormat/>
    <w:rsid w:val="001C2234"/>
    <w:pPr>
      <w:spacing w:before="120"/>
    </w:pPr>
  </w:style>
  <w:style w:type="paragraph" w:customStyle="1" w:styleId="TableUnitsRow">
    <w:name w:val="Table Units Row"/>
    <w:basedOn w:val="TableBodyText"/>
    <w:rsid w:val="001C2234"/>
    <w:pPr>
      <w:spacing w:before="40"/>
    </w:pPr>
  </w:style>
  <w:style w:type="paragraph" w:styleId="TOC1">
    <w:name w:val="toc 1"/>
    <w:basedOn w:val="Normal"/>
    <w:next w:val="TOC2"/>
    <w:link w:val="TOC1Char"/>
    <w:rsid w:val="001C2234"/>
    <w:pPr>
      <w:tabs>
        <w:tab w:val="right" w:pos="8789"/>
      </w:tabs>
      <w:spacing w:before="120" w:line="320" w:lineRule="exact"/>
      <w:ind w:left="510" w:right="851" w:hanging="510"/>
    </w:pPr>
    <w:rPr>
      <w:rFonts w:ascii="Arial" w:hAnsi="Arial"/>
      <w:b/>
      <w:sz w:val="26"/>
      <w:szCs w:val="26"/>
      <w:lang w:eastAsia="en-US"/>
    </w:rPr>
  </w:style>
  <w:style w:type="paragraph" w:styleId="TOC4">
    <w:name w:val="toc 4"/>
    <w:basedOn w:val="TOC3"/>
    <w:semiHidden/>
    <w:rsid w:val="001C2234"/>
    <w:pPr>
      <w:ind w:left="1191" w:firstLine="0"/>
    </w:pPr>
  </w:style>
  <w:style w:type="paragraph" w:customStyle="1" w:styleId="BoxContinued">
    <w:name w:val="Box Continued"/>
    <w:basedOn w:val="BodyText"/>
    <w:next w:val="BodyText"/>
    <w:semiHidden/>
    <w:rsid w:val="001C2234"/>
    <w:pPr>
      <w:spacing w:before="180" w:line="220" w:lineRule="exact"/>
      <w:jc w:val="right"/>
    </w:pPr>
    <w:rPr>
      <w:rFonts w:ascii="Arial" w:hAnsi="Arial"/>
      <w:sz w:val="18"/>
    </w:rPr>
  </w:style>
  <w:style w:type="paragraph" w:customStyle="1" w:styleId="Continued">
    <w:name w:val="Continued"/>
    <w:basedOn w:val="BoxContinued"/>
    <w:next w:val="BodyText"/>
    <w:rsid w:val="001C2234"/>
  </w:style>
  <w:style w:type="paragraph" w:customStyle="1" w:styleId="BoxHeading1">
    <w:name w:val="Box Heading 1"/>
    <w:basedOn w:val="BodyText"/>
    <w:next w:val="Box"/>
    <w:rsid w:val="001C2234"/>
    <w:pPr>
      <w:keepNext/>
      <w:spacing w:before="200" w:line="280" w:lineRule="atLeast"/>
    </w:pPr>
    <w:rPr>
      <w:rFonts w:ascii="Arial" w:hAnsi="Arial"/>
      <w:b/>
      <w:sz w:val="22"/>
    </w:rPr>
  </w:style>
  <w:style w:type="paragraph" w:customStyle="1" w:styleId="BoxHeading2">
    <w:name w:val="Box Heading 2"/>
    <w:basedOn w:val="BoxHeading1"/>
    <w:next w:val="Normal"/>
    <w:rsid w:val="001C2234"/>
    <w:rPr>
      <w:b w:val="0"/>
      <w:i/>
    </w:rPr>
  </w:style>
  <w:style w:type="paragraph" w:customStyle="1" w:styleId="Jurisdictioncommentsbodytext">
    <w:name w:val="Jurisdiction comments body text"/>
    <w:rsid w:val="001C2234"/>
    <w:pPr>
      <w:spacing w:after="140"/>
      <w:jc w:val="both"/>
    </w:pPr>
    <w:rPr>
      <w:rFonts w:ascii="Arial" w:hAnsi="Arial"/>
      <w:sz w:val="24"/>
      <w:lang w:eastAsia="en-US"/>
    </w:rPr>
  </w:style>
  <w:style w:type="paragraph" w:customStyle="1" w:styleId="Jurisdictioncommentsheading">
    <w:name w:val="Jurisdiction comments heading"/>
    <w:rsid w:val="001C2234"/>
    <w:pPr>
      <w:spacing w:after="140" w:line="320" w:lineRule="atLeast"/>
      <w:jc w:val="both"/>
    </w:pPr>
    <w:rPr>
      <w:rFonts w:ascii="Arial" w:hAnsi="Arial"/>
      <w:b/>
      <w:sz w:val="24"/>
      <w:lang w:eastAsia="en-US"/>
    </w:rPr>
  </w:style>
  <w:style w:type="paragraph" w:customStyle="1" w:styleId="Jurisdictioncommentslistbullet">
    <w:name w:val="Jurisdiction comments list bullet"/>
    <w:rsid w:val="001C2234"/>
    <w:pPr>
      <w:numPr>
        <w:numId w:val="12"/>
      </w:numPr>
      <w:spacing w:after="140"/>
      <w:jc w:val="both"/>
    </w:pPr>
    <w:rPr>
      <w:rFonts w:ascii="Arial" w:hAnsi="Arial"/>
      <w:sz w:val="24"/>
      <w:lang w:eastAsia="en-US"/>
    </w:rPr>
  </w:style>
  <w:style w:type="character" w:styleId="Hyperlink">
    <w:name w:val="Hyperlink"/>
    <w:uiPriority w:val="99"/>
    <w:rsid w:val="00914C64"/>
    <w:rPr>
      <w:color w:val="0000FF"/>
      <w:u w:val="single"/>
    </w:rPr>
  </w:style>
  <w:style w:type="paragraph" w:styleId="BalloonText">
    <w:name w:val="Balloon Text"/>
    <w:basedOn w:val="Normal"/>
    <w:link w:val="BalloonTextChar"/>
    <w:rsid w:val="001C2234"/>
    <w:rPr>
      <w:rFonts w:ascii="Tahoma" w:hAnsi="Tahoma" w:cs="Tahoma"/>
      <w:sz w:val="16"/>
      <w:szCs w:val="16"/>
    </w:rPr>
  </w:style>
  <w:style w:type="paragraph" w:customStyle="1" w:styleId="DocInfo">
    <w:name w:val="Doc Info"/>
    <w:basedOn w:val="Normal"/>
    <w:next w:val="Normal"/>
    <w:rsid w:val="001D0866"/>
    <w:pPr>
      <w:jc w:val="center"/>
    </w:pPr>
    <w:rPr>
      <w:rFonts w:ascii="Arial" w:hAnsi="Arial"/>
      <w:sz w:val="14"/>
    </w:rPr>
  </w:style>
  <w:style w:type="paragraph" w:customStyle="1" w:styleId="Heading2NotTOC">
    <w:name w:val="Heading 2 Not TOC"/>
    <w:basedOn w:val="Heading2"/>
    <w:next w:val="BodyText"/>
    <w:rsid w:val="001D0866"/>
    <w:pPr>
      <w:outlineLvl w:val="9"/>
    </w:pPr>
  </w:style>
  <w:style w:type="paragraph" w:customStyle="1" w:styleId="SOC">
    <w:name w:val="SOC"/>
    <w:basedOn w:val="BodyText"/>
    <w:rsid w:val="001D0866"/>
    <w:pPr>
      <w:spacing w:before="0" w:after="140" w:line="240" w:lineRule="auto"/>
    </w:pPr>
    <w:rPr>
      <w:rFonts w:ascii="Arial" w:hAnsi="Arial"/>
    </w:rPr>
  </w:style>
  <w:style w:type="paragraph" w:customStyle="1" w:styleId="Rd">
    <w:name w:val="Rd"/>
    <w:basedOn w:val="ListBullet2"/>
    <w:rsid w:val="008D2E2C"/>
  </w:style>
  <w:style w:type="paragraph" w:customStyle="1" w:styleId="Se">
    <w:name w:val="Se"/>
    <w:basedOn w:val="BodyText"/>
    <w:rsid w:val="006E3F26"/>
    <w:pPr>
      <w:pBdr>
        <w:right w:val="single" w:sz="4" w:space="4" w:color="auto"/>
      </w:pBdr>
    </w:pPr>
  </w:style>
  <w:style w:type="paragraph" w:styleId="CommentSubject">
    <w:name w:val="annotation subject"/>
    <w:basedOn w:val="CommentText"/>
    <w:next w:val="CommentText"/>
    <w:semiHidden/>
    <w:rsid w:val="0021502E"/>
    <w:pPr>
      <w:spacing w:before="0" w:line="240" w:lineRule="auto"/>
      <w:ind w:left="0" w:firstLine="0"/>
    </w:pPr>
    <w:rPr>
      <w:b/>
      <w:bCs/>
      <w:szCs w:val="20"/>
    </w:rPr>
  </w:style>
  <w:style w:type="character" w:customStyle="1" w:styleId="BodyTextChar">
    <w:name w:val="Body Text Char"/>
    <w:basedOn w:val="DefaultParagraphFont"/>
    <w:link w:val="BodyText"/>
    <w:rsid w:val="001C2234"/>
    <w:rPr>
      <w:sz w:val="24"/>
    </w:rPr>
  </w:style>
  <w:style w:type="character" w:customStyle="1" w:styleId="NoteChar">
    <w:name w:val="Note Char"/>
    <w:link w:val="Note"/>
    <w:rsid w:val="004B0818"/>
    <w:rPr>
      <w:rFonts w:ascii="Arial" w:hAnsi="Arial"/>
      <w:sz w:val="18"/>
    </w:rPr>
  </w:style>
  <w:style w:type="paragraph" w:customStyle="1" w:styleId="RecBBullet2">
    <w:name w:val="RecB Bullet 2"/>
    <w:basedOn w:val="ListBullet2"/>
    <w:semiHidden/>
    <w:rsid w:val="001C2234"/>
    <w:pPr>
      <w:pBdr>
        <w:left w:val="single" w:sz="24" w:space="29" w:color="C0C0C0"/>
      </w:pBdr>
    </w:pPr>
    <w:rPr>
      <w:b/>
      <w:i/>
    </w:rPr>
  </w:style>
  <w:style w:type="character" w:customStyle="1" w:styleId="BalloonTextChar">
    <w:name w:val="Balloon Text Char"/>
    <w:basedOn w:val="DefaultParagraphFont"/>
    <w:link w:val="BalloonText"/>
    <w:rsid w:val="001C2234"/>
    <w:rPr>
      <w:rFonts w:ascii="Tahoma" w:hAnsi="Tahoma" w:cs="Tahoma"/>
      <w:sz w:val="16"/>
      <w:szCs w:val="16"/>
    </w:rPr>
  </w:style>
  <w:style w:type="character" w:customStyle="1" w:styleId="SubtitleChar">
    <w:name w:val="Subtitle Char"/>
    <w:basedOn w:val="DefaultParagraphFont"/>
    <w:link w:val="Subtitle"/>
    <w:rsid w:val="001C2234"/>
    <w:rPr>
      <w:rFonts w:ascii="Arial" w:hAnsi="Arial"/>
      <w:szCs w:val="24"/>
    </w:rPr>
  </w:style>
  <w:style w:type="paragraph" w:customStyle="1" w:styleId="BoxListBullet3">
    <w:name w:val="Box List Bullet 3"/>
    <w:basedOn w:val="ListBullet3"/>
    <w:rsid w:val="001C2234"/>
    <w:pPr>
      <w:numPr>
        <w:numId w:val="17"/>
      </w:numPr>
      <w:tabs>
        <w:tab w:val="left" w:pos="907"/>
      </w:tabs>
      <w:spacing w:before="60" w:line="260" w:lineRule="atLeast"/>
      <w:ind w:left="907" w:hanging="340"/>
    </w:pPr>
    <w:rPr>
      <w:rFonts w:ascii="Arial" w:hAnsi="Arial"/>
      <w:sz w:val="20"/>
    </w:rPr>
  </w:style>
  <w:style w:type="character" w:styleId="Emphasis">
    <w:name w:val="Emphasis"/>
    <w:basedOn w:val="DefaultParagraphFont"/>
    <w:rsid w:val="001C2234"/>
    <w:rPr>
      <w:i/>
      <w:iCs/>
    </w:rPr>
  </w:style>
  <w:style w:type="paragraph" w:customStyle="1" w:styleId="BoxQuoteBullet">
    <w:name w:val="Box Quote Bullet"/>
    <w:basedOn w:val="BoxQuote"/>
    <w:next w:val="Box"/>
    <w:rsid w:val="001C2234"/>
    <w:pPr>
      <w:numPr>
        <w:numId w:val="15"/>
      </w:numPr>
      <w:ind w:left="568" w:hanging="284"/>
    </w:pPr>
  </w:style>
  <w:style w:type="paragraph" w:customStyle="1" w:styleId="InformationRequestBullet">
    <w:name w:val="Information Request Bullet"/>
    <w:basedOn w:val="ListBullet"/>
    <w:next w:val="BodyText"/>
    <w:rsid w:val="001C2234"/>
    <w:pPr>
      <w:numPr>
        <w:numId w:val="16"/>
      </w:numPr>
      <w:spacing w:before="80" w:line="280" w:lineRule="atLeast"/>
      <w:ind w:left="357" w:hanging="357"/>
    </w:pPr>
    <w:rPr>
      <w:rFonts w:ascii="Arial" w:hAnsi="Arial"/>
      <w:i/>
      <w:sz w:val="22"/>
    </w:rPr>
  </w:style>
  <w:style w:type="character" w:customStyle="1" w:styleId="Heading5Char">
    <w:name w:val="Heading 5 Char"/>
    <w:basedOn w:val="DefaultParagraphFont"/>
    <w:link w:val="Heading5"/>
    <w:rsid w:val="001C2234"/>
    <w:rPr>
      <w:rFonts w:ascii="Arial" w:hAnsi="Arial"/>
      <w:i/>
      <w:sz w:val="22"/>
    </w:rPr>
  </w:style>
  <w:style w:type="paragraph" w:customStyle="1" w:styleId="BoxSpaceAbove">
    <w:name w:val="Box Space Above"/>
    <w:basedOn w:val="BodyText"/>
    <w:rsid w:val="001C2234"/>
    <w:pPr>
      <w:keepNext/>
      <w:spacing w:before="360" w:line="80" w:lineRule="exact"/>
      <w:jc w:val="left"/>
    </w:pPr>
  </w:style>
  <w:style w:type="paragraph" w:customStyle="1" w:styleId="BoxSpaceBelow">
    <w:name w:val="Box Space Below"/>
    <w:basedOn w:val="Box"/>
    <w:rsid w:val="001C2234"/>
    <w:pPr>
      <w:keepNext w:val="0"/>
      <w:spacing w:before="60" w:after="60" w:line="80" w:lineRule="exact"/>
    </w:pPr>
    <w:rPr>
      <w:sz w:val="14"/>
    </w:rPr>
  </w:style>
  <w:style w:type="paragraph" w:styleId="ListParagraph">
    <w:name w:val="List Paragraph"/>
    <w:basedOn w:val="Normal"/>
    <w:uiPriority w:val="34"/>
    <w:qFormat/>
    <w:rsid w:val="0026730D"/>
    <w:pPr>
      <w:spacing w:after="200" w:line="276" w:lineRule="auto"/>
      <w:ind w:left="720"/>
      <w:contextualSpacing/>
    </w:pPr>
    <w:rPr>
      <w:rFonts w:asciiTheme="minorHAnsi" w:eastAsiaTheme="minorHAnsi" w:hAnsiTheme="minorHAnsi" w:cstheme="minorBidi"/>
      <w:sz w:val="22"/>
      <w:szCs w:val="22"/>
      <w:lang w:eastAsia="en-US"/>
    </w:rPr>
  </w:style>
  <w:style w:type="paragraph" w:customStyle="1" w:styleId="KeyPointsListBullet">
    <w:name w:val="Key Points List Bullet"/>
    <w:basedOn w:val="Normal"/>
    <w:qFormat/>
    <w:rsid w:val="001C2234"/>
    <w:pPr>
      <w:keepNext/>
      <w:numPr>
        <w:numId w:val="18"/>
      </w:numPr>
      <w:spacing w:before="100" w:line="260" w:lineRule="atLeast"/>
      <w:ind w:left="357" w:hanging="357"/>
      <w:jc w:val="both"/>
    </w:pPr>
    <w:rPr>
      <w:rFonts w:ascii="Arial" w:hAnsi="Arial"/>
      <w:sz w:val="20"/>
      <w:szCs w:val="20"/>
      <w:lang w:eastAsia="en-US"/>
    </w:rPr>
  </w:style>
  <w:style w:type="paragraph" w:customStyle="1" w:styleId="KeyPointsListBullet2">
    <w:name w:val="Key Points List Bullet 2"/>
    <w:basedOn w:val="BoxListBullet2"/>
    <w:rsid w:val="001C2234"/>
    <w:pPr>
      <w:numPr>
        <w:numId w:val="19"/>
      </w:numPr>
      <w:ind w:left="568" w:hanging="284"/>
    </w:pPr>
  </w:style>
  <w:style w:type="paragraph" w:customStyle="1" w:styleId="InformationRequestTitle">
    <w:name w:val="Information Request Title"/>
    <w:basedOn w:val="FindingTitle"/>
    <w:next w:val="InformationRequest"/>
    <w:rsid w:val="001C2234"/>
    <w:rPr>
      <w:i/>
    </w:rPr>
  </w:style>
  <w:style w:type="paragraph" w:customStyle="1" w:styleId="Space">
    <w:name w:val="Space"/>
    <w:basedOn w:val="Normal"/>
    <w:rsid w:val="001C2234"/>
    <w:pPr>
      <w:keepNext/>
      <w:spacing w:line="120" w:lineRule="exact"/>
      <w:jc w:val="both"/>
    </w:pPr>
    <w:rPr>
      <w:rFonts w:ascii="Arial" w:hAnsi="Arial"/>
      <w:sz w:val="20"/>
      <w:szCs w:val="20"/>
    </w:rPr>
  </w:style>
  <w:style w:type="paragraph" w:customStyle="1" w:styleId="Heading1nochapterno">
    <w:name w:val="Heading 1 (no chapter no.)"/>
    <w:basedOn w:val="Heading1"/>
    <w:rsid w:val="001C2234"/>
    <w:pPr>
      <w:spacing w:before="0"/>
      <w:ind w:left="0" w:firstLine="0"/>
    </w:pPr>
  </w:style>
  <w:style w:type="paragraph" w:customStyle="1" w:styleId="Heading2nosectionno">
    <w:name w:val="Heading 2 (no section no.)"/>
    <w:basedOn w:val="Heading2"/>
    <w:rsid w:val="001C2234"/>
    <w:pPr>
      <w:ind w:left="0" w:firstLine="0"/>
    </w:pPr>
  </w:style>
  <w:style w:type="paragraph" w:customStyle="1" w:styleId="Figurespace">
    <w:name w:val="Figure space"/>
    <w:basedOn w:val="Box"/>
    <w:rsid w:val="001C2234"/>
    <w:pPr>
      <w:spacing w:before="0" w:line="120" w:lineRule="exact"/>
    </w:pPr>
  </w:style>
  <w:style w:type="paragraph" w:customStyle="1" w:styleId="FooterDraftReport">
    <w:name w:val="FooterDraftReport"/>
    <w:basedOn w:val="Footer"/>
    <w:link w:val="FooterDraftReportChar"/>
    <w:rsid w:val="001C2234"/>
    <w:pPr>
      <w:spacing w:before="40"/>
    </w:pPr>
    <w:rPr>
      <w:rFonts w:cs="Arial"/>
      <w:color w:val="808080"/>
      <w14:textFill>
        <w14:solidFill>
          <w14:srgbClr w14:val="808080">
            <w14:lumMod w14:val="50000"/>
            <w14:lumOff w14:val="50000"/>
            <w14:lumMod w14:val="50000"/>
            <w14:lumOff w14:val="50000"/>
            <w14:lumMod w14:val="50000"/>
          </w14:srgbClr>
        </w14:solidFill>
      </w14:textFill>
    </w:rPr>
  </w:style>
  <w:style w:type="character" w:customStyle="1" w:styleId="FooterChar">
    <w:name w:val="Footer Char"/>
    <w:basedOn w:val="BodyTextChar"/>
    <w:link w:val="Footer"/>
    <w:rsid w:val="001C2234"/>
    <w:rPr>
      <w:rFonts w:ascii="Arial" w:hAnsi="Arial"/>
      <w:caps/>
      <w:spacing w:val="-4"/>
      <w:sz w:val="16"/>
    </w:rPr>
  </w:style>
  <w:style w:type="character" w:customStyle="1" w:styleId="FooterDraftReportChar">
    <w:name w:val="FooterDraftReport Char"/>
    <w:basedOn w:val="FooterChar"/>
    <w:link w:val="FooterDraftReport"/>
    <w:rsid w:val="001C2234"/>
    <w:rPr>
      <w:rFonts w:ascii="Arial" w:hAnsi="Arial" w:cs="Arial"/>
      <w:caps/>
      <w:color w:val="808080"/>
      <w:spacing w:val="-4"/>
      <w:sz w:val="16"/>
      <w14:textFill>
        <w14:solidFill>
          <w14:srgbClr w14:val="808080">
            <w14:lumMod w14:val="50000"/>
            <w14:lumOff w14:val="50000"/>
            <w14:lumMod w14:val="50000"/>
            <w14:lumOff w14:val="50000"/>
            <w14:lumMod w14:val="50000"/>
          </w14:srgbClr>
        </w14:solidFill>
      </w14:textFill>
    </w:rPr>
  </w:style>
  <w:style w:type="character" w:customStyle="1" w:styleId="TOC1Char">
    <w:name w:val="TOC 1 Char"/>
    <w:basedOn w:val="DefaultParagraphFont"/>
    <w:link w:val="TOC1"/>
    <w:rsid w:val="001C2234"/>
    <w:rPr>
      <w:rFonts w:ascii="Arial" w:hAnsi="Arial"/>
      <w:b/>
      <w:sz w:val="26"/>
      <w:szCs w:val="26"/>
      <w:lang w:eastAsia="en-US"/>
    </w:rPr>
  </w:style>
  <w:style w:type="paragraph" w:customStyle="1" w:styleId="Heading1NotTOC">
    <w:name w:val="Heading 1 Not TOC"/>
    <w:basedOn w:val="Heading1"/>
    <w:next w:val="BodyText"/>
    <w:rsid w:val="009830F1"/>
    <w:rPr>
      <w:kern w:val="28"/>
      <w:szCs w:val="26"/>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9478071">
      <w:bodyDiv w:val="1"/>
      <w:marLeft w:val="0"/>
      <w:marRight w:val="0"/>
      <w:marTop w:val="0"/>
      <w:marBottom w:val="0"/>
      <w:divBdr>
        <w:top w:val="none" w:sz="0" w:space="0" w:color="auto"/>
        <w:left w:val="none" w:sz="0" w:space="0" w:color="auto"/>
        <w:bottom w:val="none" w:sz="0" w:space="0" w:color="auto"/>
        <w:right w:val="none" w:sz="0" w:space="0" w:color="auto"/>
      </w:divBdr>
    </w:div>
    <w:div w:id="165093169">
      <w:bodyDiv w:val="1"/>
      <w:marLeft w:val="0"/>
      <w:marRight w:val="0"/>
      <w:marTop w:val="0"/>
      <w:marBottom w:val="0"/>
      <w:divBdr>
        <w:top w:val="none" w:sz="0" w:space="0" w:color="auto"/>
        <w:left w:val="none" w:sz="0" w:space="0" w:color="auto"/>
        <w:bottom w:val="none" w:sz="0" w:space="0" w:color="auto"/>
        <w:right w:val="none" w:sz="0" w:space="0" w:color="auto"/>
      </w:divBdr>
    </w:div>
    <w:div w:id="239872076">
      <w:bodyDiv w:val="1"/>
      <w:marLeft w:val="0"/>
      <w:marRight w:val="0"/>
      <w:marTop w:val="0"/>
      <w:marBottom w:val="0"/>
      <w:divBdr>
        <w:top w:val="none" w:sz="0" w:space="0" w:color="auto"/>
        <w:left w:val="none" w:sz="0" w:space="0" w:color="auto"/>
        <w:bottom w:val="none" w:sz="0" w:space="0" w:color="auto"/>
        <w:right w:val="none" w:sz="0" w:space="0" w:color="auto"/>
      </w:divBdr>
    </w:div>
    <w:div w:id="241447438">
      <w:bodyDiv w:val="1"/>
      <w:marLeft w:val="0"/>
      <w:marRight w:val="0"/>
      <w:marTop w:val="0"/>
      <w:marBottom w:val="0"/>
      <w:divBdr>
        <w:top w:val="none" w:sz="0" w:space="0" w:color="auto"/>
        <w:left w:val="none" w:sz="0" w:space="0" w:color="auto"/>
        <w:bottom w:val="none" w:sz="0" w:space="0" w:color="auto"/>
        <w:right w:val="none" w:sz="0" w:space="0" w:color="auto"/>
      </w:divBdr>
    </w:div>
    <w:div w:id="290793280">
      <w:bodyDiv w:val="1"/>
      <w:marLeft w:val="0"/>
      <w:marRight w:val="0"/>
      <w:marTop w:val="0"/>
      <w:marBottom w:val="0"/>
      <w:divBdr>
        <w:top w:val="none" w:sz="0" w:space="0" w:color="auto"/>
        <w:left w:val="none" w:sz="0" w:space="0" w:color="auto"/>
        <w:bottom w:val="none" w:sz="0" w:space="0" w:color="auto"/>
        <w:right w:val="none" w:sz="0" w:space="0" w:color="auto"/>
      </w:divBdr>
    </w:div>
    <w:div w:id="295765027">
      <w:bodyDiv w:val="1"/>
      <w:marLeft w:val="0"/>
      <w:marRight w:val="0"/>
      <w:marTop w:val="0"/>
      <w:marBottom w:val="0"/>
      <w:divBdr>
        <w:top w:val="none" w:sz="0" w:space="0" w:color="auto"/>
        <w:left w:val="none" w:sz="0" w:space="0" w:color="auto"/>
        <w:bottom w:val="none" w:sz="0" w:space="0" w:color="auto"/>
        <w:right w:val="none" w:sz="0" w:space="0" w:color="auto"/>
      </w:divBdr>
    </w:div>
    <w:div w:id="392047322">
      <w:bodyDiv w:val="1"/>
      <w:marLeft w:val="0"/>
      <w:marRight w:val="0"/>
      <w:marTop w:val="0"/>
      <w:marBottom w:val="0"/>
      <w:divBdr>
        <w:top w:val="none" w:sz="0" w:space="0" w:color="auto"/>
        <w:left w:val="none" w:sz="0" w:space="0" w:color="auto"/>
        <w:bottom w:val="none" w:sz="0" w:space="0" w:color="auto"/>
        <w:right w:val="none" w:sz="0" w:space="0" w:color="auto"/>
      </w:divBdr>
    </w:div>
    <w:div w:id="398748020">
      <w:bodyDiv w:val="1"/>
      <w:marLeft w:val="0"/>
      <w:marRight w:val="0"/>
      <w:marTop w:val="0"/>
      <w:marBottom w:val="0"/>
      <w:divBdr>
        <w:top w:val="none" w:sz="0" w:space="0" w:color="auto"/>
        <w:left w:val="none" w:sz="0" w:space="0" w:color="auto"/>
        <w:bottom w:val="none" w:sz="0" w:space="0" w:color="auto"/>
        <w:right w:val="none" w:sz="0" w:space="0" w:color="auto"/>
      </w:divBdr>
    </w:div>
    <w:div w:id="424889065">
      <w:bodyDiv w:val="1"/>
      <w:marLeft w:val="0"/>
      <w:marRight w:val="0"/>
      <w:marTop w:val="0"/>
      <w:marBottom w:val="0"/>
      <w:divBdr>
        <w:top w:val="none" w:sz="0" w:space="0" w:color="auto"/>
        <w:left w:val="none" w:sz="0" w:space="0" w:color="auto"/>
        <w:bottom w:val="none" w:sz="0" w:space="0" w:color="auto"/>
        <w:right w:val="none" w:sz="0" w:space="0" w:color="auto"/>
      </w:divBdr>
    </w:div>
    <w:div w:id="427508859">
      <w:bodyDiv w:val="1"/>
      <w:marLeft w:val="0"/>
      <w:marRight w:val="0"/>
      <w:marTop w:val="0"/>
      <w:marBottom w:val="0"/>
      <w:divBdr>
        <w:top w:val="none" w:sz="0" w:space="0" w:color="auto"/>
        <w:left w:val="none" w:sz="0" w:space="0" w:color="auto"/>
        <w:bottom w:val="none" w:sz="0" w:space="0" w:color="auto"/>
        <w:right w:val="none" w:sz="0" w:space="0" w:color="auto"/>
      </w:divBdr>
    </w:div>
    <w:div w:id="429276351">
      <w:bodyDiv w:val="1"/>
      <w:marLeft w:val="0"/>
      <w:marRight w:val="0"/>
      <w:marTop w:val="0"/>
      <w:marBottom w:val="0"/>
      <w:divBdr>
        <w:top w:val="none" w:sz="0" w:space="0" w:color="auto"/>
        <w:left w:val="none" w:sz="0" w:space="0" w:color="auto"/>
        <w:bottom w:val="none" w:sz="0" w:space="0" w:color="auto"/>
        <w:right w:val="none" w:sz="0" w:space="0" w:color="auto"/>
      </w:divBdr>
    </w:div>
    <w:div w:id="466701016">
      <w:bodyDiv w:val="1"/>
      <w:marLeft w:val="0"/>
      <w:marRight w:val="0"/>
      <w:marTop w:val="0"/>
      <w:marBottom w:val="0"/>
      <w:divBdr>
        <w:top w:val="none" w:sz="0" w:space="0" w:color="auto"/>
        <w:left w:val="none" w:sz="0" w:space="0" w:color="auto"/>
        <w:bottom w:val="none" w:sz="0" w:space="0" w:color="auto"/>
        <w:right w:val="none" w:sz="0" w:space="0" w:color="auto"/>
      </w:divBdr>
    </w:div>
    <w:div w:id="486551691">
      <w:bodyDiv w:val="1"/>
      <w:marLeft w:val="0"/>
      <w:marRight w:val="0"/>
      <w:marTop w:val="0"/>
      <w:marBottom w:val="0"/>
      <w:divBdr>
        <w:top w:val="none" w:sz="0" w:space="0" w:color="auto"/>
        <w:left w:val="none" w:sz="0" w:space="0" w:color="auto"/>
        <w:bottom w:val="none" w:sz="0" w:space="0" w:color="auto"/>
        <w:right w:val="none" w:sz="0" w:space="0" w:color="auto"/>
      </w:divBdr>
    </w:div>
    <w:div w:id="529537766">
      <w:bodyDiv w:val="1"/>
      <w:marLeft w:val="0"/>
      <w:marRight w:val="0"/>
      <w:marTop w:val="0"/>
      <w:marBottom w:val="0"/>
      <w:divBdr>
        <w:top w:val="none" w:sz="0" w:space="0" w:color="auto"/>
        <w:left w:val="none" w:sz="0" w:space="0" w:color="auto"/>
        <w:bottom w:val="none" w:sz="0" w:space="0" w:color="auto"/>
        <w:right w:val="none" w:sz="0" w:space="0" w:color="auto"/>
      </w:divBdr>
    </w:div>
    <w:div w:id="543253623">
      <w:bodyDiv w:val="1"/>
      <w:marLeft w:val="0"/>
      <w:marRight w:val="0"/>
      <w:marTop w:val="0"/>
      <w:marBottom w:val="0"/>
      <w:divBdr>
        <w:top w:val="none" w:sz="0" w:space="0" w:color="auto"/>
        <w:left w:val="none" w:sz="0" w:space="0" w:color="auto"/>
        <w:bottom w:val="none" w:sz="0" w:space="0" w:color="auto"/>
        <w:right w:val="none" w:sz="0" w:space="0" w:color="auto"/>
      </w:divBdr>
    </w:div>
    <w:div w:id="557983941">
      <w:bodyDiv w:val="1"/>
      <w:marLeft w:val="0"/>
      <w:marRight w:val="0"/>
      <w:marTop w:val="0"/>
      <w:marBottom w:val="0"/>
      <w:divBdr>
        <w:top w:val="none" w:sz="0" w:space="0" w:color="auto"/>
        <w:left w:val="none" w:sz="0" w:space="0" w:color="auto"/>
        <w:bottom w:val="none" w:sz="0" w:space="0" w:color="auto"/>
        <w:right w:val="none" w:sz="0" w:space="0" w:color="auto"/>
      </w:divBdr>
    </w:div>
    <w:div w:id="559366380">
      <w:bodyDiv w:val="1"/>
      <w:marLeft w:val="0"/>
      <w:marRight w:val="0"/>
      <w:marTop w:val="0"/>
      <w:marBottom w:val="0"/>
      <w:divBdr>
        <w:top w:val="none" w:sz="0" w:space="0" w:color="auto"/>
        <w:left w:val="none" w:sz="0" w:space="0" w:color="auto"/>
        <w:bottom w:val="none" w:sz="0" w:space="0" w:color="auto"/>
        <w:right w:val="none" w:sz="0" w:space="0" w:color="auto"/>
      </w:divBdr>
    </w:div>
    <w:div w:id="586158431">
      <w:bodyDiv w:val="1"/>
      <w:marLeft w:val="0"/>
      <w:marRight w:val="0"/>
      <w:marTop w:val="0"/>
      <w:marBottom w:val="0"/>
      <w:divBdr>
        <w:top w:val="none" w:sz="0" w:space="0" w:color="auto"/>
        <w:left w:val="none" w:sz="0" w:space="0" w:color="auto"/>
        <w:bottom w:val="none" w:sz="0" w:space="0" w:color="auto"/>
        <w:right w:val="none" w:sz="0" w:space="0" w:color="auto"/>
      </w:divBdr>
    </w:div>
    <w:div w:id="614216356">
      <w:bodyDiv w:val="1"/>
      <w:marLeft w:val="0"/>
      <w:marRight w:val="0"/>
      <w:marTop w:val="0"/>
      <w:marBottom w:val="0"/>
      <w:divBdr>
        <w:top w:val="none" w:sz="0" w:space="0" w:color="auto"/>
        <w:left w:val="none" w:sz="0" w:space="0" w:color="auto"/>
        <w:bottom w:val="none" w:sz="0" w:space="0" w:color="auto"/>
        <w:right w:val="none" w:sz="0" w:space="0" w:color="auto"/>
      </w:divBdr>
    </w:div>
    <w:div w:id="786852446">
      <w:bodyDiv w:val="1"/>
      <w:marLeft w:val="0"/>
      <w:marRight w:val="0"/>
      <w:marTop w:val="0"/>
      <w:marBottom w:val="0"/>
      <w:divBdr>
        <w:top w:val="none" w:sz="0" w:space="0" w:color="auto"/>
        <w:left w:val="none" w:sz="0" w:space="0" w:color="auto"/>
        <w:bottom w:val="none" w:sz="0" w:space="0" w:color="auto"/>
        <w:right w:val="none" w:sz="0" w:space="0" w:color="auto"/>
      </w:divBdr>
    </w:div>
    <w:div w:id="850530859">
      <w:bodyDiv w:val="1"/>
      <w:marLeft w:val="0"/>
      <w:marRight w:val="0"/>
      <w:marTop w:val="0"/>
      <w:marBottom w:val="0"/>
      <w:divBdr>
        <w:top w:val="none" w:sz="0" w:space="0" w:color="auto"/>
        <w:left w:val="none" w:sz="0" w:space="0" w:color="auto"/>
        <w:bottom w:val="none" w:sz="0" w:space="0" w:color="auto"/>
        <w:right w:val="none" w:sz="0" w:space="0" w:color="auto"/>
      </w:divBdr>
    </w:div>
    <w:div w:id="855194779">
      <w:bodyDiv w:val="1"/>
      <w:marLeft w:val="0"/>
      <w:marRight w:val="0"/>
      <w:marTop w:val="0"/>
      <w:marBottom w:val="0"/>
      <w:divBdr>
        <w:top w:val="none" w:sz="0" w:space="0" w:color="auto"/>
        <w:left w:val="none" w:sz="0" w:space="0" w:color="auto"/>
        <w:bottom w:val="none" w:sz="0" w:space="0" w:color="auto"/>
        <w:right w:val="none" w:sz="0" w:space="0" w:color="auto"/>
      </w:divBdr>
    </w:div>
    <w:div w:id="909537480">
      <w:bodyDiv w:val="1"/>
      <w:marLeft w:val="0"/>
      <w:marRight w:val="0"/>
      <w:marTop w:val="0"/>
      <w:marBottom w:val="0"/>
      <w:divBdr>
        <w:top w:val="none" w:sz="0" w:space="0" w:color="auto"/>
        <w:left w:val="none" w:sz="0" w:space="0" w:color="auto"/>
        <w:bottom w:val="none" w:sz="0" w:space="0" w:color="auto"/>
        <w:right w:val="none" w:sz="0" w:space="0" w:color="auto"/>
      </w:divBdr>
    </w:div>
    <w:div w:id="951933448">
      <w:bodyDiv w:val="1"/>
      <w:marLeft w:val="0"/>
      <w:marRight w:val="0"/>
      <w:marTop w:val="0"/>
      <w:marBottom w:val="0"/>
      <w:divBdr>
        <w:top w:val="none" w:sz="0" w:space="0" w:color="auto"/>
        <w:left w:val="none" w:sz="0" w:space="0" w:color="auto"/>
        <w:bottom w:val="none" w:sz="0" w:space="0" w:color="auto"/>
        <w:right w:val="none" w:sz="0" w:space="0" w:color="auto"/>
      </w:divBdr>
    </w:div>
    <w:div w:id="1020276439">
      <w:bodyDiv w:val="1"/>
      <w:marLeft w:val="0"/>
      <w:marRight w:val="0"/>
      <w:marTop w:val="0"/>
      <w:marBottom w:val="0"/>
      <w:divBdr>
        <w:top w:val="none" w:sz="0" w:space="0" w:color="auto"/>
        <w:left w:val="none" w:sz="0" w:space="0" w:color="auto"/>
        <w:bottom w:val="none" w:sz="0" w:space="0" w:color="auto"/>
        <w:right w:val="none" w:sz="0" w:space="0" w:color="auto"/>
      </w:divBdr>
    </w:div>
    <w:div w:id="1023290464">
      <w:bodyDiv w:val="1"/>
      <w:marLeft w:val="0"/>
      <w:marRight w:val="0"/>
      <w:marTop w:val="0"/>
      <w:marBottom w:val="0"/>
      <w:divBdr>
        <w:top w:val="none" w:sz="0" w:space="0" w:color="auto"/>
        <w:left w:val="none" w:sz="0" w:space="0" w:color="auto"/>
        <w:bottom w:val="none" w:sz="0" w:space="0" w:color="auto"/>
        <w:right w:val="none" w:sz="0" w:space="0" w:color="auto"/>
      </w:divBdr>
    </w:div>
    <w:div w:id="1067148152">
      <w:bodyDiv w:val="1"/>
      <w:marLeft w:val="0"/>
      <w:marRight w:val="0"/>
      <w:marTop w:val="0"/>
      <w:marBottom w:val="0"/>
      <w:divBdr>
        <w:top w:val="none" w:sz="0" w:space="0" w:color="auto"/>
        <w:left w:val="none" w:sz="0" w:space="0" w:color="auto"/>
        <w:bottom w:val="none" w:sz="0" w:space="0" w:color="auto"/>
        <w:right w:val="none" w:sz="0" w:space="0" w:color="auto"/>
      </w:divBdr>
    </w:div>
    <w:div w:id="1067411239">
      <w:bodyDiv w:val="1"/>
      <w:marLeft w:val="0"/>
      <w:marRight w:val="0"/>
      <w:marTop w:val="0"/>
      <w:marBottom w:val="0"/>
      <w:divBdr>
        <w:top w:val="none" w:sz="0" w:space="0" w:color="auto"/>
        <w:left w:val="none" w:sz="0" w:space="0" w:color="auto"/>
        <w:bottom w:val="none" w:sz="0" w:space="0" w:color="auto"/>
        <w:right w:val="none" w:sz="0" w:space="0" w:color="auto"/>
      </w:divBdr>
    </w:div>
    <w:div w:id="1080520158">
      <w:bodyDiv w:val="1"/>
      <w:marLeft w:val="0"/>
      <w:marRight w:val="0"/>
      <w:marTop w:val="0"/>
      <w:marBottom w:val="0"/>
      <w:divBdr>
        <w:top w:val="none" w:sz="0" w:space="0" w:color="auto"/>
        <w:left w:val="none" w:sz="0" w:space="0" w:color="auto"/>
        <w:bottom w:val="none" w:sz="0" w:space="0" w:color="auto"/>
        <w:right w:val="none" w:sz="0" w:space="0" w:color="auto"/>
      </w:divBdr>
    </w:div>
    <w:div w:id="1167094168">
      <w:bodyDiv w:val="1"/>
      <w:marLeft w:val="0"/>
      <w:marRight w:val="0"/>
      <w:marTop w:val="0"/>
      <w:marBottom w:val="0"/>
      <w:divBdr>
        <w:top w:val="none" w:sz="0" w:space="0" w:color="auto"/>
        <w:left w:val="none" w:sz="0" w:space="0" w:color="auto"/>
        <w:bottom w:val="none" w:sz="0" w:space="0" w:color="auto"/>
        <w:right w:val="none" w:sz="0" w:space="0" w:color="auto"/>
      </w:divBdr>
    </w:div>
    <w:div w:id="1177233814">
      <w:bodyDiv w:val="1"/>
      <w:marLeft w:val="0"/>
      <w:marRight w:val="0"/>
      <w:marTop w:val="0"/>
      <w:marBottom w:val="0"/>
      <w:divBdr>
        <w:top w:val="none" w:sz="0" w:space="0" w:color="auto"/>
        <w:left w:val="none" w:sz="0" w:space="0" w:color="auto"/>
        <w:bottom w:val="none" w:sz="0" w:space="0" w:color="auto"/>
        <w:right w:val="none" w:sz="0" w:space="0" w:color="auto"/>
      </w:divBdr>
    </w:div>
    <w:div w:id="1249119292">
      <w:bodyDiv w:val="1"/>
      <w:marLeft w:val="0"/>
      <w:marRight w:val="0"/>
      <w:marTop w:val="0"/>
      <w:marBottom w:val="0"/>
      <w:divBdr>
        <w:top w:val="none" w:sz="0" w:space="0" w:color="auto"/>
        <w:left w:val="none" w:sz="0" w:space="0" w:color="auto"/>
        <w:bottom w:val="none" w:sz="0" w:space="0" w:color="auto"/>
        <w:right w:val="none" w:sz="0" w:space="0" w:color="auto"/>
      </w:divBdr>
    </w:div>
    <w:div w:id="1249925671">
      <w:bodyDiv w:val="1"/>
      <w:marLeft w:val="0"/>
      <w:marRight w:val="0"/>
      <w:marTop w:val="0"/>
      <w:marBottom w:val="0"/>
      <w:divBdr>
        <w:top w:val="none" w:sz="0" w:space="0" w:color="auto"/>
        <w:left w:val="none" w:sz="0" w:space="0" w:color="auto"/>
        <w:bottom w:val="none" w:sz="0" w:space="0" w:color="auto"/>
        <w:right w:val="none" w:sz="0" w:space="0" w:color="auto"/>
      </w:divBdr>
    </w:div>
    <w:div w:id="1266033589">
      <w:bodyDiv w:val="1"/>
      <w:marLeft w:val="0"/>
      <w:marRight w:val="0"/>
      <w:marTop w:val="0"/>
      <w:marBottom w:val="0"/>
      <w:divBdr>
        <w:top w:val="none" w:sz="0" w:space="0" w:color="auto"/>
        <w:left w:val="none" w:sz="0" w:space="0" w:color="auto"/>
        <w:bottom w:val="none" w:sz="0" w:space="0" w:color="auto"/>
        <w:right w:val="none" w:sz="0" w:space="0" w:color="auto"/>
      </w:divBdr>
    </w:div>
    <w:div w:id="1277835848">
      <w:bodyDiv w:val="1"/>
      <w:marLeft w:val="0"/>
      <w:marRight w:val="0"/>
      <w:marTop w:val="0"/>
      <w:marBottom w:val="0"/>
      <w:divBdr>
        <w:top w:val="none" w:sz="0" w:space="0" w:color="auto"/>
        <w:left w:val="none" w:sz="0" w:space="0" w:color="auto"/>
        <w:bottom w:val="none" w:sz="0" w:space="0" w:color="auto"/>
        <w:right w:val="none" w:sz="0" w:space="0" w:color="auto"/>
      </w:divBdr>
    </w:div>
    <w:div w:id="1291669905">
      <w:bodyDiv w:val="1"/>
      <w:marLeft w:val="0"/>
      <w:marRight w:val="0"/>
      <w:marTop w:val="0"/>
      <w:marBottom w:val="0"/>
      <w:divBdr>
        <w:top w:val="none" w:sz="0" w:space="0" w:color="auto"/>
        <w:left w:val="none" w:sz="0" w:space="0" w:color="auto"/>
        <w:bottom w:val="none" w:sz="0" w:space="0" w:color="auto"/>
        <w:right w:val="none" w:sz="0" w:space="0" w:color="auto"/>
      </w:divBdr>
    </w:div>
    <w:div w:id="1318000821">
      <w:bodyDiv w:val="1"/>
      <w:marLeft w:val="0"/>
      <w:marRight w:val="0"/>
      <w:marTop w:val="0"/>
      <w:marBottom w:val="0"/>
      <w:divBdr>
        <w:top w:val="none" w:sz="0" w:space="0" w:color="auto"/>
        <w:left w:val="none" w:sz="0" w:space="0" w:color="auto"/>
        <w:bottom w:val="none" w:sz="0" w:space="0" w:color="auto"/>
        <w:right w:val="none" w:sz="0" w:space="0" w:color="auto"/>
      </w:divBdr>
    </w:div>
    <w:div w:id="1413119129">
      <w:bodyDiv w:val="1"/>
      <w:marLeft w:val="0"/>
      <w:marRight w:val="0"/>
      <w:marTop w:val="0"/>
      <w:marBottom w:val="0"/>
      <w:divBdr>
        <w:top w:val="none" w:sz="0" w:space="0" w:color="auto"/>
        <w:left w:val="none" w:sz="0" w:space="0" w:color="auto"/>
        <w:bottom w:val="none" w:sz="0" w:space="0" w:color="auto"/>
        <w:right w:val="none" w:sz="0" w:space="0" w:color="auto"/>
      </w:divBdr>
    </w:div>
    <w:div w:id="1451823304">
      <w:bodyDiv w:val="1"/>
      <w:marLeft w:val="0"/>
      <w:marRight w:val="0"/>
      <w:marTop w:val="0"/>
      <w:marBottom w:val="0"/>
      <w:divBdr>
        <w:top w:val="none" w:sz="0" w:space="0" w:color="auto"/>
        <w:left w:val="none" w:sz="0" w:space="0" w:color="auto"/>
        <w:bottom w:val="none" w:sz="0" w:space="0" w:color="auto"/>
        <w:right w:val="none" w:sz="0" w:space="0" w:color="auto"/>
      </w:divBdr>
    </w:div>
    <w:div w:id="1478259344">
      <w:bodyDiv w:val="1"/>
      <w:marLeft w:val="0"/>
      <w:marRight w:val="0"/>
      <w:marTop w:val="0"/>
      <w:marBottom w:val="0"/>
      <w:divBdr>
        <w:top w:val="none" w:sz="0" w:space="0" w:color="auto"/>
        <w:left w:val="none" w:sz="0" w:space="0" w:color="auto"/>
        <w:bottom w:val="none" w:sz="0" w:space="0" w:color="auto"/>
        <w:right w:val="none" w:sz="0" w:space="0" w:color="auto"/>
      </w:divBdr>
    </w:div>
    <w:div w:id="1496722420">
      <w:bodyDiv w:val="1"/>
      <w:marLeft w:val="0"/>
      <w:marRight w:val="0"/>
      <w:marTop w:val="0"/>
      <w:marBottom w:val="0"/>
      <w:divBdr>
        <w:top w:val="none" w:sz="0" w:space="0" w:color="auto"/>
        <w:left w:val="none" w:sz="0" w:space="0" w:color="auto"/>
        <w:bottom w:val="none" w:sz="0" w:space="0" w:color="auto"/>
        <w:right w:val="none" w:sz="0" w:space="0" w:color="auto"/>
      </w:divBdr>
    </w:div>
    <w:div w:id="1515343682">
      <w:bodyDiv w:val="1"/>
      <w:marLeft w:val="0"/>
      <w:marRight w:val="0"/>
      <w:marTop w:val="0"/>
      <w:marBottom w:val="0"/>
      <w:divBdr>
        <w:top w:val="none" w:sz="0" w:space="0" w:color="auto"/>
        <w:left w:val="none" w:sz="0" w:space="0" w:color="auto"/>
        <w:bottom w:val="none" w:sz="0" w:space="0" w:color="auto"/>
        <w:right w:val="none" w:sz="0" w:space="0" w:color="auto"/>
      </w:divBdr>
    </w:div>
    <w:div w:id="1524512023">
      <w:bodyDiv w:val="1"/>
      <w:marLeft w:val="0"/>
      <w:marRight w:val="0"/>
      <w:marTop w:val="0"/>
      <w:marBottom w:val="0"/>
      <w:divBdr>
        <w:top w:val="none" w:sz="0" w:space="0" w:color="auto"/>
        <w:left w:val="none" w:sz="0" w:space="0" w:color="auto"/>
        <w:bottom w:val="none" w:sz="0" w:space="0" w:color="auto"/>
        <w:right w:val="none" w:sz="0" w:space="0" w:color="auto"/>
      </w:divBdr>
    </w:div>
    <w:div w:id="1547982644">
      <w:bodyDiv w:val="1"/>
      <w:marLeft w:val="0"/>
      <w:marRight w:val="0"/>
      <w:marTop w:val="0"/>
      <w:marBottom w:val="0"/>
      <w:divBdr>
        <w:top w:val="none" w:sz="0" w:space="0" w:color="auto"/>
        <w:left w:val="none" w:sz="0" w:space="0" w:color="auto"/>
        <w:bottom w:val="none" w:sz="0" w:space="0" w:color="auto"/>
        <w:right w:val="none" w:sz="0" w:space="0" w:color="auto"/>
      </w:divBdr>
    </w:div>
    <w:div w:id="1548227181">
      <w:bodyDiv w:val="1"/>
      <w:marLeft w:val="0"/>
      <w:marRight w:val="0"/>
      <w:marTop w:val="0"/>
      <w:marBottom w:val="0"/>
      <w:divBdr>
        <w:top w:val="none" w:sz="0" w:space="0" w:color="auto"/>
        <w:left w:val="none" w:sz="0" w:space="0" w:color="auto"/>
        <w:bottom w:val="none" w:sz="0" w:space="0" w:color="auto"/>
        <w:right w:val="none" w:sz="0" w:space="0" w:color="auto"/>
      </w:divBdr>
    </w:div>
    <w:div w:id="1553736557">
      <w:bodyDiv w:val="1"/>
      <w:marLeft w:val="0"/>
      <w:marRight w:val="0"/>
      <w:marTop w:val="0"/>
      <w:marBottom w:val="0"/>
      <w:divBdr>
        <w:top w:val="none" w:sz="0" w:space="0" w:color="auto"/>
        <w:left w:val="none" w:sz="0" w:space="0" w:color="auto"/>
        <w:bottom w:val="none" w:sz="0" w:space="0" w:color="auto"/>
        <w:right w:val="none" w:sz="0" w:space="0" w:color="auto"/>
      </w:divBdr>
    </w:div>
    <w:div w:id="1618829890">
      <w:bodyDiv w:val="1"/>
      <w:marLeft w:val="0"/>
      <w:marRight w:val="0"/>
      <w:marTop w:val="0"/>
      <w:marBottom w:val="0"/>
      <w:divBdr>
        <w:top w:val="none" w:sz="0" w:space="0" w:color="auto"/>
        <w:left w:val="none" w:sz="0" w:space="0" w:color="auto"/>
        <w:bottom w:val="none" w:sz="0" w:space="0" w:color="auto"/>
        <w:right w:val="none" w:sz="0" w:space="0" w:color="auto"/>
      </w:divBdr>
    </w:div>
    <w:div w:id="1707294471">
      <w:bodyDiv w:val="1"/>
      <w:marLeft w:val="0"/>
      <w:marRight w:val="0"/>
      <w:marTop w:val="0"/>
      <w:marBottom w:val="0"/>
      <w:divBdr>
        <w:top w:val="none" w:sz="0" w:space="0" w:color="auto"/>
        <w:left w:val="none" w:sz="0" w:space="0" w:color="auto"/>
        <w:bottom w:val="none" w:sz="0" w:space="0" w:color="auto"/>
        <w:right w:val="none" w:sz="0" w:space="0" w:color="auto"/>
      </w:divBdr>
    </w:div>
    <w:div w:id="1711102117">
      <w:bodyDiv w:val="1"/>
      <w:marLeft w:val="0"/>
      <w:marRight w:val="0"/>
      <w:marTop w:val="0"/>
      <w:marBottom w:val="0"/>
      <w:divBdr>
        <w:top w:val="none" w:sz="0" w:space="0" w:color="auto"/>
        <w:left w:val="none" w:sz="0" w:space="0" w:color="auto"/>
        <w:bottom w:val="none" w:sz="0" w:space="0" w:color="auto"/>
        <w:right w:val="none" w:sz="0" w:space="0" w:color="auto"/>
      </w:divBdr>
    </w:div>
    <w:div w:id="1732118212">
      <w:bodyDiv w:val="1"/>
      <w:marLeft w:val="0"/>
      <w:marRight w:val="0"/>
      <w:marTop w:val="0"/>
      <w:marBottom w:val="0"/>
      <w:divBdr>
        <w:top w:val="none" w:sz="0" w:space="0" w:color="auto"/>
        <w:left w:val="none" w:sz="0" w:space="0" w:color="auto"/>
        <w:bottom w:val="none" w:sz="0" w:space="0" w:color="auto"/>
        <w:right w:val="none" w:sz="0" w:space="0" w:color="auto"/>
      </w:divBdr>
    </w:div>
    <w:div w:id="1878008843">
      <w:bodyDiv w:val="1"/>
      <w:marLeft w:val="0"/>
      <w:marRight w:val="0"/>
      <w:marTop w:val="0"/>
      <w:marBottom w:val="0"/>
      <w:divBdr>
        <w:top w:val="none" w:sz="0" w:space="0" w:color="auto"/>
        <w:left w:val="none" w:sz="0" w:space="0" w:color="auto"/>
        <w:bottom w:val="none" w:sz="0" w:space="0" w:color="auto"/>
        <w:right w:val="none" w:sz="0" w:space="0" w:color="auto"/>
      </w:divBdr>
    </w:div>
    <w:div w:id="1892031988">
      <w:bodyDiv w:val="1"/>
      <w:marLeft w:val="0"/>
      <w:marRight w:val="0"/>
      <w:marTop w:val="0"/>
      <w:marBottom w:val="0"/>
      <w:divBdr>
        <w:top w:val="none" w:sz="0" w:space="0" w:color="auto"/>
        <w:left w:val="none" w:sz="0" w:space="0" w:color="auto"/>
        <w:bottom w:val="none" w:sz="0" w:space="0" w:color="auto"/>
        <w:right w:val="none" w:sz="0" w:space="0" w:color="auto"/>
      </w:divBdr>
    </w:div>
    <w:div w:id="1893538710">
      <w:bodyDiv w:val="1"/>
      <w:marLeft w:val="0"/>
      <w:marRight w:val="0"/>
      <w:marTop w:val="0"/>
      <w:marBottom w:val="0"/>
      <w:divBdr>
        <w:top w:val="none" w:sz="0" w:space="0" w:color="auto"/>
        <w:left w:val="none" w:sz="0" w:space="0" w:color="auto"/>
        <w:bottom w:val="none" w:sz="0" w:space="0" w:color="auto"/>
        <w:right w:val="none" w:sz="0" w:space="0" w:color="auto"/>
      </w:divBdr>
    </w:div>
    <w:div w:id="1947738292">
      <w:bodyDiv w:val="1"/>
      <w:marLeft w:val="0"/>
      <w:marRight w:val="0"/>
      <w:marTop w:val="0"/>
      <w:marBottom w:val="0"/>
      <w:divBdr>
        <w:top w:val="none" w:sz="0" w:space="0" w:color="auto"/>
        <w:left w:val="none" w:sz="0" w:space="0" w:color="auto"/>
        <w:bottom w:val="none" w:sz="0" w:space="0" w:color="auto"/>
        <w:right w:val="none" w:sz="0" w:space="0" w:color="auto"/>
      </w:divBdr>
    </w:div>
    <w:div w:id="1957518325">
      <w:bodyDiv w:val="1"/>
      <w:marLeft w:val="0"/>
      <w:marRight w:val="0"/>
      <w:marTop w:val="0"/>
      <w:marBottom w:val="0"/>
      <w:divBdr>
        <w:top w:val="none" w:sz="0" w:space="0" w:color="auto"/>
        <w:left w:val="none" w:sz="0" w:space="0" w:color="auto"/>
        <w:bottom w:val="none" w:sz="0" w:space="0" w:color="auto"/>
        <w:right w:val="none" w:sz="0" w:space="0" w:color="auto"/>
      </w:divBdr>
    </w:div>
    <w:div w:id="2029989608">
      <w:bodyDiv w:val="1"/>
      <w:marLeft w:val="0"/>
      <w:marRight w:val="0"/>
      <w:marTop w:val="0"/>
      <w:marBottom w:val="0"/>
      <w:divBdr>
        <w:top w:val="none" w:sz="0" w:space="0" w:color="auto"/>
        <w:left w:val="none" w:sz="0" w:space="0" w:color="auto"/>
        <w:bottom w:val="none" w:sz="0" w:space="0" w:color="auto"/>
        <w:right w:val="none" w:sz="0" w:space="0" w:color="auto"/>
      </w:divBdr>
    </w:div>
    <w:div w:id="2142964974">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3" Type="http://schemas.openxmlformats.org/officeDocument/2006/relationships/image" Target="media/image5.emf"/><Relationship Id="rId18" Type="http://schemas.openxmlformats.org/officeDocument/2006/relationships/image" Target="media/image10.emf"/><Relationship Id="rId26" Type="http://schemas.openxmlformats.org/officeDocument/2006/relationships/image" Target="media/image18.emf"/><Relationship Id="rId39" Type="http://schemas.openxmlformats.org/officeDocument/2006/relationships/image" Target="media/image31.png"/><Relationship Id="rId21" Type="http://schemas.openxmlformats.org/officeDocument/2006/relationships/image" Target="media/image13.emf"/><Relationship Id="rId34" Type="http://schemas.openxmlformats.org/officeDocument/2006/relationships/image" Target="media/image26.emf"/><Relationship Id="rId42" Type="http://schemas.openxmlformats.org/officeDocument/2006/relationships/image" Target="media/image34.png"/><Relationship Id="rId47" Type="http://schemas.openxmlformats.org/officeDocument/2006/relationships/image" Target="media/image39.emf"/><Relationship Id="rId50" Type="http://schemas.openxmlformats.org/officeDocument/2006/relationships/image" Target="media/image42.emf"/><Relationship Id="rId55" Type="http://schemas.openxmlformats.org/officeDocument/2006/relationships/image" Target="media/image47.emf"/><Relationship Id="rId63" Type="http://schemas.openxmlformats.org/officeDocument/2006/relationships/image" Target="media/image55.emf"/><Relationship Id="rId68" Type="http://schemas.openxmlformats.org/officeDocument/2006/relationships/image" Target="media/image60.emf"/><Relationship Id="rId76" Type="http://schemas.openxmlformats.org/officeDocument/2006/relationships/fontTable" Target="fontTable.xml"/><Relationship Id="rId7" Type="http://schemas.openxmlformats.org/officeDocument/2006/relationships/footnotes" Target="footnotes.xml"/><Relationship Id="rId71" Type="http://schemas.openxmlformats.org/officeDocument/2006/relationships/image" Target="media/image63.emf"/><Relationship Id="rId2" Type="http://schemas.openxmlformats.org/officeDocument/2006/relationships/numbering" Target="numbering.xml"/><Relationship Id="rId16" Type="http://schemas.openxmlformats.org/officeDocument/2006/relationships/image" Target="media/image8.emf"/><Relationship Id="rId29" Type="http://schemas.openxmlformats.org/officeDocument/2006/relationships/image" Target="media/image21.emf"/><Relationship Id="rId11" Type="http://schemas.openxmlformats.org/officeDocument/2006/relationships/image" Target="media/image3.emf"/><Relationship Id="rId24" Type="http://schemas.openxmlformats.org/officeDocument/2006/relationships/image" Target="media/image16.emf"/><Relationship Id="rId32" Type="http://schemas.openxmlformats.org/officeDocument/2006/relationships/image" Target="media/image24.emf"/><Relationship Id="rId37" Type="http://schemas.openxmlformats.org/officeDocument/2006/relationships/image" Target="media/image29.emf"/><Relationship Id="rId40" Type="http://schemas.openxmlformats.org/officeDocument/2006/relationships/image" Target="media/image32.png"/><Relationship Id="rId45" Type="http://schemas.openxmlformats.org/officeDocument/2006/relationships/image" Target="media/image37.emf"/><Relationship Id="rId53" Type="http://schemas.openxmlformats.org/officeDocument/2006/relationships/image" Target="media/image45.emf"/><Relationship Id="rId58" Type="http://schemas.openxmlformats.org/officeDocument/2006/relationships/image" Target="media/image50.emf"/><Relationship Id="rId66" Type="http://schemas.openxmlformats.org/officeDocument/2006/relationships/image" Target="media/image58.emf"/><Relationship Id="rId74" Type="http://schemas.openxmlformats.org/officeDocument/2006/relationships/footer" Target="footer1.xml"/><Relationship Id="rId5" Type="http://schemas.openxmlformats.org/officeDocument/2006/relationships/settings" Target="settings.xml"/><Relationship Id="rId15" Type="http://schemas.openxmlformats.org/officeDocument/2006/relationships/image" Target="media/image7.emf"/><Relationship Id="rId23" Type="http://schemas.openxmlformats.org/officeDocument/2006/relationships/image" Target="media/image15.emf"/><Relationship Id="rId28" Type="http://schemas.openxmlformats.org/officeDocument/2006/relationships/image" Target="media/image20.emf"/><Relationship Id="rId36" Type="http://schemas.openxmlformats.org/officeDocument/2006/relationships/image" Target="media/image28.emf"/><Relationship Id="rId49" Type="http://schemas.openxmlformats.org/officeDocument/2006/relationships/image" Target="media/image41.emf"/><Relationship Id="rId57" Type="http://schemas.openxmlformats.org/officeDocument/2006/relationships/image" Target="media/image49.emf"/><Relationship Id="rId61" Type="http://schemas.openxmlformats.org/officeDocument/2006/relationships/image" Target="media/image53.emf"/><Relationship Id="rId10" Type="http://schemas.openxmlformats.org/officeDocument/2006/relationships/image" Target="media/image2.emf"/><Relationship Id="rId19" Type="http://schemas.openxmlformats.org/officeDocument/2006/relationships/image" Target="media/image11.emf"/><Relationship Id="rId31" Type="http://schemas.openxmlformats.org/officeDocument/2006/relationships/image" Target="media/image23.emf"/><Relationship Id="rId44" Type="http://schemas.openxmlformats.org/officeDocument/2006/relationships/image" Target="media/image36.emf"/><Relationship Id="rId52" Type="http://schemas.openxmlformats.org/officeDocument/2006/relationships/image" Target="media/image44.emf"/><Relationship Id="rId60" Type="http://schemas.openxmlformats.org/officeDocument/2006/relationships/image" Target="media/image52.emf"/><Relationship Id="rId65" Type="http://schemas.openxmlformats.org/officeDocument/2006/relationships/image" Target="media/image57.emf"/><Relationship Id="rId73" Type="http://schemas.openxmlformats.org/officeDocument/2006/relationships/header" Target="header2.xml"/><Relationship Id="rId4" Type="http://schemas.microsoft.com/office/2007/relationships/stylesWithEffects" Target="stylesWithEffects.xml"/><Relationship Id="rId9" Type="http://schemas.openxmlformats.org/officeDocument/2006/relationships/image" Target="media/image1.emf"/><Relationship Id="rId14" Type="http://schemas.openxmlformats.org/officeDocument/2006/relationships/image" Target="media/image6.emf"/><Relationship Id="rId22" Type="http://schemas.openxmlformats.org/officeDocument/2006/relationships/image" Target="media/image14.emf"/><Relationship Id="rId27" Type="http://schemas.openxmlformats.org/officeDocument/2006/relationships/image" Target="media/image19.emf"/><Relationship Id="rId30" Type="http://schemas.openxmlformats.org/officeDocument/2006/relationships/image" Target="media/image22.emf"/><Relationship Id="rId35" Type="http://schemas.openxmlformats.org/officeDocument/2006/relationships/image" Target="media/image27.emf"/><Relationship Id="rId43" Type="http://schemas.openxmlformats.org/officeDocument/2006/relationships/image" Target="media/image35.emf"/><Relationship Id="rId48" Type="http://schemas.openxmlformats.org/officeDocument/2006/relationships/image" Target="media/image40.emf"/><Relationship Id="rId56" Type="http://schemas.openxmlformats.org/officeDocument/2006/relationships/image" Target="media/image48.emf"/><Relationship Id="rId64" Type="http://schemas.openxmlformats.org/officeDocument/2006/relationships/image" Target="media/image56.emf"/><Relationship Id="rId69" Type="http://schemas.openxmlformats.org/officeDocument/2006/relationships/image" Target="media/image61.emf"/><Relationship Id="rId77" Type="http://schemas.openxmlformats.org/officeDocument/2006/relationships/theme" Target="theme/theme1.xml"/><Relationship Id="rId8" Type="http://schemas.openxmlformats.org/officeDocument/2006/relationships/endnotes" Target="endnotes.xml"/><Relationship Id="rId51" Type="http://schemas.openxmlformats.org/officeDocument/2006/relationships/image" Target="media/image43.emf"/><Relationship Id="rId72" Type="http://schemas.openxmlformats.org/officeDocument/2006/relationships/header" Target="header1.xml"/><Relationship Id="rId3" Type="http://schemas.openxmlformats.org/officeDocument/2006/relationships/styles" Target="styles.xml"/><Relationship Id="rId12" Type="http://schemas.openxmlformats.org/officeDocument/2006/relationships/image" Target="media/image4.emf"/><Relationship Id="rId17" Type="http://schemas.openxmlformats.org/officeDocument/2006/relationships/image" Target="media/image9.png"/><Relationship Id="rId25" Type="http://schemas.openxmlformats.org/officeDocument/2006/relationships/image" Target="media/image17.emf"/><Relationship Id="rId33" Type="http://schemas.openxmlformats.org/officeDocument/2006/relationships/image" Target="media/image25.emf"/><Relationship Id="rId38" Type="http://schemas.openxmlformats.org/officeDocument/2006/relationships/image" Target="media/image30.emf"/><Relationship Id="rId46" Type="http://schemas.openxmlformats.org/officeDocument/2006/relationships/image" Target="media/image38.emf"/><Relationship Id="rId59" Type="http://schemas.openxmlformats.org/officeDocument/2006/relationships/image" Target="media/image51.emf"/><Relationship Id="rId67" Type="http://schemas.openxmlformats.org/officeDocument/2006/relationships/image" Target="media/image59.emf"/><Relationship Id="rId20" Type="http://schemas.openxmlformats.org/officeDocument/2006/relationships/image" Target="media/image12.emf"/><Relationship Id="rId41" Type="http://schemas.openxmlformats.org/officeDocument/2006/relationships/image" Target="media/image33.emf"/><Relationship Id="rId54" Type="http://schemas.openxmlformats.org/officeDocument/2006/relationships/image" Target="media/image46.emf"/><Relationship Id="rId62" Type="http://schemas.openxmlformats.org/officeDocument/2006/relationships/image" Target="media/image54.emf"/><Relationship Id="rId70" Type="http://schemas.openxmlformats.org/officeDocument/2006/relationships/image" Target="media/image62.emf"/><Relationship Id="rId75"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webSettings" Target="webSettings.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gmagilton\AppData\Local\Microsoft\Windows\Temporary%20Internet%20Files\Content.MSO\B522BDF0.dotm" TargetMode="External"/></Relationships>
</file>

<file path=word/theme/theme1.xml><?xml version="1.0" encoding="utf-8"?>
<a:theme xmlns:a="http://schemas.openxmlformats.org/drawingml/2006/main" name="ProdCommTheme">
  <a:themeElements>
    <a:clrScheme name="PC colour scheme">
      <a:dk1>
        <a:sysClr val="windowText" lastClr="000000"/>
      </a:dk1>
      <a:lt1>
        <a:sysClr val="window" lastClr="FFFFFF"/>
      </a:lt1>
      <a:dk2>
        <a:srgbClr val="000000"/>
      </a:dk2>
      <a:lt2>
        <a:srgbClr val="BFBFBF"/>
      </a:lt2>
      <a:accent1>
        <a:srgbClr val="78A22F"/>
      </a:accent1>
      <a:accent2>
        <a:srgbClr val="265A9A"/>
      </a:accent2>
      <a:accent3>
        <a:srgbClr val="B2D673"/>
      </a:accent3>
      <a:accent4>
        <a:srgbClr val="F2F2F2"/>
      </a:accent4>
      <a:accent5>
        <a:srgbClr val="387DD2"/>
      </a:accent5>
      <a:accent6>
        <a:srgbClr val="C00000"/>
      </a:accent6>
      <a:hlink>
        <a:srgbClr val="78A22F"/>
      </a:hlink>
      <a:folHlink>
        <a:srgbClr val="387DD2"/>
      </a:folHlink>
    </a:clrScheme>
    <a:fontScheme name="PC fonts">
      <a:majorFont>
        <a:latin typeface="Arial"/>
        <a:ea typeface=""/>
        <a:cs typeface=""/>
      </a:majorFont>
      <a:minorFont>
        <a:latin typeface="Arial"/>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6EC4860-6C53-40DC-9941-58AD8A3E5E1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B522BDF0</Template>
  <TotalTime>272</TotalTime>
  <Pages>106</Pages>
  <Words>28937</Words>
  <Characters>167218</Characters>
  <Application>Microsoft Office Word</Application>
  <DocSecurity>0</DocSecurity>
  <Lines>1393</Lines>
  <Paragraphs>391</Paragraphs>
  <ScaleCrop>false</ScaleCrop>
  <HeadingPairs>
    <vt:vector size="2" baseType="variant">
      <vt:variant>
        <vt:lpstr>Title</vt:lpstr>
      </vt:variant>
      <vt:variant>
        <vt:i4>1</vt:i4>
      </vt:variant>
    </vt:vector>
  </HeadingPairs>
  <TitlesOfParts>
    <vt:vector size="1" baseType="lpstr">
      <vt:lpstr>Chapter 10 Primary and community health - Report on Government Services 2015</vt:lpstr>
    </vt:vector>
  </TitlesOfParts>
  <Company>Productivity Commission</Company>
  <LinksUpToDate>false</LinksUpToDate>
  <CharactersWithSpaces>195764</CharactersWithSpaces>
  <SharedDoc>false</SharedDoc>
  <HLinks>
    <vt:vector size="42" baseType="variant">
      <vt:variant>
        <vt:i4>1572915</vt:i4>
      </vt:variant>
      <vt:variant>
        <vt:i4>38</vt:i4>
      </vt:variant>
      <vt:variant>
        <vt:i4>0</vt:i4>
      </vt:variant>
      <vt:variant>
        <vt:i4>5</vt:i4>
      </vt:variant>
      <vt:variant>
        <vt:lpwstr/>
      </vt:variant>
      <vt:variant>
        <vt:lpwstr>_Toc274941105</vt:lpwstr>
      </vt:variant>
      <vt:variant>
        <vt:i4>1572915</vt:i4>
      </vt:variant>
      <vt:variant>
        <vt:i4>32</vt:i4>
      </vt:variant>
      <vt:variant>
        <vt:i4>0</vt:i4>
      </vt:variant>
      <vt:variant>
        <vt:i4>5</vt:i4>
      </vt:variant>
      <vt:variant>
        <vt:lpwstr/>
      </vt:variant>
      <vt:variant>
        <vt:lpwstr>_Toc274941104</vt:lpwstr>
      </vt:variant>
      <vt:variant>
        <vt:i4>1572915</vt:i4>
      </vt:variant>
      <vt:variant>
        <vt:i4>26</vt:i4>
      </vt:variant>
      <vt:variant>
        <vt:i4>0</vt:i4>
      </vt:variant>
      <vt:variant>
        <vt:i4>5</vt:i4>
      </vt:variant>
      <vt:variant>
        <vt:lpwstr/>
      </vt:variant>
      <vt:variant>
        <vt:lpwstr>_Toc274941103</vt:lpwstr>
      </vt:variant>
      <vt:variant>
        <vt:i4>1572915</vt:i4>
      </vt:variant>
      <vt:variant>
        <vt:i4>20</vt:i4>
      </vt:variant>
      <vt:variant>
        <vt:i4>0</vt:i4>
      </vt:variant>
      <vt:variant>
        <vt:i4>5</vt:i4>
      </vt:variant>
      <vt:variant>
        <vt:lpwstr/>
      </vt:variant>
      <vt:variant>
        <vt:lpwstr>_Toc274941102</vt:lpwstr>
      </vt:variant>
      <vt:variant>
        <vt:i4>1572915</vt:i4>
      </vt:variant>
      <vt:variant>
        <vt:i4>14</vt:i4>
      </vt:variant>
      <vt:variant>
        <vt:i4>0</vt:i4>
      </vt:variant>
      <vt:variant>
        <vt:i4>5</vt:i4>
      </vt:variant>
      <vt:variant>
        <vt:lpwstr/>
      </vt:variant>
      <vt:variant>
        <vt:lpwstr>_Toc274941101</vt:lpwstr>
      </vt:variant>
      <vt:variant>
        <vt:i4>1572915</vt:i4>
      </vt:variant>
      <vt:variant>
        <vt:i4>8</vt:i4>
      </vt:variant>
      <vt:variant>
        <vt:i4>0</vt:i4>
      </vt:variant>
      <vt:variant>
        <vt:i4>5</vt:i4>
      </vt:variant>
      <vt:variant>
        <vt:lpwstr/>
      </vt:variant>
      <vt:variant>
        <vt:lpwstr>_Toc274941100</vt:lpwstr>
      </vt:variant>
      <vt:variant>
        <vt:i4>1114162</vt:i4>
      </vt:variant>
      <vt:variant>
        <vt:i4>2</vt:i4>
      </vt:variant>
      <vt:variant>
        <vt:i4>0</vt:i4>
      </vt:variant>
      <vt:variant>
        <vt:i4>5</vt:i4>
      </vt:variant>
      <vt:variant>
        <vt:lpwstr/>
      </vt:variant>
      <vt:variant>
        <vt:lpwstr>_Toc274941099</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Chapter 10 Primary and community health - Report on Government Services 2015</dc:title>
  <dc:creator>Steering Committee for the Review of Government Service Provision</dc:creator>
  <cp:lastModifiedBy>Magilton, Gay</cp:lastModifiedBy>
  <cp:revision>52</cp:revision>
  <cp:lastPrinted>2015-02-02T00:29:00Z</cp:lastPrinted>
  <dcterms:created xsi:type="dcterms:W3CDTF">2015-01-09T02:10:00Z</dcterms:created>
  <dcterms:modified xsi:type="dcterms:W3CDTF">2015-02-02T00:34:00Z</dcterms:modified>
  <cp:contentStatus/>
</cp:coreProperties>
</file>