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131FA" w:rsidP="007131FA">
      <w:pPr>
        <w:pStyle w:val="Heading1"/>
        <w:spacing w:before="0"/>
      </w:pPr>
      <w:bookmarkStart w:id="0" w:name="ChapterNumber"/>
      <w:bookmarkStart w:id="1" w:name="_Toc437961474"/>
      <w:r>
        <w:t>2</w:t>
      </w:r>
      <w:bookmarkEnd w:id="0"/>
      <w:r>
        <w:tab/>
      </w:r>
      <w:bookmarkStart w:id="2" w:name="ChapterTitle"/>
      <w:r>
        <w:t>Statistical context</w:t>
      </w:r>
      <w:bookmarkEnd w:id="2"/>
      <w:bookmarkEnd w:id="1"/>
    </w:p>
    <w:bookmarkStart w:id="3" w:name="begin" w:displacedByCustomXml="next"/>
    <w:bookmarkEnd w:id="3" w:displacedByCustomXml="next"/>
    <w:sdt>
      <w:sdtPr>
        <w:rPr>
          <w:rFonts w:ascii="Times New Roman" w:eastAsia="Times New Roman" w:hAnsi="Times New Roman" w:cs="Times New Roman"/>
          <w:b w:val="0"/>
          <w:bCs w:val="0"/>
          <w:color w:val="auto"/>
          <w:sz w:val="24"/>
          <w:szCs w:val="24"/>
          <w:lang w:val="en-AU" w:eastAsia="en-AU"/>
        </w:rPr>
        <w:id w:val="-1831130965"/>
        <w:docPartObj>
          <w:docPartGallery w:val="Table of Contents"/>
          <w:docPartUnique/>
        </w:docPartObj>
      </w:sdtPr>
      <w:sdtEndPr>
        <w:rPr>
          <w:noProof/>
        </w:rPr>
      </w:sdtEndPr>
      <w:sdtContent>
        <w:p w:rsidR="00C11C83" w:rsidRPr="00C11C83" w:rsidRDefault="00C11C83" w:rsidP="00C11C83">
          <w:pPr>
            <w:pStyle w:val="TOCHeading"/>
            <w:rPr>
              <w:rFonts w:ascii="Arial" w:eastAsia="Times New Roman" w:hAnsi="Arial" w:cs="Times New Roman"/>
              <w:bCs w:val="0"/>
              <w:noProof/>
              <w:color w:val="auto"/>
              <w:sz w:val="24"/>
              <w:szCs w:val="26"/>
              <w:lang w:val="en-AU" w:eastAsia="en-US"/>
            </w:rPr>
          </w:pPr>
          <w:r w:rsidRPr="006E285B">
            <w:rPr>
              <w:rFonts w:ascii="Arial" w:eastAsia="Times New Roman" w:hAnsi="Arial" w:cs="Times New Roman"/>
              <w:b w:val="0"/>
              <w:bCs w:val="0"/>
              <w:noProof/>
              <w:color w:val="auto"/>
              <w:sz w:val="24"/>
              <w:szCs w:val="26"/>
              <w:lang w:val="en-AU" w:eastAsia="en-US"/>
            </w:rPr>
            <w:t>CONTENTS</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2.1</w:t>
          </w:r>
          <w:r>
            <w:rPr>
              <w:rFonts w:asciiTheme="minorHAnsi" w:eastAsiaTheme="minorEastAsia" w:hAnsiTheme="minorHAnsi" w:cstheme="minorBidi"/>
              <w:noProof/>
              <w:sz w:val="22"/>
              <w:szCs w:val="22"/>
              <w:lang w:eastAsia="en-AU"/>
            </w:rPr>
            <w:tab/>
          </w:r>
          <w:r w:rsidRPr="000043A7">
            <w:rPr>
              <w:noProof/>
            </w:rPr>
            <w:t>Introduction</w:t>
          </w:r>
          <w:r>
            <w:rPr>
              <w:noProof/>
              <w:webHidden/>
            </w:rPr>
            <w:tab/>
          </w:r>
          <w:r w:rsidR="00574B8D">
            <w:rPr>
              <w:noProof/>
              <w:webHidden/>
            </w:rPr>
            <w:t>2.</w:t>
          </w:r>
          <w:r w:rsidR="002A1DC5">
            <w:rPr>
              <w:noProof/>
              <w:webHidden/>
            </w:rPr>
            <w:t>1</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2.2</w:t>
          </w:r>
          <w:r>
            <w:rPr>
              <w:rFonts w:asciiTheme="minorHAnsi" w:eastAsiaTheme="minorEastAsia" w:hAnsiTheme="minorHAnsi" w:cstheme="minorBidi"/>
              <w:noProof/>
              <w:sz w:val="22"/>
              <w:szCs w:val="22"/>
              <w:lang w:eastAsia="en-AU"/>
            </w:rPr>
            <w:tab/>
          </w:r>
          <w:r w:rsidRPr="000043A7">
            <w:rPr>
              <w:noProof/>
            </w:rPr>
            <w:t>Population</w:t>
          </w:r>
          <w:r>
            <w:rPr>
              <w:noProof/>
              <w:webHidden/>
            </w:rPr>
            <w:tab/>
          </w:r>
          <w:r w:rsidR="00574B8D">
            <w:rPr>
              <w:noProof/>
              <w:webHidden/>
            </w:rPr>
            <w:t>2.</w:t>
          </w:r>
          <w:r w:rsidR="002A1DC5">
            <w:rPr>
              <w:noProof/>
              <w:webHidden/>
            </w:rPr>
            <w:t>2</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2.3</w:t>
          </w:r>
          <w:r>
            <w:rPr>
              <w:rFonts w:asciiTheme="minorHAnsi" w:eastAsiaTheme="minorEastAsia" w:hAnsiTheme="minorHAnsi" w:cstheme="minorBidi"/>
              <w:noProof/>
              <w:sz w:val="22"/>
              <w:szCs w:val="22"/>
              <w:lang w:eastAsia="en-AU"/>
            </w:rPr>
            <w:tab/>
          </w:r>
          <w:r w:rsidRPr="000043A7">
            <w:rPr>
              <w:noProof/>
            </w:rPr>
            <w:t>Family and household</w:t>
          </w:r>
          <w:r>
            <w:rPr>
              <w:noProof/>
              <w:webHidden/>
            </w:rPr>
            <w:tab/>
          </w:r>
          <w:r w:rsidR="00574B8D">
            <w:rPr>
              <w:noProof/>
              <w:webHidden/>
            </w:rPr>
            <w:t>2.</w:t>
          </w:r>
          <w:r w:rsidR="002A1DC5">
            <w:rPr>
              <w:noProof/>
              <w:webHidden/>
            </w:rPr>
            <w:t>6</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2.4</w:t>
          </w:r>
          <w:r>
            <w:rPr>
              <w:rFonts w:asciiTheme="minorHAnsi" w:eastAsiaTheme="minorEastAsia" w:hAnsiTheme="minorHAnsi" w:cstheme="minorBidi"/>
              <w:noProof/>
              <w:sz w:val="22"/>
              <w:szCs w:val="22"/>
              <w:lang w:eastAsia="en-AU"/>
            </w:rPr>
            <w:tab/>
          </w:r>
          <w:r w:rsidRPr="000043A7">
            <w:rPr>
              <w:noProof/>
            </w:rPr>
            <w:t>Income, education and employment</w:t>
          </w:r>
          <w:r>
            <w:rPr>
              <w:noProof/>
              <w:webHidden/>
            </w:rPr>
            <w:tab/>
          </w:r>
          <w:r w:rsidR="00574B8D">
            <w:rPr>
              <w:noProof/>
              <w:webHidden/>
            </w:rPr>
            <w:t>2.</w:t>
          </w:r>
          <w:r w:rsidR="002A1DC5">
            <w:rPr>
              <w:noProof/>
              <w:webHidden/>
            </w:rPr>
            <w:t>8</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2.5</w:t>
          </w:r>
          <w:r>
            <w:rPr>
              <w:rFonts w:asciiTheme="minorHAnsi" w:eastAsiaTheme="minorEastAsia" w:hAnsiTheme="minorHAnsi" w:cstheme="minorBidi"/>
              <w:noProof/>
              <w:sz w:val="22"/>
              <w:szCs w:val="22"/>
              <w:lang w:eastAsia="en-AU"/>
            </w:rPr>
            <w:tab/>
          </w:r>
          <w:r w:rsidRPr="000043A7">
            <w:rPr>
              <w:noProof/>
            </w:rPr>
            <w:t>General economic indicators</w:t>
          </w:r>
          <w:r>
            <w:rPr>
              <w:noProof/>
              <w:webHidden/>
            </w:rPr>
            <w:tab/>
          </w:r>
          <w:r w:rsidR="00574B8D">
            <w:rPr>
              <w:noProof/>
              <w:webHidden/>
            </w:rPr>
            <w:t>2.</w:t>
          </w:r>
          <w:r w:rsidR="002A1DC5">
            <w:rPr>
              <w:noProof/>
              <w:webHidden/>
            </w:rPr>
            <w:t>11</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2.6</w:t>
          </w:r>
          <w:r>
            <w:rPr>
              <w:rFonts w:asciiTheme="minorHAnsi" w:eastAsiaTheme="minorEastAsia" w:hAnsiTheme="minorHAnsi" w:cstheme="minorBidi"/>
              <w:noProof/>
              <w:sz w:val="22"/>
              <w:szCs w:val="22"/>
              <w:lang w:eastAsia="en-AU"/>
            </w:rPr>
            <w:tab/>
          </w:r>
          <w:r w:rsidRPr="000043A7">
            <w:rPr>
              <w:noProof/>
            </w:rPr>
            <w:t>Statistical concepts used in the Report</w:t>
          </w:r>
          <w:r>
            <w:rPr>
              <w:noProof/>
              <w:webHidden/>
            </w:rPr>
            <w:tab/>
          </w:r>
          <w:r w:rsidR="00574B8D">
            <w:rPr>
              <w:noProof/>
              <w:webHidden/>
            </w:rPr>
            <w:t>2.</w:t>
          </w:r>
          <w:r w:rsidR="002A1DC5">
            <w:rPr>
              <w:noProof/>
              <w:webHidden/>
            </w:rPr>
            <w:t>11</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2.7</w:t>
          </w:r>
          <w:r>
            <w:rPr>
              <w:rFonts w:asciiTheme="minorHAnsi" w:eastAsiaTheme="minorEastAsia" w:hAnsiTheme="minorHAnsi" w:cstheme="minorBidi"/>
              <w:noProof/>
              <w:sz w:val="22"/>
              <w:szCs w:val="22"/>
              <w:lang w:eastAsia="en-AU"/>
            </w:rPr>
            <w:tab/>
          </w:r>
          <w:r w:rsidRPr="000043A7">
            <w:rPr>
              <w:noProof/>
            </w:rPr>
            <w:t>List of attachment tables</w:t>
          </w:r>
          <w:r>
            <w:rPr>
              <w:noProof/>
              <w:webHidden/>
            </w:rPr>
            <w:tab/>
          </w:r>
          <w:r w:rsidR="00574B8D">
            <w:rPr>
              <w:noProof/>
              <w:webHidden/>
            </w:rPr>
            <w:t>2.</w:t>
          </w:r>
          <w:r w:rsidR="002A1DC5">
            <w:rPr>
              <w:noProof/>
              <w:webHidden/>
            </w:rPr>
            <w:t>24</w:t>
          </w:r>
        </w:p>
        <w:p w:rsidR="00C11C83" w:rsidRDefault="00C11C83">
          <w:pPr>
            <w:pStyle w:val="TOC2"/>
            <w:tabs>
              <w:tab w:val="left" w:pos="1134"/>
            </w:tabs>
            <w:rPr>
              <w:rFonts w:asciiTheme="minorHAnsi" w:eastAsiaTheme="minorEastAsia" w:hAnsiTheme="minorHAnsi" w:cstheme="minorBidi"/>
              <w:noProof/>
              <w:sz w:val="22"/>
              <w:szCs w:val="22"/>
              <w:lang w:eastAsia="en-AU"/>
            </w:rPr>
          </w:pPr>
          <w:r w:rsidRPr="000043A7">
            <w:rPr>
              <w:noProof/>
            </w:rPr>
            <w:t>2.8</w:t>
          </w:r>
          <w:r>
            <w:rPr>
              <w:rFonts w:asciiTheme="minorHAnsi" w:eastAsiaTheme="minorEastAsia" w:hAnsiTheme="minorHAnsi" w:cstheme="minorBidi"/>
              <w:noProof/>
              <w:sz w:val="22"/>
              <w:szCs w:val="22"/>
              <w:lang w:eastAsia="en-AU"/>
            </w:rPr>
            <w:tab/>
          </w:r>
          <w:r w:rsidRPr="000043A7">
            <w:rPr>
              <w:noProof/>
            </w:rPr>
            <w:t>References</w:t>
          </w:r>
          <w:r>
            <w:rPr>
              <w:noProof/>
              <w:webHidden/>
            </w:rPr>
            <w:tab/>
          </w:r>
          <w:r w:rsidR="00574B8D">
            <w:rPr>
              <w:noProof/>
              <w:webHidden/>
            </w:rPr>
            <w:t>2.</w:t>
          </w:r>
          <w:r w:rsidR="002A1DC5">
            <w:rPr>
              <w:noProof/>
              <w:webHidden/>
            </w:rPr>
            <w:t>26</w:t>
          </w:r>
        </w:p>
        <w:p w:rsidR="00C11C83" w:rsidRDefault="00214258"/>
      </w:sdtContent>
    </w:sdt>
    <w:p w:rsidR="007131FA" w:rsidRDefault="007131F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31FA" w:rsidTr="0089285A">
        <w:tc>
          <w:tcPr>
            <w:tcW w:w="8771" w:type="dxa"/>
            <w:tcBorders>
              <w:top w:val="single" w:sz="6" w:space="0" w:color="78A22F"/>
              <w:left w:val="nil"/>
              <w:bottom w:val="nil"/>
              <w:right w:val="nil"/>
            </w:tcBorders>
            <w:shd w:val="clear" w:color="auto" w:fill="F2F2F2"/>
          </w:tcPr>
          <w:p w:rsidR="007131FA" w:rsidRDefault="007131FA">
            <w:pPr>
              <w:pStyle w:val="BoxTitle"/>
            </w:pPr>
            <w:r w:rsidRPr="000756AC">
              <w:t>Attachment tables</w:t>
            </w:r>
          </w:p>
        </w:tc>
      </w:tr>
      <w:tr w:rsidR="007131FA" w:rsidTr="0089285A">
        <w:trPr>
          <w:cantSplit/>
        </w:trPr>
        <w:tc>
          <w:tcPr>
            <w:tcW w:w="8771" w:type="dxa"/>
            <w:tcBorders>
              <w:top w:val="nil"/>
              <w:left w:val="nil"/>
              <w:bottom w:val="nil"/>
              <w:right w:val="nil"/>
            </w:tcBorders>
            <w:shd w:val="clear" w:color="auto" w:fill="F2F2F2"/>
          </w:tcPr>
          <w:p w:rsidR="007131FA" w:rsidRDefault="007131FA" w:rsidP="0089285A">
            <w:pPr>
              <w:pStyle w:val="Box"/>
            </w:pPr>
            <w:r w:rsidRPr="000756AC">
              <w:t>Attachment tables are identified in references throughout this chapter by an ‘2A’ prefix (for example, table</w:t>
            </w:r>
            <w:r w:rsidR="00B04B82">
              <w:t> </w:t>
            </w:r>
            <w:r w:rsidRPr="000756AC">
              <w:t xml:space="preserve">2A.1). A full list of attachment tables is provided at the end of this chapter, and the </w:t>
            </w:r>
            <w:r>
              <w:t xml:space="preserve">attachment tables are available </w:t>
            </w:r>
            <w:r w:rsidRPr="000756AC">
              <w:t>from the website at www.pc.gov.au/rogs/2016.</w:t>
            </w:r>
          </w:p>
        </w:tc>
      </w:tr>
      <w:tr w:rsidR="007131FA" w:rsidTr="0089285A">
        <w:trPr>
          <w:cantSplit/>
        </w:trPr>
        <w:tc>
          <w:tcPr>
            <w:tcW w:w="8771" w:type="dxa"/>
            <w:tcBorders>
              <w:top w:val="nil"/>
              <w:left w:val="nil"/>
              <w:bottom w:val="single" w:sz="6" w:space="0" w:color="78A22F"/>
              <w:right w:val="nil"/>
            </w:tcBorders>
            <w:shd w:val="clear" w:color="auto" w:fill="F2F2F2"/>
          </w:tcPr>
          <w:p w:rsidR="007131FA" w:rsidRDefault="007131FA">
            <w:pPr>
              <w:pStyle w:val="Box"/>
              <w:spacing w:before="0" w:line="120" w:lineRule="exact"/>
            </w:pPr>
          </w:p>
        </w:tc>
      </w:tr>
      <w:tr w:rsidR="007131FA" w:rsidRPr="000863A5" w:rsidTr="0089285A">
        <w:tc>
          <w:tcPr>
            <w:tcW w:w="8771" w:type="dxa"/>
            <w:tcBorders>
              <w:top w:val="single" w:sz="6" w:space="0" w:color="78A22F"/>
              <w:left w:val="nil"/>
              <w:bottom w:val="nil"/>
              <w:right w:val="nil"/>
            </w:tcBorders>
          </w:tcPr>
          <w:p w:rsidR="007131FA" w:rsidRPr="00626D32" w:rsidRDefault="007131FA" w:rsidP="0089285A">
            <w:pPr>
              <w:pStyle w:val="BoxSpaceBelow"/>
            </w:pPr>
          </w:p>
        </w:tc>
      </w:tr>
    </w:tbl>
    <w:p w:rsidR="00666E02" w:rsidRDefault="007131FA" w:rsidP="007131FA">
      <w:pPr>
        <w:pStyle w:val="Heading2"/>
      </w:pPr>
      <w:bookmarkStart w:id="4" w:name="_Toc437961475"/>
      <w:r>
        <w:t>2.</w:t>
      </w:r>
      <w:r w:rsidR="00862E04">
        <w:rPr>
          <w:noProof/>
        </w:rPr>
        <w:t>1</w:t>
      </w:r>
      <w:r>
        <w:tab/>
        <w:t>Introduction</w:t>
      </w:r>
      <w:bookmarkEnd w:id="4"/>
    </w:p>
    <w:p w:rsidR="007131FA" w:rsidRPr="000E324D" w:rsidRDefault="007131FA" w:rsidP="007131FA">
      <w:pPr>
        <w:pStyle w:val="BodyText"/>
      </w:pPr>
      <w:r w:rsidRPr="000E324D">
        <w:t>This chapter contains contextual information to assist the interpretation of the performance indicators presented in this Report. The following key factors in interpreting the performance data are addressed:</w:t>
      </w:r>
    </w:p>
    <w:p w:rsidR="007131FA" w:rsidRPr="000E324D" w:rsidRDefault="007131FA" w:rsidP="007131FA">
      <w:pPr>
        <w:pStyle w:val="ListBullet"/>
      </w:pPr>
      <w:r w:rsidRPr="000E324D">
        <w:t>Australia’s population</w:t>
      </w:r>
    </w:p>
    <w:p w:rsidR="007131FA" w:rsidRPr="000E324D" w:rsidRDefault="007131FA" w:rsidP="007131FA">
      <w:pPr>
        <w:pStyle w:val="ListBullet"/>
      </w:pPr>
      <w:r w:rsidRPr="000E324D">
        <w:t>family and household</w:t>
      </w:r>
    </w:p>
    <w:p w:rsidR="007131FA" w:rsidRPr="000E324D" w:rsidRDefault="007131FA" w:rsidP="007131FA">
      <w:pPr>
        <w:pStyle w:val="ListBullet"/>
      </w:pPr>
      <w:r w:rsidRPr="000E324D">
        <w:t>income, education and employment</w:t>
      </w:r>
    </w:p>
    <w:p w:rsidR="007131FA" w:rsidRPr="000E324D" w:rsidRDefault="007131FA" w:rsidP="007131FA">
      <w:pPr>
        <w:pStyle w:val="ListBullet"/>
      </w:pPr>
      <w:r w:rsidRPr="000E324D">
        <w:t>general economic indicators</w:t>
      </w:r>
    </w:p>
    <w:p w:rsidR="007131FA" w:rsidRPr="000E324D" w:rsidRDefault="007131FA" w:rsidP="007131FA">
      <w:pPr>
        <w:pStyle w:val="ListBullet"/>
      </w:pPr>
      <w:r w:rsidRPr="000E324D">
        <w:t>statistical concepts.</w:t>
      </w:r>
    </w:p>
    <w:p w:rsidR="007131FA" w:rsidRDefault="007131FA" w:rsidP="007131FA">
      <w:pPr>
        <w:pStyle w:val="BodyText"/>
      </w:pPr>
      <w:r w:rsidRPr="00C17172">
        <w:t>All abbreviations used in this Report are available in a complete list in volume A: Approach to performance reporting.</w:t>
      </w:r>
    </w:p>
    <w:p w:rsidR="007131FA" w:rsidRDefault="007131FA" w:rsidP="007131FA">
      <w:pPr>
        <w:pStyle w:val="Heading2"/>
      </w:pPr>
      <w:bookmarkStart w:id="5" w:name="_Toc437961476"/>
      <w:r>
        <w:lastRenderedPageBreak/>
        <w:t>2.</w:t>
      </w:r>
      <w:r w:rsidR="00862E04">
        <w:rPr>
          <w:noProof/>
        </w:rPr>
        <w:t>2</w:t>
      </w:r>
      <w:r>
        <w:tab/>
        <w:t>Population</w:t>
      </w:r>
      <w:bookmarkEnd w:id="5"/>
    </w:p>
    <w:p w:rsidR="007131FA" w:rsidRPr="00C31DF0" w:rsidRDefault="007131FA" w:rsidP="007131FA">
      <w:pPr>
        <w:pStyle w:val="BodyText"/>
      </w:pPr>
      <w:r w:rsidRPr="00F1607C">
        <w:t>The Australian people are the principal recipients of the government services covered by this Report. The size, trends and characteristics of the population can have significant influences on the demand for government services and the cost of service delivery. This section provides a description of the Australian population, to support the interpretation of performance data provided in the Report.</w:t>
      </w:r>
    </w:p>
    <w:p w:rsidR="007131FA" w:rsidRPr="00C31DF0" w:rsidRDefault="007131FA" w:rsidP="007131FA">
      <w:pPr>
        <w:pStyle w:val="BodyText"/>
      </w:pPr>
      <w:r w:rsidRPr="00F1607C">
        <w:t xml:space="preserve">In this chapter and associated attachment tables, </w:t>
      </w:r>
      <w:bookmarkStart w:id="6" w:name="OLE_LINK46"/>
      <w:r w:rsidRPr="00F1607C">
        <w:t xml:space="preserve">population totals for the same year can </w:t>
      </w:r>
      <w:r w:rsidRPr="0017539E">
        <w:t xml:space="preserve">vary, because they are drawn from different ABS’ sources depending on the information required. For example, some data are from the </w:t>
      </w:r>
      <w:r w:rsidRPr="00C570C0">
        <w:rPr>
          <w:i/>
        </w:rPr>
        <w:t xml:space="preserve">2011 </w:t>
      </w:r>
      <w:r w:rsidRPr="007A5963">
        <w:rPr>
          <w:i/>
        </w:rPr>
        <w:t>Census of Population and Housing</w:t>
      </w:r>
      <w:r w:rsidRPr="007A5963">
        <w:t xml:space="preserve"> </w:t>
      </w:r>
      <w:r w:rsidRPr="007A5963">
        <w:br/>
        <w:t xml:space="preserve">(ABS 2012) and others are from </w:t>
      </w:r>
      <w:r w:rsidRPr="007A5963">
        <w:rPr>
          <w:i/>
        </w:rPr>
        <w:t>Australian Demographic Statistics</w:t>
      </w:r>
      <w:r w:rsidRPr="007A5963">
        <w:t xml:space="preserve"> (ABS 2015</w:t>
      </w:r>
      <w:r>
        <w:t>a</w:t>
      </w:r>
      <w:r w:rsidRPr="007A5963">
        <w:t xml:space="preserve"> and previous issues).</w:t>
      </w:r>
    </w:p>
    <w:bookmarkEnd w:id="6"/>
    <w:p w:rsidR="007131FA" w:rsidRDefault="007131FA" w:rsidP="007131FA">
      <w:pPr>
        <w:pStyle w:val="BodyText"/>
      </w:pPr>
      <w:r w:rsidRPr="00F1607C">
        <w:t>Most of the service areas covered by the Report use estimated resident population (ERP) data from tables</w:t>
      </w:r>
      <w:r w:rsidR="00021101">
        <w:t> </w:t>
      </w:r>
      <w:r w:rsidRPr="00F1607C">
        <w:t>2A.1–2 for descriptive information (such as expenditure per person in the population) and as denominators for performance indicators (such as calculating participation rates for school education).</w:t>
      </w:r>
    </w:p>
    <w:p w:rsidR="007131FA" w:rsidRDefault="007131FA" w:rsidP="007131FA">
      <w:pPr>
        <w:pStyle w:val="Heading3"/>
      </w:pPr>
      <w:bookmarkStart w:id="7" w:name="_Toc437961477"/>
      <w:r>
        <w:t>Population size and trends</w:t>
      </w:r>
      <w:bookmarkEnd w:id="7"/>
    </w:p>
    <w:p w:rsidR="007131FA" w:rsidRPr="007B1E22" w:rsidRDefault="007131FA" w:rsidP="007131FA">
      <w:pPr>
        <w:pStyle w:val="BodyText"/>
      </w:pPr>
      <w:r w:rsidRPr="00E73B1B">
        <w:t>More than three</w:t>
      </w:r>
      <w:r w:rsidR="00CC7F97">
        <w:noBreakHyphen/>
      </w:r>
      <w:r w:rsidRPr="00E73B1B">
        <w:t>quarters of Australia’s 23.5 million people lived in the eastern mainland states as at 30</w:t>
      </w:r>
      <w:r w:rsidR="001620EE">
        <w:t> </w:t>
      </w:r>
      <w:r w:rsidRPr="00E73B1B">
        <w:t xml:space="preserve">June 2014, with NSW, Victoria and Queensland accounting for </w:t>
      </w:r>
      <w:r w:rsidRPr="00E73B1B">
        <w:br/>
        <w:t>32.0 per cent, 24.9 per cent and 20.1 per cent, respectively, of the nation’s population. WA and SA accounted for a further 11.0 per cent and 7.2 per cent, respectively, while Tasmania, the ACT and the NT accounted for the remaining 2.2 per cent, 1.6 per cent and 1.0 per cent, respectively (table</w:t>
      </w:r>
      <w:r w:rsidR="00021101">
        <w:t> </w:t>
      </w:r>
      <w:r w:rsidRPr="00E73B1B">
        <w:t xml:space="preserve">2A.1). As the majority of Australia’s population lives in </w:t>
      </w:r>
      <w:r w:rsidRPr="007B1E22">
        <w:t>the eastern mainland states, data for these jurisdictions generally have a large influence on national averages.</w:t>
      </w:r>
    </w:p>
    <w:p w:rsidR="007131FA" w:rsidRDefault="007131FA" w:rsidP="007131FA">
      <w:pPr>
        <w:pStyle w:val="BodyText"/>
      </w:pPr>
      <w:r w:rsidRPr="007B1E22">
        <w:t xml:space="preserve">Nationally, the average annual growth rate of the population between 2010 and 2014 was approximately 1.6 per cent. The growth across jurisdictions ranged from </w:t>
      </w:r>
      <w:r>
        <w:t>3.0</w:t>
      </w:r>
      <w:r w:rsidRPr="007B1E22">
        <w:t xml:space="preserve"> per cent in WA to 0.</w:t>
      </w:r>
      <w:r>
        <w:t>3</w:t>
      </w:r>
      <w:r w:rsidRPr="007B1E22">
        <w:t xml:space="preserve"> per cent in Tasmania (table</w:t>
      </w:r>
      <w:r w:rsidR="00021101">
        <w:t> </w:t>
      </w:r>
      <w:r w:rsidRPr="007B1E22">
        <w:t xml:space="preserve">2A.1). Population data </w:t>
      </w:r>
      <w:r>
        <w:t>as at</w:t>
      </w:r>
      <w:r w:rsidRPr="007B1E22">
        <w:t xml:space="preserve"> December 2014 and earlier years are in table</w:t>
      </w:r>
      <w:r w:rsidR="00021101">
        <w:t> </w:t>
      </w:r>
      <w:r w:rsidRPr="007B1E22">
        <w:t>2A.2.</w:t>
      </w:r>
    </w:p>
    <w:p w:rsidR="007131FA" w:rsidRDefault="007131FA" w:rsidP="007131FA">
      <w:pPr>
        <w:pStyle w:val="Heading3"/>
      </w:pPr>
      <w:bookmarkStart w:id="8" w:name="_Toc437961478"/>
      <w:r>
        <w:t>Population, by age and sex</w:t>
      </w:r>
      <w:bookmarkEnd w:id="8"/>
    </w:p>
    <w:p w:rsidR="007131FA" w:rsidRPr="003A0B82" w:rsidRDefault="007131FA" w:rsidP="007131FA">
      <w:pPr>
        <w:pStyle w:val="BodyText"/>
      </w:pPr>
      <w:r w:rsidRPr="00F1607C">
        <w:t xml:space="preserve">As in most other developed economies, greater life expectancy and declining fertility have contributed to an ‘ageing’ of Australia’s population. However, the age distribution of </w:t>
      </w:r>
      <w:r w:rsidRPr="00E73B1B">
        <w:t>Aboriginal and Torres Strait Islander people is markedly different to that of all Australians (figure</w:t>
      </w:r>
      <w:r w:rsidR="00021101">
        <w:t> </w:t>
      </w:r>
      <w:r w:rsidRPr="00E73B1B">
        <w:t>2.1). At 30</w:t>
      </w:r>
      <w:r w:rsidR="001620EE">
        <w:t> </w:t>
      </w:r>
      <w:r w:rsidRPr="00E73B1B">
        <w:t xml:space="preserve">June 2014, 9.9 per cent of Australia’s population was aged 70 years or over, compared with just 1.9 per cent of Australia’s Aboriginal and Torres Strait Islander </w:t>
      </w:r>
      <w:r w:rsidRPr="00FD16B7">
        <w:t>population</w:t>
      </w:r>
      <w:r>
        <w:t xml:space="preserve"> </w:t>
      </w:r>
      <w:r w:rsidRPr="00FD16B7">
        <w:t>as at 30</w:t>
      </w:r>
      <w:r w:rsidR="001620EE">
        <w:t> </w:t>
      </w:r>
      <w:r w:rsidRPr="00FD16B7">
        <w:t>June 2011 (tables</w:t>
      </w:r>
      <w:r w:rsidR="00021101">
        <w:t> </w:t>
      </w:r>
      <w:r w:rsidRPr="00FD16B7">
        <w:t xml:space="preserve">2A.1 and 2A.13). Across jurisdictions, the </w:t>
      </w:r>
      <w:r w:rsidRPr="003A0B82">
        <w:t xml:space="preserve">proportion </w:t>
      </w:r>
      <w:r w:rsidRPr="003A0B82">
        <w:lastRenderedPageBreak/>
        <w:t>of all people aged 70 years or over ranged from 11.9 per cent in Tasmania to 3.5 per cent in the NT (table</w:t>
      </w:r>
      <w:r w:rsidR="00021101">
        <w:t> </w:t>
      </w:r>
      <w:r w:rsidRPr="003A0B82">
        <w:t>2A.1).</w:t>
      </w:r>
    </w:p>
    <w:p w:rsidR="007131FA" w:rsidRDefault="007131FA" w:rsidP="007131FA">
      <w:pPr>
        <w:pStyle w:val="BodyText"/>
      </w:pPr>
      <w:r w:rsidRPr="003A0B82">
        <w:t>Half of the population at June 201</w:t>
      </w:r>
      <w:r>
        <w:t>4</w:t>
      </w:r>
      <w:r w:rsidRPr="003A0B82">
        <w:t xml:space="preserve"> was female (50.2 per cent</w:t>
      </w:r>
      <w:r>
        <w:t xml:space="preserve"> nationally</w:t>
      </w:r>
      <w:r w:rsidRPr="003A0B82">
        <w:t>)</w:t>
      </w:r>
      <w:r>
        <w:t>, though</w:t>
      </w:r>
      <w:r w:rsidRPr="003A0B82">
        <w:t xml:space="preserve"> </w:t>
      </w:r>
      <w:r>
        <w:t>t</w:t>
      </w:r>
      <w:r w:rsidRPr="003A0B82">
        <w:t>h</w:t>
      </w:r>
      <w:r>
        <w:t>is</w:t>
      </w:r>
      <w:r w:rsidRPr="003A0B82">
        <w:t xml:space="preserve"> proportion varies noticeably by age. Nationally, approximately 55.0 per cent of people aged 70 years or over were female, compared with 48.7 per cent of people aged 14 years or under (table</w:t>
      </w:r>
      <w:r w:rsidR="00021101">
        <w:t> </w:t>
      </w:r>
      <w:r w:rsidRPr="003A0B82">
        <w:t>2A.1).</w:t>
      </w:r>
    </w:p>
    <w:p w:rsidR="007131FA" w:rsidRDefault="007131FA"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31FA" w:rsidTr="0089285A">
        <w:tc>
          <w:tcPr>
            <w:tcW w:w="8771" w:type="dxa"/>
            <w:tcBorders>
              <w:top w:val="single" w:sz="6" w:space="0" w:color="78A22F"/>
              <w:left w:val="nil"/>
              <w:bottom w:val="nil"/>
              <w:right w:val="nil"/>
            </w:tcBorders>
            <w:shd w:val="clear" w:color="auto" w:fill="auto"/>
          </w:tcPr>
          <w:p w:rsidR="007131FA" w:rsidRPr="00176D3F" w:rsidRDefault="007131FA" w:rsidP="007131FA">
            <w:pPr>
              <w:pStyle w:val="FigureTitle"/>
            </w:pPr>
            <w:r w:rsidRPr="00784A05">
              <w:rPr>
                <w:b w:val="0"/>
              </w:rPr>
              <w:t xml:space="preserve">Figure </w:t>
            </w:r>
            <w:r>
              <w:rPr>
                <w:b w:val="0"/>
              </w:rPr>
              <w:t>2.</w:t>
            </w:r>
            <w:r w:rsidR="00862E04">
              <w:rPr>
                <w:b w:val="0"/>
                <w:noProof/>
              </w:rPr>
              <w:t>1</w:t>
            </w:r>
            <w:r>
              <w:tab/>
            </w:r>
            <w:r w:rsidRPr="0083666F">
              <w:t xml:space="preserve">Population distribution, Australia, by age and sex, </w:t>
            </w:r>
            <w:r w:rsidRPr="0083666F">
              <w:br/>
              <w:t>30 June</w:t>
            </w:r>
            <w:r w:rsidRPr="0083666F">
              <w:rPr>
                <w:rStyle w:val="NoteLabel"/>
                <w:b/>
              </w:rPr>
              <w:t>a</w:t>
            </w:r>
          </w:p>
        </w:tc>
      </w:tr>
      <w:tr w:rsidR="007131FA"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7131FA" w:rsidTr="0089285A">
              <w:trPr>
                <w:jc w:val="center"/>
              </w:trPr>
              <w:tc>
                <w:tcPr>
                  <w:tcW w:w="5000" w:type="pct"/>
                  <w:gridSpan w:val="2"/>
                  <w:tcBorders>
                    <w:top w:val="nil"/>
                    <w:bottom w:val="nil"/>
                  </w:tcBorders>
                </w:tcPr>
                <w:p w:rsidR="007131FA" w:rsidRDefault="007131FA" w:rsidP="0089285A">
                  <w:pPr>
                    <w:pStyle w:val="Figure"/>
                    <w:spacing w:before="60" w:after="60"/>
                  </w:pPr>
                  <w:r w:rsidRPr="0083666F">
                    <w:rPr>
                      <w:noProof/>
                    </w:rPr>
                    <w:drawing>
                      <wp:inline distT="0" distB="0" distL="0" distR="0" wp14:anchorId="725C961F" wp14:editId="64F81CB8">
                        <wp:extent cx="5400000" cy="360000"/>
                        <wp:effectExtent l="0" t="0" r="0" b="2540"/>
                        <wp:docPr id="2" name="Chart 2" descr="Legend to Figure 2.1 Population distribution, Australia, by age and sex,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7131FA" w:rsidTr="007131FA">
              <w:trPr>
                <w:jc w:val="center"/>
              </w:trPr>
              <w:tc>
                <w:tcPr>
                  <w:tcW w:w="2500" w:type="pct"/>
                  <w:tcBorders>
                    <w:top w:val="nil"/>
                    <w:bottom w:val="nil"/>
                  </w:tcBorders>
                </w:tcPr>
                <w:p w:rsidR="007131FA" w:rsidRDefault="007131FA" w:rsidP="0089285A">
                  <w:pPr>
                    <w:pStyle w:val="Figure"/>
                    <w:spacing w:before="60" w:after="60"/>
                    <w:rPr>
                      <w:rFonts w:asciiTheme="minorHAnsi" w:hAnsiTheme="minorHAnsi" w:cstheme="minorHAnsi"/>
                      <w:b/>
                      <w:noProof/>
                      <w:sz w:val="18"/>
                      <w:szCs w:val="18"/>
                    </w:rPr>
                  </w:pPr>
                </w:p>
                <w:p w:rsidR="007131FA" w:rsidRDefault="007131FA" w:rsidP="0089285A">
                  <w:pPr>
                    <w:pStyle w:val="Figure"/>
                    <w:spacing w:before="60" w:after="60"/>
                  </w:pPr>
                  <w:r w:rsidRPr="0083666F">
                    <w:rPr>
                      <w:rFonts w:asciiTheme="minorHAnsi" w:hAnsiTheme="minorHAnsi" w:cstheme="minorHAnsi"/>
                      <w:b/>
                      <w:noProof/>
                      <w:sz w:val="18"/>
                      <w:szCs w:val="18"/>
                    </w:rPr>
                    <w:t>All people (201</w:t>
                  </w:r>
                  <w:r>
                    <w:rPr>
                      <w:rFonts w:asciiTheme="minorHAnsi" w:hAnsiTheme="minorHAnsi" w:cstheme="minorHAnsi"/>
                      <w:b/>
                      <w:noProof/>
                      <w:sz w:val="18"/>
                      <w:szCs w:val="18"/>
                    </w:rPr>
                    <w:t>4</w:t>
                  </w:r>
                  <w:r w:rsidRPr="0083666F">
                    <w:rPr>
                      <w:rFonts w:asciiTheme="minorHAnsi" w:hAnsiTheme="minorHAnsi" w:cstheme="minorHAnsi"/>
                      <w:b/>
                      <w:noProof/>
                      <w:sz w:val="18"/>
                      <w:szCs w:val="18"/>
                    </w:rPr>
                    <w:t>)</w:t>
                  </w:r>
                </w:p>
              </w:tc>
              <w:tc>
                <w:tcPr>
                  <w:tcW w:w="2500" w:type="pct"/>
                  <w:tcBorders>
                    <w:top w:val="nil"/>
                    <w:bottom w:val="nil"/>
                  </w:tcBorders>
                </w:tcPr>
                <w:p w:rsidR="007131FA" w:rsidRPr="0083666F" w:rsidRDefault="007131FA" w:rsidP="007131FA">
                  <w:pPr>
                    <w:pStyle w:val="Figure"/>
                    <w:spacing w:before="60" w:after="60"/>
                    <w:rPr>
                      <w:rFonts w:asciiTheme="minorHAnsi" w:hAnsiTheme="minorHAnsi" w:cstheme="minorHAnsi"/>
                      <w:b/>
                      <w:noProof/>
                      <w:sz w:val="18"/>
                      <w:szCs w:val="18"/>
                    </w:rPr>
                  </w:pPr>
                  <w:r w:rsidRPr="0083666F">
                    <w:rPr>
                      <w:rFonts w:asciiTheme="minorHAnsi" w:hAnsiTheme="minorHAnsi" w:cstheme="minorHAnsi"/>
                      <w:b/>
                      <w:noProof/>
                      <w:sz w:val="18"/>
                      <w:szCs w:val="18"/>
                    </w:rPr>
                    <w:t xml:space="preserve">Aboriginal and Torres Strait Islander </w:t>
                  </w:r>
                </w:p>
                <w:p w:rsidR="007131FA" w:rsidRDefault="007131FA" w:rsidP="007131FA">
                  <w:pPr>
                    <w:pStyle w:val="Figure"/>
                    <w:spacing w:before="60" w:after="60"/>
                  </w:pPr>
                  <w:r w:rsidRPr="0083666F">
                    <w:rPr>
                      <w:rFonts w:asciiTheme="minorHAnsi" w:hAnsiTheme="minorHAnsi" w:cstheme="minorHAnsi"/>
                      <w:b/>
                      <w:noProof/>
                      <w:sz w:val="18"/>
                      <w:szCs w:val="18"/>
                    </w:rPr>
                    <w:t>Australians (2011)</w:t>
                  </w:r>
                </w:p>
              </w:tc>
            </w:tr>
            <w:tr w:rsidR="007131FA" w:rsidTr="007131FA">
              <w:trPr>
                <w:jc w:val="center"/>
              </w:trPr>
              <w:tc>
                <w:tcPr>
                  <w:tcW w:w="2500" w:type="pct"/>
                  <w:tcBorders>
                    <w:top w:val="nil"/>
                    <w:bottom w:val="nil"/>
                  </w:tcBorders>
                </w:tcPr>
                <w:p w:rsidR="007131FA" w:rsidRDefault="007131FA" w:rsidP="0089285A">
                  <w:pPr>
                    <w:pStyle w:val="Figure"/>
                    <w:spacing w:before="60" w:after="60"/>
                  </w:pPr>
                  <w:r>
                    <w:rPr>
                      <w:noProof/>
                    </w:rPr>
                    <w:drawing>
                      <wp:inline distT="0" distB="0" distL="0" distR="0" wp14:anchorId="1D72A99E" wp14:editId="52E1E605">
                        <wp:extent cx="2647315" cy="2434590"/>
                        <wp:effectExtent l="0" t="0" r="635" b="3810"/>
                        <wp:docPr id="1" name="Picture 1" descr="Figure 2.1 Population distribution, Australia, by age and sex, &#10;30 June&#10;&#10;All peopl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7315" cy="2434590"/>
                                </a:xfrm>
                                <a:prstGeom prst="rect">
                                  <a:avLst/>
                                </a:prstGeom>
                                <a:noFill/>
                                <a:ln>
                                  <a:noFill/>
                                </a:ln>
                              </pic:spPr>
                            </pic:pic>
                          </a:graphicData>
                        </a:graphic>
                      </wp:inline>
                    </w:drawing>
                  </w:r>
                </w:p>
              </w:tc>
              <w:tc>
                <w:tcPr>
                  <w:tcW w:w="2500" w:type="pct"/>
                  <w:tcBorders>
                    <w:top w:val="nil"/>
                    <w:bottom w:val="nil"/>
                  </w:tcBorders>
                </w:tcPr>
                <w:p w:rsidR="007131FA" w:rsidRDefault="007131FA" w:rsidP="0089285A">
                  <w:pPr>
                    <w:pStyle w:val="Figure"/>
                    <w:spacing w:before="60" w:after="60"/>
                  </w:pPr>
                  <w:r>
                    <w:rPr>
                      <w:noProof/>
                    </w:rPr>
                    <w:drawing>
                      <wp:inline distT="0" distB="0" distL="0" distR="0" wp14:anchorId="3F421C91" wp14:editId="664EBCD7">
                        <wp:extent cx="2626360" cy="2434590"/>
                        <wp:effectExtent l="0" t="0" r="2540" b="3810"/>
                        <wp:docPr id="3" name="Picture 3" descr="Figure 2.1 Population distribution, Australia, by age and sex, &#10;30 June&#10;&#10;Aboriginal and Torres Strait Islander Australian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6360" cy="2434590"/>
                                </a:xfrm>
                                <a:prstGeom prst="rect">
                                  <a:avLst/>
                                </a:prstGeom>
                                <a:noFill/>
                                <a:ln>
                                  <a:noFill/>
                                </a:ln>
                              </pic:spPr>
                            </pic:pic>
                          </a:graphicData>
                        </a:graphic>
                      </wp:inline>
                    </w:drawing>
                  </w:r>
                </w:p>
              </w:tc>
            </w:tr>
          </w:tbl>
          <w:p w:rsidR="007131FA" w:rsidRDefault="007131FA" w:rsidP="0089285A">
            <w:pPr>
              <w:pStyle w:val="Figure"/>
            </w:pPr>
          </w:p>
        </w:tc>
      </w:tr>
      <w:tr w:rsidR="007131FA" w:rsidRPr="00176D3F" w:rsidTr="0089285A">
        <w:tc>
          <w:tcPr>
            <w:tcW w:w="8771" w:type="dxa"/>
            <w:tcBorders>
              <w:top w:val="nil"/>
              <w:left w:val="nil"/>
              <w:bottom w:val="nil"/>
              <w:right w:val="nil"/>
            </w:tcBorders>
            <w:shd w:val="clear" w:color="auto" w:fill="auto"/>
          </w:tcPr>
          <w:p w:rsidR="007131FA" w:rsidRPr="00176D3F" w:rsidRDefault="007131FA" w:rsidP="0089285A">
            <w:pPr>
              <w:pStyle w:val="Note"/>
            </w:pPr>
            <w:r>
              <w:rPr>
                <w:rStyle w:val="NoteLabel"/>
              </w:rPr>
              <w:t>a</w:t>
            </w:r>
            <w:r>
              <w:t xml:space="preserve"> </w:t>
            </w:r>
            <w:r w:rsidRPr="0083666F">
              <w:t>See tables</w:t>
            </w:r>
            <w:r w:rsidR="00021101">
              <w:t> </w:t>
            </w:r>
            <w:r w:rsidRPr="0083666F">
              <w:t>2A.1 and 2A.13 for detailed definitions, footnotes and caveats</w:t>
            </w:r>
            <w:r>
              <w:t>.</w:t>
            </w:r>
          </w:p>
        </w:tc>
      </w:tr>
      <w:tr w:rsidR="007131FA" w:rsidRPr="00176D3F" w:rsidTr="0089285A">
        <w:tc>
          <w:tcPr>
            <w:tcW w:w="8771" w:type="dxa"/>
            <w:tcBorders>
              <w:top w:val="nil"/>
              <w:left w:val="nil"/>
              <w:bottom w:val="nil"/>
              <w:right w:val="nil"/>
            </w:tcBorders>
            <w:shd w:val="clear" w:color="auto" w:fill="auto"/>
          </w:tcPr>
          <w:p w:rsidR="007131FA" w:rsidRPr="00176D3F" w:rsidRDefault="007131FA" w:rsidP="0089285A">
            <w:pPr>
              <w:pStyle w:val="Source"/>
            </w:pPr>
            <w:r>
              <w:rPr>
                <w:i/>
              </w:rPr>
              <w:t>S</w:t>
            </w:r>
            <w:r w:rsidRPr="00784A05">
              <w:rPr>
                <w:i/>
              </w:rPr>
              <w:t>ource</w:t>
            </w:r>
            <w:r w:rsidRPr="00176D3F">
              <w:t xml:space="preserve">: </w:t>
            </w:r>
            <w:r w:rsidRPr="0083666F">
              <w:t xml:space="preserve">ABS (2014) </w:t>
            </w:r>
            <w:r w:rsidRPr="0083666F">
              <w:rPr>
                <w:i/>
              </w:rPr>
              <w:t>Australian Demographic Statistics, June 2014</w:t>
            </w:r>
            <w:r w:rsidRPr="0083666F">
              <w:t xml:space="preserve">, Cat. no. 3101.0; ABS (2013) </w:t>
            </w:r>
            <w:r w:rsidRPr="0083666F">
              <w:rPr>
                <w:i/>
              </w:rPr>
              <w:t>Estimates and Projections, Aboriginal and Torres Strait Islander Australians, 2001 to 2026</w:t>
            </w:r>
            <w:r w:rsidRPr="0083666F">
              <w:t xml:space="preserve">, Cat. no. 3238.0; </w:t>
            </w:r>
            <w:r w:rsidRPr="0083666F">
              <w:br/>
              <w:t>tables</w:t>
            </w:r>
            <w:r w:rsidR="00021101">
              <w:t> </w:t>
            </w:r>
            <w:r w:rsidRPr="0083666F">
              <w:t>2A.1 and 2A.13.</w:t>
            </w:r>
          </w:p>
        </w:tc>
      </w:tr>
      <w:tr w:rsidR="007131FA" w:rsidTr="0089285A">
        <w:tc>
          <w:tcPr>
            <w:tcW w:w="8771" w:type="dxa"/>
            <w:tcBorders>
              <w:top w:val="nil"/>
              <w:left w:val="nil"/>
              <w:bottom w:val="single" w:sz="6" w:space="0" w:color="78A22F"/>
              <w:right w:val="nil"/>
            </w:tcBorders>
            <w:shd w:val="clear" w:color="auto" w:fill="auto"/>
          </w:tcPr>
          <w:p w:rsidR="007131FA" w:rsidRDefault="007131FA" w:rsidP="0089285A">
            <w:pPr>
              <w:pStyle w:val="Figurespace"/>
            </w:pPr>
          </w:p>
        </w:tc>
      </w:tr>
      <w:tr w:rsidR="007131FA" w:rsidRPr="000863A5" w:rsidTr="0089285A">
        <w:tc>
          <w:tcPr>
            <w:tcW w:w="8771" w:type="dxa"/>
            <w:tcBorders>
              <w:top w:val="single" w:sz="6" w:space="0" w:color="78A22F"/>
              <w:left w:val="nil"/>
              <w:bottom w:val="nil"/>
              <w:right w:val="nil"/>
            </w:tcBorders>
          </w:tcPr>
          <w:p w:rsidR="007131FA" w:rsidRPr="00626D32" w:rsidRDefault="007131FA" w:rsidP="0089285A">
            <w:pPr>
              <w:pStyle w:val="BoxSpaceBelow"/>
            </w:pPr>
          </w:p>
        </w:tc>
      </w:tr>
    </w:tbl>
    <w:p w:rsidR="007131FA" w:rsidRDefault="007131FA" w:rsidP="007131FA">
      <w:pPr>
        <w:pStyle w:val="Heading3"/>
      </w:pPr>
      <w:bookmarkStart w:id="9" w:name="_Toc437961479"/>
      <w:r>
        <w:t>Population, by ethnicity and proficiency in English</w:t>
      </w:r>
      <w:bookmarkEnd w:id="9"/>
    </w:p>
    <w:p w:rsidR="007131FA" w:rsidRDefault="007612F8" w:rsidP="007131FA">
      <w:pPr>
        <w:pStyle w:val="BodyText"/>
      </w:pPr>
      <w:r w:rsidRPr="003A0B82">
        <w:t>New Australians face specific problems when accessing government services. Language and cultural differences can be formidable barriers for otherwise capable people. Cultural backgrounds can also have a significant</w:t>
      </w:r>
      <w:r w:rsidRPr="00F1607C">
        <w:t xml:space="preserve"> influence on the support networks offered by extended families. People born outside Australia accounted for 24.6 per cent of the population in August 2011 (8.9 per cent from the main English speaking countries and </w:t>
      </w:r>
      <w:r w:rsidRPr="00F1607C">
        <w:br/>
        <w:t xml:space="preserve">15.7 per cent from other countries). Across jurisdictions, the proportion of people born outside Australia ranged from 30.7 per cent in WA to 11.6 per cent in Tasmania. The </w:t>
      </w:r>
      <w:r w:rsidRPr="00F1607C">
        <w:lastRenderedPageBreak/>
        <w:t xml:space="preserve">proportion from countries other than the main English speaking countries ranged from </w:t>
      </w:r>
      <w:r w:rsidRPr="00F1607C">
        <w:br/>
        <w:t>19.6 per cent in Victoria to 5.1 per cent in Tasmania (figure</w:t>
      </w:r>
      <w:r w:rsidR="00021101">
        <w:t> </w:t>
      </w:r>
      <w:r w:rsidRPr="00F1607C">
        <w:t>2.2).</w:t>
      </w:r>
      <w:r>
        <w:t xml:space="preserve"> Data for 2001 and 2006 are available in tables</w:t>
      </w:r>
      <w:r w:rsidR="00021101">
        <w:t> </w:t>
      </w:r>
      <w:r>
        <w:t>2A.6 and 2A.7 respectively.</w:t>
      </w:r>
    </w:p>
    <w:p w:rsidR="007612F8" w:rsidRDefault="007612F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2F8" w:rsidTr="0089285A">
        <w:tc>
          <w:tcPr>
            <w:tcW w:w="8771" w:type="dxa"/>
            <w:tcBorders>
              <w:top w:val="single" w:sz="6" w:space="0" w:color="78A22F"/>
              <w:left w:val="nil"/>
              <w:bottom w:val="nil"/>
              <w:right w:val="nil"/>
            </w:tcBorders>
            <w:shd w:val="clear" w:color="auto" w:fill="auto"/>
          </w:tcPr>
          <w:p w:rsidR="007612F8" w:rsidRPr="00176D3F" w:rsidRDefault="007612F8" w:rsidP="007612F8">
            <w:pPr>
              <w:pStyle w:val="FigureTitle"/>
            </w:pPr>
            <w:r w:rsidRPr="00784A05">
              <w:rPr>
                <w:b w:val="0"/>
              </w:rPr>
              <w:t xml:space="preserve">Figure </w:t>
            </w:r>
            <w:r>
              <w:rPr>
                <w:b w:val="0"/>
              </w:rPr>
              <w:t>2.</w:t>
            </w:r>
            <w:r w:rsidR="00862E04">
              <w:rPr>
                <w:b w:val="0"/>
                <w:noProof/>
              </w:rPr>
              <w:t>2</w:t>
            </w:r>
            <w:r>
              <w:tab/>
            </w:r>
            <w:r w:rsidRPr="00F1607C">
              <w:t>People born outside Australia, by country of birth, 2011</w:t>
            </w:r>
            <w:r>
              <w:rPr>
                <w:rStyle w:val="NoteLabel"/>
                <w:b/>
              </w:rPr>
              <w:t>a</w:t>
            </w:r>
          </w:p>
        </w:tc>
      </w:tr>
      <w:tr w:rsidR="007612F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12F8" w:rsidTr="0089285A">
              <w:trPr>
                <w:jc w:val="center"/>
              </w:trPr>
              <w:tc>
                <w:tcPr>
                  <w:tcW w:w="5000" w:type="pct"/>
                  <w:tcBorders>
                    <w:top w:val="nil"/>
                    <w:bottom w:val="nil"/>
                  </w:tcBorders>
                </w:tcPr>
                <w:p w:rsidR="007612F8" w:rsidRDefault="007612F8" w:rsidP="0089285A">
                  <w:pPr>
                    <w:pStyle w:val="Figure"/>
                    <w:spacing w:before="60" w:after="60"/>
                  </w:pPr>
                  <w:r>
                    <w:rPr>
                      <w:noProof/>
                    </w:rPr>
                    <w:drawing>
                      <wp:inline distT="0" distB="0" distL="0" distR="0" wp14:anchorId="75AF7FF5" wp14:editId="68CCE3DF">
                        <wp:extent cx="5391150" cy="2695575"/>
                        <wp:effectExtent l="0" t="0" r="0" b="9525"/>
                        <wp:docPr id="4" name="Picture 4" descr="Figure 2.2 People born outside Australia, by country of birth,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612F8" w:rsidRDefault="007612F8" w:rsidP="0089285A">
            <w:pPr>
              <w:pStyle w:val="Figure"/>
            </w:pP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Note"/>
            </w:pPr>
            <w:r>
              <w:rPr>
                <w:rStyle w:val="NoteLabel"/>
              </w:rPr>
              <w:t>a</w:t>
            </w:r>
            <w:r>
              <w:t xml:space="preserve"> See </w:t>
            </w:r>
            <w:r w:rsidRPr="000F0EEE">
              <w:t>table</w:t>
            </w:r>
            <w:r w:rsidR="00021101">
              <w:t> </w:t>
            </w:r>
            <w:r>
              <w:t>2</w:t>
            </w:r>
            <w:r w:rsidRPr="000F0EEE">
              <w:t>A</w:t>
            </w:r>
            <w:r>
              <w:t>.8</w:t>
            </w:r>
            <w:r w:rsidRPr="000F0EEE">
              <w:t xml:space="preserve"> for </w:t>
            </w:r>
            <w:r>
              <w:t xml:space="preserve">detailed </w:t>
            </w:r>
            <w:r w:rsidRPr="00E76184">
              <w:t xml:space="preserve">definitions, footnotes and </w:t>
            </w:r>
            <w:r>
              <w:t>caveats</w:t>
            </w:r>
            <w:r w:rsidRPr="000F0EEE">
              <w:t>.</w:t>
            </w: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Source"/>
            </w:pPr>
            <w:r>
              <w:rPr>
                <w:i/>
              </w:rPr>
              <w:t>S</w:t>
            </w:r>
            <w:r w:rsidRPr="00784A05">
              <w:rPr>
                <w:i/>
              </w:rPr>
              <w:t>ource</w:t>
            </w:r>
            <w:r w:rsidRPr="00176D3F">
              <w:t xml:space="preserve">: </w:t>
            </w:r>
            <w:r w:rsidRPr="00F1607C">
              <w:t xml:space="preserve">ABS (2012) </w:t>
            </w:r>
            <w:r w:rsidRPr="00F1607C">
              <w:rPr>
                <w:i/>
              </w:rPr>
              <w:t>2011 Census of Population and Housing, Australia, States and Territories, Basic Community Profile, Table B09 — Country of birth of person by sex</w:t>
            </w:r>
            <w:r w:rsidRPr="00F1607C">
              <w:t>, Cat. no. 2001.0, Canberra; table</w:t>
            </w:r>
            <w:r w:rsidR="00021101">
              <w:t> </w:t>
            </w:r>
            <w:r w:rsidRPr="00F1607C">
              <w:t>2A.8.</w:t>
            </w:r>
          </w:p>
        </w:tc>
      </w:tr>
      <w:tr w:rsidR="007612F8" w:rsidTr="0089285A">
        <w:tc>
          <w:tcPr>
            <w:tcW w:w="8771" w:type="dxa"/>
            <w:tcBorders>
              <w:top w:val="nil"/>
              <w:left w:val="nil"/>
              <w:bottom w:val="single" w:sz="6" w:space="0" w:color="78A22F"/>
              <w:right w:val="nil"/>
            </w:tcBorders>
            <w:shd w:val="clear" w:color="auto" w:fill="auto"/>
          </w:tcPr>
          <w:p w:rsidR="007612F8" w:rsidRDefault="007612F8" w:rsidP="0089285A">
            <w:pPr>
              <w:pStyle w:val="Figurespace"/>
            </w:pPr>
          </w:p>
        </w:tc>
      </w:tr>
      <w:tr w:rsidR="007612F8" w:rsidRPr="000863A5" w:rsidTr="0089285A">
        <w:tc>
          <w:tcPr>
            <w:tcW w:w="8771" w:type="dxa"/>
            <w:tcBorders>
              <w:top w:val="single" w:sz="6" w:space="0" w:color="78A22F"/>
              <w:left w:val="nil"/>
              <w:bottom w:val="nil"/>
              <w:right w:val="nil"/>
            </w:tcBorders>
          </w:tcPr>
          <w:p w:rsidR="007612F8" w:rsidRPr="00626D32" w:rsidRDefault="007612F8" w:rsidP="0089285A">
            <w:pPr>
              <w:pStyle w:val="BoxSpaceBelow"/>
            </w:pPr>
          </w:p>
        </w:tc>
      </w:tr>
    </w:tbl>
    <w:p w:rsidR="007612F8" w:rsidRDefault="007612F8" w:rsidP="007131FA">
      <w:pPr>
        <w:pStyle w:val="BodyText"/>
      </w:pPr>
      <w:r w:rsidRPr="00DA2026">
        <w:t xml:space="preserve">Of the population born outside Australia, in August 2011, 89.3 per cent spoke only English, or spoke another language as well as speaking English very well or well. </w:t>
      </w:r>
      <w:r>
        <w:t>For the 9.7 per cent that did not speak English well or at all, this ranged from 12.3 per cent in NSW to 4.1 per cent in Tasmania (table</w:t>
      </w:r>
      <w:r w:rsidR="00021101">
        <w:t> </w:t>
      </w:r>
      <w:r>
        <w:t>2A.5). Data are also available for the subset of those born overseas and who spoke another language, and show a similar pattern across jurisdictions (table</w:t>
      </w:r>
      <w:r w:rsidR="00021101">
        <w:t> </w:t>
      </w:r>
      <w:r>
        <w:t>2A.5). Data for 2001 and 2006 are available in tables</w:t>
      </w:r>
      <w:r w:rsidR="00021101">
        <w:t> </w:t>
      </w:r>
      <w:r>
        <w:t>2A.3 and 2A.4 respectively.</w:t>
      </w:r>
    </w:p>
    <w:p w:rsidR="007612F8" w:rsidRPr="00FD58CB" w:rsidRDefault="007612F8" w:rsidP="007612F8">
      <w:pPr>
        <w:pStyle w:val="BodyText"/>
      </w:pPr>
      <w:r w:rsidRPr="00FD58CB">
        <w:t>Approximately 18.2 per cent of Australians spoke a language other than English at home in August 2011. Across jurisdictions, this proportion ranged from 26.7 per cent in the NT to 4.5 per cent in Tasmania (table</w:t>
      </w:r>
      <w:r w:rsidR="00021101">
        <w:t> </w:t>
      </w:r>
      <w:r w:rsidRPr="00FD58CB">
        <w:t xml:space="preserve">2A.11). Apart from English, </w:t>
      </w:r>
      <w:r>
        <w:t xml:space="preserve">nationally </w:t>
      </w:r>
      <w:r w:rsidRPr="00FD58CB">
        <w:t xml:space="preserve">the most common languages spoken were Chinese languages, </w:t>
      </w:r>
      <w:r>
        <w:t>Italian</w:t>
      </w:r>
      <w:r w:rsidRPr="00FD58CB">
        <w:t xml:space="preserve"> and Indo</w:t>
      </w:r>
      <w:r w:rsidRPr="00FD58CB">
        <w:noBreakHyphen/>
        <w:t>Aryan languages.</w:t>
      </w:r>
      <w:r>
        <w:t xml:space="preserve"> </w:t>
      </w:r>
      <w:r w:rsidRPr="00FD58CB">
        <w:t>In the NT, 16.3 per cent of people spoke an Aboriginal and Torres Strait Islander language at home (table</w:t>
      </w:r>
      <w:r w:rsidR="00021101">
        <w:t> </w:t>
      </w:r>
      <w:r w:rsidRPr="00FD58CB">
        <w:t>2A.11).</w:t>
      </w:r>
      <w:r>
        <w:t xml:space="preserve"> Data for 2001 and 2006 are available in tables</w:t>
      </w:r>
      <w:r w:rsidR="00021101">
        <w:t> </w:t>
      </w:r>
      <w:r>
        <w:t>2A.9 and 2A.10 respectively.</w:t>
      </w:r>
    </w:p>
    <w:p w:rsidR="007612F8" w:rsidRDefault="007612F8" w:rsidP="007612F8">
      <w:pPr>
        <w:pStyle w:val="Heading3"/>
      </w:pPr>
      <w:bookmarkStart w:id="10" w:name="_Toc437961480"/>
      <w:r>
        <w:lastRenderedPageBreak/>
        <w:t>Population, by geographic location</w:t>
      </w:r>
      <w:bookmarkEnd w:id="10"/>
    </w:p>
    <w:p w:rsidR="007612F8" w:rsidRDefault="007612F8" w:rsidP="007612F8">
      <w:pPr>
        <w:pStyle w:val="BodyText"/>
      </w:pPr>
      <w:r w:rsidRPr="0041775F">
        <w:t>The Australian population is highly urbanised, with 70.</w:t>
      </w:r>
      <w:r>
        <w:t>7</w:t>
      </w:r>
      <w:r w:rsidRPr="0041775F">
        <w:t xml:space="preserve"> per cent of the population located in major cities as at </w:t>
      </w:r>
      <w:r w:rsidRPr="00313F47">
        <w:t>30</w:t>
      </w:r>
      <w:r w:rsidR="001620EE">
        <w:t> </w:t>
      </w:r>
      <w:r w:rsidRPr="00313F47">
        <w:t>June 2014 (figure</w:t>
      </w:r>
      <w:r w:rsidR="00021101">
        <w:t> </w:t>
      </w:r>
      <w:r w:rsidRPr="00313F47">
        <w:t>2.</w:t>
      </w:r>
      <w:r>
        <w:t>3</w:t>
      </w:r>
      <w:r w:rsidRPr="00313F47">
        <w:t>). Across jurisdictions, this proportion ranged from 99.</w:t>
      </w:r>
      <w:r>
        <w:t>6</w:t>
      </w:r>
      <w:r w:rsidRPr="00313F47">
        <w:t xml:space="preserve"> per cent in the ACT to 62.</w:t>
      </w:r>
      <w:r>
        <w:t>2</w:t>
      </w:r>
      <w:r w:rsidRPr="00313F47">
        <w:t xml:space="preserve"> per cent in Queensland (Tasmania and the NT</w:t>
      </w:r>
      <w:r>
        <w:t xml:space="preserve"> have no major cities using the ABS classification for remoteness areas</w:t>
      </w:r>
      <w:r w:rsidRPr="00313F47">
        <w:t xml:space="preserve"> (</w:t>
      </w:r>
      <w:r w:rsidRPr="00313F47">
        <w:rPr>
          <w:shd w:val="clear" w:color="auto" w:fill="FFFFFF" w:themeFill="background1"/>
        </w:rPr>
        <w:t>ABS 2015b</w:t>
      </w:r>
      <w:r>
        <w:t>)</w:t>
      </w:r>
      <w:r w:rsidRPr="00313F47">
        <w:t>. In Tasmania, 9</w:t>
      </w:r>
      <w:r>
        <w:t xml:space="preserve">8.0 </w:t>
      </w:r>
      <w:r w:rsidRPr="00313F47">
        <w:t>per cent of the population live in regional areas. Nationally, 2.3 per cent of people live in remote or very remote areas</w:t>
      </w:r>
      <w:r w:rsidRPr="0041775F">
        <w:t>. The NT was markedly above this average, with 4</w:t>
      </w:r>
      <w:r>
        <w:t>2</w:t>
      </w:r>
      <w:r w:rsidRPr="0041775F">
        <w:t>.</w:t>
      </w:r>
      <w:r>
        <w:t>7</w:t>
      </w:r>
      <w:r w:rsidRPr="0041775F">
        <w:t xml:space="preserve"> per cent of people living in remote or very remote areas.</w:t>
      </w:r>
      <w:r>
        <w:t xml:space="preserve"> Historical data are available in table</w:t>
      </w:r>
      <w:r w:rsidR="00021101">
        <w:t> </w:t>
      </w:r>
      <w:r>
        <w:t>2A.12.</w:t>
      </w:r>
    </w:p>
    <w:p w:rsidR="007612F8" w:rsidRDefault="007612F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2F8" w:rsidTr="0089285A">
        <w:tc>
          <w:tcPr>
            <w:tcW w:w="8771" w:type="dxa"/>
            <w:tcBorders>
              <w:top w:val="single" w:sz="6" w:space="0" w:color="78A22F"/>
              <w:left w:val="nil"/>
              <w:bottom w:val="nil"/>
              <w:right w:val="nil"/>
            </w:tcBorders>
            <w:shd w:val="clear" w:color="auto" w:fill="auto"/>
          </w:tcPr>
          <w:p w:rsidR="007612F8" w:rsidRPr="00EB5E99" w:rsidRDefault="007612F8" w:rsidP="007612F8">
            <w:pPr>
              <w:pStyle w:val="FigureTitle"/>
              <w:rPr>
                <w:rStyle w:val="NoteLabel"/>
              </w:rPr>
            </w:pPr>
            <w:r w:rsidRPr="00784A05">
              <w:rPr>
                <w:b w:val="0"/>
              </w:rPr>
              <w:t xml:space="preserve">Figure </w:t>
            </w:r>
            <w:r>
              <w:rPr>
                <w:b w:val="0"/>
              </w:rPr>
              <w:t>2.</w:t>
            </w:r>
            <w:r w:rsidR="00862E04">
              <w:rPr>
                <w:b w:val="0"/>
                <w:noProof/>
              </w:rPr>
              <w:t>3</w:t>
            </w:r>
            <w:r>
              <w:tab/>
              <w:t>Population, by remoteness area, June 2014</w:t>
            </w:r>
            <w:r w:rsidR="00EB5E99" w:rsidRPr="00EB5E99">
              <w:rPr>
                <w:rStyle w:val="NoteLabel"/>
                <w:b/>
              </w:rPr>
              <w:t>a</w:t>
            </w:r>
          </w:p>
        </w:tc>
      </w:tr>
      <w:tr w:rsidR="007612F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12F8" w:rsidTr="0089285A">
              <w:trPr>
                <w:jc w:val="center"/>
              </w:trPr>
              <w:tc>
                <w:tcPr>
                  <w:tcW w:w="5000" w:type="pct"/>
                  <w:tcBorders>
                    <w:top w:val="nil"/>
                    <w:bottom w:val="nil"/>
                  </w:tcBorders>
                </w:tcPr>
                <w:p w:rsidR="007612F8" w:rsidRDefault="001148A4" w:rsidP="0089285A">
                  <w:pPr>
                    <w:pStyle w:val="Figure"/>
                    <w:spacing w:before="60" w:after="60"/>
                  </w:pPr>
                  <w:r>
                    <w:rPr>
                      <w:noProof/>
                    </w:rPr>
                    <w:drawing>
                      <wp:inline distT="0" distB="0" distL="0" distR="0" wp14:anchorId="174EC43F" wp14:editId="43CB5D62">
                        <wp:extent cx="5391150" cy="2695575"/>
                        <wp:effectExtent l="0" t="0" r="0" b="9525"/>
                        <wp:docPr id="11" name="Picture 11" descr="Figure 2.3 Population, by remoteness area,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612F8" w:rsidRDefault="007612F8" w:rsidP="0089285A">
            <w:pPr>
              <w:pStyle w:val="Figure"/>
            </w:pP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Note"/>
            </w:pPr>
            <w:r>
              <w:rPr>
                <w:rStyle w:val="NoteLabel"/>
              </w:rPr>
              <w:t>a</w:t>
            </w:r>
            <w:r>
              <w:t xml:space="preserve"> See </w:t>
            </w:r>
            <w:r w:rsidRPr="000F0EEE">
              <w:t>table</w:t>
            </w:r>
            <w:r w:rsidR="00021101">
              <w:t> </w:t>
            </w:r>
            <w:r>
              <w:t>2</w:t>
            </w:r>
            <w:r w:rsidRPr="000F0EEE">
              <w:t>A</w:t>
            </w:r>
            <w:r>
              <w:t>.12</w:t>
            </w:r>
            <w:r w:rsidRPr="000F0EEE">
              <w:t xml:space="preserve"> for </w:t>
            </w:r>
            <w:r>
              <w:t xml:space="preserve">detailed </w:t>
            </w:r>
            <w:r w:rsidRPr="00E76184">
              <w:t xml:space="preserve">definitions, footnotes and </w:t>
            </w:r>
            <w:r>
              <w:t>caveats</w:t>
            </w:r>
            <w:r w:rsidRPr="000F0EEE">
              <w:t>.</w:t>
            </w: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Source"/>
            </w:pPr>
            <w:r>
              <w:rPr>
                <w:i/>
              </w:rPr>
              <w:t>S</w:t>
            </w:r>
            <w:r w:rsidRPr="00784A05">
              <w:rPr>
                <w:i/>
              </w:rPr>
              <w:t>ource</w:t>
            </w:r>
            <w:r w:rsidRPr="00176D3F">
              <w:t xml:space="preserve">: </w:t>
            </w:r>
            <w:r w:rsidRPr="0041775F">
              <w:t>ABS (201</w:t>
            </w:r>
            <w:r>
              <w:t>5</w:t>
            </w:r>
            <w:r w:rsidRPr="0041775F">
              <w:t xml:space="preserve">) </w:t>
            </w:r>
            <w:r w:rsidRPr="0041775F">
              <w:rPr>
                <w:i/>
              </w:rPr>
              <w:t>Regional Population Growth, Australia, 201</w:t>
            </w:r>
            <w:r>
              <w:rPr>
                <w:i/>
              </w:rPr>
              <w:t>4</w:t>
            </w:r>
            <w:r w:rsidRPr="0041775F">
              <w:t xml:space="preserve">, Cat. no. 3218.0, Canberra </w:t>
            </w:r>
            <w:r w:rsidRPr="0041775F">
              <w:br/>
              <w:t>(April release); table</w:t>
            </w:r>
            <w:r w:rsidR="00021101">
              <w:t> </w:t>
            </w:r>
            <w:r w:rsidRPr="0041775F">
              <w:t>2A.12.</w:t>
            </w:r>
          </w:p>
        </w:tc>
      </w:tr>
      <w:tr w:rsidR="007612F8" w:rsidTr="0089285A">
        <w:tc>
          <w:tcPr>
            <w:tcW w:w="8771" w:type="dxa"/>
            <w:tcBorders>
              <w:top w:val="nil"/>
              <w:left w:val="nil"/>
              <w:bottom w:val="single" w:sz="6" w:space="0" w:color="78A22F"/>
              <w:right w:val="nil"/>
            </w:tcBorders>
            <w:shd w:val="clear" w:color="auto" w:fill="auto"/>
          </w:tcPr>
          <w:p w:rsidR="007612F8" w:rsidRDefault="007612F8" w:rsidP="0089285A">
            <w:pPr>
              <w:pStyle w:val="Figurespace"/>
            </w:pPr>
          </w:p>
        </w:tc>
      </w:tr>
      <w:tr w:rsidR="007612F8" w:rsidRPr="000863A5" w:rsidTr="0089285A">
        <w:tc>
          <w:tcPr>
            <w:tcW w:w="8771" w:type="dxa"/>
            <w:tcBorders>
              <w:top w:val="single" w:sz="6" w:space="0" w:color="78A22F"/>
              <w:left w:val="nil"/>
              <w:bottom w:val="nil"/>
              <w:right w:val="nil"/>
            </w:tcBorders>
          </w:tcPr>
          <w:p w:rsidR="007612F8" w:rsidRPr="00626D32" w:rsidRDefault="007612F8" w:rsidP="0089285A">
            <w:pPr>
              <w:pStyle w:val="BoxSpaceBelow"/>
            </w:pPr>
          </w:p>
        </w:tc>
      </w:tr>
    </w:tbl>
    <w:p w:rsidR="007131FA" w:rsidRDefault="007612F8" w:rsidP="007612F8">
      <w:pPr>
        <w:pStyle w:val="Heading3"/>
      </w:pPr>
      <w:bookmarkStart w:id="11" w:name="_Toc437961481"/>
      <w:r>
        <w:t>Aboriginal and Torres Strait Islander population profile</w:t>
      </w:r>
      <w:bookmarkEnd w:id="11"/>
    </w:p>
    <w:p w:rsidR="007612F8" w:rsidRPr="0041775F" w:rsidRDefault="007612F8" w:rsidP="007612F8">
      <w:pPr>
        <w:pStyle w:val="BodyText"/>
      </w:pPr>
      <w:r>
        <w:t>There were an estimated 669 </w:t>
      </w:r>
      <w:r w:rsidRPr="0041775F">
        <w:t xml:space="preserve">881 Aboriginal and Torres Strait Islander people </w:t>
      </w:r>
      <w:r w:rsidRPr="0041775F">
        <w:br/>
      </w:r>
      <w:r>
        <w:t>(50.2 per cent</w:t>
      </w:r>
      <w:r w:rsidRPr="0041775F">
        <w:t xml:space="preserve"> female</w:t>
      </w:r>
      <w:r>
        <w:t>, the same as for the total population</w:t>
      </w:r>
      <w:r w:rsidRPr="0041775F">
        <w:t>) in Australia at 30</w:t>
      </w:r>
      <w:r w:rsidR="001620EE">
        <w:t> </w:t>
      </w:r>
      <w:r w:rsidRPr="0041775F">
        <w:t>June 2011, accounting for approximately 3.0 per cent of the total Australian popu</w:t>
      </w:r>
      <w:r>
        <w:t>lation in 2011 (tables 2A.1 and </w:t>
      </w:r>
      <w:r w:rsidRPr="0041775F">
        <w:t>2A.13). The proportion of people who identified as Aboriginal and Torres Strait Islander Australians was significantly higher in the NT (29.</w:t>
      </w:r>
      <w:r>
        <w:t>8</w:t>
      </w:r>
      <w:r w:rsidRPr="0041775F">
        <w:t xml:space="preserve"> per cent) than in any other jurisdiction</w:t>
      </w:r>
      <w:r>
        <w:t>, which ranged</w:t>
      </w:r>
      <w:r w:rsidRPr="0041775F">
        <w:t xml:space="preserve"> from 4.7 per cent in Tasmania to </w:t>
      </w:r>
      <w:r w:rsidRPr="0041775F">
        <w:rPr>
          <w:shd w:val="clear" w:color="auto" w:fill="FCFCFC" w:themeFill="accent4" w:themeFillTint="33"/>
        </w:rPr>
        <w:t>0.</w:t>
      </w:r>
      <w:r>
        <w:rPr>
          <w:shd w:val="clear" w:color="auto" w:fill="FCFCFC" w:themeFill="accent4" w:themeFillTint="33"/>
        </w:rPr>
        <w:t>9</w:t>
      </w:r>
      <w:r w:rsidRPr="0041775F">
        <w:t xml:space="preserve"> per cent in Victoria (figure</w:t>
      </w:r>
      <w:r w:rsidR="00021101">
        <w:t> </w:t>
      </w:r>
      <w:r w:rsidRPr="0041775F">
        <w:t>2.</w:t>
      </w:r>
      <w:r>
        <w:t>4</w:t>
      </w:r>
      <w:r w:rsidRPr="0041775F">
        <w:t xml:space="preserve">). Nationally, the Aboriginal and Torres Strait Islander population is projected to grow to </w:t>
      </w:r>
      <w:r>
        <w:t>924 </w:t>
      </w:r>
      <w:r w:rsidRPr="0041775F">
        <w:t>953 people in 2026 (table</w:t>
      </w:r>
      <w:r w:rsidR="00021101">
        <w:t> </w:t>
      </w:r>
      <w:r w:rsidRPr="0041775F">
        <w:t>2A.14).</w:t>
      </w:r>
    </w:p>
    <w:p w:rsidR="007612F8" w:rsidRDefault="007612F8" w:rsidP="007612F8">
      <w:pPr>
        <w:pStyle w:val="BodyText"/>
      </w:pPr>
      <w:r w:rsidRPr="0041775F">
        <w:lastRenderedPageBreak/>
        <w:t xml:space="preserve">The majority of Aboriginal and Torres Strait Islander people (82.8 per cent) at </w:t>
      </w:r>
      <w:r w:rsidR="00862E04">
        <w:br/>
      </w:r>
      <w:r w:rsidRPr="0041775F">
        <w:t>August 2011 spoke only English at home, while a further 9.0 per cent spoke an Aboriginal and</w:t>
      </w:r>
      <w:r w:rsidRPr="00FD58CB">
        <w:t xml:space="preserve"> Torres Strait Islander language and also spoke English very well or well. However, </w:t>
      </w:r>
      <w:r w:rsidRPr="00FD58CB">
        <w:br/>
        <w:t xml:space="preserve">1.8 per cent did not speak English well or at all (up to 12.1 per cent in the NT) </w:t>
      </w:r>
      <w:r w:rsidRPr="00FD58CB">
        <w:br/>
        <w:t>(table</w:t>
      </w:r>
      <w:r w:rsidR="00021101">
        <w:t> </w:t>
      </w:r>
      <w:r w:rsidRPr="00FD58CB">
        <w:t>2A.17).</w:t>
      </w:r>
      <w:r>
        <w:t xml:space="preserve"> Data for 2001 and 2006 are available in tables</w:t>
      </w:r>
      <w:r w:rsidR="00021101">
        <w:t> </w:t>
      </w:r>
      <w:r>
        <w:t>2A.15 and 2A.16 respectively.</w:t>
      </w:r>
    </w:p>
    <w:p w:rsidR="007612F8" w:rsidRDefault="007612F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2F8" w:rsidTr="0089285A">
        <w:tc>
          <w:tcPr>
            <w:tcW w:w="8771" w:type="dxa"/>
            <w:tcBorders>
              <w:top w:val="single" w:sz="6" w:space="0" w:color="78A22F"/>
              <w:left w:val="nil"/>
              <w:bottom w:val="nil"/>
              <w:right w:val="nil"/>
            </w:tcBorders>
            <w:shd w:val="clear" w:color="auto" w:fill="auto"/>
          </w:tcPr>
          <w:p w:rsidR="007612F8" w:rsidRPr="00176D3F" w:rsidRDefault="007612F8" w:rsidP="007612F8">
            <w:pPr>
              <w:pStyle w:val="FigureTitle"/>
            </w:pPr>
            <w:r w:rsidRPr="00784A05">
              <w:rPr>
                <w:b w:val="0"/>
              </w:rPr>
              <w:t xml:space="preserve">Figure </w:t>
            </w:r>
            <w:r>
              <w:rPr>
                <w:b w:val="0"/>
              </w:rPr>
              <w:t>2.</w:t>
            </w:r>
            <w:r w:rsidR="00862E04">
              <w:rPr>
                <w:b w:val="0"/>
                <w:noProof/>
              </w:rPr>
              <w:t>4</w:t>
            </w:r>
            <w:r>
              <w:tab/>
            </w:r>
            <w:r w:rsidRPr="00FD58CB">
              <w:t>Aboriginal and Torres Strait Islander people as a proportion of the population, 30</w:t>
            </w:r>
            <w:r w:rsidR="001620EE">
              <w:t> </w:t>
            </w:r>
            <w:r w:rsidRPr="00FD58CB">
              <w:t>June 2011</w:t>
            </w:r>
            <w:r>
              <w:rPr>
                <w:rStyle w:val="NoteLabel"/>
                <w:b/>
              </w:rPr>
              <w:t>a</w:t>
            </w:r>
          </w:p>
        </w:tc>
      </w:tr>
      <w:tr w:rsidR="007612F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12F8" w:rsidTr="0089285A">
              <w:trPr>
                <w:jc w:val="center"/>
              </w:trPr>
              <w:tc>
                <w:tcPr>
                  <w:tcW w:w="5000" w:type="pct"/>
                  <w:tcBorders>
                    <w:top w:val="nil"/>
                    <w:bottom w:val="nil"/>
                  </w:tcBorders>
                </w:tcPr>
                <w:p w:rsidR="007612F8" w:rsidRDefault="007612F8" w:rsidP="0089285A">
                  <w:pPr>
                    <w:pStyle w:val="Figure"/>
                    <w:spacing w:before="60" w:after="60"/>
                  </w:pPr>
                  <w:r>
                    <w:rPr>
                      <w:noProof/>
                    </w:rPr>
                    <w:drawing>
                      <wp:inline distT="0" distB="0" distL="0" distR="0" wp14:anchorId="6BCA50CA" wp14:editId="4B8A4D91">
                        <wp:extent cx="5390515" cy="2700655"/>
                        <wp:effectExtent l="0" t="0" r="635" b="4445"/>
                        <wp:docPr id="5" name="Picture 5" descr="Figure 2.4 Aboriginal and Torres Strait Islander people as a proportion of the population, 30 Jun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7612F8" w:rsidRDefault="007612F8" w:rsidP="0089285A">
            <w:pPr>
              <w:pStyle w:val="Figure"/>
            </w:pP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Note"/>
            </w:pPr>
            <w:r>
              <w:rPr>
                <w:rStyle w:val="NoteLabel"/>
              </w:rPr>
              <w:t>a</w:t>
            </w:r>
            <w:r>
              <w:t xml:space="preserve"> See </w:t>
            </w:r>
            <w:r w:rsidRPr="000F0EEE">
              <w:t>table</w:t>
            </w:r>
            <w:r>
              <w:t>s</w:t>
            </w:r>
            <w:r w:rsidR="00021101">
              <w:t> </w:t>
            </w:r>
            <w:r>
              <w:t>2</w:t>
            </w:r>
            <w:r w:rsidRPr="000F0EEE">
              <w:t>A</w:t>
            </w:r>
            <w:r>
              <w:t>.1 and 2A.13</w:t>
            </w:r>
            <w:r w:rsidRPr="000F0EEE">
              <w:t xml:space="preserve"> for </w:t>
            </w:r>
            <w:r>
              <w:t xml:space="preserve">detailed </w:t>
            </w:r>
            <w:r w:rsidRPr="00E76184">
              <w:t xml:space="preserve">definitions, footnotes and </w:t>
            </w:r>
            <w:r>
              <w:t>caveats</w:t>
            </w:r>
            <w:r w:rsidRPr="000F0EEE">
              <w:t>.</w:t>
            </w: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7612F8">
            <w:pPr>
              <w:pStyle w:val="Source"/>
            </w:pPr>
            <w:r>
              <w:rPr>
                <w:i/>
              </w:rPr>
              <w:t>S</w:t>
            </w:r>
            <w:r w:rsidRPr="00784A05">
              <w:rPr>
                <w:i/>
              </w:rPr>
              <w:t>ource</w:t>
            </w:r>
            <w:r w:rsidRPr="00176D3F">
              <w:t xml:space="preserve">: </w:t>
            </w:r>
            <w:r w:rsidRPr="00FD58CB">
              <w:t>ABS (201</w:t>
            </w:r>
            <w:r>
              <w:t>4</w:t>
            </w:r>
            <w:r w:rsidRPr="00FD58CB">
              <w:t xml:space="preserve">) </w:t>
            </w:r>
            <w:r w:rsidRPr="00FD58CB">
              <w:rPr>
                <w:i/>
              </w:rPr>
              <w:t>Australian Demographic Statistics, June 201</w:t>
            </w:r>
            <w:r>
              <w:rPr>
                <w:i/>
              </w:rPr>
              <w:t>4</w:t>
            </w:r>
            <w:r w:rsidRPr="00FD58CB">
              <w:t xml:space="preserve">, Cat. no. 3101.0; ABS (2013) </w:t>
            </w:r>
            <w:r w:rsidRPr="00FD58CB">
              <w:rPr>
                <w:i/>
              </w:rPr>
              <w:t>Estimates and Projections, Aboriginal and Torres Strait Islander Australians, 2001 to 2026</w:t>
            </w:r>
            <w:r w:rsidRPr="00FD58CB">
              <w:t xml:space="preserve">, Cat. no. 3238.0; </w:t>
            </w:r>
            <w:r w:rsidRPr="00FD58CB">
              <w:br/>
              <w:t>tables</w:t>
            </w:r>
            <w:r w:rsidR="00021101">
              <w:t> </w:t>
            </w:r>
            <w:r w:rsidRPr="00FD58CB">
              <w:t>2A.1 and 2A.13.</w:t>
            </w:r>
          </w:p>
        </w:tc>
      </w:tr>
      <w:tr w:rsidR="007612F8" w:rsidTr="0089285A">
        <w:tc>
          <w:tcPr>
            <w:tcW w:w="8771" w:type="dxa"/>
            <w:tcBorders>
              <w:top w:val="nil"/>
              <w:left w:val="nil"/>
              <w:bottom w:val="single" w:sz="6" w:space="0" w:color="78A22F"/>
              <w:right w:val="nil"/>
            </w:tcBorders>
            <w:shd w:val="clear" w:color="auto" w:fill="auto"/>
          </w:tcPr>
          <w:p w:rsidR="007612F8" w:rsidRDefault="007612F8" w:rsidP="0089285A">
            <w:pPr>
              <w:pStyle w:val="Figurespace"/>
            </w:pPr>
          </w:p>
        </w:tc>
      </w:tr>
      <w:tr w:rsidR="007612F8" w:rsidRPr="000863A5" w:rsidTr="0089285A">
        <w:tc>
          <w:tcPr>
            <w:tcW w:w="8771" w:type="dxa"/>
            <w:tcBorders>
              <w:top w:val="single" w:sz="6" w:space="0" w:color="78A22F"/>
              <w:left w:val="nil"/>
              <w:bottom w:val="nil"/>
              <w:right w:val="nil"/>
            </w:tcBorders>
          </w:tcPr>
          <w:p w:rsidR="007612F8" w:rsidRPr="00626D32" w:rsidRDefault="007612F8" w:rsidP="0089285A">
            <w:pPr>
              <w:pStyle w:val="BoxSpaceBelow"/>
            </w:pPr>
          </w:p>
        </w:tc>
      </w:tr>
    </w:tbl>
    <w:p w:rsidR="007612F8" w:rsidRDefault="007612F8" w:rsidP="007612F8">
      <w:pPr>
        <w:pStyle w:val="Heading2"/>
      </w:pPr>
      <w:bookmarkStart w:id="12" w:name="_Toc437961482"/>
      <w:r>
        <w:t>2.</w:t>
      </w:r>
      <w:r w:rsidR="00862E04">
        <w:rPr>
          <w:noProof/>
        </w:rPr>
        <w:t>3</w:t>
      </w:r>
      <w:r>
        <w:tab/>
        <w:t>Family and household</w:t>
      </w:r>
      <w:bookmarkEnd w:id="12"/>
    </w:p>
    <w:p w:rsidR="007612F8" w:rsidRDefault="007612F8" w:rsidP="007612F8">
      <w:pPr>
        <w:pStyle w:val="Heading3"/>
      </w:pPr>
      <w:bookmarkStart w:id="13" w:name="_Toc437961483"/>
      <w:r>
        <w:t>Family structure</w:t>
      </w:r>
      <w:bookmarkEnd w:id="13"/>
    </w:p>
    <w:p w:rsidR="007612F8" w:rsidRDefault="007612F8" w:rsidP="007612F8">
      <w:pPr>
        <w:pStyle w:val="BodyText"/>
      </w:pPr>
      <w:r w:rsidRPr="00037D8D">
        <w:t>For this Report, the most recent available data on family structure was for 2012.</w:t>
      </w:r>
    </w:p>
    <w:p w:rsidR="007612F8" w:rsidRDefault="007612F8" w:rsidP="007612F8">
      <w:pPr>
        <w:pStyle w:val="BodyText"/>
      </w:pPr>
      <w:r w:rsidRPr="005B0D6E">
        <w:t>There were 6.4 million families in Australia in 2012</w:t>
      </w:r>
      <w:r>
        <w:t>.</w:t>
      </w:r>
      <w:r w:rsidRPr="00211589">
        <w:rPr>
          <w:rStyle w:val="FootnoteReference"/>
        </w:rPr>
        <w:footnoteReference w:id="1"/>
      </w:r>
      <w:r>
        <w:t xml:space="preserve"> </w:t>
      </w:r>
      <w:r w:rsidRPr="005B0D6E">
        <w:t>Across jurisdictions, the number of families ranged from 2.1 million in NSW to 63 000 in the NT. The average family size</w:t>
      </w:r>
      <w:r>
        <w:t xml:space="preserve"> </w:t>
      </w:r>
      <w:r w:rsidRPr="005B0D6E">
        <w:lastRenderedPageBreak/>
        <w:t xml:space="preserve">across Australia was 3.0 people, ranging from 3.1 people in the NT to 2.9 people in SA and Tasmania. Nationally, 37.2 per cent </w:t>
      </w:r>
      <w:r w:rsidRPr="00017BB5">
        <w:t>of families had at least one child aged under 15 years, and 17.5 per cent of families had at least one child aged under 5 years (table</w:t>
      </w:r>
      <w:r w:rsidR="00021101">
        <w:t> </w:t>
      </w:r>
      <w:r w:rsidRPr="00017BB5">
        <w:t>2A.18).</w:t>
      </w:r>
    </w:p>
    <w:p w:rsidR="007612F8" w:rsidRDefault="007612F8" w:rsidP="007612F8">
      <w:pPr>
        <w:pStyle w:val="BodyText"/>
      </w:pPr>
      <w:r w:rsidRPr="005B0D6E">
        <w:t xml:space="preserve">Lone parent families might have a greater need for government support and particular types of government services (such as child care for respite reasons). Nationally, </w:t>
      </w:r>
      <w:r w:rsidRPr="005B0D6E">
        <w:br/>
        <w:t>18.6 per cent of all children aged under 15 years lived in lone parent families in 2012 (ranging from 16.5 per cent in Victoria to 25.7 per cent in the NT). Lone mother families made up 17.4 per cent of all families with children aged under 15 years, compared to 3.0 per cent for lone father families (table</w:t>
      </w:r>
      <w:r w:rsidR="00021101">
        <w:t> </w:t>
      </w:r>
      <w:r w:rsidRPr="005B0D6E">
        <w:t>2A.19).</w:t>
      </w:r>
    </w:p>
    <w:p w:rsidR="007612F8" w:rsidRDefault="007612F8" w:rsidP="007612F8">
      <w:pPr>
        <w:pStyle w:val="BodyText"/>
      </w:pPr>
      <w:r w:rsidRPr="00E34BDD">
        <w:t>Employment status also has implications for the financial independence of families. Nationally in 2011</w:t>
      </w:r>
      <w:r>
        <w:noBreakHyphen/>
      </w:r>
      <w:r w:rsidRPr="00E34BDD">
        <w:t>12, 13.9 per cent of all children aged under 15 years lived in families where no resident parent was employed, this was 45.1 per cent for lone parent families with children under 15 years (table</w:t>
      </w:r>
      <w:r w:rsidR="00021101">
        <w:t> </w:t>
      </w:r>
      <w:r w:rsidRPr="00E34BDD">
        <w:t>2A.20).</w:t>
      </w:r>
    </w:p>
    <w:p w:rsidR="007612F8" w:rsidRDefault="007612F8" w:rsidP="007612F8">
      <w:pPr>
        <w:pStyle w:val="Heading3"/>
      </w:pPr>
      <w:bookmarkStart w:id="14" w:name="_Toc437961484"/>
      <w:r>
        <w:t>Household profile</w:t>
      </w:r>
      <w:bookmarkEnd w:id="14"/>
    </w:p>
    <w:p w:rsidR="007612F8" w:rsidRDefault="007612F8" w:rsidP="007612F8">
      <w:pPr>
        <w:pStyle w:val="BodyText"/>
      </w:pPr>
      <w:r w:rsidRPr="00AA6481">
        <w:t>There were 9.</w:t>
      </w:r>
      <w:r>
        <w:t>1</w:t>
      </w:r>
      <w:r w:rsidRPr="00AA6481">
        <w:t xml:space="preserve"> million households in Australia in 2015</w:t>
      </w:r>
      <w:r>
        <w:t xml:space="preserve"> </w:t>
      </w:r>
      <w:r w:rsidRPr="00AA6481">
        <w:t>(some households may contain more than one family) (table</w:t>
      </w:r>
      <w:r w:rsidR="00021101">
        <w:t> </w:t>
      </w:r>
      <w:r w:rsidRPr="00AA6481">
        <w:t xml:space="preserve">2A.24). Of these, </w:t>
      </w:r>
      <w:r>
        <w:t xml:space="preserve">24.7 </w:t>
      </w:r>
      <w:r w:rsidRPr="00AA6481">
        <w:t>per cent were lone person households. Across jurisdictions, the proportion of lon</w:t>
      </w:r>
      <w:r>
        <w:t xml:space="preserve">e person households ranged from </w:t>
      </w:r>
      <w:r w:rsidRPr="00AA6481">
        <w:t>2</w:t>
      </w:r>
      <w:r>
        <w:t xml:space="preserve">1.4 </w:t>
      </w:r>
      <w:r w:rsidRPr="00AA6481">
        <w:t>per cent in the NT</w:t>
      </w:r>
      <w:r>
        <w:t xml:space="preserve"> to </w:t>
      </w:r>
      <w:r w:rsidRPr="00AA6481">
        <w:t>2</w:t>
      </w:r>
      <w:r>
        <w:t xml:space="preserve">8.6 </w:t>
      </w:r>
      <w:r w:rsidRPr="00AA6481">
        <w:t xml:space="preserve">per cent in </w:t>
      </w:r>
      <w:r>
        <w:t>Tasmania</w:t>
      </w:r>
      <w:r w:rsidRPr="00AA6481">
        <w:t>.</w:t>
      </w:r>
    </w:p>
    <w:p w:rsidR="007612F8" w:rsidRDefault="007612F8" w:rsidP="007612F8">
      <w:pPr>
        <w:pStyle w:val="BodyText"/>
      </w:pPr>
      <w:r>
        <w:t>As at 30</w:t>
      </w:r>
      <w:r w:rsidR="001620EE">
        <w:t> </w:t>
      </w:r>
      <w:r w:rsidRPr="00AA6481">
        <w:t xml:space="preserve">June 2015, the proportion of people aged 65 years or over who lived alone </w:t>
      </w:r>
      <w:r w:rsidRPr="00AA6481">
        <w:br/>
        <w:t xml:space="preserve">(24.6 per cent) was around three times higher than that for people aged 15–64 years </w:t>
      </w:r>
      <w:r w:rsidRPr="00AA6481">
        <w:br/>
        <w:t>(8.6 per cent). Across jurisdictions, the proportion of people aged 65 years or over who lived alone ranged from</w:t>
      </w:r>
      <w:r>
        <w:t xml:space="preserve"> </w:t>
      </w:r>
      <w:r w:rsidRPr="00AA6481">
        <w:t xml:space="preserve">21.7 per cent in the NT </w:t>
      </w:r>
      <w:r>
        <w:t xml:space="preserve">to </w:t>
      </w:r>
      <w:r w:rsidRPr="00AA6481">
        <w:t>27.5 per cent in Tasmania</w:t>
      </w:r>
      <w:r>
        <w:t xml:space="preserve">. </w:t>
      </w:r>
      <w:r w:rsidRPr="00AA6481">
        <w:t>Times series data for household structure for earlier years are available in table</w:t>
      </w:r>
      <w:r w:rsidR="00021101">
        <w:t> </w:t>
      </w:r>
      <w:r w:rsidRPr="00AA6481">
        <w:t>2A.24</w:t>
      </w:r>
      <w:r>
        <w:t>.</w:t>
      </w:r>
    </w:p>
    <w:p w:rsidR="007612F8" w:rsidRDefault="007612F8" w:rsidP="007612F8">
      <w:pPr>
        <w:pStyle w:val="BodyText"/>
      </w:pPr>
      <w:r w:rsidRPr="002712C1">
        <w:t>Approximately 16.6 million people in families lived in private dwellings in August 2011 (table</w:t>
      </w:r>
      <w:r w:rsidR="00021101">
        <w:t> </w:t>
      </w:r>
      <w:r w:rsidRPr="002712C1">
        <w:t>2A.23).</w:t>
      </w:r>
      <w:r w:rsidRPr="00211589">
        <w:rPr>
          <w:rStyle w:val="FootnoteReference"/>
        </w:rPr>
        <w:footnoteReference w:id="2"/>
      </w:r>
      <w:r>
        <w:t xml:space="preserve"> The majority of these families comprised couples with children </w:t>
      </w:r>
      <w:r>
        <w:br/>
        <w:t>(59.0 per cent). Data are available by Indigenous status (table</w:t>
      </w:r>
      <w:r w:rsidR="00021101">
        <w:t> </w:t>
      </w:r>
      <w:r>
        <w:t>2A.23) and for 2006 and 2001 (tables</w:t>
      </w:r>
      <w:r w:rsidR="00021101">
        <w:t> </w:t>
      </w:r>
      <w:r>
        <w:t>2A.22 and 2A.21 respectively).</w:t>
      </w:r>
    </w:p>
    <w:p w:rsidR="007612F8" w:rsidRPr="00FD58CB" w:rsidRDefault="007612F8" w:rsidP="007612F8">
      <w:pPr>
        <w:pStyle w:val="BodyText"/>
      </w:pPr>
      <w:r w:rsidRPr="002712C1">
        <w:t xml:space="preserve">Nationally, the majority of occupied private dwellings in August 2011 (67.0 per cent, or 5.2 million dwellings) were owned or were being purchased. Home ownership </w:t>
      </w:r>
      <w:r>
        <w:t xml:space="preserve">rates ranged from 46.2 per cent in the NT to 70.4 per cent in </w:t>
      </w:r>
      <w:r w:rsidRPr="002712C1">
        <w:t>Tasmania</w:t>
      </w:r>
      <w:r w:rsidRPr="00FD58CB">
        <w:t xml:space="preserve">. Australians rented 2.3 million dwellings, or 29.6 per cent of dwellings (of these, 54.3 per cent were from real estate </w:t>
      </w:r>
      <w:r w:rsidRPr="00FD58CB">
        <w:lastRenderedPageBreak/>
        <w:t>agents and 13.7 per cent from State or Territory housing authorities) (table</w:t>
      </w:r>
      <w:r w:rsidR="00021101">
        <w:t> </w:t>
      </w:r>
      <w:r w:rsidRPr="00FD58CB">
        <w:t>2A.2</w:t>
      </w:r>
      <w:r>
        <w:t>7</w:t>
      </w:r>
      <w:r w:rsidRPr="00FD58CB">
        <w:t xml:space="preserve">). Across jurisdictions, the proportion of dwellings that were rented </w:t>
      </w:r>
      <w:r>
        <w:t>ranged from 26.4 per cent in Tasmania to 49.1 per cent</w:t>
      </w:r>
      <w:r w:rsidRPr="00FD58CB">
        <w:t xml:space="preserve"> in the NT (figure</w:t>
      </w:r>
      <w:r w:rsidR="00021101">
        <w:t> </w:t>
      </w:r>
      <w:r w:rsidRPr="00FD58CB">
        <w:t>2.</w:t>
      </w:r>
      <w:r>
        <w:t>5</w:t>
      </w:r>
      <w:r w:rsidRPr="00FD58CB">
        <w:t>).</w:t>
      </w:r>
      <w:r>
        <w:t xml:space="preserve"> Data for 2006 and 2001 are available in tables</w:t>
      </w:r>
      <w:r w:rsidR="00021101">
        <w:t> </w:t>
      </w:r>
      <w:r>
        <w:t>2A.26 and 2A.25 respectively.</w:t>
      </w:r>
    </w:p>
    <w:p w:rsidR="007612F8" w:rsidRDefault="007612F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2F8" w:rsidTr="0089285A">
        <w:tc>
          <w:tcPr>
            <w:tcW w:w="8771" w:type="dxa"/>
            <w:tcBorders>
              <w:top w:val="single" w:sz="6" w:space="0" w:color="78A22F"/>
              <w:left w:val="nil"/>
              <w:bottom w:val="nil"/>
              <w:right w:val="nil"/>
            </w:tcBorders>
            <w:shd w:val="clear" w:color="auto" w:fill="auto"/>
          </w:tcPr>
          <w:p w:rsidR="007612F8" w:rsidRPr="00176D3F" w:rsidRDefault="007612F8" w:rsidP="007612F8">
            <w:pPr>
              <w:pStyle w:val="FigureTitle"/>
            </w:pPr>
            <w:r w:rsidRPr="00784A05">
              <w:rPr>
                <w:b w:val="0"/>
              </w:rPr>
              <w:t xml:space="preserve">Figure </w:t>
            </w:r>
            <w:r>
              <w:rPr>
                <w:b w:val="0"/>
              </w:rPr>
              <w:t>2.</w:t>
            </w:r>
            <w:r w:rsidR="00862E04">
              <w:rPr>
                <w:b w:val="0"/>
                <w:noProof/>
              </w:rPr>
              <w:t>5</w:t>
            </w:r>
            <w:r>
              <w:tab/>
            </w:r>
            <w:r w:rsidRPr="00FD58CB">
              <w:t>Occupied private dwellings, by tenure type, 2011</w:t>
            </w:r>
            <w:r>
              <w:rPr>
                <w:position w:val="6"/>
                <w:sz w:val="18"/>
              </w:rPr>
              <w:t>a</w:t>
            </w:r>
          </w:p>
        </w:tc>
      </w:tr>
      <w:tr w:rsidR="007612F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12F8" w:rsidTr="0089285A">
              <w:trPr>
                <w:jc w:val="center"/>
              </w:trPr>
              <w:tc>
                <w:tcPr>
                  <w:tcW w:w="5000" w:type="pct"/>
                  <w:tcBorders>
                    <w:top w:val="nil"/>
                    <w:bottom w:val="nil"/>
                  </w:tcBorders>
                </w:tcPr>
                <w:p w:rsidR="007612F8" w:rsidRDefault="007612F8" w:rsidP="0089285A">
                  <w:pPr>
                    <w:pStyle w:val="Figure"/>
                    <w:spacing w:before="60" w:after="60"/>
                  </w:pPr>
                  <w:r>
                    <w:rPr>
                      <w:noProof/>
                    </w:rPr>
                    <w:drawing>
                      <wp:inline distT="0" distB="0" distL="0" distR="0" wp14:anchorId="13CE9B01" wp14:editId="781D3B58">
                        <wp:extent cx="5391150" cy="2695575"/>
                        <wp:effectExtent l="0" t="0" r="0" b="9525"/>
                        <wp:docPr id="6" name="Picture 6" descr="Figure 2.5 Occupied private dwellings, by tenure typ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612F8" w:rsidRDefault="007612F8" w:rsidP="0089285A">
            <w:pPr>
              <w:pStyle w:val="Figure"/>
            </w:pP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Note"/>
            </w:pPr>
            <w:r>
              <w:rPr>
                <w:rStyle w:val="NoteLabel"/>
              </w:rPr>
              <w:t>a</w:t>
            </w:r>
            <w:r>
              <w:t xml:space="preserve"> See </w:t>
            </w:r>
            <w:r w:rsidRPr="000F0EEE">
              <w:t>table</w:t>
            </w:r>
            <w:r w:rsidR="00021101">
              <w:t> </w:t>
            </w:r>
            <w:r>
              <w:t>2</w:t>
            </w:r>
            <w:r w:rsidRPr="000F0EEE">
              <w:t>A</w:t>
            </w:r>
            <w:r>
              <w:t>.27</w:t>
            </w:r>
            <w:r w:rsidRPr="000F0EEE">
              <w:t xml:space="preserve"> for </w:t>
            </w:r>
            <w:r>
              <w:t xml:space="preserve">detailed </w:t>
            </w:r>
            <w:r w:rsidRPr="00E76184">
              <w:t xml:space="preserve">definitions, footnotes and </w:t>
            </w:r>
            <w:r>
              <w:t>caveats</w:t>
            </w:r>
            <w:r w:rsidRPr="000F0EEE">
              <w:t>.</w:t>
            </w: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Source"/>
            </w:pPr>
            <w:r>
              <w:rPr>
                <w:i/>
              </w:rPr>
              <w:t>S</w:t>
            </w:r>
            <w:r w:rsidRPr="00784A05">
              <w:rPr>
                <w:i/>
              </w:rPr>
              <w:t>ource</w:t>
            </w:r>
            <w:r w:rsidRPr="00176D3F">
              <w:t xml:space="preserve">: </w:t>
            </w:r>
            <w:r w:rsidRPr="00FD58CB">
              <w:t xml:space="preserve">ABS (2012) </w:t>
            </w:r>
            <w:r w:rsidRPr="00FD58CB">
              <w:rPr>
                <w:i/>
              </w:rPr>
              <w:t>2011 Census of Population and Housing, Australia, States and Territories, Aboriginal and Torres Strait Islander (Indigenous) Profile, Table I10c — Tenure and landlord type by dwelling structure by Indigenous status of household</w:t>
            </w:r>
            <w:r w:rsidRPr="00FD58CB">
              <w:t>, Canberra; table</w:t>
            </w:r>
            <w:r w:rsidR="00021101">
              <w:t> </w:t>
            </w:r>
            <w:r w:rsidRPr="00FD58CB">
              <w:t>2A.2</w:t>
            </w:r>
            <w:r>
              <w:t>7</w:t>
            </w:r>
            <w:r w:rsidRPr="00FD58CB">
              <w:t>.</w:t>
            </w:r>
          </w:p>
        </w:tc>
      </w:tr>
      <w:tr w:rsidR="007612F8" w:rsidTr="0089285A">
        <w:tc>
          <w:tcPr>
            <w:tcW w:w="8771" w:type="dxa"/>
            <w:tcBorders>
              <w:top w:val="nil"/>
              <w:left w:val="nil"/>
              <w:bottom w:val="single" w:sz="6" w:space="0" w:color="78A22F"/>
              <w:right w:val="nil"/>
            </w:tcBorders>
            <w:shd w:val="clear" w:color="auto" w:fill="auto"/>
          </w:tcPr>
          <w:p w:rsidR="007612F8" w:rsidRDefault="007612F8" w:rsidP="0089285A">
            <w:pPr>
              <w:pStyle w:val="Figurespace"/>
            </w:pPr>
          </w:p>
        </w:tc>
      </w:tr>
      <w:tr w:rsidR="007612F8" w:rsidRPr="000863A5" w:rsidTr="0089285A">
        <w:tc>
          <w:tcPr>
            <w:tcW w:w="8771" w:type="dxa"/>
            <w:tcBorders>
              <w:top w:val="single" w:sz="6" w:space="0" w:color="78A22F"/>
              <w:left w:val="nil"/>
              <w:bottom w:val="nil"/>
              <w:right w:val="nil"/>
            </w:tcBorders>
          </w:tcPr>
          <w:p w:rsidR="007612F8" w:rsidRPr="00626D32" w:rsidRDefault="007612F8" w:rsidP="0089285A">
            <w:pPr>
              <w:pStyle w:val="BoxSpaceBelow"/>
            </w:pPr>
          </w:p>
        </w:tc>
      </w:tr>
    </w:tbl>
    <w:p w:rsidR="007612F8" w:rsidRDefault="007612F8" w:rsidP="007612F8">
      <w:pPr>
        <w:pStyle w:val="Heading2"/>
      </w:pPr>
      <w:bookmarkStart w:id="15" w:name="_Toc437961485"/>
      <w:r>
        <w:t>2.</w:t>
      </w:r>
      <w:r w:rsidR="00862E04">
        <w:rPr>
          <w:noProof/>
        </w:rPr>
        <w:t>4</w:t>
      </w:r>
      <w:r>
        <w:tab/>
        <w:t>Income, education and employment</w:t>
      </w:r>
      <w:bookmarkEnd w:id="15"/>
    </w:p>
    <w:p w:rsidR="007612F8" w:rsidRDefault="007612F8" w:rsidP="007612F8">
      <w:pPr>
        <w:pStyle w:val="Heading3"/>
      </w:pPr>
      <w:bookmarkStart w:id="16" w:name="_Toc437961486"/>
      <w:r>
        <w:t>Income</w:t>
      </w:r>
      <w:bookmarkEnd w:id="16"/>
    </w:p>
    <w:p w:rsidR="007612F8" w:rsidRDefault="007612F8" w:rsidP="007612F8">
      <w:pPr>
        <w:pStyle w:val="BodyText"/>
      </w:pPr>
      <w:r w:rsidRPr="00FD58CB">
        <w:t>Nationally in August 2011, 25.9 per cent of people aged 15 years or over had a relatively low weekly individual income of $299 or less (table</w:t>
      </w:r>
      <w:r w:rsidR="00021101">
        <w:t> </w:t>
      </w:r>
      <w:r w:rsidRPr="00FD58CB">
        <w:t>2A.3</w:t>
      </w:r>
      <w:r>
        <w:t>0</w:t>
      </w:r>
      <w:r w:rsidRPr="00FD58CB">
        <w:t>). The proportion was around three times higher for younger people (74.8 per cent for people aged 15–19 years)</w:t>
      </w:r>
      <w:r>
        <w:t xml:space="preserve">, higher for </w:t>
      </w:r>
      <w:r w:rsidRPr="00FD58CB">
        <w:t>Aboriginal and Torres Strait Islander Australians (37.2 per cent), similar for females (30.4 per cent) and lower for older people (20.7 per cent for people aged 85 years or over) (figure</w:t>
      </w:r>
      <w:r w:rsidR="00021101">
        <w:t> </w:t>
      </w:r>
      <w:r w:rsidRPr="00FD58CB">
        <w:t>2.</w:t>
      </w:r>
      <w:r>
        <w:t>6</w:t>
      </w:r>
      <w:r w:rsidRPr="00FD58CB">
        <w:t>).</w:t>
      </w:r>
      <w:r>
        <w:t xml:space="preserve"> Data for 2006 and 2001 are available in tables</w:t>
      </w:r>
      <w:r w:rsidR="00021101">
        <w:t> </w:t>
      </w:r>
      <w:r>
        <w:t>2A.28–36.</w:t>
      </w:r>
    </w:p>
    <w:p w:rsidR="007612F8" w:rsidRDefault="007612F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2F8" w:rsidTr="0089285A">
        <w:tc>
          <w:tcPr>
            <w:tcW w:w="8771" w:type="dxa"/>
            <w:tcBorders>
              <w:top w:val="single" w:sz="6" w:space="0" w:color="78A22F"/>
              <w:left w:val="nil"/>
              <w:bottom w:val="nil"/>
              <w:right w:val="nil"/>
            </w:tcBorders>
            <w:shd w:val="clear" w:color="auto" w:fill="auto"/>
          </w:tcPr>
          <w:p w:rsidR="007612F8" w:rsidRPr="00176D3F" w:rsidRDefault="007612F8" w:rsidP="007612F8">
            <w:pPr>
              <w:pStyle w:val="FigureTitle"/>
            </w:pPr>
            <w:r w:rsidRPr="00784A05">
              <w:rPr>
                <w:b w:val="0"/>
              </w:rPr>
              <w:t xml:space="preserve">Figure </w:t>
            </w:r>
            <w:r>
              <w:rPr>
                <w:b w:val="0"/>
              </w:rPr>
              <w:t>2.</w:t>
            </w:r>
            <w:r w:rsidR="00862E04">
              <w:rPr>
                <w:b w:val="0"/>
                <w:noProof/>
              </w:rPr>
              <w:t>6</w:t>
            </w:r>
            <w:r>
              <w:tab/>
            </w:r>
            <w:r w:rsidRPr="00FD58CB">
              <w:t>Weekly individual income of $299 or less, by sex, Indigenous status and age, 2011</w:t>
            </w:r>
            <w:r w:rsidRPr="00FD58CB">
              <w:rPr>
                <w:position w:val="6"/>
                <w:sz w:val="18"/>
              </w:rPr>
              <w:t>a</w:t>
            </w:r>
          </w:p>
        </w:tc>
      </w:tr>
      <w:tr w:rsidR="007612F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12F8" w:rsidTr="0089285A">
              <w:trPr>
                <w:jc w:val="center"/>
              </w:trPr>
              <w:tc>
                <w:tcPr>
                  <w:tcW w:w="5000" w:type="pct"/>
                  <w:tcBorders>
                    <w:top w:val="nil"/>
                    <w:bottom w:val="nil"/>
                  </w:tcBorders>
                </w:tcPr>
                <w:p w:rsidR="007612F8" w:rsidRDefault="007612F8" w:rsidP="0089285A">
                  <w:pPr>
                    <w:pStyle w:val="Figure"/>
                    <w:spacing w:before="60" w:after="60"/>
                  </w:pPr>
                  <w:r>
                    <w:rPr>
                      <w:noProof/>
                    </w:rPr>
                    <w:drawing>
                      <wp:inline distT="0" distB="0" distL="0" distR="0" wp14:anchorId="147A91D6" wp14:editId="3D3983C0">
                        <wp:extent cx="5391150" cy="2695575"/>
                        <wp:effectExtent l="0" t="0" r="0" b="9525"/>
                        <wp:docPr id="7" name="Picture 7" descr="Figure 2.6 Weekly individual income of $299 or less, by sex, Indigenous status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612F8" w:rsidRDefault="007612F8" w:rsidP="0089285A">
            <w:pPr>
              <w:pStyle w:val="Figure"/>
            </w:pP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Note"/>
            </w:pPr>
            <w:r>
              <w:rPr>
                <w:rStyle w:val="NoteLabel"/>
              </w:rPr>
              <w:t>a</w:t>
            </w:r>
            <w:r>
              <w:t xml:space="preserve"> See </w:t>
            </w:r>
            <w:r w:rsidRPr="000F0EEE">
              <w:t>table</w:t>
            </w:r>
            <w:r>
              <w:t>s</w:t>
            </w:r>
            <w:r w:rsidR="00021101">
              <w:t> </w:t>
            </w:r>
            <w:r>
              <w:t>2</w:t>
            </w:r>
            <w:r w:rsidRPr="000F0EEE">
              <w:t>A</w:t>
            </w:r>
            <w:r>
              <w:t>.30, 2A.33 and 2A.36</w:t>
            </w:r>
            <w:r w:rsidRPr="000F0EEE">
              <w:t xml:space="preserve"> for </w:t>
            </w:r>
            <w:r>
              <w:t xml:space="preserve">detailed </w:t>
            </w:r>
            <w:r w:rsidRPr="00E76184">
              <w:t xml:space="preserve">definitions, footnotes and </w:t>
            </w:r>
            <w:r>
              <w:t>caveats</w:t>
            </w:r>
            <w:r w:rsidRPr="000F0EEE">
              <w:t>.</w:t>
            </w:r>
          </w:p>
        </w:tc>
      </w:tr>
      <w:tr w:rsidR="007612F8" w:rsidRPr="00176D3F" w:rsidTr="0089285A">
        <w:tc>
          <w:tcPr>
            <w:tcW w:w="8771" w:type="dxa"/>
            <w:tcBorders>
              <w:top w:val="nil"/>
              <w:left w:val="nil"/>
              <w:bottom w:val="nil"/>
              <w:right w:val="nil"/>
            </w:tcBorders>
            <w:shd w:val="clear" w:color="auto" w:fill="auto"/>
          </w:tcPr>
          <w:p w:rsidR="007612F8" w:rsidRPr="00176D3F" w:rsidRDefault="007612F8" w:rsidP="0089285A">
            <w:pPr>
              <w:pStyle w:val="Source"/>
            </w:pPr>
            <w:r>
              <w:rPr>
                <w:i/>
              </w:rPr>
              <w:t>S</w:t>
            </w:r>
            <w:r w:rsidRPr="00784A05">
              <w:rPr>
                <w:i/>
              </w:rPr>
              <w:t>ource</w:t>
            </w:r>
            <w:r w:rsidRPr="00176D3F">
              <w:t xml:space="preserve">: </w:t>
            </w:r>
            <w:r w:rsidRPr="00FD58CB">
              <w:t xml:space="preserve">ABS (2012) </w:t>
            </w:r>
            <w:r w:rsidRPr="00FD58CB">
              <w:rPr>
                <w:i/>
              </w:rPr>
              <w:t>2011 Census of Population and Housing</w:t>
            </w:r>
            <w:r w:rsidRPr="00FD58CB">
              <w:t>,</w:t>
            </w:r>
            <w:r w:rsidRPr="00FD58CB">
              <w:rPr>
                <w:i/>
              </w:rPr>
              <w:t xml:space="preserve"> Australia, States and Territories, Basic Community Profile, Table B17</w:t>
            </w:r>
            <w:r w:rsidRPr="00FD58CB">
              <w:t xml:space="preserve">, Cat. no. 2001.0, Canberra; ABS (unpublished) </w:t>
            </w:r>
            <w:r w:rsidRPr="00FD58CB">
              <w:rPr>
                <w:i/>
              </w:rPr>
              <w:t>2011 Census of Population and Housing</w:t>
            </w:r>
            <w:r w:rsidRPr="00FD58CB">
              <w:t>,</w:t>
            </w:r>
            <w:r w:rsidRPr="00FD58CB">
              <w:rPr>
                <w:i/>
              </w:rPr>
              <w:t xml:space="preserve"> Australia</w:t>
            </w:r>
            <w:r w:rsidRPr="00FD58CB">
              <w:t xml:space="preserve">, </w:t>
            </w:r>
            <w:r>
              <w:t>t</w:t>
            </w:r>
            <w:r w:rsidRPr="00FD58CB">
              <w:t xml:space="preserve">able generated </w:t>
            </w:r>
            <w:r>
              <w:t xml:space="preserve">in </w:t>
            </w:r>
            <w:r w:rsidRPr="00FD58CB">
              <w:t>2012 using ABS TableBulider</w:t>
            </w:r>
            <w:r>
              <w:t>;</w:t>
            </w:r>
            <w:r w:rsidRPr="00FD58CB">
              <w:t xml:space="preserve"> tables</w:t>
            </w:r>
            <w:r w:rsidR="00021101">
              <w:t> </w:t>
            </w:r>
            <w:r w:rsidRPr="00FD58CB">
              <w:t>2A.3</w:t>
            </w:r>
            <w:r>
              <w:t>0</w:t>
            </w:r>
            <w:r w:rsidRPr="00FD58CB">
              <w:t>, 2A.3</w:t>
            </w:r>
            <w:r>
              <w:t>3 and 2A.36</w:t>
            </w:r>
            <w:r w:rsidRPr="00FD58CB">
              <w:t>.</w:t>
            </w:r>
          </w:p>
        </w:tc>
      </w:tr>
      <w:tr w:rsidR="007612F8" w:rsidTr="0089285A">
        <w:tc>
          <w:tcPr>
            <w:tcW w:w="8771" w:type="dxa"/>
            <w:tcBorders>
              <w:top w:val="nil"/>
              <w:left w:val="nil"/>
              <w:bottom w:val="single" w:sz="6" w:space="0" w:color="78A22F"/>
              <w:right w:val="nil"/>
            </w:tcBorders>
            <w:shd w:val="clear" w:color="auto" w:fill="auto"/>
          </w:tcPr>
          <w:p w:rsidR="007612F8" w:rsidRDefault="007612F8" w:rsidP="0089285A">
            <w:pPr>
              <w:pStyle w:val="Figurespace"/>
            </w:pPr>
          </w:p>
        </w:tc>
      </w:tr>
      <w:tr w:rsidR="007612F8" w:rsidRPr="000863A5" w:rsidTr="0089285A">
        <w:tc>
          <w:tcPr>
            <w:tcW w:w="8771" w:type="dxa"/>
            <w:tcBorders>
              <w:top w:val="single" w:sz="6" w:space="0" w:color="78A22F"/>
              <w:left w:val="nil"/>
              <w:bottom w:val="nil"/>
              <w:right w:val="nil"/>
            </w:tcBorders>
          </w:tcPr>
          <w:p w:rsidR="007612F8" w:rsidRPr="00626D32" w:rsidRDefault="007612F8" w:rsidP="0089285A">
            <w:pPr>
              <w:pStyle w:val="BoxSpaceBelow"/>
            </w:pPr>
          </w:p>
        </w:tc>
      </w:tr>
    </w:tbl>
    <w:p w:rsidR="007612F8" w:rsidRDefault="007612F8" w:rsidP="007612F8">
      <w:pPr>
        <w:pStyle w:val="BodyText"/>
      </w:pPr>
      <w:r w:rsidRPr="005D47C9">
        <w:t xml:space="preserve">Nationally, 18.4 per cent of the total population was receiving income support in 2014. The age pension was received by 10.2 per cent of the population, while 3.5 per cent received a disability support pension and 1.1 per cent received a single parent payment. A further </w:t>
      </w:r>
      <w:r w:rsidRPr="005D47C9">
        <w:br/>
        <w:t>3.5 per cent of the population received some form of labour market allowance in 2014 (figure</w:t>
      </w:r>
      <w:r w:rsidR="00021101">
        <w:t> </w:t>
      </w:r>
      <w:r w:rsidRPr="005D47C9">
        <w:t>2.</w:t>
      </w:r>
      <w:r>
        <w:t>7</w:t>
      </w:r>
      <w:r w:rsidRPr="005D47C9">
        <w:t>).</w:t>
      </w:r>
      <w:r>
        <w:t xml:space="preserve"> Annual data back to 2005 are available in table</w:t>
      </w:r>
      <w:r w:rsidR="00021101">
        <w:t> </w:t>
      </w:r>
      <w:r>
        <w:t>2A.37.</w:t>
      </w:r>
    </w:p>
    <w:p w:rsidR="00A03188" w:rsidRDefault="00A0318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188" w:rsidTr="0089285A">
        <w:tc>
          <w:tcPr>
            <w:tcW w:w="8771" w:type="dxa"/>
            <w:tcBorders>
              <w:top w:val="single" w:sz="6" w:space="0" w:color="78A22F"/>
              <w:left w:val="nil"/>
              <w:bottom w:val="nil"/>
              <w:right w:val="nil"/>
            </w:tcBorders>
            <w:shd w:val="clear" w:color="auto" w:fill="auto"/>
          </w:tcPr>
          <w:p w:rsidR="00A03188" w:rsidRPr="00176D3F" w:rsidRDefault="00A03188" w:rsidP="00A03188">
            <w:pPr>
              <w:pStyle w:val="FigureTitle"/>
            </w:pPr>
            <w:r w:rsidRPr="00784A05">
              <w:rPr>
                <w:b w:val="0"/>
              </w:rPr>
              <w:t xml:space="preserve">Figure </w:t>
            </w:r>
            <w:r>
              <w:rPr>
                <w:b w:val="0"/>
              </w:rPr>
              <w:t>2.</w:t>
            </w:r>
            <w:r w:rsidR="00862E04">
              <w:rPr>
                <w:b w:val="0"/>
                <w:noProof/>
              </w:rPr>
              <w:t>7</w:t>
            </w:r>
            <w:r>
              <w:tab/>
            </w:r>
            <w:r w:rsidRPr="004E3449">
              <w:t>Proportion of total population on income support, June 2014</w:t>
            </w:r>
            <w:r w:rsidRPr="004E3449">
              <w:rPr>
                <w:position w:val="6"/>
                <w:sz w:val="18"/>
              </w:rPr>
              <w:t>a</w:t>
            </w:r>
          </w:p>
        </w:tc>
      </w:tr>
      <w:tr w:rsidR="00A0318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03188" w:rsidTr="0089285A">
              <w:trPr>
                <w:jc w:val="center"/>
              </w:trPr>
              <w:tc>
                <w:tcPr>
                  <w:tcW w:w="5000" w:type="pct"/>
                  <w:tcBorders>
                    <w:top w:val="nil"/>
                    <w:bottom w:val="nil"/>
                  </w:tcBorders>
                </w:tcPr>
                <w:p w:rsidR="00A03188" w:rsidRDefault="00A03188" w:rsidP="0089285A">
                  <w:pPr>
                    <w:pStyle w:val="Figure"/>
                    <w:spacing w:before="60" w:after="60"/>
                  </w:pPr>
                  <w:r>
                    <w:rPr>
                      <w:noProof/>
                    </w:rPr>
                    <w:drawing>
                      <wp:inline distT="0" distB="0" distL="0" distR="0" wp14:anchorId="628041C0" wp14:editId="6D675D41">
                        <wp:extent cx="5391150" cy="2695575"/>
                        <wp:effectExtent l="0" t="0" r="0" b="9525"/>
                        <wp:docPr id="8" name="Picture 8" descr="Figure 2.7 Proportion of total population on income support,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03188" w:rsidRDefault="00A03188" w:rsidP="0089285A">
            <w:pPr>
              <w:pStyle w:val="Figure"/>
            </w:pPr>
          </w:p>
        </w:tc>
      </w:tr>
      <w:tr w:rsidR="00A03188" w:rsidRPr="00176D3F" w:rsidTr="0089285A">
        <w:tc>
          <w:tcPr>
            <w:tcW w:w="8771" w:type="dxa"/>
            <w:tcBorders>
              <w:top w:val="nil"/>
              <w:left w:val="nil"/>
              <w:bottom w:val="nil"/>
              <w:right w:val="nil"/>
            </w:tcBorders>
            <w:shd w:val="clear" w:color="auto" w:fill="auto"/>
          </w:tcPr>
          <w:p w:rsidR="00A03188" w:rsidRPr="00176D3F" w:rsidRDefault="00A03188" w:rsidP="0089285A">
            <w:pPr>
              <w:pStyle w:val="Note"/>
            </w:pPr>
            <w:r>
              <w:rPr>
                <w:rStyle w:val="NoteLabel"/>
              </w:rPr>
              <w:t>a</w:t>
            </w:r>
            <w:r>
              <w:t xml:space="preserve"> </w:t>
            </w:r>
            <w:r w:rsidRPr="004E3449">
              <w:t>See table</w:t>
            </w:r>
            <w:r w:rsidR="00021101">
              <w:t> </w:t>
            </w:r>
            <w:r w:rsidRPr="004E3449">
              <w:t xml:space="preserve">2A.37 for detailed </w:t>
            </w:r>
            <w:r w:rsidRPr="00E76184">
              <w:t xml:space="preserve">definitions, footnotes and </w:t>
            </w:r>
            <w:r w:rsidRPr="004E3449">
              <w:t>caveats.</w:t>
            </w:r>
          </w:p>
        </w:tc>
      </w:tr>
      <w:tr w:rsidR="00A03188" w:rsidRPr="00176D3F" w:rsidTr="0089285A">
        <w:tc>
          <w:tcPr>
            <w:tcW w:w="8771" w:type="dxa"/>
            <w:tcBorders>
              <w:top w:val="nil"/>
              <w:left w:val="nil"/>
              <w:bottom w:val="nil"/>
              <w:right w:val="nil"/>
            </w:tcBorders>
            <w:shd w:val="clear" w:color="auto" w:fill="auto"/>
          </w:tcPr>
          <w:p w:rsidR="00A03188" w:rsidRPr="00176D3F" w:rsidRDefault="00A03188" w:rsidP="0089285A">
            <w:pPr>
              <w:pStyle w:val="Source"/>
            </w:pPr>
            <w:r>
              <w:rPr>
                <w:i/>
              </w:rPr>
              <w:t>S</w:t>
            </w:r>
            <w:r w:rsidRPr="00784A05">
              <w:rPr>
                <w:i/>
              </w:rPr>
              <w:t>ource</w:t>
            </w:r>
            <w:r w:rsidRPr="00176D3F">
              <w:t xml:space="preserve">: </w:t>
            </w:r>
            <w:r w:rsidRPr="004E3449">
              <w:t xml:space="preserve">FaHCSIA (2015) </w:t>
            </w:r>
            <w:r w:rsidRPr="004E3449">
              <w:rPr>
                <w:i/>
              </w:rPr>
              <w:t>Payment Type by State and Territory — June 2014 Quarter — DSS Basic Dataset and DEEWR Blue Book Dataset</w:t>
            </w:r>
            <w:r w:rsidRPr="004E3449">
              <w:t>; table</w:t>
            </w:r>
            <w:r w:rsidR="00021101">
              <w:t> </w:t>
            </w:r>
            <w:r w:rsidRPr="004E3449">
              <w:t>2A.37.</w:t>
            </w:r>
          </w:p>
        </w:tc>
      </w:tr>
      <w:tr w:rsidR="00A03188" w:rsidTr="0089285A">
        <w:tc>
          <w:tcPr>
            <w:tcW w:w="8771" w:type="dxa"/>
            <w:tcBorders>
              <w:top w:val="nil"/>
              <w:left w:val="nil"/>
              <w:bottom w:val="single" w:sz="6" w:space="0" w:color="78A22F"/>
              <w:right w:val="nil"/>
            </w:tcBorders>
            <w:shd w:val="clear" w:color="auto" w:fill="auto"/>
          </w:tcPr>
          <w:p w:rsidR="00A03188" w:rsidRDefault="00A03188" w:rsidP="0089285A">
            <w:pPr>
              <w:pStyle w:val="Figurespace"/>
            </w:pPr>
          </w:p>
        </w:tc>
      </w:tr>
      <w:tr w:rsidR="00A03188" w:rsidRPr="000863A5" w:rsidTr="0089285A">
        <w:tc>
          <w:tcPr>
            <w:tcW w:w="8771" w:type="dxa"/>
            <w:tcBorders>
              <w:top w:val="single" w:sz="6" w:space="0" w:color="78A22F"/>
              <w:left w:val="nil"/>
              <w:bottom w:val="nil"/>
              <w:right w:val="nil"/>
            </w:tcBorders>
          </w:tcPr>
          <w:p w:rsidR="00A03188" w:rsidRPr="00626D32" w:rsidRDefault="00A03188" w:rsidP="0089285A">
            <w:pPr>
              <w:pStyle w:val="BoxSpaceBelow"/>
            </w:pPr>
          </w:p>
        </w:tc>
      </w:tr>
    </w:tbl>
    <w:p w:rsidR="00A03188" w:rsidRDefault="00A03188" w:rsidP="00A03188">
      <w:pPr>
        <w:pStyle w:val="Heading3"/>
      </w:pPr>
      <w:bookmarkStart w:id="17" w:name="_Toc437961487"/>
      <w:r>
        <w:t>Education attainment</w:t>
      </w:r>
      <w:bookmarkEnd w:id="17"/>
    </w:p>
    <w:p w:rsidR="00A03188" w:rsidRDefault="00A03188" w:rsidP="00A03188">
      <w:pPr>
        <w:pStyle w:val="BodyText"/>
      </w:pPr>
      <w:r w:rsidRPr="00D75B48">
        <w:t>Employment outcomes and income are closely linked to the education and skill levels of individuals. Tables</w:t>
      </w:r>
      <w:r w:rsidR="00021101">
        <w:t> </w:t>
      </w:r>
      <w:r w:rsidRPr="00D75B48">
        <w:t>2A.38–45 and sector overview B Child care, education and training contain reporting on education and</w:t>
      </w:r>
      <w:r w:rsidRPr="00FD58CB">
        <w:t xml:space="preserve"> skill levels including highest level of school completed and tertiary education attendance and attainment</w:t>
      </w:r>
      <w:r>
        <w:t>.</w:t>
      </w:r>
    </w:p>
    <w:p w:rsidR="00A03188" w:rsidRDefault="00A03188" w:rsidP="00A03188">
      <w:pPr>
        <w:pStyle w:val="Heading3"/>
      </w:pPr>
      <w:bookmarkStart w:id="18" w:name="_Toc437961488"/>
      <w:r>
        <w:t>Employment and workforce participation</w:t>
      </w:r>
      <w:bookmarkEnd w:id="18"/>
    </w:p>
    <w:p w:rsidR="00A03188" w:rsidRPr="00215991" w:rsidRDefault="00A03188" w:rsidP="00A03188">
      <w:pPr>
        <w:pStyle w:val="BodyText"/>
      </w:pPr>
      <w:r w:rsidRPr="00215991">
        <w:t xml:space="preserve">There were 12.5 million people aged 15 years or over in the labour force in Australia </w:t>
      </w:r>
      <w:r>
        <w:t>as at 30</w:t>
      </w:r>
      <w:r w:rsidR="001620EE">
        <w:t> </w:t>
      </w:r>
      <w:r w:rsidRPr="00215991">
        <w:t>June 2015</w:t>
      </w:r>
      <w:r>
        <w:t xml:space="preserve"> — </w:t>
      </w:r>
      <w:r w:rsidRPr="00215991">
        <w:t>94.2 per cent were employed and 5.8 per cent were unemployed. The majority of employed people (68.9 per cent) were in full time employment (table</w:t>
      </w:r>
      <w:r w:rsidR="00021101">
        <w:t> </w:t>
      </w:r>
      <w:r w:rsidRPr="00215991">
        <w:t>2A.4</w:t>
      </w:r>
      <w:r>
        <w:t>6</w:t>
      </w:r>
      <w:r w:rsidRPr="00215991">
        <w:t>).</w:t>
      </w:r>
    </w:p>
    <w:p w:rsidR="00A03188" w:rsidRDefault="00A03188" w:rsidP="00A03188">
      <w:pPr>
        <w:pStyle w:val="BodyText"/>
      </w:pPr>
      <w:r w:rsidRPr="00215991">
        <w:t xml:space="preserve">Across jurisdictions, </w:t>
      </w:r>
      <w:r>
        <w:t xml:space="preserve">the </w:t>
      </w:r>
      <w:r w:rsidRPr="00215991">
        <w:t xml:space="preserve">unemployment rate ranged from 3.5 per cent in the ACT to </w:t>
      </w:r>
      <w:r>
        <w:br/>
      </w:r>
      <w:r w:rsidRPr="00215991">
        <w:t>7.9 per cent in SA (table</w:t>
      </w:r>
      <w:r w:rsidR="00021101">
        <w:t> </w:t>
      </w:r>
      <w:r w:rsidRPr="00215991">
        <w:t>2A.4</w:t>
      </w:r>
      <w:r>
        <w:t>6</w:t>
      </w:r>
      <w:r w:rsidRPr="00215991">
        <w:t>).</w:t>
      </w:r>
      <w:r>
        <w:t xml:space="preserve"> </w:t>
      </w:r>
      <w:r w:rsidRPr="00215991">
        <w:t xml:space="preserve">The unemployment rate needs to be interpreted within the context of labour force participation rates (the proportion of the working age population either in employment or actively looking for work). Nationally in June 2015, the labour force participation rate was </w:t>
      </w:r>
      <w:r w:rsidRPr="00047A4D">
        <w:t>64.8 per cent. Labour force participation rates ranged from 60.7 per cent in Tasmania</w:t>
      </w:r>
      <w:r>
        <w:t xml:space="preserve"> to </w:t>
      </w:r>
      <w:r w:rsidRPr="00047A4D">
        <w:t>76.6 per cent in the NT (figure</w:t>
      </w:r>
      <w:r w:rsidR="00021101">
        <w:t> </w:t>
      </w:r>
      <w:r w:rsidRPr="00047A4D">
        <w:t>2.</w:t>
      </w:r>
      <w:r>
        <w:t>8</w:t>
      </w:r>
      <w:r w:rsidRPr="00047A4D">
        <w:t>).</w:t>
      </w:r>
    </w:p>
    <w:p w:rsidR="00A03188" w:rsidRPr="00A03188" w:rsidRDefault="00A03188" w:rsidP="00A03188">
      <w:pPr>
        <w:pStyle w:val="BodyText"/>
      </w:pPr>
      <w:r w:rsidRPr="00047A4D">
        <w:rPr>
          <w:szCs w:val="26"/>
        </w:rPr>
        <w:t xml:space="preserve">Data on </w:t>
      </w:r>
      <w:r w:rsidRPr="00047A4D">
        <w:t>labour force participation rates</w:t>
      </w:r>
      <w:r w:rsidRPr="00047A4D">
        <w:rPr>
          <w:szCs w:val="26"/>
        </w:rPr>
        <w:t xml:space="preserve"> and unemployment rates for all people of working age, disaggregated by sex</w:t>
      </w:r>
      <w:r>
        <w:rPr>
          <w:szCs w:val="26"/>
        </w:rPr>
        <w:t xml:space="preserve"> and reported back to 2006</w:t>
      </w:r>
      <w:r w:rsidRPr="00047A4D">
        <w:rPr>
          <w:szCs w:val="26"/>
        </w:rPr>
        <w:t>, are available in table</w:t>
      </w:r>
      <w:r w:rsidR="00021101">
        <w:rPr>
          <w:szCs w:val="26"/>
        </w:rPr>
        <w:t> </w:t>
      </w:r>
      <w:r w:rsidRPr="00047A4D">
        <w:rPr>
          <w:szCs w:val="26"/>
        </w:rPr>
        <w:t>2A.46.</w:t>
      </w:r>
    </w:p>
    <w:p w:rsidR="00A03188" w:rsidRDefault="00A03188"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188" w:rsidTr="0089285A">
        <w:tc>
          <w:tcPr>
            <w:tcW w:w="8771" w:type="dxa"/>
            <w:tcBorders>
              <w:top w:val="single" w:sz="6" w:space="0" w:color="78A22F"/>
              <w:left w:val="nil"/>
              <w:bottom w:val="nil"/>
              <w:right w:val="nil"/>
            </w:tcBorders>
            <w:shd w:val="clear" w:color="auto" w:fill="auto"/>
          </w:tcPr>
          <w:p w:rsidR="00A03188" w:rsidRPr="00176D3F" w:rsidRDefault="00A03188" w:rsidP="00A03188">
            <w:pPr>
              <w:pStyle w:val="FigureTitle"/>
            </w:pPr>
            <w:r w:rsidRPr="00784A05">
              <w:rPr>
                <w:b w:val="0"/>
              </w:rPr>
              <w:t xml:space="preserve">Figure </w:t>
            </w:r>
            <w:r>
              <w:rPr>
                <w:b w:val="0"/>
              </w:rPr>
              <w:t>2.</w:t>
            </w:r>
            <w:r w:rsidR="00862E04">
              <w:rPr>
                <w:b w:val="0"/>
                <w:noProof/>
              </w:rPr>
              <w:t>8</w:t>
            </w:r>
            <w:r>
              <w:tab/>
            </w:r>
            <w:r w:rsidRPr="00047A4D">
              <w:t>Labour force outcomes for people aged 15 years or over</w:t>
            </w:r>
            <w:r>
              <w:t>, 30 June</w:t>
            </w:r>
            <w:r w:rsidR="001620EE">
              <w:t xml:space="preserve"> </w:t>
            </w:r>
            <w:r w:rsidRPr="00047A4D">
              <w:t>2015</w:t>
            </w:r>
          </w:p>
        </w:tc>
      </w:tr>
      <w:tr w:rsidR="00A03188"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03188" w:rsidTr="0089285A">
              <w:trPr>
                <w:jc w:val="center"/>
              </w:trPr>
              <w:tc>
                <w:tcPr>
                  <w:tcW w:w="5000" w:type="pct"/>
                  <w:tcBorders>
                    <w:top w:val="nil"/>
                    <w:bottom w:val="nil"/>
                  </w:tcBorders>
                </w:tcPr>
                <w:p w:rsidR="00A03188" w:rsidRDefault="00A03188" w:rsidP="0089285A">
                  <w:pPr>
                    <w:pStyle w:val="Figure"/>
                    <w:spacing w:before="60" w:after="60"/>
                  </w:pPr>
                  <w:r>
                    <w:rPr>
                      <w:noProof/>
                    </w:rPr>
                    <w:drawing>
                      <wp:inline distT="0" distB="0" distL="0" distR="0" wp14:anchorId="31718624" wp14:editId="6B33F2C2">
                        <wp:extent cx="5391150" cy="2686050"/>
                        <wp:effectExtent l="0" t="0" r="0" b="0"/>
                        <wp:docPr id="9" name="Picture 9" descr="Figure 2.8 Labour force outcomes for people aged 15 years or over,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A03188" w:rsidRDefault="00A03188" w:rsidP="0089285A">
            <w:pPr>
              <w:pStyle w:val="Figure"/>
            </w:pPr>
          </w:p>
        </w:tc>
      </w:tr>
      <w:tr w:rsidR="00A03188" w:rsidRPr="00176D3F" w:rsidTr="0089285A">
        <w:tc>
          <w:tcPr>
            <w:tcW w:w="8771" w:type="dxa"/>
            <w:tcBorders>
              <w:top w:val="nil"/>
              <w:left w:val="nil"/>
              <w:bottom w:val="nil"/>
              <w:right w:val="nil"/>
            </w:tcBorders>
            <w:shd w:val="clear" w:color="auto" w:fill="auto"/>
          </w:tcPr>
          <w:p w:rsidR="00A03188" w:rsidRPr="00176D3F" w:rsidRDefault="00A03188" w:rsidP="00A03188">
            <w:pPr>
              <w:pStyle w:val="Source"/>
            </w:pPr>
            <w:r>
              <w:rPr>
                <w:i/>
              </w:rPr>
              <w:t>S</w:t>
            </w:r>
            <w:r w:rsidRPr="00784A05">
              <w:rPr>
                <w:i/>
              </w:rPr>
              <w:t>ource</w:t>
            </w:r>
            <w:r w:rsidRPr="00176D3F">
              <w:t xml:space="preserve">: </w:t>
            </w:r>
            <w:r w:rsidRPr="00047A4D">
              <w:t xml:space="preserve">ABS (2015) </w:t>
            </w:r>
            <w:r w:rsidRPr="00047A4D">
              <w:rPr>
                <w:i/>
              </w:rPr>
              <w:t>Labour Force, Australia, Detailed — Electronic Delivery, June 2015</w:t>
            </w:r>
            <w:r w:rsidRPr="00047A4D">
              <w:t xml:space="preserve">, </w:t>
            </w:r>
            <w:r w:rsidRPr="00047A4D">
              <w:br/>
              <w:t>Cat. no. 6291.0.55.001, Canberra; table</w:t>
            </w:r>
            <w:r w:rsidR="00021101">
              <w:t> </w:t>
            </w:r>
            <w:r w:rsidRPr="00047A4D">
              <w:t>2A.46</w:t>
            </w:r>
            <w:r>
              <w:t>.</w:t>
            </w:r>
          </w:p>
        </w:tc>
      </w:tr>
      <w:tr w:rsidR="00A03188" w:rsidTr="0089285A">
        <w:tc>
          <w:tcPr>
            <w:tcW w:w="8771" w:type="dxa"/>
            <w:tcBorders>
              <w:top w:val="nil"/>
              <w:left w:val="nil"/>
              <w:bottom w:val="single" w:sz="6" w:space="0" w:color="78A22F"/>
              <w:right w:val="nil"/>
            </w:tcBorders>
            <w:shd w:val="clear" w:color="auto" w:fill="auto"/>
          </w:tcPr>
          <w:p w:rsidR="00A03188" w:rsidRDefault="00A03188" w:rsidP="0089285A">
            <w:pPr>
              <w:pStyle w:val="Figurespace"/>
            </w:pPr>
          </w:p>
        </w:tc>
      </w:tr>
      <w:tr w:rsidR="00A03188" w:rsidRPr="000863A5" w:rsidTr="0089285A">
        <w:tc>
          <w:tcPr>
            <w:tcW w:w="8771" w:type="dxa"/>
            <w:tcBorders>
              <w:top w:val="single" w:sz="6" w:space="0" w:color="78A22F"/>
              <w:left w:val="nil"/>
              <w:bottom w:val="nil"/>
              <w:right w:val="nil"/>
            </w:tcBorders>
          </w:tcPr>
          <w:p w:rsidR="00A03188" w:rsidRPr="00626D32" w:rsidRDefault="00A03188" w:rsidP="0089285A">
            <w:pPr>
              <w:pStyle w:val="BoxSpaceBelow"/>
            </w:pPr>
          </w:p>
        </w:tc>
      </w:tr>
    </w:tbl>
    <w:p w:rsidR="007612F8" w:rsidRDefault="00A03188" w:rsidP="00A03188">
      <w:pPr>
        <w:pStyle w:val="Heading2"/>
      </w:pPr>
      <w:bookmarkStart w:id="19" w:name="_Toc437961489"/>
      <w:r>
        <w:t>2.</w:t>
      </w:r>
      <w:r w:rsidR="00862E04">
        <w:rPr>
          <w:noProof/>
        </w:rPr>
        <w:t>5</w:t>
      </w:r>
      <w:r>
        <w:tab/>
        <w:t>General economic indicators</w:t>
      </w:r>
      <w:bookmarkEnd w:id="19"/>
    </w:p>
    <w:p w:rsidR="00A03188" w:rsidRDefault="00A03188" w:rsidP="00A03188">
      <w:pPr>
        <w:pStyle w:val="BodyText"/>
      </w:pPr>
      <w:r w:rsidRPr="00FD58CB">
        <w:t xml:space="preserve">General Government Final Consumption Expenditure (GGFCE) is current expenditure </w:t>
      </w:r>
      <w:r w:rsidR="00044844">
        <w:br/>
      </w:r>
      <w:r>
        <w:t xml:space="preserve">(ie, </w:t>
      </w:r>
      <w:r w:rsidRPr="00FD58CB">
        <w:t>outlays which do not result in the creation of capital assets, or in the acquisition of land and existing buildings or second</w:t>
      </w:r>
      <w:r w:rsidRPr="00FD58CB">
        <w:noBreakHyphen/>
        <w:t>hand capital goods</w:t>
      </w:r>
      <w:r>
        <w:t>)</w:t>
      </w:r>
      <w:r w:rsidRPr="00FD58CB">
        <w:t xml:space="preserve"> by general government bodies on services to the community such as defence, education, and public order and safety.</w:t>
      </w:r>
      <w:r>
        <w:t xml:space="preserve"> </w:t>
      </w:r>
      <w:r w:rsidRPr="00FD58CB">
        <w:t>Transfer payments (for example, interest payments on government debt securities and social assistance benefits) are not included</w:t>
      </w:r>
      <w:r>
        <w:t>.</w:t>
      </w:r>
    </w:p>
    <w:p w:rsidR="00A03188" w:rsidRDefault="00A03188" w:rsidP="00A03188">
      <w:pPr>
        <w:pStyle w:val="BodyText"/>
      </w:pPr>
      <w:r w:rsidRPr="00D75B48">
        <w:t>Nationally, the GGFCE was $276.4 billion in 2013</w:t>
      </w:r>
      <w:r w:rsidRPr="00D75B48">
        <w:noBreakHyphen/>
        <w:t>14. The GGFCE for NSW</w:t>
      </w:r>
      <w:r w:rsidRPr="00FD7A6D">
        <w:t xml:space="preserve"> accounted for 26.9 per cent of national GGFCE, compared with </w:t>
      </w:r>
      <w:r>
        <w:t xml:space="preserve">2.2 </w:t>
      </w:r>
      <w:r w:rsidRPr="00FD7A6D">
        <w:t>per cent for the Tasmania. Growth from the previous year’s GGFCE (in 2013</w:t>
      </w:r>
      <w:r w:rsidRPr="00FD7A6D">
        <w:noBreakHyphen/>
        <w:t>14 dollars) was highest for the ACT (3.</w:t>
      </w:r>
      <w:r>
        <w:t>1</w:t>
      </w:r>
      <w:r w:rsidRPr="00FD7A6D">
        <w:t xml:space="preserve"> per cent) and lowest for </w:t>
      </w:r>
      <w:r>
        <w:t>Tasmania</w:t>
      </w:r>
      <w:r w:rsidRPr="00FD7A6D">
        <w:t xml:space="preserve"> (</w:t>
      </w:r>
      <w:r w:rsidR="00CC7F97">
        <w:t>-</w:t>
      </w:r>
      <w:r>
        <w:t>1.0</w:t>
      </w:r>
      <w:r w:rsidRPr="00FD7A6D">
        <w:t xml:space="preserve"> per cent) (table</w:t>
      </w:r>
      <w:r w:rsidR="00021101">
        <w:t> </w:t>
      </w:r>
      <w:r w:rsidRPr="00FD7A6D">
        <w:t>2A.</w:t>
      </w:r>
      <w:r>
        <w:t>47).</w:t>
      </w:r>
    </w:p>
    <w:p w:rsidR="00A03188" w:rsidRDefault="00A03188" w:rsidP="00A03188">
      <w:pPr>
        <w:pStyle w:val="Heading2"/>
      </w:pPr>
      <w:bookmarkStart w:id="20" w:name="_Toc437961490"/>
      <w:r>
        <w:t>2.</w:t>
      </w:r>
      <w:r w:rsidR="00862E04">
        <w:rPr>
          <w:noProof/>
        </w:rPr>
        <w:t>6</w:t>
      </w:r>
      <w:r>
        <w:tab/>
        <w:t>Statistical concepts used in the Report</w:t>
      </w:r>
      <w:bookmarkEnd w:id="20"/>
    </w:p>
    <w:p w:rsidR="00A03188" w:rsidRDefault="00A03188" w:rsidP="00A03188">
      <w:pPr>
        <w:pStyle w:val="Heading3"/>
      </w:pPr>
      <w:bookmarkStart w:id="21" w:name="_Toc437961491"/>
      <w:r>
        <w:t>General Government Final Consumption Expenditure</w:t>
      </w:r>
      <w:bookmarkEnd w:id="21"/>
    </w:p>
    <w:p w:rsidR="00A03188" w:rsidRDefault="00A03188" w:rsidP="00A03188">
      <w:pPr>
        <w:pStyle w:val="BodyText"/>
      </w:pPr>
      <w:r>
        <w:t xml:space="preserve">The </w:t>
      </w:r>
      <w:r w:rsidRPr="00FD58CB">
        <w:t xml:space="preserve">GGFCE deflator is used to convert raw financial data into constant (real) dollars </w:t>
      </w:r>
      <w:r w:rsidRPr="00FD58CB">
        <w:br/>
        <w:t>(box</w:t>
      </w:r>
      <w:r w:rsidR="00021101">
        <w:t> </w:t>
      </w:r>
      <w:r w:rsidRPr="00FD58CB">
        <w:t>2.1).</w:t>
      </w:r>
    </w:p>
    <w:p w:rsidR="00A03188" w:rsidRDefault="00A031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188" w:rsidTr="0089285A">
        <w:tc>
          <w:tcPr>
            <w:tcW w:w="8771" w:type="dxa"/>
            <w:tcBorders>
              <w:top w:val="single" w:sz="6" w:space="0" w:color="78A22F"/>
              <w:left w:val="nil"/>
              <w:bottom w:val="nil"/>
              <w:right w:val="nil"/>
            </w:tcBorders>
            <w:shd w:val="clear" w:color="auto" w:fill="F2F2F2"/>
          </w:tcPr>
          <w:p w:rsidR="00A03188" w:rsidRDefault="00A03188">
            <w:pPr>
              <w:pStyle w:val="BoxTitle"/>
            </w:pPr>
            <w:r>
              <w:rPr>
                <w:b w:val="0"/>
              </w:rPr>
              <w:t>Box 2.</w:t>
            </w:r>
            <w:r w:rsidR="00862E04">
              <w:rPr>
                <w:b w:val="0"/>
                <w:noProof/>
              </w:rPr>
              <w:t>1</w:t>
            </w:r>
            <w:r>
              <w:tab/>
            </w:r>
            <w:proofErr w:type="spellStart"/>
            <w:r w:rsidRPr="00FD58CB">
              <w:t>GGFCE</w:t>
            </w:r>
            <w:proofErr w:type="spellEnd"/>
            <w:r w:rsidRPr="00FD58CB">
              <w:t xml:space="preserve"> deflator formulas</w:t>
            </w:r>
          </w:p>
        </w:tc>
      </w:tr>
      <w:tr w:rsidR="00A03188" w:rsidTr="0089285A">
        <w:trPr>
          <w:cantSplit/>
        </w:trPr>
        <w:tc>
          <w:tcPr>
            <w:tcW w:w="8771" w:type="dxa"/>
            <w:tcBorders>
              <w:top w:val="nil"/>
              <w:left w:val="nil"/>
              <w:bottom w:val="nil"/>
              <w:right w:val="nil"/>
            </w:tcBorders>
            <w:shd w:val="clear" w:color="auto" w:fill="F2F2F2"/>
          </w:tcPr>
          <w:p w:rsidR="00A03188" w:rsidRPr="00E00D1E" w:rsidRDefault="00A03188" w:rsidP="00A03188">
            <w:pPr>
              <w:pStyle w:val="Box"/>
              <w:rPr>
                <w:b/>
              </w:rPr>
            </w:pPr>
            <w:r w:rsidRPr="00E00D1E">
              <w:rPr>
                <w:b/>
              </w:rPr>
              <w:t>GGFCE deflator re</w:t>
            </w:r>
            <w:r w:rsidRPr="00E00D1E">
              <w:rPr>
                <w:b/>
              </w:rPr>
              <w:noBreakHyphen/>
              <w:t>base</w:t>
            </w:r>
          </w:p>
          <w:p w:rsidR="00A03188" w:rsidRDefault="00A03188" w:rsidP="00A03188">
            <w:pPr>
              <w:pStyle w:val="Box"/>
            </w:pPr>
            <w:r w:rsidRPr="00E00D1E">
              <w:t>The general formula use</w:t>
            </w:r>
            <w:r>
              <w:t>d to re</w:t>
            </w:r>
            <w:r>
              <w:noBreakHyphen/>
              <w:t>base GGFCE deflators is:</w:t>
            </w:r>
          </w:p>
          <w:p w:rsidR="00214258" w:rsidRDefault="00511040" w:rsidP="00A03188">
            <w:pPr>
              <w:pStyle w:val="Box"/>
            </w:pPr>
            <w:r>
              <w:rPr>
                <w:noProof/>
                <w:color w:val="FF99CC"/>
              </w:rPr>
              <w:drawing>
                <wp:inline distT="0" distB="0" distL="0" distR="0">
                  <wp:extent cx="893445" cy="414655"/>
                  <wp:effectExtent l="0" t="0" r="1905" b="4445"/>
                  <wp:docPr id="12" name="Picture 1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3445" cy="414655"/>
                          </a:xfrm>
                          <a:prstGeom prst="rect">
                            <a:avLst/>
                          </a:prstGeom>
                          <a:noFill/>
                          <a:ln>
                            <a:noFill/>
                          </a:ln>
                        </pic:spPr>
                      </pic:pic>
                    </a:graphicData>
                  </a:graphic>
                </wp:inline>
              </w:drawing>
            </w:r>
          </w:p>
          <w:p w:rsidR="00A03188" w:rsidRPr="00E00D1E" w:rsidRDefault="00A03188" w:rsidP="00A03188">
            <w:pPr>
              <w:pStyle w:val="Box"/>
            </w:pPr>
            <w:r w:rsidRPr="00E00D1E">
              <w:t>Where:</w:t>
            </w:r>
          </w:p>
          <w:p w:rsidR="00A03188" w:rsidRPr="00E00D1E" w:rsidRDefault="00511040" w:rsidP="00A03188">
            <w:pPr>
              <w:pStyle w:val="Box"/>
              <w:rPr>
                <w:i/>
              </w:rPr>
            </w:pPr>
            <w:r>
              <w:rPr>
                <w:noProof/>
              </w:rPr>
              <w:drawing>
                <wp:inline distT="0" distB="0" distL="0" distR="0">
                  <wp:extent cx="201930" cy="233680"/>
                  <wp:effectExtent l="0" t="0" r="7620" b="0"/>
                  <wp:docPr id="13" name="Picture 1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00A03188" w:rsidRPr="00E00D1E">
              <w:t xml:space="preserve"> is the new index based in year </w:t>
            </w:r>
            <w:r w:rsidR="00A03188" w:rsidRPr="00E00D1E">
              <w:rPr>
                <w:i/>
              </w:rPr>
              <w:t>t</w:t>
            </w:r>
            <w:r w:rsidR="00A03188">
              <w:rPr>
                <w:i/>
              </w:rPr>
              <w:t xml:space="preserve">; </w:t>
            </w:r>
            <w:r>
              <w:rPr>
                <w:i/>
                <w:noProof/>
              </w:rPr>
              <w:drawing>
                <wp:inline distT="0" distB="0" distL="0" distR="0">
                  <wp:extent cx="180975" cy="233680"/>
                  <wp:effectExtent l="0" t="0" r="9525" b="0"/>
                  <wp:docPr id="14" name="Picture 1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A03188" w:rsidRPr="00E00D1E">
              <w:t xml:space="preserve"> is the current index for year </w:t>
            </w:r>
            <w:r w:rsidR="00A03188" w:rsidRPr="00E00D1E">
              <w:rPr>
                <w:i/>
              </w:rPr>
              <w:t>t</w:t>
            </w:r>
          </w:p>
          <w:p w:rsidR="00A03188" w:rsidRPr="00E00D1E" w:rsidRDefault="00511040" w:rsidP="00A03188">
            <w:pPr>
              <w:pStyle w:val="Box"/>
              <w:rPr>
                <w:i/>
              </w:rPr>
            </w:pPr>
            <w:r>
              <w:rPr>
                <w:noProof/>
              </w:rPr>
              <w:drawing>
                <wp:inline distT="0" distB="0" distL="0" distR="0">
                  <wp:extent cx="148590" cy="159385"/>
                  <wp:effectExtent l="0" t="0" r="0" b="0"/>
                  <wp:docPr id="16" name="Picture 1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8590" cy="159385"/>
                          </a:xfrm>
                          <a:prstGeom prst="rect">
                            <a:avLst/>
                          </a:prstGeom>
                          <a:noFill/>
                          <a:ln>
                            <a:noFill/>
                          </a:ln>
                        </pic:spPr>
                      </pic:pic>
                    </a:graphicData>
                  </a:graphic>
                </wp:inline>
              </w:drawing>
            </w:r>
            <w:r w:rsidR="00A03188" w:rsidRPr="00E00D1E">
              <w:t xml:space="preserve"> is the current index for the year that will be the new base.</w:t>
            </w:r>
          </w:p>
          <w:p w:rsidR="00A03188" w:rsidRPr="00E00D1E" w:rsidRDefault="00A03188" w:rsidP="00A03188">
            <w:pPr>
              <w:pStyle w:val="Box"/>
              <w:spacing w:before="240"/>
              <w:rPr>
                <w:b/>
              </w:rPr>
            </w:pPr>
            <w:r w:rsidRPr="00E00D1E">
              <w:rPr>
                <w:b/>
              </w:rPr>
              <w:t>GGFCE deflator application</w:t>
            </w:r>
          </w:p>
          <w:p w:rsidR="00A03188" w:rsidRPr="00E00D1E" w:rsidRDefault="00A03188" w:rsidP="00A03188">
            <w:pPr>
              <w:pStyle w:val="Box"/>
            </w:pPr>
            <w:r w:rsidRPr="00E00D1E">
              <w:t>The general formula for applying the deflator to convert nominal dollars to real dollars is:</w:t>
            </w:r>
          </w:p>
          <w:p w:rsidR="00A03188" w:rsidRPr="00E00D1E" w:rsidRDefault="00511040" w:rsidP="00A03188">
            <w:pPr>
              <w:pStyle w:val="Box"/>
            </w:pPr>
            <w:r>
              <w:rPr>
                <w:noProof/>
              </w:rPr>
              <w:drawing>
                <wp:inline distT="0" distB="0" distL="0" distR="0">
                  <wp:extent cx="903605" cy="446405"/>
                  <wp:effectExtent l="0" t="0" r="0" b="0"/>
                  <wp:docPr id="17" name="Picture 1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605" cy="446405"/>
                          </a:xfrm>
                          <a:prstGeom prst="rect">
                            <a:avLst/>
                          </a:prstGeom>
                          <a:noFill/>
                          <a:ln>
                            <a:noFill/>
                          </a:ln>
                        </pic:spPr>
                      </pic:pic>
                    </a:graphicData>
                  </a:graphic>
                </wp:inline>
              </w:drawing>
            </w:r>
            <w:r w:rsidR="00A03188" w:rsidRPr="00E00D1E">
              <w:tab/>
            </w:r>
            <w:r w:rsidR="00A03188" w:rsidRPr="00E00D1E">
              <w:tab/>
            </w:r>
          </w:p>
          <w:p w:rsidR="00A03188" w:rsidRPr="00E00D1E" w:rsidRDefault="00A03188" w:rsidP="00A03188">
            <w:pPr>
              <w:pStyle w:val="Box"/>
            </w:pPr>
            <w:r w:rsidRPr="00E00D1E">
              <w:t>Where</w:t>
            </w:r>
            <w:r>
              <w:t xml:space="preserve">, for year </w:t>
            </w:r>
            <w:r w:rsidRPr="00EF0FD5">
              <w:rPr>
                <w:i/>
              </w:rPr>
              <w:t>t</w:t>
            </w:r>
            <w:r w:rsidRPr="00E00D1E">
              <w:t>:</w:t>
            </w:r>
          </w:p>
          <w:p w:rsidR="00A03188" w:rsidRDefault="00511040" w:rsidP="00A03188">
            <w:pPr>
              <w:pStyle w:val="Box"/>
            </w:pPr>
            <w:r>
              <w:rPr>
                <w:noProof/>
              </w:rPr>
              <w:drawing>
                <wp:inline distT="0" distB="0" distL="0" distR="0">
                  <wp:extent cx="180975" cy="233680"/>
                  <wp:effectExtent l="0" t="0" r="9525" b="0"/>
                  <wp:docPr id="18" name="Picture 1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A03188" w:rsidRPr="00E00D1E">
              <w:t xml:space="preserve"> is real dollars</w:t>
            </w:r>
            <w:r w:rsidR="00A03188">
              <w:t xml:space="preserve">; </w:t>
            </w:r>
            <w:r>
              <w:rPr>
                <w:noProof/>
              </w:rPr>
              <w:drawing>
                <wp:inline distT="0" distB="0" distL="0" distR="0">
                  <wp:extent cx="191135" cy="233680"/>
                  <wp:effectExtent l="0" t="0" r="0" b="0"/>
                  <wp:docPr id="19" name="Picture 1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00A03188" w:rsidRPr="00E00D1E">
              <w:t xml:space="preserve"> is nominal dollars</w:t>
            </w:r>
            <w:r w:rsidR="00A03188">
              <w:t xml:space="preserve">; </w:t>
            </w:r>
            <w:r>
              <w:rPr>
                <w:noProof/>
              </w:rPr>
              <w:drawing>
                <wp:inline distT="0" distB="0" distL="0" distR="0">
                  <wp:extent cx="201930" cy="233680"/>
                  <wp:effectExtent l="0" t="0" r="7620" b="0"/>
                  <wp:docPr id="20" name="Picture 2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00A03188" w:rsidRPr="00E00D1E">
              <w:t xml:space="preserve"> is the new index</w:t>
            </w:r>
          </w:p>
        </w:tc>
      </w:tr>
      <w:tr w:rsidR="00A03188" w:rsidTr="0089285A">
        <w:trPr>
          <w:cantSplit/>
        </w:trPr>
        <w:tc>
          <w:tcPr>
            <w:tcW w:w="8771" w:type="dxa"/>
            <w:tcBorders>
              <w:top w:val="nil"/>
              <w:left w:val="nil"/>
              <w:bottom w:val="single" w:sz="6" w:space="0" w:color="78A22F"/>
              <w:right w:val="nil"/>
            </w:tcBorders>
            <w:shd w:val="clear" w:color="auto" w:fill="F2F2F2"/>
          </w:tcPr>
          <w:p w:rsidR="00A03188" w:rsidRDefault="00A03188">
            <w:pPr>
              <w:pStyle w:val="Box"/>
              <w:spacing w:before="0" w:line="120" w:lineRule="exact"/>
            </w:pPr>
          </w:p>
        </w:tc>
      </w:tr>
      <w:tr w:rsidR="00A03188" w:rsidRPr="000863A5" w:rsidTr="0089285A">
        <w:tc>
          <w:tcPr>
            <w:tcW w:w="8771" w:type="dxa"/>
            <w:tcBorders>
              <w:top w:val="single" w:sz="6" w:space="0" w:color="78A22F"/>
              <w:left w:val="nil"/>
              <w:bottom w:val="nil"/>
              <w:right w:val="nil"/>
            </w:tcBorders>
          </w:tcPr>
          <w:p w:rsidR="00A03188" w:rsidRPr="00626D32" w:rsidRDefault="00A03188" w:rsidP="0089285A">
            <w:pPr>
              <w:pStyle w:val="BoxSpaceBelow"/>
            </w:pPr>
          </w:p>
        </w:tc>
      </w:tr>
    </w:tbl>
    <w:p w:rsidR="00A03188" w:rsidRDefault="00A03188" w:rsidP="00A03188">
      <w:pPr>
        <w:pStyle w:val="BodyText"/>
      </w:pPr>
      <w:r w:rsidRPr="00FD58CB">
        <w:t>Raw or ‘nominal’ financial data are converted to ‘real’ dollars so that comparisons over time are not affected by inflation.</w:t>
      </w:r>
      <w:r>
        <w:t xml:space="preserve"> </w:t>
      </w:r>
      <w:r w:rsidRPr="00FD58CB">
        <w:t>(Not all financial data in the Report are deflated using the GGFCE deflator. The exceptions include some health chapters and the Vocational education and training chapter, which use service</w:t>
      </w:r>
      <w:r w:rsidRPr="00FD58CB">
        <w:noBreakHyphen/>
        <w:t>specific deflators to calculate real dollars.)</w:t>
      </w:r>
    </w:p>
    <w:p w:rsidR="00A03188" w:rsidRPr="00E00D1E" w:rsidRDefault="00A03188" w:rsidP="00A03188">
      <w:pPr>
        <w:pStyle w:val="BodyText"/>
      </w:pPr>
      <w:r w:rsidRPr="00E00D1E">
        <w:t>The calculations to achieve constant (real) dollars are in two steps:</w:t>
      </w:r>
    </w:p>
    <w:p w:rsidR="00A03188" w:rsidRPr="00E00D1E" w:rsidRDefault="00A03188" w:rsidP="00A03188">
      <w:pPr>
        <w:pStyle w:val="BodyText"/>
      </w:pPr>
      <w:r w:rsidRPr="00E00D1E">
        <w:t>Step 1. Re</w:t>
      </w:r>
      <w:r w:rsidRPr="00E00D1E">
        <w:noBreakHyphen/>
        <w:t>referencing of the GGFCE deflator.</w:t>
      </w:r>
    </w:p>
    <w:p w:rsidR="00A03188" w:rsidRDefault="00A03188" w:rsidP="00A03188">
      <w:pPr>
        <w:pStyle w:val="BodyText"/>
      </w:pPr>
      <w:r w:rsidRPr="00E00D1E">
        <w:t>The Report re</w:t>
      </w:r>
      <w:r w:rsidRPr="00E00D1E">
        <w:noBreakHyphen/>
        <w:t>references the period where the GGFCE (published by the ABS) is at 100, as this Report requires a current year deflator (2014</w:t>
      </w:r>
      <w:r w:rsidRPr="00E00D1E">
        <w:noBreakHyphen/>
        <w:t>15 = 100). The ABS publishes the GGFCE to the third most current year only (for example, if the current year is 2014</w:t>
      </w:r>
      <w:r w:rsidRPr="00E00D1E">
        <w:noBreakHyphen/>
        <w:t>15, the available deflator is 2012</w:t>
      </w:r>
      <w:r w:rsidRPr="00E00D1E">
        <w:noBreakHyphen/>
        <w:t>1</w:t>
      </w:r>
      <w:r>
        <w:t>3</w:t>
      </w:r>
      <w:r w:rsidRPr="00E00D1E">
        <w:t xml:space="preserve"> = 100). Table</w:t>
      </w:r>
      <w:r w:rsidR="00021101">
        <w:t> </w:t>
      </w:r>
      <w:r w:rsidRPr="00E00D1E">
        <w:t>2.1 shows how the GGFCE deflator is re</w:t>
      </w:r>
      <w:r w:rsidRPr="00E00D1E">
        <w:noBreakHyphen/>
      </w:r>
      <w:r>
        <w:t>based.</w:t>
      </w:r>
    </w:p>
    <w:p w:rsidR="00A03188" w:rsidRDefault="00A03188" w:rsidP="0089285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03188" w:rsidTr="0089285A">
        <w:tc>
          <w:tcPr>
            <w:tcW w:w="8771" w:type="dxa"/>
            <w:tcBorders>
              <w:top w:val="single" w:sz="6" w:space="0" w:color="78A22F"/>
              <w:left w:val="nil"/>
              <w:bottom w:val="nil"/>
              <w:right w:val="nil"/>
            </w:tcBorders>
            <w:shd w:val="clear" w:color="auto" w:fill="auto"/>
          </w:tcPr>
          <w:p w:rsidR="00A03188" w:rsidRPr="00784A05" w:rsidRDefault="00A03188" w:rsidP="00A03188">
            <w:pPr>
              <w:pStyle w:val="TableTitle"/>
            </w:pPr>
            <w:r>
              <w:rPr>
                <w:b w:val="0"/>
              </w:rPr>
              <w:t>Table 2.</w:t>
            </w:r>
            <w:r w:rsidR="00862E04">
              <w:rPr>
                <w:b w:val="0"/>
                <w:noProof/>
              </w:rPr>
              <w:t>1</w:t>
            </w:r>
            <w:r>
              <w:tab/>
            </w:r>
            <w:r w:rsidRPr="00E00D1E">
              <w:t>Re</w:t>
            </w:r>
            <w:r w:rsidRPr="00E00D1E">
              <w:noBreakHyphen/>
              <w:t xml:space="preserve">basing the </w:t>
            </w:r>
            <w:proofErr w:type="spellStart"/>
            <w:r w:rsidRPr="00E00D1E">
              <w:t>GGFCE</w:t>
            </w:r>
            <w:proofErr w:type="spellEnd"/>
            <w:r w:rsidRPr="00E00D1E">
              <w:t xml:space="preserve"> deflator</w:t>
            </w:r>
            <w:r w:rsidRPr="00E00D1E">
              <w:rPr>
                <w:position w:val="6"/>
                <w:sz w:val="18"/>
              </w:rPr>
              <w:t>a</w:t>
            </w:r>
          </w:p>
        </w:tc>
      </w:tr>
      <w:tr w:rsidR="00A03188" w:rsidTr="0089285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1"/>
              <w:gridCol w:w="2122"/>
              <w:gridCol w:w="2122"/>
              <w:gridCol w:w="2122"/>
            </w:tblGrid>
            <w:tr w:rsidR="00A03188" w:rsidTr="00A03188">
              <w:tc>
                <w:tcPr>
                  <w:tcW w:w="1250" w:type="pct"/>
                  <w:tcBorders>
                    <w:top w:val="single" w:sz="6" w:space="0" w:color="BFBFBF"/>
                    <w:bottom w:val="single" w:sz="6" w:space="0" w:color="BFBFBF"/>
                  </w:tcBorders>
                  <w:shd w:val="clear" w:color="auto" w:fill="auto"/>
                  <w:tcMar>
                    <w:top w:w="28" w:type="dxa"/>
                  </w:tcMar>
                </w:tcPr>
                <w:p w:rsidR="00A03188" w:rsidRDefault="00A03188" w:rsidP="00A03188">
                  <w:pPr>
                    <w:pStyle w:val="TableColumnHeading"/>
                    <w:ind w:right="28"/>
                    <w:jc w:val="left"/>
                  </w:pPr>
                  <w:r>
                    <w:br/>
                  </w:r>
                  <w:r>
                    <w:br/>
                    <w:t>Financial year</w:t>
                  </w:r>
                </w:p>
              </w:tc>
              <w:tc>
                <w:tcPr>
                  <w:tcW w:w="1250" w:type="pct"/>
                  <w:tcBorders>
                    <w:top w:val="single" w:sz="6" w:space="0" w:color="BFBFBF"/>
                    <w:bottom w:val="single" w:sz="6" w:space="0" w:color="BFBFBF"/>
                  </w:tcBorders>
                  <w:shd w:val="clear" w:color="auto" w:fill="auto"/>
                </w:tcPr>
                <w:p w:rsidR="00A03188" w:rsidRDefault="00A03188" w:rsidP="0089285A">
                  <w:pPr>
                    <w:pStyle w:val="TableColumnHeading"/>
                    <w:ind w:right="28"/>
                  </w:pPr>
                  <w:r>
                    <w:br/>
                    <w:t>ABS index value</w:t>
                  </w:r>
                  <w:r>
                    <w:br/>
                    <w:t>(2012</w:t>
                  </w:r>
                  <w:r w:rsidR="00CC7F97">
                    <w:noBreakHyphen/>
                  </w:r>
                  <w:r>
                    <w:t>13 = 100)</w:t>
                  </w:r>
                </w:p>
              </w:tc>
              <w:tc>
                <w:tcPr>
                  <w:tcW w:w="1250" w:type="pct"/>
                  <w:tcBorders>
                    <w:top w:val="single" w:sz="6" w:space="0" w:color="BFBFBF"/>
                    <w:bottom w:val="single" w:sz="6" w:space="0" w:color="BFBFBF"/>
                  </w:tcBorders>
                  <w:shd w:val="clear" w:color="auto" w:fill="auto"/>
                </w:tcPr>
                <w:p w:rsidR="00A03188" w:rsidRDefault="00A03188" w:rsidP="0089285A">
                  <w:pPr>
                    <w:pStyle w:val="TableColumnHeading"/>
                    <w:ind w:right="28"/>
                  </w:pPr>
                  <w:r>
                    <w:br/>
                  </w:r>
                  <w:r>
                    <w:br/>
                    <w:t>Calculation</w:t>
                  </w:r>
                </w:p>
              </w:tc>
              <w:tc>
                <w:tcPr>
                  <w:tcW w:w="1250" w:type="pct"/>
                  <w:tcBorders>
                    <w:top w:val="single" w:sz="6" w:space="0" w:color="BFBFBF"/>
                    <w:bottom w:val="single" w:sz="6" w:space="0" w:color="BFBFBF"/>
                  </w:tcBorders>
                  <w:shd w:val="clear" w:color="auto" w:fill="auto"/>
                </w:tcPr>
                <w:p w:rsidR="00A03188" w:rsidRDefault="00A03188" w:rsidP="0089285A">
                  <w:pPr>
                    <w:pStyle w:val="TableColumnHeading"/>
                    <w:ind w:right="28"/>
                  </w:pPr>
                  <w:r>
                    <w:t>Re</w:t>
                  </w:r>
                  <w:r w:rsidR="001620EE">
                    <w:noBreakHyphen/>
                  </w:r>
                  <w:r>
                    <w:t xml:space="preserve">based GGFCE deflator </w:t>
                  </w:r>
                  <w:r>
                    <w:br/>
                    <w:t>(2014</w:t>
                  </w:r>
                  <w:r w:rsidR="00CC7F97">
                    <w:noBreakHyphen/>
                  </w:r>
                  <w:r>
                    <w:t>15 = 100)</w:t>
                  </w:r>
                </w:p>
              </w:tc>
            </w:tr>
            <w:tr w:rsidR="00A03188" w:rsidTr="00A03188">
              <w:tc>
                <w:tcPr>
                  <w:tcW w:w="1250" w:type="pct"/>
                  <w:tcBorders>
                    <w:top w:val="single" w:sz="6" w:space="0" w:color="BFBFBF"/>
                  </w:tcBorders>
                </w:tcPr>
                <w:p w:rsidR="00A03188" w:rsidRDefault="00A03188" w:rsidP="00A03188">
                  <w:pPr>
                    <w:pStyle w:val="TableUnitsRow"/>
                    <w:ind w:right="28"/>
                    <w:jc w:val="left"/>
                  </w:pPr>
                  <w:r>
                    <w:t>2010</w:t>
                  </w:r>
                  <w:r w:rsidR="001620EE">
                    <w:noBreakHyphen/>
                  </w:r>
                  <w:r>
                    <w:t>11</w:t>
                  </w:r>
                </w:p>
              </w:tc>
              <w:tc>
                <w:tcPr>
                  <w:tcW w:w="1250" w:type="pct"/>
                  <w:tcBorders>
                    <w:top w:val="single" w:sz="6" w:space="0" w:color="BFBFBF"/>
                  </w:tcBorders>
                </w:tcPr>
                <w:p w:rsidR="00A03188" w:rsidRDefault="00A03188" w:rsidP="0089285A">
                  <w:pPr>
                    <w:pStyle w:val="TableUnitsRow"/>
                    <w:ind w:right="28"/>
                  </w:pPr>
                  <w:r>
                    <w:t>97.1</w:t>
                  </w:r>
                </w:p>
              </w:tc>
              <w:tc>
                <w:tcPr>
                  <w:tcW w:w="1250" w:type="pct"/>
                  <w:tcBorders>
                    <w:top w:val="single" w:sz="6" w:space="0" w:color="BFBFBF"/>
                  </w:tcBorders>
                </w:tcPr>
                <w:p w:rsidR="00A03188" w:rsidRDefault="00A03188" w:rsidP="0089285A">
                  <w:pPr>
                    <w:pStyle w:val="TableUnitsRow"/>
                    <w:ind w:right="28"/>
                  </w:pPr>
                  <w:r>
                    <w:t>97.1/103.1*100.0</w:t>
                  </w:r>
                </w:p>
              </w:tc>
              <w:tc>
                <w:tcPr>
                  <w:tcW w:w="1250" w:type="pct"/>
                  <w:tcBorders>
                    <w:top w:val="single" w:sz="6" w:space="0" w:color="BFBFBF"/>
                  </w:tcBorders>
                </w:tcPr>
                <w:p w:rsidR="00A03188" w:rsidRDefault="00A03188" w:rsidP="0089285A">
                  <w:pPr>
                    <w:pStyle w:val="TableUnitsRow"/>
                    <w:ind w:right="28"/>
                  </w:pPr>
                  <w:r>
                    <w:t>94.2</w:t>
                  </w:r>
                </w:p>
              </w:tc>
            </w:tr>
            <w:tr w:rsidR="00A03188" w:rsidTr="00A03188">
              <w:tc>
                <w:tcPr>
                  <w:tcW w:w="1250" w:type="pct"/>
                </w:tcPr>
                <w:p w:rsidR="00A03188" w:rsidRDefault="00A03188" w:rsidP="00A03188">
                  <w:pPr>
                    <w:pStyle w:val="TableBodyText"/>
                    <w:ind w:right="28"/>
                    <w:jc w:val="left"/>
                  </w:pPr>
                  <w:r>
                    <w:t>2011</w:t>
                  </w:r>
                  <w:r w:rsidR="001620EE">
                    <w:noBreakHyphen/>
                  </w:r>
                  <w:r>
                    <w:t>12</w:t>
                  </w:r>
                </w:p>
              </w:tc>
              <w:tc>
                <w:tcPr>
                  <w:tcW w:w="1250" w:type="pct"/>
                </w:tcPr>
                <w:p w:rsidR="00A03188" w:rsidRDefault="00A03188" w:rsidP="0089285A">
                  <w:pPr>
                    <w:pStyle w:val="TableBodyText"/>
                    <w:ind w:right="28"/>
                  </w:pPr>
                  <w:r>
                    <w:t>98.7</w:t>
                  </w:r>
                </w:p>
              </w:tc>
              <w:tc>
                <w:tcPr>
                  <w:tcW w:w="1250" w:type="pct"/>
                </w:tcPr>
                <w:p w:rsidR="00A03188" w:rsidRDefault="00A03188" w:rsidP="0089285A">
                  <w:pPr>
                    <w:pStyle w:val="TableBodyText"/>
                    <w:ind w:right="28"/>
                  </w:pPr>
                  <w:r>
                    <w:t>98.7/103.1*100.0</w:t>
                  </w:r>
                </w:p>
              </w:tc>
              <w:tc>
                <w:tcPr>
                  <w:tcW w:w="1250" w:type="pct"/>
                </w:tcPr>
                <w:p w:rsidR="00A03188" w:rsidRDefault="00A03188" w:rsidP="0089285A">
                  <w:pPr>
                    <w:pStyle w:val="TableBodyText"/>
                    <w:ind w:right="28"/>
                  </w:pPr>
                  <w:r>
                    <w:t>95.7</w:t>
                  </w:r>
                </w:p>
              </w:tc>
            </w:tr>
            <w:tr w:rsidR="00A03188" w:rsidTr="00A03188">
              <w:tc>
                <w:tcPr>
                  <w:tcW w:w="1250" w:type="pct"/>
                  <w:shd w:val="clear" w:color="auto" w:fill="auto"/>
                </w:tcPr>
                <w:p w:rsidR="00A03188" w:rsidRDefault="00A03188" w:rsidP="00A03188">
                  <w:pPr>
                    <w:pStyle w:val="TableBodyText"/>
                    <w:ind w:right="28"/>
                    <w:jc w:val="left"/>
                  </w:pPr>
                  <w:r>
                    <w:t>2012</w:t>
                  </w:r>
                  <w:r w:rsidR="001620EE">
                    <w:noBreakHyphen/>
                  </w:r>
                  <w:r>
                    <w:t>13</w:t>
                  </w:r>
                </w:p>
              </w:tc>
              <w:tc>
                <w:tcPr>
                  <w:tcW w:w="1250" w:type="pct"/>
                  <w:shd w:val="clear" w:color="auto" w:fill="auto"/>
                </w:tcPr>
                <w:p w:rsidR="00A03188" w:rsidRDefault="00A03188" w:rsidP="0089285A">
                  <w:pPr>
                    <w:pStyle w:val="TableBodyText"/>
                    <w:ind w:right="28"/>
                  </w:pPr>
                  <w:r>
                    <w:t>100.0</w:t>
                  </w:r>
                </w:p>
              </w:tc>
              <w:tc>
                <w:tcPr>
                  <w:tcW w:w="1250" w:type="pct"/>
                  <w:shd w:val="clear" w:color="auto" w:fill="auto"/>
                </w:tcPr>
                <w:p w:rsidR="00A03188" w:rsidRDefault="00A03188" w:rsidP="0089285A">
                  <w:pPr>
                    <w:pStyle w:val="TableBodyText"/>
                    <w:ind w:right="28"/>
                  </w:pPr>
                  <w:r>
                    <w:t>100.0/103.1*100.0</w:t>
                  </w:r>
                </w:p>
              </w:tc>
              <w:tc>
                <w:tcPr>
                  <w:tcW w:w="1250" w:type="pct"/>
                  <w:shd w:val="clear" w:color="auto" w:fill="auto"/>
                </w:tcPr>
                <w:p w:rsidR="00A03188" w:rsidRDefault="00A03188" w:rsidP="0089285A">
                  <w:pPr>
                    <w:pStyle w:val="TableBodyText"/>
                    <w:ind w:right="28"/>
                  </w:pPr>
                  <w:r>
                    <w:t>97.0</w:t>
                  </w:r>
                </w:p>
              </w:tc>
            </w:tr>
            <w:tr w:rsidR="00A03188" w:rsidTr="00A03188">
              <w:tc>
                <w:tcPr>
                  <w:tcW w:w="1250" w:type="pct"/>
                  <w:shd w:val="clear" w:color="auto" w:fill="auto"/>
                </w:tcPr>
                <w:p w:rsidR="00A03188" w:rsidRDefault="00A03188" w:rsidP="00A03188">
                  <w:pPr>
                    <w:pStyle w:val="TableBodyText"/>
                    <w:ind w:right="28"/>
                    <w:jc w:val="left"/>
                  </w:pPr>
                  <w:r>
                    <w:t>2013</w:t>
                  </w:r>
                  <w:r w:rsidR="001620EE">
                    <w:noBreakHyphen/>
                  </w:r>
                  <w:r>
                    <w:t>14</w:t>
                  </w:r>
                </w:p>
              </w:tc>
              <w:tc>
                <w:tcPr>
                  <w:tcW w:w="1250" w:type="pct"/>
                  <w:shd w:val="clear" w:color="auto" w:fill="auto"/>
                </w:tcPr>
                <w:p w:rsidR="00A03188" w:rsidRDefault="00A03188" w:rsidP="0089285A">
                  <w:pPr>
                    <w:pStyle w:val="TableBodyText"/>
                    <w:ind w:right="28"/>
                  </w:pPr>
                  <w:r>
                    <w:t>101.3</w:t>
                  </w:r>
                </w:p>
              </w:tc>
              <w:tc>
                <w:tcPr>
                  <w:tcW w:w="1250" w:type="pct"/>
                  <w:shd w:val="clear" w:color="auto" w:fill="auto"/>
                </w:tcPr>
                <w:p w:rsidR="00A03188" w:rsidRDefault="00A03188" w:rsidP="0089285A">
                  <w:pPr>
                    <w:pStyle w:val="TableBodyText"/>
                    <w:ind w:right="28"/>
                  </w:pPr>
                  <w:r>
                    <w:t>101.3/103.1*100.0</w:t>
                  </w:r>
                </w:p>
              </w:tc>
              <w:tc>
                <w:tcPr>
                  <w:tcW w:w="1250" w:type="pct"/>
                  <w:shd w:val="clear" w:color="auto" w:fill="auto"/>
                </w:tcPr>
                <w:p w:rsidR="00A03188" w:rsidRDefault="00A03188" w:rsidP="0089285A">
                  <w:pPr>
                    <w:pStyle w:val="TableBodyText"/>
                    <w:ind w:right="28"/>
                  </w:pPr>
                  <w:r>
                    <w:t>98.3</w:t>
                  </w:r>
                </w:p>
              </w:tc>
            </w:tr>
            <w:tr w:rsidR="00A03188" w:rsidTr="00A03188">
              <w:tc>
                <w:tcPr>
                  <w:tcW w:w="1250" w:type="pct"/>
                  <w:tcBorders>
                    <w:bottom w:val="single" w:sz="6" w:space="0" w:color="BFBFBF"/>
                  </w:tcBorders>
                  <w:shd w:val="clear" w:color="auto" w:fill="auto"/>
                </w:tcPr>
                <w:p w:rsidR="00A03188" w:rsidRDefault="00A03188" w:rsidP="00A03188">
                  <w:pPr>
                    <w:pStyle w:val="TableBodyText"/>
                    <w:ind w:right="28"/>
                    <w:jc w:val="left"/>
                  </w:pPr>
                  <w:r>
                    <w:t>2014</w:t>
                  </w:r>
                  <w:r w:rsidR="001620EE">
                    <w:noBreakHyphen/>
                  </w:r>
                  <w:r>
                    <w:t>15</w:t>
                  </w:r>
                </w:p>
              </w:tc>
              <w:tc>
                <w:tcPr>
                  <w:tcW w:w="1250" w:type="pct"/>
                  <w:tcBorders>
                    <w:bottom w:val="single" w:sz="6" w:space="0" w:color="BFBFBF"/>
                  </w:tcBorders>
                  <w:shd w:val="clear" w:color="auto" w:fill="auto"/>
                </w:tcPr>
                <w:p w:rsidR="00A03188" w:rsidRDefault="00A03188" w:rsidP="0089285A">
                  <w:pPr>
                    <w:pStyle w:val="TableBodyText"/>
                    <w:ind w:right="28"/>
                  </w:pPr>
                  <w:r>
                    <w:t>103.1</w:t>
                  </w:r>
                </w:p>
              </w:tc>
              <w:tc>
                <w:tcPr>
                  <w:tcW w:w="1250" w:type="pct"/>
                  <w:tcBorders>
                    <w:bottom w:val="single" w:sz="6" w:space="0" w:color="BFBFBF"/>
                  </w:tcBorders>
                  <w:shd w:val="clear" w:color="auto" w:fill="auto"/>
                </w:tcPr>
                <w:p w:rsidR="00A03188" w:rsidRDefault="00A03188" w:rsidP="0089285A">
                  <w:pPr>
                    <w:pStyle w:val="TableBodyText"/>
                    <w:ind w:right="28"/>
                  </w:pPr>
                  <w:r>
                    <w:t>103.1/103.1*100.0</w:t>
                  </w:r>
                </w:p>
              </w:tc>
              <w:tc>
                <w:tcPr>
                  <w:tcW w:w="1250" w:type="pct"/>
                  <w:tcBorders>
                    <w:bottom w:val="single" w:sz="6" w:space="0" w:color="BFBFBF"/>
                  </w:tcBorders>
                  <w:shd w:val="clear" w:color="auto" w:fill="auto"/>
                </w:tcPr>
                <w:p w:rsidR="00A03188" w:rsidRDefault="00A03188" w:rsidP="0089285A">
                  <w:pPr>
                    <w:pStyle w:val="TableBodyText"/>
                    <w:ind w:right="28"/>
                  </w:pPr>
                  <w:r>
                    <w:t>100.0</w:t>
                  </w:r>
                </w:p>
              </w:tc>
            </w:tr>
          </w:tbl>
          <w:p w:rsidR="00A03188" w:rsidRDefault="00A03188" w:rsidP="0089285A">
            <w:pPr>
              <w:pStyle w:val="Box"/>
            </w:pPr>
          </w:p>
        </w:tc>
      </w:tr>
      <w:tr w:rsidR="00A03188" w:rsidTr="0089285A">
        <w:trPr>
          <w:cantSplit/>
        </w:trPr>
        <w:tc>
          <w:tcPr>
            <w:tcW w:w="8771" w:type="dxa"/>
            <w:tcBorders>
              <w:top w:val="nil"/>
              <w:left w:val="nil"/>
              <w:bottom w:val="nil"/>
              <w:right w:val="nil"/>
            </w:tcBorders>
            <w:shd w:val="clear" w:color="auto" w:fill="auto"/>
          </w:tcPr>
          <w:p w:rsidR="00A03188" w:rsidRDefault="00A03188" w:rsidP="0089285A">
            <w:pPr>
              <w:pStyle w:val="Note"/>
              <w:rPr>
                <w:i/>
              </w:rPr>
            </w:pPr>
            <w:r w:rsidRPr="008E77FE">
              <w:rPr>
                <w:rStyle w:val="NoteLabel"/>
              </w:rPr>
              <w:t>a</w:t>
            </w:r>
            <w:r>
              <w:t xml:space="preserve"> </w:t>
            </w:r>
            <w:r w:rsidR="00FC3CC8" w:rsidRPr="00E00D1E">
              <w:t xml:space="preserve">Index values from ABS (2015) </w:t>
            </w:r>
            <w:r w:rsidR="00FC3CC8" w:rsidRPr="00E00D1E">
              <w:rPr>
                <w:i/>
              </w:rPr>
              <w:t>Australian National Accounts: National Income, Expenditure and Product, June 2015</w:t>
            </w:r>
            <w:r w:rsidR="00FC3CC8" w:rsidRPr="00E00D1E">
              <w:t>, Cat. no. 5206.0, table</w:t>
            </w:r>
            <w:r w:rsidR="00021101">
              <w:t> </w:t>
            </w:r>
            <w:r w:rsidR="00FC3CC8" w:rsidRPr="00E00D1E">
              <w:t>36, Expenditure on Gross Domestic Product (GDP), Chain volume measures and current prices, Annual (Series ID. A2304687R).</w:t>
            </w:r>
          </w:p>
        </w:tc>
      </w:tr>
      <w:tr w:rsidR="00A03188" w:rsidTr="0089285A">
        <w:trPr>
          <w:cantSplit/>
        </w:trPr>
        <w:tc>
          <w:tcPr>
            <w:tcW w:w="8771" w:type="dxa"/>
            <w:tcBorders>
              <w:top w:val="nil"/>
              <w:left w:val="nil"/>
              <w:bottom w:val="nil"/>
              <w:right w:val="nil"/>
            </w:tcBorders>
            <w:shd w:val="clear" w:color="auto" w:fill="auto"/>
          </w:tcPr>
          <w:p w:rsidR="00A03188" w:rsidRDefault="00FC3CC8" w:rsidP="0089285A">
            <w:pPr>
              <w:pStyle w:val="Source"/>
            </w:pPr>
            <w:r>
              <w:rPr>
                <w:i/>
              </w:rPr>
              <w:t>Source</w:t>
            </w:r>
            <w:r w:rsidRPr="00A16007">
              <w:t>: ABS</w:t>
            </w:r>
            <w:r w:rsidRPr="00E00D1E">
              <w:t xml:space="preserve"> (2015) </w:t>
            </w:r>
            <w:r w:rsidRPr="00E00D1E">
              <w:rPr>
                <w:i/>
              </w:rPr>
              <w:t>Australian National Accounts: National Income, Expenditure and Product, June 2015</w:t>
            </w:r>
            <w:r w:rsidRPr="00E00D1E">
              <w:t>, Cat. no. 5206.0, Canberra; table</w:t>
            </w:r>
            <w:r w:rsidR="00021101">
              <w:t> </w:t>
            </w:r>
            <w:r w:rsidRPr="00E00D1E">
              <w:t>2A.</w:t>
            </w:r>
            <w:r>
              <w:t>48</w:t>
            </w:r>
            <w:r w:rsidRPr="00E00D1E">
              <w:t>.</w:t>
            </w:r>
          </w:p>
        </w:tc>
      </w:tr>
      <w:tr w:rsidR="00A03188" w:rsidTr="0089285A">
        <w:trPr>
          <w:cantSplit/>
        </w:trPr>
        <w:tc>
          <w:tcPr>
            <w:tcW w:w="8771" w:type="dxa"/>
            <w:tcBorders>
              <w:top w:val="nil"/>
              <w:left w:val="nil"/>
              <w:bottom w:val="single" w:sz="6" w:space="0" w:color="78A22F"/>
              <w:right w:val="nil"/>
            </w:tcBorders>
            <w:shd w:val="clear" w:color="auto" w:fill="auto"/>
          </w:tcPr>
          <w:p w:rsidR="00A03188" w:rsidRDefault="00A03188" w:rsidP="0089285A">
            <w:pPr>
              <w:pStyle w:val="Box"/>
              <w:spacing w:before="0" w:line="120" w:lineRule="exact"/>
            </w:pPr>
          </w:p>
        </w:tc>
      </w:tr>
      <w:tr w:rsidR="00A03188" w:rsidRPr="000863A5" w:rsidTr="0089285A">
        <w:tc>
          <w:tcPr>
            <w:tcW w:w="8771" w:type="dxa"/>
            <w:tcBorders>
              <w:top w:val="single" w:sz="6" w:space="0" w:color="78A22F"/>
              <w:left w:val="nil"/>
              <w:bottom w:val="nil"/>
              <w:right w:val="nil"/>
            </w:tcBorders>
          </w:tcPr>
          <w:p w:rsidR="00A03188" w:rsidRPr="00626D32" w:rsidRDefault="00A03188" w:rsidP="0089285A">
            <w:pPr>
              <w:pStyle w:val="BoxSpaceBelow"/>
            </w:pPr>
          </w:p>
        </w:tc>
      </w:tr>
    </w:tbl>
    <w:p w:rsidR="00FC3CC8" w:rsidRPr="00E00D1E" w:rsidRDefault="00FC3CC8" w:rsidP="00FC3CC8">
      <w:pPr>
        <w:pStyle w:val="BodyText"/>
      </w:pPr>
      <w:r w:rsidRPr="00E00D1E">
        <w:t>Table</w:t>
      </w:r>
      <w:r w:rsidR="00021101">
        <w:t> </w:t>
      </w:r>
      <w:r w:rsidRPr="00E00D1E">
        <w:t>2A.</w:t>
      </w:r>
      <w:r>
        <w:t>48</w:t>
      </w:r>
      <w:r w:rsidRPr="00E00D1E">
        <w:t xml:space="preserve"> in the attachment contains GGFCE deflators for 2001</w:t>
      </w:r>
      <w:r w:rsidRPr="00E00D1E">
        <w:noBreakHyphen/>
        <w:t>02 to 2014</w:t>
      </w:r>
      <w:r w:rsidRPr="00E00D1E">
        <w:noBreakHyphen/>
        <w:t>15. Five GGFCE deflator series are published, from 2010</w:t>
      </w:r>
      <w:r w:rsidRPr="00E00D1E">
        <w:noBreakHyphen/>
        <w:t>11 = 100 through to the latest year, where 2014</w:t>
      </w:r>
      <w:r w:rsidRPr="00E00D1E">
        <w:noBreakHyphen/>
        <w:t>15 = 100.</w:t>
      </w:r>
    </w:p>
    <w:p w:rsidR="00FC3CC8" w:rsidRPr="00E00D1E" w:rsidRDefault="00FC3CC8" w:rsidP="00FC3CC8">
      <w:pPr>
        <w:pStyle w:val="BodyText"/>
      </w:pPr>
      <w:r w:rsidRPr="00E00D1E">
        <w:t>Step 2. Transforming nominal dollars into constant dollars.</w:t>
      </w:r>
    </w:p>
    <w:p w:rsidR="00A03188" w:rsidRDefault="00FC3CC8" w:rsidP="00FC3CC8">
      <w:pPr>
        <w:pStyle w:val="BodyText"/>
      </w:pPr>
      <w:r w:rsidRPr="00E00D1E">
        <w:t>Nominal dollars are transformed into real dollars by dividing the nominal dollars with the GGFCE deflator for the applicable financial year and multiplying by 100. The deflator used may vary according to the most current year for which the particular financial data are available. For example, if the most current year for the data is 2013</w:t>
      </w:r>
      <w:r w:rsidRPr="00E00D1E">
        <w:noBreakHyphen/>
        <w:t>14 then the data are deflated using the deflator series for 2013</w:t>
      </w:r>
      <w:r w:rsidRPr="00E00D1E">
        <w:noBreakHyphen/>
        <w:t>14 = 100. If the most current year is 2014</w:t>
      </w:r>
      <w:r w:rsidRPr="00E00D1E">
        <w:noBreakHyphen/>
        <w:t>15 then the data are deflated using the deflator series for 2014</w:t>
      </w:r>
      <w:r w:rsidRPr="00E00D1E">
        <w:noBreakHyphen/>
        <w:t>15 = 100. Table</w:t>
      </w:r>
      <w:r w:rsidR="00021101">
        <w:t> </w:t>
      </w:r>
      <w:r w:rsidRPr="00E00D1E">
        <w:t>2.2 shows how the GGFCE deflator for 2014</w:t>
      </w:r>
      <w:r w:rsidRPr="00E00D1E">
        <w:noBreakHyphen/>
        <w:t>15 = 100 is applied.</w:t>
      </w:r>
    </w:p>
    <w:p w:rsidR="00FC3CC8" w:rsidRDefault="00FC3CC8" w:rsidP="0089285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C3CC8" w:rsidTr="0089285A">
        <w:tc>
          <w:tcPr>
            <w:tcW w:w="8771" w:type="dxa"/>
            <w:tcBorders>
              <w:top w:val="single" w:sz="6" w:space="0" w:color="78A22F"/>
              <w:left w:val="nil"/>
              <w:bottom w:val="nil"/>
              <w:right w:val="nil"/>
            </w:tcBorders>
            <w:shd w:val="clear" w:color="auto" w:fill="auto"/>
          </w:tcPr>
          <w:p w:rsidR="00FC3CC8" w:rsidRPr="00784A05" w:rsidRDefault="00FC3CC8" w:rsidP="00FC3CC8">
            <w:pPr>
              <w:pStyle w:val="TableTitle"/>
            </w:pPr>
            <w:r>
              <w:rPr>
                <w:b w:val="0"/>
              </w:rPr>
              <w:t>Table 2.</w:t>
            </w:r>
            <w:r w:rsidR="00862E04">
              <w:rPr>
                <w:b w:val="0"/>
                <w:noProof/>
              </w:rPr>
              <w:t>2</w:t>
            </w:r>
            <w:r>
              <w:tab/>
            </w:r>
            <w:r w:rsidRPr="00E00D1E">
              <w:t xml:space="preserve">Applying the </w:t>
            </w:r>
            <w:proofErr w:type="spellStart"/>
            <w:r w:rsidRPr="00E00D1E">
              <w:t>GGFCE</w:t>
            </w:r>
            <w:proofErr w:type="spellEnd"/>
            <w:r w:rsidRPr="00E00D1E">
              <w:t xml:space="preserve"> deflator to derive constant (real) dollars</w:t>
            </w:r>
            <w:r w:rsidRPr="00E00D1E">
              <w:rPr>
                <w:position w:val="6"/>
                <w:sz w:val="18"/>
              </w:rPr>
              <w:t>a</w:t>
            </w:r>
          </w:p>
        </w:tc>
      </w:tr>
      <w:tr w:rsidR="00FC3CC8" w:rsidTr="0089285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98"/>
              <w:gridCol w:w="1698"/>
              <w:gridCol w:w="1697"/>
              <w:gridCol w:w="1697"/>
              <w:gridCol w:w="1697"/>
            </w:tblGrid>
            <w:tr w:rsidR="00FC3CC8" w:rsidTr="00FC3CC8">
              <w:tc>
                <w:tcPr>
                  <w:tcW w:w="1000" w:type="pct"/>
                  <w:tcBorders>
                    <w:top w:val="single" w:sz="6" w:space="0" w:color="BFBFBF"/>
                    <w:bottom w:val="single" w:sz="6" w:space="0" w:color="BFBFBF"/>
                  </w:tcBorders>
                  <w:shd w:val="clear" w:color="auto" w:fill="auto"/>
                  <w:tcMar>
                    <w:top w:w="28" w:type="dxa"/>
                  </w:tcMar>
                </w:tcPr>
                <w:p w:rsidR="00FC3CC8" w:rsidRDefault="00FC3CC8" w:rsidP="00FC3CC8">
                  <w:pPr>
                    <w:pStyle w:val="TableColumnHeading"/>
                    <w:ind w:right="28"/>
                    <w:jc w:val="left"/>
                  </w:pPr>
                  <w:r>
                    <w:br/>
                    <w:t>Financial year</w:t>
                  </w:r>
                </w:p>
              </w:tc>
              <w:tc>
                <w:tcPr>
                  <w:tcW w:w="1000" w:type="pct"/>
                  <w:tcBorders>
                    <w:top w:val="single" w:sz="6" w:space="0" w:color="BFBFBF"/>
                    <w:bottom w:val="single" w:sz="6" w:space="0" w:color="BFBFBF"/>
                  </w:tcBorders>
                  <w:shd w:val="clear" w:color="auto" w:fill="auto"/>
                </w:tcPr>
                <w:p w:rsidR="00FC3CC8" w:rsidRDefault="00FC3CC8" w:rsidP="0089285A">
                  <w:pPr>
                    <w:pStyle w:val="TableColumnHeading"/>
                    <w:ind w:right="28"/>
                  </w:pPr>
                  <w:r>
                    <w:br/>
                    <w:t>Nominal data</w:t>
                  </w:r>
                </w:p>
              </w:tc>
              <w:tc>
                <w:tcPr>
                  <w:tcW w:w="1000" w:type="pct"/>
                  <w:tcBorders>
                    <w:top w:val="single" w:sz="6" w:space="0" w:color="BFBFBF"/>
                    <w:bottom w:val="single" w:sz="6" w:space="0" w:color="BFBFBF"/>
                  </w:tcBorders>
                  <w:shd w:val="clear" w:color="auto" w:fill="auto"/>
                </w:tcPr>
                <w:p w:rsidR="00FC3CC8" w:rsidRDefault="00FC3CC8" w:rsidP="0089285A">
                  <w:pPr>
                    <w:pStyle w:val="TableColumnHeading"/>
                    <w:ind w:right="28"/>
                  </w:pPr>
                  <w:r>
                    <w:t>GGFCE deflator (2014</w:t>
                  </w:r>
                  <w:r w:rsidR="00CC7F97">
                    <w:noBreakHyphen/>
                  </w:r>
                  <w:r>
                    <w:t>15 = 100)</w:t>
                  </w:r>
                </w:p>
              </w:tc>
              <w:tc>
                <w:tcPr>
                  <w:tcW w:w="1000" w:type="pct"/>
                  <w:tcBorders>
                    <w:top w:val="single" w:sz="6" w:space="0" w:color="BFBFBF"/>
                    <w:bottom w:val="single" w:sz="6" w:space="0" w:color="BFBFBF"/>
                  </w:tcBorders>
                  <w:shd w:val="clear" w:color="auto" w:fill="auto"/>
                </w:tcPr>
                <w:p w:rsidR="00FC3CC8" w:rsidRDefault="00FC3CC8" w:rsidP="0089285A">
                  <w:pPr>
                    <w:pStyle w:val="TableColumnHeading"/>
                    <w:ind w:right="28"/>
                  </w:pPr>
                  <w:r>
                    <w:br/>
                    <w:t>Calculation</w:t>
                  </w:r>
                </w:p>
              </w:tc>
              <w:tc>
                <w:tcPr>
                  <w:tcW w:w="1000" w:type="pct"/>
                  <w:tcBorders>
                    <w:top w:val="single" w:sz="6" w:space="0" w:color="BFBFBF"/>
                    <w:bottom w:val="single" w:sz="6" w:space="0" w:color="BFBFBF"/>
                  </w:tcBorders>
                  <w:shd w:val="clear" w:color="auto" w:fill="auto"/>
                </w:tcPr>
                <w:p w:rsidR="00FC3CC8" w:rsidRDefault="00FC3CC8" w:rsidP="0089285A">
                  <w:pPr>
                    <w:pStyle w:val="TableColumnHeading"/>
                    <w:ind w:right="28"/>
                  </w:pPr>
                  <w:r>
                    <w:br/>
                    <w:t>Real data</w:t>
                  </w:r>
                </w:p>
              </w:tc>
            </w:tr>
            <w:tr w:rsidR="00FC3CC8" w:rsidTr="00FC3CC8">
              <w:tc>
                <w:tcPr>
                  <w:tcW w:w="1000" w:type="pct"/>
                  <w:tcBorders>
                    <w:top w:val="single" w:sz="6" w:space="0" w:color="BFBFBF"/>
                  </w:tcBorders>
                </w:tcPr>
                <w:p w:rsidR="00FC3CC8" w:rsidRDefault="00FC3CC8" w:rsidP="00FC3CC8">
                  <w:pPr>
                    <w:pStyle w:val="TableUnitsRow"/>
                    <w:ind w:right="28"/>
                    <w:jc w:val="left"/>
                  </w:pPr>
                  <w:r>
                    <w:t>2010</w:t>
                  </w:r>
                  <w:r w:rsidR="001620EE">
                    <w:noBreakHyphen/>
                  </w:r>
                  <w:r>
                    <w:t>11</w:t>
                  </w:r>
                </w:p>
              </w:tc>
              <w:tc>
                <w:tcPr>
                  <w:tcW w:w="1000" w:type="pct"/>
                  <w:tcBorders>
                    <w:top w:val="single" w:sz="6" w:space="0" w:color="BFBFBF"/>
                  </w:tcBorders>
                </w:tcPr>
                <w:p w:rsidR="00FC3CC8" w:rsidRDefault="00FC3CC8" w:rsidP="0089285A">
                  <w:pPr>
                    <w:pStyle w:val="TableUnitsRow"/>
                    <w:ind w:right="28"/>
                  </w:pPr>
                  <w:r>
                    <w:t>6 200</w:t>
                  </w:r>
                </w:p>
              </w:tc>
              <w:tc>
                <w:tcPr>
                  <w:tcW w:w="1000" w:type="pct"/>
                  <w:tcBorders>
                    <w:top w:val="single" w:sz="6" w:space="0" w:color="BFBFBF"/>
                  </w:tcBorders>
                </w:tcPr>
                <w:p w:rsidR="00FC3CC8" w:rsidRDefault="00FC3CC8" w:rsidP="0089285A">
                  <w:pPr>
                    <w:pStyle w:val="TableUnitsRow"/>
                    <w:ind w:right="28"/>
                  </w:pPr>
                  <w:r>
                    <w:t>94.2</w:t>
                  </w:r>
                </w:p>
              </w:tc>
              <w:tc>
                <w:tcPr>
                  <w:tcW w:w="1000" w:type="pct"/>
                  <w:tcBorders>
                    <w:top w:val="single" w:sz="6" w:space="0" w:color="BFBFBF"/>
                  </w:tcBorders>
                </w:tcPr>
                <w:p w:rsidR="00FC3CC8" w:rsidRDefault="00FC3CC8" w:rsidP="0089285A">
                  <w:pPr>
                    <w:pStyle w:val="TableUnitsRow"/>
                    <w:ind w:right="28"/>
                  </w:pPr>
                  <w:r>
                    <w:t>(6 200/94.2)*100</w:t>
                  </w:r>
                </w:p>
              </w:tc>
              <w:tc>
                <w:tcPr>
                  <w:tcW w:w="1000" w:type="pct"/>
                  <w:tcBorders>
                    <w:top w:val="single" w:sz="6" w:space="0" w:color="BFBFBF"/>
                  </w:tcBorders>
                </w:tcPr>
                <w:p w:rsidR="00FC3CC8" w:rsidRDefault="0089285A" w:rsidP="0089285A">
                  <w:pPr>
                    <w:pStyle w:val="TableUnitsRow"/>
                    <w:ind w:right="28"/>
                  </w:pPr>
                  <w:r>
                    <w:t>6 582</w:t>
                  </w:r>
                </w:p>
              </w:tc>
            </w:tr>
            <w:tr w:rsidR="00FC3CC8" w:rsidTr="00FC3CC8">
              <w:tc>
                <w:tcPr>
                  <w:tcW w:w="1000" w:type="pct"/>
                </w:tcPr>
                <w:p w:rsidR="00FC3CC8" w:rsidRDefault="00FC3CC8" w:rsidP="00FC3CC8">
                  <w:pPr>
                    <w:pStyle w:val="TableBodyText"/>
                    <w:ind w:right="28"/>
                    <w:jc w:val="left"/>
                  </w:pPr>
                  <w:r>
                    <w:t>2011</w:t>
                  </w:r>
                  <w:r w:rsidR="001620EE">
                    <w:noBreakHyphen/>
                  </w:r>
                  <w:r>
                    <w:t>12</w:t>
                  </w:r>
                </w:p>
              </w:tc>
              <w:tc>
                <w:tcPr>
                  <w:tcW w:w="1000" w:type="pct"/>
                </w:tcPr>
                <w:p w:rsidR="00FC3CC8" w:rsidRDefault="00FC3CC8" w:rsidP="0089285A">
                  <w:pPr>
                    <w:pStyle w:val="TableBodyText"/>
                    <w:ind w:right="28"/>
                  </w:pPr>
                  <w:r>
                    <w:t>6 300</w:t>
                  </w:r>
                </w:p>
              </w:tc>
              <w:tc>
                <w:tcPr>
                  <w:tcW w:w="1000" w:type="pct"/>
                </w:tcPr>
                <w:p w:rsidR="00FC3CC8" w:rsidRDefault="00FC3CC8" w:rsidP="0089285A">
                  <w:pPr>
                    <w:pStyle w:val="TableBodyText"/>
                    <w:ind w:right="28"/>
                  </w:pPr>
                  <w:r>
                    <w:t>95.7</w:t>
                  </w:r>
                </w:p>
              </w:tc>
              <w:tc>
                <w:tcPr>
                  <w:tcW w:w="1000" w:type="pct"/>
                </w:tcPr>
                <w:p w:rsidR="00FC3CC8" w:rsidRDefault="0089285A" w:rsidP="0089285A">
                  <w:pPr>
                    <w:pStyle w:val="TableBodyText"/>
                    <w:ind w:right="28"/>
                  </w:pPr>
                  <w:r>
                    <w:t>(6 300/95.7)</w:t>
                  </w:r>
                  <w:r w:rsidR="00FC3CC8">
                    <w:t>*100</w:t>
                  </w:r>
                </w:p>
              </w:tc>
              <w:tc>
                <w:tcPr>
                  <w:tcW w:w="1000" w:type="pct"/>
                </w:tcPr>
                <w:p w:rsidR="00FC3CC8" w:rsidRDefault="0089285A" w:rsidP="0089285A">
                  <w:pPr>
                    <w:pStyle w:val="TableBodyText"/>
                    <w:ind w:right="28"/>
                  </w:pPr>
                  <w:r>
                    <w:t>6 583</w:t>
                  </w:r>
                </w:p>
              </w:tc>
            </w:tr>
            <w:tr w:rsidR="00FC3CC8" w:rsidTr="00FC3CC8">
              <w:tc>
                <w:tcPr>
                  <w:tcW w:w="1000" w:type="pct"/>
                  <w:shd w:val="clear" w:color="auto" w:fill="auto"/>
                </w:tcPr>
                <w:p w:rsidR="00FC3CC8" w:rsidRDefault="00FC3CC8" w:rsidP="00FC3CC8">
                  <w:pPr>
                    <w:pStyle w:val="TableBodyText"/>
                    <w:ind w:right="28"/>
                    <w:jc w:val="left"/>
                  </w:pPr>
                  <w:r>
                    <w:t>2012</w:t>
                  </w:r>
                  <w:r w:rsidR="001620EE">
                    <w:noBreakHyphen/>
                  </w:r>
                  <w:r>
                    <w:t>13</w:t>
                  </w:r>
                </w:p>
              </w:tc>
              <w:tc>
                <w:tcPr>
                  <w:tcW w:w="1000" w:type="pct"/>
                  <w:shd w:val="clear" w:color="auto" w:fill="auto"/>
                </w:tcPr>
                <w:p w:rsidR="00FC3CC8" w:rsidRDefault="00FC3CC8" w:rsidP="0089285A">
                  <w:pPr>
                    <w:pStyle w:val="TableBodyText"/>
                    <w:ind w:right="28"/>
                  </w:pPr>
                  <w:r>
                    <w:t>6 350</w:t>
                  </w:r>
                </w:p>
              </w:tc>
              <w:tc>
                <w:tcPr>
                  <w:tcW w:w="1000" w:type="pct"/>
                  <w:shd w:val="clear" w:color="auto" w:fill="auto"/>
                </w:tcPr>
                <w:p w:rsidR="00FC3CC8" w:rsidRDefault="00FC3CC8" w:rsidP="0089285A">
                  <w:pPr>
                    <w:pStyle w:val="TableBodyText"/>
                    <w:ind w:right="28"/>
                  </w:pPr>
                  <w:r>
                    <w:t>97.0</w:t>
                  </w:r>
                </w:p>
              </w:tc>
              <w:tc>
                <w:tcPr>
                  <w:tcW w:w="1000" w:type="pct"/>
                  <w:shd w:val="clear" w:color="auto" w:fill="auto"/>
                </w:tcPr>
                <w:p w:rsidR="00FC3CC8" w:rsidRDefault="0089285A" w:rsidP="0089285A">
                  <w:pPr>
                    <w:pStyle w:val="TableBodyText"/>
                    <w:ind w:right="28"/>
                  </w:pPr>
                  <w:r>
                    <w:t>(6 350/97.0)</w:t>
                  </w:r>
                  <w:r w:rsidR="00FC3CC8">
                    <w:t>*100</w:t>
                  </w:r>
                </w:p>
              </w:tc>
              <w:tc>
                <w:tcPr>
                  <w:tcW w:w="1000" w:type="pct"/>
                  <w:shd w:val="clear" w:color="auto" w:fill="auto"/>
                </w:tcPr>
                <w:p w:rsidR="00FC3CC8" w:rsidRDefault="0089285A" w:rsidP="0089285A">
                  <w:pPr>
                    <w:pStyle w:val="TableBodyText"/>
                    <w:ind w:right="28"/>
                  </w:pPr>
                  <w:r>
                    <w:t>6 546</w:t>
                  </w:r>
                </w:p>
              </w:tc>
            </w:tr>
            <w:tr w:rsidR="00FC3CC8" w:rsidTr="00FC3CC8">
              <w:tc>
                <w:tcPr>
                  <w:tcW w:w="1000" w:type="pct"/>
                  <w:shd w:val="clear" w:color="auto" w:fill="auto"/>
                </w:tcPr>
                <w:p w:rsidR="00FC3CC8" w:rsidRDefault="00FC3CC8" w:rsidP="00FC3CC8">
                  <w:pPr>
                    <w:pStyle w:val="TableBodyText"/>
                    <w:ind w:right="28"/>
                    <w:jc w:val="left"/>
                  </w:pPr>
                  <w:r>
                    <w:t>2013</w:t>
                  </w:r>
                  <w:r w:rsidR="001620EE">
                    <w:noBreakHyphen/>
                  </w:r>
                  <w:r>
                    <w:t>14</w:t>
                  </w:r>
                </w:p>
              </w:tc>
              <w:tc>
                <w:tcPr>
                  <w:tcW w:w="1000" w:type="pct"/>
                  <w:shd w:val="clear" w:color="auto" w:fill="auto"/>
                </w:tcPr>
                <w:p w:rsidR="00FC3CC8" w:rsidRDefault="00FC3CC8" w:rsidP="0089285A">
                  <w:pPr>
                    <w:pStyle w:val="TableBodyText"/>
                    <w:ind w:right="28"/>
                  </w:pPr>
                  <w:r>
                    <w:t>6 485</w:t>
                  </w:r>
                </w:p>
              </w:tc>
              <w:tc>
                <w:tcPr>
                  <w:tcW w:w="1000" w:type="pct"/>
                  <w:shd w:val="clear" w:color="auto" w:fill="auto"/>
                </w:tcPr>
                <w:p w:rsidR="00FC3CC8" w:rsidRDefault="00FC3CC8" w:rsidP="0089285A">
                  <w:pPr>
                    <w:pStyle w:val="TableBodyText"/>
                    <w:ind w:right="28"/>
                  </w:pPr>
                  <w:r>
                    <w:t>98.3</w:t>
                  </w:r>
                </w:p>
              </w:tc>
              <w:tc>
                <w:tcPr>
                  <w:tcW w:w="1000" w:type="pct"/>
                  <w:shd w:val="clear" w:color="auto" w:fill="auto"/>
                </w:tcPr>
                <w:p w:rsidR="00FC3CC8" w:rsidRDefault="0089285A" w:rsidP="0089285A">
                  <w:pPr>
                    <w:pStyle w:val="TableBodyText"/>
                    <w:ind w:right="28"/>
                  </w:pPr>
                  <w:r>
                    <w:t>6 485/98.3)</w:t>
                  </w:r>
                  <w:r w:rsidR="00FC3CC8">
                    <w:t>*100</w:t>
                  </w:r>
                </w:p>
              </w:tc>
              <w:tc>
                <w:tcPr>
                  <w:tcW w:w="1000" w:type="pct"/>
                  <w:shd w:val="clear" w:color="auto" w:fill="auto"/>
                </w:tcPr>
                <w:p w:rsidR="00FC3CC8" w:rsidRDefault="0089285A" w:rsidP="0089285A">
                  <w:pPr>
                    <w:pStyle w:val="TableBodyText"/>
                    <w:ind w:right="28"/>
                  </w:pPr>
                  <w:r>
                    <w:t>6 597</w:t>
                  </w:r>
                </w:p>
              </w:tc>
            </w:tr>
            <w:tr w:rsidR="00FC3CC8" w:rsidTr="00FC3CC8">
              <w:tc>
                <w:tcPr>
                  <w:tcW w:w="1000" w:type="pct"/>
                  <w:tcBorders>
                    <w:bottom w:val="single" w:sz="6" w:space="0" w:color="BFBFBF"/>
                  </w:tcBorders>
                  <w:shd w:val="clear" w:color="auto" w:fill="auto"/>
                </w:tcPr>
                <w:p w:rsidR="00FC3CC8" w:rsidRDefault="00FC3CC8" w:rsidP="00FC3CC8">
                  <w:pPr>
                    <w:pStyle w:val="TableBodyText"/>
                    <w:ind w:right="28"/>
                    <w:jc w:val="left"/>
                  </w:pPr>
                  <w:r>
                    <w:t>2014</w:t>
                  </w:r>
                  <w:r w:rsidR="001620EE">
                    <w:noBreakHyphen/>
                  </w:r>
                  <w:r>
                    <w:t>15</w:t>
                  </w:r>
                </w:p>
              </w:tc>
              <w:tc>
                <w:tcPr>
                  <w:tcW w:w="1000" w:type="pct"/>
                  <w:tcBorders>
                    <w:bottom w:val="single" w:sz="6" w:space="0" w:color="BFBFBF"/>
                  </w:tcBorders>
                  <w:shd w:val="clear" w:color="auto" w:fill="auto"/>
                </w:tcPr>
                <w:p w:rsidR="00FC3CC8" w:rsidRDefault="00FC3CC8" w:rsidP="0089285A">
                  <w:pPr>
                    <w:pStyle w:val="TableBodyText"/>
                    <w:ind w:right="28"/>
                  </w:pPr>
                  <w:r>
                    <w:t>7 020</w:t>
                  </w:r>
                </w:p>
              </w:tc>
              <w:tc>
                <w:tcPr>
                  <w:tcW w:w="1000" w:type="pct"/>
                  <w:tcBorders>
                    <w:bottom w:val="single" w:sz="6" w:space="0" w:color="BFBFBF"/>
                  </w:tcBorders>
                  <w:shd w:val="clear" w:color="auto" w:fill="auto"/>
                </w:tcPr>
                <w:p w:rsidR="00FC3CC8" w:rsidRDefault="00FC3CC8" w:rsidP="0089285A">
                  <w:pPr>
                    <w:pStyle w:val="TableBodyText"/>
                    <w:ind w:right="28"/>
                  </w:pPr>
                  <w:r>
                    <w:t>100.0</w:t>
                  </w:r>
                </w:p>
              </w:tc>
              <w:tc>
                <w:tcPr>
                  <w:tcW w:w="1000" w:type="pct"/>
                  <w:tcBorders>
                    <w:bottom w:val="single" w:sz="6" w:space="0" w:color="BFBFBF"/>
                  </w:tcBorders>
                  <w:shd w:val="clear" w:color="auto" w:fill="auto"/>
                </w:tcPr>
                <w:p w:rsidR="00FC3CC8" w:rsidRDefault="0089285A" w:rsidP="0089285A">
                  <w:pPr>
                    <w:pStyle w:val="TableBodyText"/>
                    <w:ind w:right="28"/>
                  </w:pPr>
                  <w:r>
                    <w:t>(7 020/100.0)</w:t>
                  </w:r>
                  <w:r w:rsidR="00FC3CC8">
                    <w:t>*100</w:t>
                  </w:r>
                </w:p>
              </w:tc>
              <w:tc>
                <w:tcPr>
                  <w:tcW w:w="1000" w:type="pct"/>
                  <w:tcBorders>
                    <w:bottom w:val="single" w:sz="6" w:space="0" w:color="BFBFBF"/>
                  </w:tcBorders>
                  <w:shd w:val="clear" w:color="auto" w:fill="auto"/>
                </w:tcPr>
                <w:p w:rsidR="00FC3CC8" w:rsidRDefault="0089285A" w:rsidP="0089285A">
                  <w:pPr>
                    <w:pStyle w:val="TableBodyText"/>
                    <w:ind w:right="28"/>
                  </w:pPr>
                  <w:r>
                    <w:t>7 020</w:t>
                  </w:r>
                </w:p>
              </w:tc>
            </w:tr>
          </w:tbl>
          <w:p w:rsidR="00FC3CC8" w:rsidRDefault="00FC3CC8" w:rsidP="0089285A">
            <w:pPr>
              <w:pStyle w:val="Box"/>
            </w:pPr>
          </w:p>
        </w:tc>
      </w:tr>
      <w:tr w:rsidR="00FC3CC8" w:rsidTr="0089285A">
        <w:trPr>
          <w:cantSplit/>
        </w:trPr>
        <w:tc>
          <w:tcPr>
            <w:tcW w:w="8771" w:type="dxa"/>
            <w:tcBorders>
              <w:top w:val="nil"/>
              <w:left w:val="nil"/>
              <w:bottom w:val="nil"/>
              <w:right w:val="nil"/>
            </w:tcBorders>
            <w:shd w:val="clear" w:color="auto" w:fill="auto"/>
          </w:tcPr>
          <w:p w:rsidR="00FC3CC8" w:rsidRDefault="00FC3CC8" w:rsidP="0089285A">
            <w:pPr>
              <w:pStyle w:val="Note"/>
              <w:rPr>
                <w:i/>
              </w:rPr>
            </w:pPr>
            <w:r w:rsidRPr="008E77FE">
              <w:rPr>
                <w:rStyle w:val="NoteLabel"/>
              </w:rPr>
              <w:t>a</w:t>
            </w:r>
            <w:r>
              <w:t xml:space="preserve"> </w:t>
            </w:r>
            <w:r w:rsidRPr="00E00D1E">
              <w:t xml:space="preserve">Index values from ABS (2015) </w:t>
            </w:r>
            <w:r w:rsidRPr="00E00D1E">
              <w:rPr>
                <w:i/>
              </w:rPr>
              <w:t>Australian National Accounts: National Income, Expenditure and Product, June 2015</w:t>
            </w:r>
            <w:r w:rsidRPr="00E00D1E">
              <w:t>, Cat. no. 5206.0, table</w:t>
            </w:r>
            <w:r w:rsidR="00021101">
              <w:t> </w:t>
            </w:r>
            <w:r w:rsidRPr="00E00D1E">
              <w:t>36, Expenditure on Gross Domestic Product (GDP), Chain volume measures and current prices, Annual (Series ID. A2304687R).</w:t>
            </w:r>
          </w:p>
        </w:tc>
      </w:tr>
      <w:tr w:rsidR="00FC3CC8" w:rsidTr="0089285A">
        <w:trPr>
          <w:cantSplit/>
        </w:trPr>
        <w:tc>
          <w:tcPr>
            <w:tcW w:w="8771" w:type="dxa"/>
            <w:tcBorders>
              <w:top w:val="nil"/>
              <w:left w:val="nil"/>
              <w:bottom w:val="nil"/>
              <w:right w:val="nil"/>
            </w:tcBorders>
            <w:shd w:val="clear" w:color="auto" w:fill="auto"/>
          </w:tcPr>
          <w:p w:rsidR="00FC3CC8" w:rsidRDefault="00FC3CC8" w:rsidP="00FC3CC8">
            <w:pPr>
              <w:pStyle w:val="Source"/>
            </w:pPr>
            <w:r>
              <w:rPr>
                <w:i/>
              </w:rPr>
              <w:t>Source</w:t>
            </w:r>
            <w:r w:rsidRPr="00167F06">
              <w:t xml:space="preserve">: </w:t>
            </w:r>
            <w:r w:rsidRPr="00E00D1E">
              <w:t xml:space="preserve">ABS (2015) </w:t>
            </w:r>
            <w:r w:rsidRPr="00E00D1E">
              <w:rPr>
                <w:i/>
              </w:rPr>
              <w:t>Australian National Accounts: National Income, Expenditure and Product, June 2015</w:t>
            </w:r>
            <w:r w:rsidRPr="00E00D1E">
              <w:t>, Cat. no. 5206.0, Canberra; table</w:t>
            </w:r>
            <w:r w:rsidR="00021101">
              <w:t> </w:t>
            </w:r>
            <w:r w:rsidRPr="00E00D1E">
              <w:t>2A.</w:t>
            </w:r>
            <w:r>
              <w:t>48</w:t>
            </w:r>
            <w:r w:rsidRPr="00E00D1E">
              <w:t>.</w:t>
            </w:r>
          </w:p>
        </w:tc>
      </w:tr>
      <w:tr w:rsidR="00FC3CC8" w:rsidTr="0089285A">
        <w:trPr>
          <w:cantSplit/>
        </w:trPr>
        <w:tc>
          <w:tcPr>
            <w:tcW w:w="8771" w:type="dxa"/>
            <w:tcBorders>
              <w:top w:val="nil"/>
              <w:left w:val="nil"/>
              <w:bottom w:val="single" w:sz="6" w:space="0" w:color="78A22F"/>
              <w:right w:val="nil"/>
            </w:tcBorders>
            <w:shd w:val="clear" w:color="auto" w:fill="auto"/>
          </w:tcPr>
          <w:p w:rsidR="00FC3CC8" w:rsidRDefault="00FC3CC8" w:rsidP="0089285A">
            <w:pPr>
              <w:pStyle w:val="Box"/>
              <w:spacing w:before="0" w:line="120" w:lineRule="exact"/>
            </w:pPr>
          </w:p>
        </w:tc>
      </w:tr>
      <w:tr w:rsidR="00FC3CC8" w:rsidRPr="000863A5" w:rsidTr="0089285A">
        <w:tc>
          <w:tcPr>
            <w:tcW w:w="8771" w:type="dxa"/>
            <w:tcBorders>
              <w:top w:val="single" w:sz="6" w:space="0" w:color="78A22F"/>
              <w:left w:val="nil"/>
              <w:bottom w:val="nil"/>
              <w:right w:val="nil"/>
            </w:tcBorders>
          </w:tcPr>
          <w:p w:rsidR="00FC3CC8" w:rsidRPr="00626D32" w:rsidRDefault="00FC3CC8" w:rsidP="0089285A">
            <w:pPr>
              <w:pStyle w:val="BoxSpaceBelow"/>
            </w:pPr>
          </w:p>
        </w:tc>
      </w:tr>
    </w:tbl>
    <w:p w:rsidR="00FC3CC8" w:rsidRDefault="0089285A" w:rsidP="0089285A">
      <w:pPr>
        <w:pStyle w:val="Heading3"/>
      </w:pPr>
      <w:bookmarkStart w:id="22" w:name="_Toc437961492"/>
      <w:r>
        <w:lastRenderedPageBreak/>
        <w:t>Reliability of estimates</w:t>
      </w:r>
      <w:bookmarkEnd w:id="22"/>
    </w:p>
    <w:p w:rsidR="0089285A" w:rsidRPr="00FD58CB" w:rsidRDefault="0089285A" w:rsidP="0089285A">
      <w:pPr>
        <w:pStyle w:val="BodyText"/>
      </w:pPr>
      <w:r w:rsidRPr="00E00D1E">
        <w:t>Data for some indicators in this Report are based on samples, either from surveys or from a</w:t>
      </w:r>
      <w:r w:rsidRPr="00FD58CB">
        <w:t xml:space="preserve"> selection of observations from, for example, administrative data sets. The potential for sampling error — that is, the error that occurs by chance because the data are obtained from a sample and not the entire population — means that the reported estimates might not accurately reflect the true value.</w:t>
      </w:r>
    </w:p>
    <w:p w:rsidR="0089285A" w:rsidRDefault="0089285A" w:rsidP="0089285A">
      <w:pPr>
        <w:pStyle w:val="BodyText"/>
      </w:pPr>
      <w:r w:rsidRPr="00FD58CB">
        <w:t xml:space="preserve">This Report indicates the reliability of estimates based on samples, generally by reporting either relative standard errors (RSEs) or confidence intervals (CIs). RSEs and CIs are calculated based on the standard </w:t>
      </w:r>
      <w:r w:rsidRPr="00140634">
        <w:t>error (SE). The larger the SE, RSE or CI, the less reliable is the estimate as an indicator for the whole population (ABS 2013).</w:t>
      </w:r>
    </w:p>
    <w:p w:rsidR="0089285A" w:rsidRDefault="0089285A" w:rsidP="0089285A">
      <w:pPr>
        <w:pStyle w:val="Heading4"/>
      </w:pPr>
      <w:r>
        <w:t>Standard error</w:t>
      </w:r>
    </w:p>
    <w:p w:rsidR="0089285A" w:rsidRDefault="0089285A" w:rsidP="0089285A">
      <w:pPr>
        <w:pStyle w:val="BodyText"/>
      </w:pPr>
      <w:r w:rsidRPr="007C0448">
        <w:t>The SE measures the sampling error of an estimate (box</w:t>
      </w:r>
      <w:r w:rsidR="00021101">
        <w:t> </w:t>
      </w:r>
      <w:r w:rsidRPr="007C0448">
        <w:t>2.2). (There can also be non</w:t>
      </w:r>
      <w:r w:rsidRPr="007C0448">
        <w:noBreakHyphen/>
        <w:t>sampling error, or systematic biases, in data.) There are several types of SE. A commonly used type of SE in this Report is the SE of the mean (average)</w:t>
      </w:r>
      <w:r>
        <w:t>, which</w:t>
      </w:r>
      <w:r w:rsidRPr="007C0448">
        <w:t xml:space="preserve"> measures how much the estimated mean value might differ from the true population mean value</w:t>
      </w:r>
      <w:r>
        <w:t>.</w:t>
      </w:r>
    </w:p>
    <w:p w:rsidR="0089285A" w:rsidRDefault="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F2F2F2"/>
          </w:tcPr>
          <w:p w:rsidR="0089285A" w:rsidRDefault="0089285A">
            <w:pPr>
              <w:pStyle w:val="BoxTitle"/>
            </w:pPr>
            <w:r>
              <w:rPr>
                <w:b w:val="0"/>
              </w:rPr>
              <w:t>Box 2.</w:t>
            </w:r>
            <w:r w:rsidR="00862E04">
              <w:rPr>
                <w:b w:val="0"/>
                <w:noProof/>
              </w:rPr>
              <w:t>2</w:t>
            </w:r>
            <w:r>
              <w:tab/>
              <w:t>S</w:t>
            </w:r>
            <w:r w:rsidRPr="007C0448">
              <w:t>tandard error</w:t>
            </w:r>
          </w:p>
        </w:tc>
      </w:tr>
      <w:tr w:rsidR="0089285A" w:rsidTr="0089285A">
        <w:trPr>
          <w:cantSplit/>
        </w:trPr>
        <w:tc>
          <w:tcPr>
            <w:tcW w:w="8771" w:type="dxa"/>
            <w:tcBorders>
              <w:top w:val="nil"/>
              <w:left w:val="nil"/>
              <w:bottom w:val="nil"/>
              <w:right w:val="nil"/>
            </w:tcBorders>
            <w:shd w:val="clear" w:color="auto" w:fill="F2F2F2"/>
          </w:tcPr>
          <w:p w:rsidR="0089285A" w:rsidRPr="007C0448" w:rsidRDefault="0089285A" w:rsidP="0089285A">
            <w:pPr>
              <w:pStyle w:val="Box"/>
            </w:pPr>
            <w:r w:rsidRPr="007C0448">
              <w:t>The SE of a method of measurement or estimation is the estimated standard deviation of the error in that method. Specifically, it estimates the standard deviation of the difference between the measured or estimated values and the true values. Standard deviation is a measure of how spread out the data are, that is, a measure of variability.</w:t>
            </w:r>
          </w:p>
          <w:p w:rsidR="0089285A" w:rsidRPr="007C0448" w:rsidRDefault="0089285A" w:rsidP="0089285A">
            <w:pPr>
              <w:pStyle w:val="Box"/>
            </w:pPr>
            <w:r w:rsidRPr="007C0448">
              <w:t>The SE of the mean (SEM), an unbiased estimate of expected error in the sample estimate of a population mean, is the sample estimate of the population standard deviation (sample standard deviation) divided by the square root of the sample size (assuming statistical independence of the values in the sample):</w:t>
            </w:r>
          </w:p>
          <w:p w:rsidR="0089285A" w:rsidRPr="007C0448" w:rsidRDefault="00511040" w:rsidP="0089285A">
            <w:pPr>
              <w:pStyle w:val="Box"/>
            </w:pPr>
            <w:r>
              <w:rPr>
                <w:noProof/>
              </w:rPr>
              <w:drawing>
                <wp:inline distT="0" distB="0" distL="0" distR="0">
                  <wp:extent cx="680720" cy="414655"/>
                  <wp:effectExtent l="0" t="0" r="0" b="4445"/>
                  <wp:docPr id="21" name="Picture 2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80720" cy="414655"/>
                          </a:xfrm>
                          <a:prstGeom prst="rect">
                            <a:avLst/>
                          </a:prstGeom>
                          <a:noFill/>
                          <a:ln>
                            <a:noFill/>
                          </a:ln>
                        </pic:spPr>
                      </pic:pic>
                    </a:graphicData>
                  </a:graphic>
                </wp:inline>
              </w:drawing>
            </w:r>
            <w:r w:rsidR="0089285A" w:rsidRPr="007C0448">
              <w:tab/>
            </w:r>
          </w:p>
          <w:p w:rsidR="0089285A" w:rsidRPr="007C0448" w:rsidRDefault="0089285A" w:rsidP="0089285A">
            <w:pPr>
              <w:pStyle w:val="Box"/>
            </w:pPr>
            <w:r w:rsidRPr="007C0448">
              <w:t>Where:</w:t>
            </w:r>
          </w:p>
          <w:p w:rsidR="0089285A" w:rsidRPr="007C0448" w:rsidRDefault="00511040" w:rsidP="0089285A">
            <w:pPr>
              <w:pStyle w:val="Box"/>
            </w:pPr>
            <w:r>
              <w:rPr>
                <w:noProof/>
                <w:color w:val="FF99CC"/>
              </w:rPr>
              <w:drawing>
                <wp:inline distT="0" distB="0" distL="0" distR="0">
                  <wp:extent cx="276225" cy="233680"/>
                  <wp:effectExtent l="0" t="0" r="9525" b="0"/>
                  <wp:docPr id="23" name="Picture 2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0089285A" w:rsidRPr="007C0448">
              <w:rPr>
                <w:color w:val="FF99CC"/>
              </w:rPr>
              <w:t xml:space="preserve"> </w:t>
            </w:r>
            <w:r w:rsidR="0089285A" w:rsidRPr="007C0448">
              <w:t xml:space="preserve">is the SE of the sample estimate of a population mean, </w:t>
            </w:r>
            <w:r>
              <w:rPr>
                <w:noProof/>
              </w:rPr>
              <w:drawing>
                <wp:inline distT="0" distB="0" distL="0" distR="0">
                  <wp:extent cx="116840" cy="138430"/>
                  <wp:effectExtent l="0" t="0" r="0" b="0"/>
                  <wp:docPr id="24" name="Picture 2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sidR="0089285A" w:rsidRPr="007C0448">
              <w:rPr>
                <w:color w:val="FF99CC"/>
              </w:rPr>
              <w:t xml:space="preserve"> </w:t>
            </w:r>
            <w:r w:rsidR="0089285A" w:rsidRPr="007C0448">
              <w:t xml:space="preserve">is the sample’s standard deviation (the sample based estimate of the standard deviation of the population), and </w:t>
            </w:r>
            <w:r>
              <w:rPr>
                <w:noProof/>
              </w:rPr>
              <w:drawing>
                <wp:inline distT="0" distB="0" distL="0" distR="0">
                  <wp:extent cx="116840" cy="138430"/>
                  <wp:effectExtent l="0" t="0" r="0" b="0"/>
                  <wp:docPr id="25" name="Picture 2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sidR="0089285A" w:rsidRPr="007C0448">
              <w:rPr>
                <w:color w:val="FF99CC"/>
              </w:rPr>
              <w:t xml:space="preserve"> </w:t>
            </w:r>
            <w:r w:rsidR="0089285A" w:rsidRPr="007C0448">
              <w:t>is the size (number of items) of the sample.</w:t>
            </w:r>
          </w:p>
          <w:p w:rsidR="0089285A" w:rsidRDefault="0089285A" w:rsidP="0089285A">
            <w:pPr>
              <w:pStyle w:val="Box"/>
            </w:pPr>
            <w:r w:rsidRPr="007C0448">
              <w:t>Decreasing the uncertainty of a mean value estimate by a factor of two requires the sample size to increase fourfold. Decreasing SE by a factor of ten requires the sample size to increase hundredfold.</w:t>
            </w:r>
          </w:p>
        </w:tc>
      </w:tr>
      <w:tr w:rsidR="0089285A" w:rsidTr="0089285A">
        <w:trPr>
          <w:cantSplit/>
        </w:trPr>
        <w:tc>
          <w:tcPr>
            <w:tcW w:w="8771" w:type="dxa"/>
            <w:tcBorders>
              <w:top w:val="nil"/>
              <w:left w:val="nil"/>
              <w:bottom w:val="single" w:sz="6" w:space="0" w:color="78A22F"/>
              <w:right w:val="nil"/>
            </w:tcBorders>
            <w:shd w:val="clear" w:color="auto" w:fill="F2F2F2"/>
          </w:tcPr>
          <w:p w:rsidR="0089285A" w:rsidRDefault="0089285A">
            <w:pPr>
              <w:pStyle w:val="Box"/>
              <w:spacing w:before="0" w:line="120" w:lineRule="exact"/>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Default="0089285A" w:rsidP="0089285A">
      <w:pPr>
        <w:pStyle w:val="Heading4"/>
      </w:pPr>
      <w:r>
        <w:lastRenderedPageBreak/>
        <w:t>Relative standard error</w:t>
      </w:r>
    </w:p>
    <w:p w:rsidR="0089285A" w:rsidRDefault="0089285A" w:rsidP="0089285A">
      <w:pPr>
        <w:pStyle w:val="BodyText"/>
      </w:pPr>
      <w:r w:rsidRPr="007C0448">
        <w:t>The RSE is used to indicate the reliability of an estimate (box</w:t>
      </w:r>
      <w:r w:rsidR="00021101">
        <w:t> </w:t>
      </w:r>
      <w:r w:rsidRPr="007C0448">
        <w:t xml:space="preserve">2.3). The RSE shows the size of the error relative to the estimate, and is derived by dividing the SE of the estimate by the estimate. As with the SE, the higher the RSE, the less confidence there is that the </w:t>
      </w:r>
      <w:r>
        <w:t xml:space="preserve">sample </w:t>
      </w:r>
      <w:r w:rsidRPr="007C0448">
        <w:t>estimate is close to the true value of the population mean. A rule of thumb adopted in this Report is that estimates with an RSE between 25 and 50 per cent are to be used with caution and estimates with an RSE greater than 50 per cent are unreliable for general use.</w:t>
      </w:r>
    </w:p>
    <w:p w:rsidR="0089285A" w:rsidRDefault="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F2F2F2"/>
          </w:tcPr>
          <w:p w:rsidR="0089285A" w:rsidRDefault="0089285A">
            <w:pPr>
              <w:pStyle w:val="BoxTitle"/>
            </w:pPr>
            <w:r>
              <w:rPr>
                <w:b w:val="0"/>
              </w:rPr>
              <w:t>Box 2.</w:t>
            </w:r>
            <w:r w:rsidR="00862E04">
              <w:rPr>
                <w:b w:val="0"/>
                <w:noProof/>
              </w:rPr>
              <w:t>3</w:t>
            </w:r>
            <w:r>
              <w:tab/>
              <w:t>Relative standard error</w:t>
            </w:r>
          </w:p>
        </w:tc>
      </w:tr>
      <w:tr w:rsidR="0089285A" w:rsidTr="0089285A">
        <w:trPr>
          <w:cantSplit/>
        </w:trPr>
        <w:tc>
          <w:tcPr>
            <w:tcW w:w="8771" w:type="dxa"/>
            <w:tcBorders>
              <w:top w:val="nil"/>
              <w:left w:val="nil"/>
              <w:bottom w:val="nil"/>
              <w:right w:val="nil"/>
            </w:tcBorders>
            <w:shd w:val="clear" w:color="auto" w:fill="F2F2F2"/>
          </w:tcPr>
          <w:p w:rsidR="0089285A" w:rsidRPr="007C0448" w:rsidRDefault="0089285A" w:rsidP="0089285A">
            <w:pPr>
              <w:pStyle w:val="Box"/>
            </w:pPr>
            <w:r w:rsidRPr="007C0448">
              <w:t>The SE can be expressed as a proportion of the estimate — known as the RSE. The formula for the RSE of an estimate is:</w:t>
            </w:r>
          </w:p>
          <w:p w:rsidR="0089285A" w:rsidRPr="007C0448" w:rsidRDefault="00511040" w:rsidP="0089285A">
            <w:pPr>
              <w:pStyle w:val="Box"/>
            </w:pPr>
            <w:r>
              <w:rPr>
                <w:noProof/>
              </w:rPr>
              <w:drawing>
                <wp:inline distT="0" distB="0" distL="0" distR="0">
                  <wp:extent cx="967740" cy="393700"/>
                  <wp:effectExtent l="0" t="0" r="3810" b="6350"/>
                  <wp:docPr id="22" name="Picture 2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67740" cy="393700"/>
                          </a:xfrm>
                          <a:prstGeom prst="rect">
                            <a:avLst/>
                          </a:prstGeom>
                          <a:noFill/>
                          <a:ln>
                            <a:noFill/>
                          </a:ln>
                        </pic:spPr>
                      </pic:pic>
                    </a:graphicData>
                  </a:graphic>
                </wp:inline>
              </w:drawing>
            </w:r>
            <w:r w:rsidR="0089285A" w:rsidRPr="007C0448">
              <w:tab/>
            </w:r>
          </w:p>
          <w:p w:rsidR="0089285A" w:rsidRPr="007C0448" w:rsidRDefault="0089285A" w:rsidP="0089285A">
            <w:pPr>
              <w:pStyle w:val="Box"/>
            </w:pPr>
            <w:r w:rsidRPr="007C0448">
              <w:t>Where:</w:t>
            </w:r>
          </w:p>
          <w:p w:rsidR="0089285A" w:rsidRPr="007C0448" w:rsidRDefault="005E6E4B" w:rsidP="0089285A">
            <w:pPr>
              <w:pStyle w:val="Box"/>
            </w:pPr>
            <w:r>
              <w:rPr>
                <w:noProof/>
              </w:rPr>
              <w:drawing>
                <wp:inline distT="0" distB="0" distL="0" distR="0">
                  <wp:extent cx="116840" cy="138430"/>
                  <wp:effectExtent l="0" t="0" r="0" b="0"/>
                  <wp:docPr id="26" name="Picture 2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sidR="0089285A" w:rsidRPr="007C0448">
              <w:t xml:space="preserve"> is the estimate and </w:t>
            </w:r>
            <w:r>
              <w:rPr>
                <w:noProof/>
              </w:rPr>
              <w:drawing>
                <wp:inline distT="0" distB="0" distL="0" distR="0">
                  <wp:extent cx="414655" cy="201930"/>
                  <wp:effectExtent l="0" t="0" r="4445" b="7620"/>
                  <wp:docPr id="27" name="Picture 2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4655" cy="201930"/>
                          </a:xfrm>
                          <a:prstGeom prst="rect">
                            <a:avLst/>
                          </a:prstGeom>
                          <a:noFill/>
                          <a:ln>
                            <a:noFill/>
                          </a:ln>
                        </pic:spPr>
                      </pic:pic>
                    </a:graphicData>
                  </a:graphic>
                </wp:inline>
              </w:drawing>
            </w:r>
            <w:r w:rsidR="0089285A" w:rsidRPr="007C0448">
              <w:t xml:space="preserve"> is the SE of the estimate.</w:t>
            </w:r>
          </w:p>
          <w:p w:rsidR="0089285A" w:rsidRPr="007C0448" w:rsidRDefault="0089285A" w:rsidP="0089285A">
            <w:pPr>
              <w:pStyle w:val="Box"/>
            </w:pPr>
            <w:r w:rsidRPr="007C0448">
              <w:t>The resultant RSEs are generally multiplied by 100 and expressed as a percentage.</w:t>
            </w:r>
          </w:p>
          <w:p w:rsidR="0089285A" w:rsidRPr="007C0448" w:rsidRDefault="0089285A" w:rsidP="0089285A">
            <w:pPr>
              <w:pStyle w:val="Box"/>
            </w:pPr>
            <w:r w:rsidRPr="007C0448">
              <w:t>Proportions and percentages formed from the ratio of two estimates are also subject to sampling error. The size of the error depends on the accuracy of both the numerator and the denominator. One method for calculating the RSE of a proportion is expressed through the following formula:</w:t>
            </w:r>
          </w:p>
          <w:p w:rsidR="0089285A" w:rsidRPr="007C0448" w:rsidRDefault="005E6E4B" w:rsidP="0089285A">
            <w:pPr>
              <w:pStyle w:val="Box"/>
            </w:pPr>
            <w:r>
              <w:rPr>
                <w:noProof/>
                <w:color w:val="FF99CC"/>
                <w:position w:val="-30"/>
              </w:rPr>
              <w:drawing>
                <wp:inline distT="0" distB="0" distL="0" distR="0">
                  <wp:extent cx="2243455" cy="467995"/>
                  <wp:effectExtent l="0" t="0" r="0" b="8255"/>
                  <wp:docPr id="28" name="Picture 2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43455" cy="467995"/>
                          </a:xfrm>
                          <a:prstGeom prst="rect">
                            <a:avLst/>
                          </a:prstGeom>
                          <a:noFill/>
                          <a:ln>
                            <a:noFill/>
                          </a:ln>
                        </pic:spPr>
                      </pic:pic>
                    </a:graphicData>
                  </a:graphic>
                </wp:inline>
              </w:drawing>
            </w:r>
            <w:r w:rsidR="0089285A" w:rsidRPr="007C0448">
              <w:rPr>
                <w:color w:val="FF99CC"/>
                <w:position w:val="-30"/>
              </w:rPr>
              <w:t xml:space="preserve"> </w:t>
            </w:r>
            <w:r w:rsidR="0089285A" w:rsidRPr="007C0448">
              <w:tab/>
            </w:r>
          </w:p>
          <w:p w:rsidR="0089285A" w:rsidRPr="007C0448" w:rsidRDefault="0089285A" w:rsidP="0089285A">
            <w:pPr>
              <w:pStyle w:val="Box"/>
            </w:pPr>
            <w:r w:rsidRPr="007C0448">
              <w:t>Where:</w:t>
            </w:r>
          </w:p>
          <w:p w:rsidR="0089285A" w:rsidRDefault="005E6E4B" w:rsidP="0089285A">
            <w:pPr>
              <w:pStyle w:val="Box"/>
            </w:pPr>
            <w:r>
              <w:rPr>
                <w:noProof/>
              </w:rPr>
              <w:drawing>
                <wp:inline distT="0" distB="0" distL="0" distR="0">
                  <wp:extent cx="116840" cy="138430"/>
                  <wp:effectExtent l="0" t="0" r="0" b="0"/>
                  <wp:docPr id="29" name="Picture 2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sidR="0089285A" w:rsidRPr="007C0448">
              <w:t xml:space="preserve"> is the numerator, and </w:t>
            </w:r>
            <w:r>
              <w:rPr>
                <w:noProof/>
              </w:rPr>
              <w:drawing>
                <wp:inline distT="0" distB="0" distL="0" distR="0">
                  <wp:extent cx="138430" cy="159385"/>
                  <wp:effectExtent l="0" t="0" r="0" b="0"/>
                  <wp:docPr id="30" name="Picture 3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8430" cy="159385"/>
                          </a:xfrm>
                          <a:prstGeom prst="rect">
                            <a:avLst/>
                          </a:prstGeom>
                          <a:noFill/>
                          <a:ln>
                            <a:noFill/>
                          </a:ln>
                        </pic:spPr>
                      </pic:pic>
                    </a:graphicData>
                  </a:graphic>
                </wp:inline>
              </w:drawing>
            </w:r>
            <w:r w:rsidR="0089285A" w:rsidRPr="007C0448">
              <w:t xml:space="preserve"> is the denominator, of the estimated proportion.</w:t>
            </w:r>
          </w:p>
        </w:tc>
      </w:tr>
      <w:tr w:rsidR="0089285A" w:rsidTr="0089285A">
        <w:trPr>
          <w:cantSplit/>
        </w:trPr>
        <w:tc>
          <w:tcPr>
            <w:tcW w:w="8771" w:type="dxa"/>
            <w:tcBorders>
              <w:top w:val="nil"/>
              <w:left w:val="nil"/>
              <w:bottom w:val="single" w:sz="6" w:space="0" w:color="78A22F"/>
              <w:right w:val="nil"/>
            </w:tcBorders>
            <w:shd w:val="clear" w:color="auto" w:fill="F2F2F2"/>
          </w:tcPr>
          <w:p w:rsidR="0089285A" w:rsidRDefault="0089285A">
            <w:pPr>
              <w:pStyle w:val="Box"/>
              <w:spacing w:before="0" w:line="120" w:lineRule="exact"/>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Default="0089285A" w:rsidP="0089285A">
      <w:pPr>
        <w:pStyle w:val="Heading4"/>
      </w:pPr>
      <w:r>
        <w:t>Confidence intervals</w:t>
      </w:r>
    </w:p>
    <w:p w:rsidR="0089285A" w:rsidRDefault="0089285A" w:rsidP="0089285A">
      <w:pPr>
        <w:pStyle w:val="BodyText"/>
      </w:pPr>
      <w:r w:rsidRPr="007C0448">
        <w:t xml:space="preserve">Confidence intervals are used to indicate the reliability of an estimate. A CI is a specified interval, with the sample statistic at the centre, within which the corresponding population value can be said to lie with a </w:t>
      </w:r>
      <w:r w:rsidRPr="00140634">
        <w:t>given level of confidence (ABS 2013). Increasing the desired confidence level will widen the CIs (figure</w:t>
      </w:r>
      <w:r w:rsidR="00021101">
        <w:t> </w:t>
      </w:r>
      <w:r w:rsidRPr="00140634">
        <w:t>2.</w:t>
      </w:r>
      <w:r>
        <w:t>9</w:t>
      </w:r>
      <w:r w:rsidRPr="00140634">
        <w:t>). CIs are useful because</w:t>
      </w:r>
      <w:r w:rsidRPr="007C0448">
        <w:t xml:space="preserve"> a range, rather than a single estimate, is more likely to encompass the real figure for the population value being estimated.</w:t>
      </w:r>
    </w:p>
    <w:p w:rsidR="0089285A" w:rsidRDefault="0089285A" w:rsidP="0089285A">
      <w:pPr>
        <w:pStyle w:val="BodyText"/>
      </w:pPr>
      <w:r w:rsidRPr="007C0448">
        <w:t xml:space="preserve">Confidence intervals are calculated from the population estimate and its associated SE. The most commonly used CI is calculated for 95 per cent levels of probability. For example, if </w:t>
      </w:r>
    </w:p>
    <w:p w:rsidR="0089285A" w:rsidRDefault="0089285A" w:rsidP="0089285A">
      <w:pPr>
        <w:pStyle w:val="BodyText"/>
      </w:pPr>
      <w:r>
        <w:br w:type="page"/>
      </w:r>
    </w:p>
    <w:p w:rsidR="0089285A" w:rsidRDefault="0089285A" w:rsidP="0089285A">
      <w:pPr>
        <w:pStyle w:val="BodyText"/>
      </w:pPr>
      <w:r w:rsidRPr="007C0448">
        <w:lastRenderedPageBreak/>
        <w:t>the estimate from a survey was that 628</w:t>
      </w:r>
      <w:r>
        <w:t> </w:t>
      </w:r>
      <w:r w:rsidRPr="007C0448">
        <w:t>300 people report having their needs fully met by a government service, and the associated SE of the estimate was 10</w:t>
      </w:r>
      <w:r>
        <w:t> </w:t>
      </w:r>
      <w:r w:rsidRPr="007C0448">
        <w:t xml:space="preserve">600 people, then the </w:t>
      </w:r>
      <w:r w:rsidRPr="007C0448">
        <w:br/>
        <w:t>95 per cent CI would be calculated by:</w:t>
      </w:r>
    </w:p>
    <w:p w:rsidR="0089285A" w:rsidRDefault="0089285A" w:rsidP="0089285A">
      <w:pPr>
        <w:pStyle w:val="ListBullet"/>
      </w:pPr>
      <w:r>
        <w:t xml:space="preserve">lower </w:t>
      </w:r>
      <w:r w:rsidRPr="007C0448">
        <w:t>confidence limit = 628 300 – (2 x 10 600) = 628 300 – 21 200 = 607 100</w:t>
      </w:r>
    </w:p>
    <w:p w:rsidR="0089285A" w:rsidRPr="0089285A" w:rsidRDefault="0089285A" w:rsidP="0089285A">
      <w:pPr>
        <w:pStyle w:val="ListBullet"/>
      </w:pPr>
      <w:r w:rsidRPr="007C0448">
        <w:t>upper confidence limit = 628 300 + (2 x 10 600) = 628 300 + 21 200 = 649 500.</w:t>
      </w:r>
    </w:p>
    <w:p w:rsidR="0089285A" w:rsidRPr="007C0448" w:rsidRDefault="0089285A" w:rsidP="0089285A">
      <w:pPr>
        <w:pStyle w:val="BodyText"/>
      </w:pPr>
      <w:r w:rsidRPr="007C0448">
        <w:t>This indicates that, at the 95 per cent confidence level, the true number of people who perceive that their needs are met by a government service is between 607</w:t>
      </w:r>
      <w:r>
        <w:t> </w:t>
      </w:r>
      <w:r w:rsidRPr="007C0448">
        <w:t>100 and 649</w:t>
      </w:r>
      <w:r>
        <w:t> </w:t>
      </w:r>
      <w:r w:rsidRPr="007C0448">
        <w:t>500.</w:t>
      </w:r>
    </w:p>
    <w:p w:rsidR="007612F8" w:rsidRDefault="0089285A" w:rsidP="0089285A">
      <w:pPr>
        <w:pStyle w:val="BodyText"/>
      </w:pPr>
      <w:r w:rsidRPr="007C0448">
        <w:t>The smaller the SE of the estimate, the narrower the CIs and the closer the estimate can be expected to be to the true value.</w:t>
      </w:r>
    </w:p>
    <w:p w:rsidR="0089285A" w:rsidRDefault="0089285A" w:rsidP="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auto"/>
          </w:tcPr>
          <w:p w:rsidR="0089285A" w:rsidRPr="00176D3F" w:rsidRDefault="0089285A" w:rsidP="0089285A">
            <w:pPr>
              <w:pStyle w:val="FigureTitle"/>
            </w:pPr>
            <w:r w:rsidRPr="00784A05">
              <w:rPr>
                <w:b w:val="0"/>
              </w:rPr>
              <w:t xml:space="preserve">Figure </w:t>
            </w:r>
            <w:r>
              <w:rPr>
                <w:b w:val="0"/>
              </w:rPr>
              <w:t>2.</w:t>
            </w:r>
            <w:r w:rsidR="00862E04">
              <w:rPr>
                <w:b w:val="0"/>
                <w:noProof/>
              </w:rPr>
              <w:t>9</w:t>
            </w:r>
            <w:r>
              <w:tab/>
            </w:r>
            <w:r w:rsidRPr="007C0448">
              <w:t>Normal distribution with 95 per cent confidence intervals</w:t>
            </w:r>
          </w:p>
        </w:tc>
      </w:tr>
      <w:tr w:rsidR="0089285A" w:rsidTr="00892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9285A" w:rsidTr="0089285A">
              <w:trPr>
                <w:jc w:val="center"/>
              </w:trPr>
              <w:tc>
                <w:tcPr>
                  <w:tcW w:w="5000" w:type="pct"/>
                  <w:tcBorders>
                    <w:top w:val="nil"/>
                    <w:bottom w:val="nil"/>
                  </w:tcBorders>
                </w:tcPr>
                <w:p w:rsidR="0089285A" w:rsidRDefault="0089285A" w:rsidP="0089285A">
                  <w:pPr>
                    <w:pStyle w:val="Figure"/>
                    <w:spacing w:before="60" w:after="60"/>
                  </w:pPr>
                  <w:r w:rsidRPr="007C0448">
                    <w:rPr>
                      <w:noProof/>
                    </w:rPr>
                    <w:drawing>
                      <wp:inline distT="0" distB="0" distL="0" distR="0" wp14:anchorId="42F4FAF5" wp14:editId="4B4C53DB">
                        <wp:extent cx="5400000" cy="3240000"/>
                        <wp:effectExtent l="0" t="0" r="0" b="0"/>
                        <wp:docPr id="10" name="Chart 10" descr="Figure 2.9 Normal distribution with 95 per cent confidence interval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89285A" w:rsidRDefault="0089285A" w:rsidP="0089285A">
            <w:pPr>
              <w:pStyle w:val="Figure"/>
            </w:pPr>
          </w:p>
        </w:tc>
        <w:bookmarkStart w:id="23" w:name="_GoBack"/>
        <w:bookmarkEnd w:id="23"/>
      </w:tr>
      <w:tr w:rsidR="0089285A" w:rsidTr="0089285A">
        <w:tc>
          <w:tcPr>
            <w:tcW w:w="8771" w:type="dxa"/>
            <w:tcBorders>
              <w:top w:val="nil"/>
              <w:left w:val="nil"/>
              <w:bottom w:val="single" w:sz="6" w:space="0" w:color="78A22F"/>
              <w:right w:val="nil"/>
            </w:tcBorders>
            <w:shd w:val="clear" w:color="auto" w:fill="auto"/>
          </w:tcPr>
          <w:p w:rsidR="0089285A" w:rsidRDefault="0089285A" w:rsidP="0089285A">
            <w:pPr>
              <w:pStyle w:val="Figurespace"/>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Default="0089285A" w:rsidP="0089285A">
      <w:pPr>
        <w:pStyle w:val="BodyText"/>
      </w:pPr>
      <w:r w:rsidRPr="007C0448">
        <w:t>Confidence intervals also test for statistical differences between sample results (box</w:t>
      </w:r>
      <w:r w:rsidR="00021101">
        <w:t> </w:t>
      </w:r>
      <w:r w:rsidRPr="007C0448">
        <w:t>2.4).</w:t>
      </w:r>
    </w:p>
    <w:p w:rsidR="0089285A" w:rsidRDefault="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F2F2F2"/>
          </w:tcPr>
          <w:p w:rsidR="0089285A" w:rsidRDefault="0089285A">
            <w:pPr>
              <w:pStyle w:val="BoxTitle"/>
            </w:pPr>
            <w:r>
              <w:rPr>
                <w:b w:val="0"/>
              </w:rPr>
              <w:t>Box 2.</w:t>
            </w:r>
            <w:r w:rsidR="00862E04">
              <w:rPr>
                <w:b w:val="0"/>
                <w:noProof/>
              </w:rPr>
              <w:t>4</w:t>
            </w:r>
            <w:r>
              <w:tab/>
            </w:r>
            <w:r w:rsidRPr="00254299">
              <w:t>Using confidence intervals to test for statistical significance</w:t>
            </w:r>
          </w:p>
        </w:tc>
      </w:tr>
      <w:tr w:rsidR="0089285A" w:rsidTr="0089285A">
        <w:trPr>
          <w:cantSplit/>
        </w:trPr>
        <w:tc>
          <w:tcPr>
            <w:tcW w:w="8771" w:type="dxa"/>
            <w:tcBorders>
              <w:top w:val="nil"/>
              <w:left w:val="nil"/>
              <w:bottom w:val="nil"/>
              <w:right w:val="nil"/>
            </w:tcBorders>
            <w:shd w:val="clear" w:color="auto" w:fill="F2F2F2"/>
          </w:tcPr>
          <w:p w:rsidR="0089285A" w:rsidRPr="007C0448" w:rsidRDefault="0089285A" w:rsidP="0089285A">
            <w:pPr>
              <w:pStyle w:val="Box"/>
            </w:pPr>
            <w:r w:rsidRPr="007C0448">
              <w:t>The CIs — the value ranges within which estimates are likely to fall — can be used to test whether the results reported for two estimated proportions are statistically different. If the CIs for the results do not overlap, then there can be confidence that the estimated proportions differ from each other. To test whether the 95 per cent CIs of two estimates overlap, a range is derived using the following formulas.</w:t>
            </w:r>
          </w:p>
          <w:p w:rsidR="0089285A" w:rsidRPr="007C0448" w:rsidRDefault="005E6E4B" w:rsidP="0089285A">
            <w:pPr>
              <w:pStyle w:val="Box"/>
            </w:pPr>
            <w:r>
              <w:rPr>
                <w:noProof/>
              </w:rPr>
              <w:drawing>
                <wp:inline distT="0" distB="0" distL="0" distR="0">
                  <wp:extent cx="4018915" cy="510540"/>
                  <wp:effectExtent l="0" t="0" r="635" b="3810"/>
                  <wp:docPr id="31" name="Picture 3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018915" cy="510540"/>
                          </a:xfrm>
                          <a:prstGeom prst="rect">
                            <a:avLst/>
                          </a:prstGeom>
                          <a:noFill/>
                          <a:ln>
                            <a:noFill/>
                          </a:ln>
                        </pic:spPr>
                      </pic:pic>
                    </a:graphicData>
                  </a:graphic>
                </wp:inline>
              </w:drawing>
            </w:r>
            <w:r w:rsidR="0089285A" w:rsidRPr="007C0448">
              <w:tab/>
            </w:r>
          </w:p>
          <w:p w:rsidR="0089285A" w:rsidRPr="007C0448" w:rsidRDefault="0089285A" w:rsidP="0089285A">
            <w:pPr>
              <w:pStyle w:val="Box"/>
            </w:pPr>
            <w:r w:rsidRPr="007C0448">
              <w:t>and</w:t>
            </w:r>
          </w:p>
          <w:p w:rsidR="0089285A" w:rsidRPr="007C0448" w:rsidRDefault="005E6E4B" w:rsidP="0089285A">
            <w:pPr>
              <w:pStyle w:val="Box"/>
            </w:pPr>
            <w:r>
              <w:rPr>
                <w:noProof/>
                <w:color w:val="FF99CC"/>
                <w:position w:val="-28"/>
              </w:rPr>
              <w:drawing>
                <wp:inline distT="0" distB="0" distL="0" distR="0">
                  <wp:extent cx="4018915" cy="510540"/>
                  <wp:effectExtent l="0" t="0" r="635" b="3810"/>
                  <wp:docPr id="32" name="Picture 3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18915" cy="510540"/>
                          </a:xfrm>
                          <a:prstGeom prst="rect">
                            <a:avLst/>
                          </a:prstGeom>
                          <a:noFill/>
                          <a:ln>
                            <a:noFill/>
                          </a:ln>
                        </pic:spPr>
                      </pic:pic>
                    </a:graphicData>
                  </a:graphic>
                </wp:inline>
              </w:drawing>
            </w:r>
            <w:r w:rsidR="0089285A" w:rsidRPr="007C0448">
              <w:rPr>
                <w:color w:val="FF99CC"/>
                <w:position w:val="-28"/>
              </w:rPr>
              <w:t xml:space="preserve"> </w:t>
            </w:r>
            <w:r w:rsidR="0089285A" w:rsidRPr="007C0448">
              <w:tab/>
            </w:r>
          </w:p>
          <w:p w:rsidR="0089285A" w:rsidRDefault="0089285A" w:rsidP="0089285A">
            <w:pPr>
              <w:pStyle w:val="Box"/>
            </w:pPr>
            <w:r w:rsidRPr="007C0448">
              <w:t>If none of the values in this range is zero, then the difference between the two estimated proportions is statistically significant.</w:t>
            </w:r>
          </w:p>
        </w:tc>
      </w:tr>
      <w:tr w:rsidR="0089285A" w:rsidTr="0089285A">
        <w:trPr>
          <w:cantSplit/>
        </w:trPr>
        <w:tc>
          <w:tcPr>
            <w:tcW w:w="8771" w:type="dxa"/>
            <w:tcBorders>
              <w:top w:val="nil"/>
              <w:left w:val="nil"/>
              <w:bottom w:val="single" w:sz="6" w:space="0" w:color="78A22F"/>
              <w:right w:val="nil"/>
            </w:tcBorders>
            <w:shd w:val="clear" w:color="auto" w:fill="F2F2F2"/>
          </w:tcPr>
          <w:p w:rsidR="0089285A" w:rsidRDefault="0089285A">
            <w:pPr>
              <w:pStyle w:val="Box"/>
              <w:spacing w:before="0" w:line="120" w:lineRule="exact"/>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Default="0089285A" w:rsidP="0089285A">
      <w:pPr>
        <w:pStyle w:val="BodyText"/>
      </w:pPr>
      <w:r>
        <w:t xml:space="preserve">For example, assume survey data estimated that 50 per cent of people for jurisdiction A perceived that their needs were met by government services, with a 95 per cent CI of </w:t>
      </w:r>
      <w:r>
        <w:br/>
        <w:t xml:space="preserve">± 5 per cent, and 25 per cent of people for jurisdiction B, with a 95 per cent CI of </w:t>
      </w:r>
      <w:r>
        <w:br/>
        <w:t>± 10 per cent. These results imply that we can be 95 per cent sure the true result for jurisdiction A lies between 55 and 45 per cent, and the true result for jurisdiction B lies between 15 and 35 per cent. As these two ranges do not overlap, it can be said that the results for jurisdiction A and jurisdiction B are statistically significantly different.</w:t>
      </w:r>
    </w:p>
    <w:p w:rsidR="0089285A" w:rsidRDefault="0089285A" w:rsidP="0089285A">
      <w:pPr>
        <w:pStyle w:val="Heading3"/>
      </w:pPr>
      <w:bookmarkStart w:id="24" w:name="_Toc437961493"/>
      <w:r>
        <w:t>Variability bands</w:t>
      </w:r>
      <w:bookmarkEnd w:id="24"/>
    </w:p>
    <w:p w:rsidR="0089285A" w:rsidRDefault="0089285A" w:rsidP="0089285A">
      <w:pPr>
        <w:pStyle w:val="BodyText"/>
      </w:pPr>
      <w:r w:rsidRPr="007C0448">
        <w:t>Rates derived from administrative data counts are not subject to sampling error but might be subject to natural random variation, especially for small counts.</w:t>
      </w:r>
      <w:r>
        <w:t xml:space="preserve"> For mortality data, variability bands are used to account for this variation (box</w:t>
      </w:r>
      <w:r w:rsidR="00021101">
        <w:t> </w:t>
      </w:r>
      <w:r>
        <w:t xml:space="preserve">2.5). </w:t>
      </w:r>
    </w:p>
    <w:p w:rsidR="0089285A" w:rsidRDefault="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F2F2F2"/>
          </w:tcPr>
          <w:p w:rsidR="0089285A" w:rsidRDefault="0089285A">
            <w:pPr>
              <w:pStyle w:val="BoxTitle"/>
            </w:pPr>
            <w:r>
              <w:rPr>
                <w:b w:val="0"/>
              </w:rPr>
              <w:t>Box 2.</w:t>
            </w:r>
            <w:r w:rsidR="00862E04">
              <w:rPr>
                <w:b w:val="0"/>
                <w:noProof/>
              </w:rPr>
              <w:t>5</w:t>
            </w:r>
            <w:r>
              <w:tab/>
              <w:t>V</w:t>
            </w:r>
            <w:r w:rsidRPr="00AC4C40">
              <w:t>ariability bands</w:t>
            </w:r>
          </w:p>
        </w:tc>
      </w:tr>
      <w:tr w:rsidR="0089285A" w:rsidTr="0089285A">
        <w:trPr>
          <w:cantSplit/>
        </w:trPr>
        <w:tc>
          <w:tcPr>
            <w:tcW w:w="8771" w:type="dxa"/>
            <w:tcBorders>
              <w:top w:val="nil"/>
              <w:left w:val="nil"/>
              <w:bottom w:val="nil"/>
              <w:right w:val="nil"/>
            </w:tcBorders>
            <w:shd w:val="clear" w:color="auto" w:fill="F2F2F2"/>
          </w:tcPr>
          <w:p w:rsidR="0089285A" w:rsidRPr="00AC4C40" w:rsidRDefault="0089285A" w:rsidP="0089285A">
            <w:pPr>
              <w:pStyle w:val="Box"/>
            </w:pPr>
            <w:r w:rsidRPr="00AC4C40">
              <w:t xml:space="preserve">The variability bands to be calculated using the standard method for estimating </w:t>
            </w:r>
            <w:r w:rsidRPr="00AC4C40">
              <w:br/>
              <w:t>95 per cent confidence intervals are:</w:t>
            </w:r>
          </w:p>
          <w:p w:rsidR="0089285A" w:rsidRPr="00AC4C40" w:rsidRDefault="0089285A" w:rsidP="0089285A">
            <w:pPr>
              <w:pStyle w:val="Box"/>
              <w:rPr>
                <w:i/>
              </w:rPr>
            </w:pPr>
            <w:r w:rsidRPr="00AC4C40">
              <w:rPr>
                <w:i/>
              </w:rPr>
              <w:t>Crude rate (CR)</w:t>
            </w:r>
          </w:p>
          <w:p w:rsidR="0089285A" w:rsidRPr="00AC4C40" w:rsidRDefault="005E6E4B" w:rsidP="0089285A">
            <w:pPr>
              <w:pStyle w:val="Box"/>
            </w:pPr>
            <w:r>
              <w:rPr>
                <w:noProof/>
              </w:rPr>
              <w:drawing>
                <wp:inline distT="0" distB="0" distL="0" distR="0">
                  <wp:extent cx="1892300" cy="669925"/>
                  <wp:effectExtent l="0" t="0" r="0" b="0"/>
                  <wp:docPr id="33" name="Picture 3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92300" cy="669925"/>
                          </a:xfrm>
                          <a:prstGeom prst="rect">
                            <a:avLst/>
                          </a:prstGeom>
                          <a:noFill/>
                          <a:ln>
                            <a:noFill/>
                          </a:ln>
                        </pic:spPr>
                      </pic:pic>
                    </a:graphicData>
                  </a:graphic>
                </wp:inline>
              </w:drawing>
            </w:r>
            <w:r w:rsidR="0089285A" w:rsidRPr="00AC4C40">
              <w:tab/>
            </w:r>
          </w:p>
          <w:p w:rsidR="0089285A" w:rsidRPr="00AC4C40" w:rsidRDefault="0089285A" w:rsidP="0089285A">
            <w:pPr>
              <w:pStyle w:val="Box"/>
            </w:pPr>
            <w:r w:rsidRPr="00AC4C40">
              <w:t>Where:</w:t>
            </w:r>
          </w:p>
          <w:p w:rsidR="0089285A" w:rsidRPr="00AC4C40" w:rsidRDefault="005E6E4B" w:rsidP="0089285A">
            <w:pPr>
              <w:pStyle w:val="Box"/>
            </w:pPr>
            <w:r>
              <w:rPr>
                <w:i/>
                <w:noProof/>
                <w:color w:val="FF99CC"/>
              </w:rPr>
              <w:drawing>
                <wp:inline distT="0" distB="0" distL="0" distR="0">
                  <wp:extent cx="138430" cy="180975"/>
                  <wp:effectExtent l="0" t="0" r="0" b="9525"/>
                  <wp:docPr id="34" name="Picture 3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38430" cy="180975"/>
                          </a:xfrm>
                          <a:prstGeom prst="rect">
                            <a:avLst/>
                          </a:prstGeom>
                          <a:noFill/>
                          <a:ln>
                            <a:noFill/>
                          </a:ln>
                        </pic:spPr>
                      </pic:pic>
                    </a:graphicData>
                  </a:graphic>
                </wp:inline>
              </w:drawing>
            </w:r>
            <w:r w:rsidR="0089285A" w:rsidRPr="00AC4C40">
              <w:rPr>
                <w:i/>
                <w:color w:val="FF99CC"/>
              </w:rPr>
              <w:t xml:space="preserve"> </w:t>
            </w:r>
            <w:r w:rsidR="0089285A" w:rsidRPr="00AC4C40">
              <w:t>is the numerator of the estimated proportion</w:t>
            </w:r>
          </w:p>
          <w:p w:rsidR="0089285A" w:rsidRPr="00AC4C40" w:rsidRDefault="0089285A" w:rsidP="0089285A">
            <w:pPr>
              <w:pStyle w:val="Box"/>
              <w:rPr>
                <w:i/>
              </w:rPr>
            </w:pPr>
            <w:r w:rsidRPr="00AC4C40">
              <w:rPr>
                <w:i/>
              </w:rPr>
              <w:t>Age</w:t>
            </w:r>
            <w:r w:rsidR="001620EE">
              <w:rPr>
                <w:i/>
              </w:rPr>
              <w:noBreakHyphen/>
            </w:r>
            <w:r w:rsidRPr="00AC4C40">
              <w:rPr>
                <w:i/>
              </w:rPr>
              <w:t>standardised rate (ASR)</w:t>
            </w:r>
          </w:p>
          <w:p w:rsidR="0089285A" w:rsidRPr="00AC4C40" w:rsidRDefault="005E6E4B" w:rsidP="0089285A">
            <w:pPr>
              <w:pStyle w:val="Box"/>
            </w:pPr>
            <w:r>
              <w:rPr>
                <w:noProof/>
              </w:rPr>
              <w:drawing>
                <wp:inline distT="0" distB="0" distL="0" distR="0">
                  <wp:extent cx="2296795" cy="499745"/>
                  <wp:effectExtent l="0" t="0" r="8255" b="0"/>
                  <wp:docPr id="35" name="Picture 3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96795" cy="499745"/>
                          </a:xfrm>
                          <a:prstGeom prst="rect">
                            <a:avLst/>
                          </a:prstGeom>
                          <a:noFill/>
                          <a:ln>
                            <a:noFill/>
                          </a:ln>
                        </pic:spPr>
                      </pic:pic>
                    </a:graphicData>
                  </a:graphic>
                </wp:inline>
              </w:drawing>
            </w:r>
            <w:r w:rsidR="0089285A" w:rsidRPr="00AC4C40">
              <w:tab/>
            </w:r>
          </w:p>
          <w:p w:rsidR="0089285A" w:rsidRPr="00AC4C40" w:rsidRDefault="0089285A" w:rsidP="0089285A">
            <w:pPr>
              <w:pStyle w:val="Box"/>
            </w:pPr>
            <w:r w:rsidRPr="00AC4C40">
              <w:t>Where:</w:t>
            </w:r>
          </w:p>
          <w:p w:rsidR="0089285A" w:rsidRDefault="005E6E4B" w:rsidP="0089285A">
            <w:pPr>
              <w:pStyle w:val="Box"/>
              <w:rPr>
                <w:i/>
                <w:color w:val="FF99CC"/>
              </w:rPr>
            </w:pPr>
            <w:r>
              <w:rPr>
                <w:i/>
                <w:noProof/>
                <w:color w:val="FF99CC"/>
              </w:rPr>
              <w:drawing>
                <wp:inline distT="0" distB="0" distL="0" distR="0">
                  <wp:extent cx="159385" cy="233680"/>
                  <wp:effectExtent l="0" t="0" r="0" b="0"/>
                  <wp:docPr id="36" name="Picture 3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89285A" w:rsidRPr="00AC4C40">
              <w:rPr>
                <w:i/>
                <w:color w:val="FF99CC"/>
              </w:rPr>
              <w:t xml:space="preserve"> </w:t>
            </w:r>
            <w:r w:rsidR="0089285A" w:rsidRPr="00AC4C40">
              <w:t xml:space="preserve">is the proportion of the standard population in age group </w:t>
            </w:r>
            <w:r>
              <w:rPr>
                <w:noProof/>
              </w:rPr>
              <w:drawing>
                <wp:inline distT="0" distB="0" distL="0" distR="0">
                  <wp:extent cx="85090" cy="159385"/>
                  <wp:effectExtent l="0" t="0" r="0" b="0"/>
                  <wp:docPr id="37" name="Picture 3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5090" cy="159385"/>
                          </a:xfrm>
                          <a:prstGeom prst="rect">
                            <a:avLst/>
                          </a:prstGeom>
                          <a:noFill/>
                          <a:ln>
                            <a:noFill/>
                          </a:ln>
                        </pic:spPr>
                      </pic:pic>
                    </a:graphicData>
                  </a:graphic>
                </wp:inline>
              </w:drawing>
            </w:r>
          </w:p>
          <w:p w:rsidR="0089285A" w:rsidRDefault="005E6E4B" w:rsidP="0089285A">
            <w:pPr>
              <w:pStyle w:val="Box"/>
              <w:rPr>
                <w:i/>
                <w:color w:val="FF99CC"/>
              </w:rPr>
            </w:pPr>
            <w:r>
              <w:rPr>
                <w:i/>
                <w:noProof/>
                <w:color w:val="FF99CC"/>
              </w:rPr>
              <w:drawing>
                <wp:inline distT="0" distB="0" distL="0" distR="0">
                  <wp:extent cx="159385" cy="233680"/>
                  <wp:effectExtent l="0" t="0" r="0" b="0"/>
                  <wp:docPr id="38" name="Picture 3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89285A" w:rsidRPr="00AC4C40">
              <w:rPr>
                <w:i/>
                <w:color w:val="FF99CC"/>
              </w:rPr>
              <w:t xml:space="preserve"> </w:t>
            </w:r>
            <w:r w:rsidR="0089285A" w:rsidRPr="00AC4C40">
              <w:t xml:space="preserve">is the number of deaths in age group </w:t>
            </w:r>
            <w:r>
              <w:rPr>
                <w:noProof/>
              </w:rPr>
              <w:drawing>
                <wp:inline distT="0" distB="0" distL="0" distR="0">
                  <wp:extent cx="85090" cy="159385"/>
                  <wp:effectExtent l="0" t="0" r="0" b="0"/>
                  <wp:docPr id="39" name="Picture 3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5090" cy="159385"/>
                          </a:xfrm>
                          <a:prstGeom prst="rect">
                            <a:avLst/>
                          </a:prstGeom>
                          <a:noFill/>
                          <a:ln>
                            <a:noFill/>
                          </a:ln>
                        </pic:spPr>
                      </pic:pic>
                    </a:graphicData>
                  </a:graphic>
                </wp:inline>
              </w:drawing>
            </w:r>
          </w:p>
          <w:p w:rsidR="0089285A" w:rsidRPr="00AC4C40" w:rsidRDefault="005E6E4B" w:rsidP="0089285A">
            <w:pPr>
              <w:pStyle w:val="Box"/>
            </w:pPr>
            <w:r>
              <w:rPr>
                <w:i/>
                <w:noProof/>
                <w:color w:val="FF99CC"/>
              </w:rPr>
              <w:drawing>
                <wp:inline distT="0" distB="0" distL="0" distR="0">
                  <wp:extent cx="159385" cy="233680"/>
                  <wp:effectExtent l="0" t="0" r="0" b="0"/>
                  <wp:docPr id="40" name="Picture 4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89285A" w:rsidRPr="00AC4C40">
              <w:rPr>
                <w:i/>
                <w:color w:val="FF99CC"/>
              </w:rPr>
              <w:t xml:space="preserve"> </w:t>
            </w:r>
            <w:r w:rsidR="0089285A" w:rsidRPr="00AC4C40">
              <w:t xml:space="preserve">is the number of people in the population in age group </w:t>
            </w:r>
            <w:r>
              <w:rPr>
                <w:noProof/>
              </w:rPr>
              <w:drawing>
                <wp:inline distT="0" distB="0" distL="0" distR="0">
                  <wp:extent cx="85090" cy="159385"/>
                  <wp:effectExtent l="0" t="0" r="0" b="0"/>
                  <wp:docPr id="41" name="Picture 4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5090" cy="159385"/>
                          </a:xfrm>
                          <a:prstGeom prst="rect">
                            <a:avLst/>
                          </a:prstGeom>
                          <a:noFill/>
                          <a:ln>
                            <a:noFill/>
                          </a:ln>
                        </pic:spPr>
                      </pic:pic>
                    </a:graphicData>
                  </a:graphic>
                </wp:inline>
              </w:drawing>
            </w:r>
            <w:r w:rsidR="0089285A" w:rsidRPr="00AC4C40">
              <w:t>.</w:t>
            </w:r>
          </w:p>
          <w:p w:rsidR="0089285A" w:rsidRPr="00BC0C1A" w:rsidRDefault="0089285A" w:rsidP="0089285A">
            <w:pPr>
              <w:pStyle w:val="Box"/>
              <w:rPr>
                <w:i/>
              </w:rPr>
            </w:pPr>
            <w:r w:rsidRPr="00BC0C1A">
              <w:rPr>
                <w:i/>
              </w:rPr>
              <w:t>Infant mortality rate (IMR)</w:t>
            </w:r>
          </w:p>
          <w:p w:rsidR="0089285A" w:rsidRPr="00AC4C40" w:rsidRDefault="005E6E4B" w:rsidP="0089285A">
            <w:pPr>
              <w:pStyle w:val="Box"/>
            </w:pPr>
            <w:r>
              <w:rPr>
                <w:noProof/>
              </w:rPr>
              <w:drawing>
                <wp:inline distT="0" distB="0" distL="0" distR="0">
                  <wp:extent cx="1956435" cy="467995"/>
                  <wp:effectExtent l="0" t="0" r="5715" b="8255"/>
                  <wp:docPr id="42" name="Picture 4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56435" cy="467995"/>
                          </a:xfrm>
                          <a:prstGeom prst="rect">
                            <a:avLst/>
                          </a:prstGeom>
                          <a:noFill/>
                          <a:ln>
                            <a:noFill/>
                          </a:ln>
                        </pic:spPr>
                      </pic:pic>
                    </a:graphicData>
                  </a:graphic>
                </wp:inline>
              </w:drawing>
            </w:r>
            <w:r w:rsidR="0089285A" w:rsidRPr="00AC4C40">
              <w:tab/>
            </w:r>
          </w:p>
          <w:p w:rsidR="0089285A" w:rsidRPr="00AC4C40" w:rsidRDefault="0089285A" w:rsidP="0089285A">
            <w:pPr>
              <w:pStyle w:val="Box"/>
            </w:pPr>
            <w:r w:rsidRPr="00AC4C40">
              <w:t>Where:</w:t>
            </w:r>
          </w:p>
          <w:p w:rsidR="0089285A" w:rsidRDefault="005E6E4B" w:rsidP="0089285A">
            <w:pPr>
              <w:pStyle w:val="Box"/>
            </w:pPr>
            <w:r>
              <w:rPr>
                <w:noProof/>
                <w:color w:val="FF99CC"/>
              </w:rPr>
              <w:drawing>
                <wp:inline distT="0" distB="0" distL="0" distR="0">
                  <wp:extent cx="159385" cy="233680"/>
                  <wp:effectExtent l="0" t="0" r="0" b="0"/>
                  <wp:docPr id="43" name="Picture 4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89285A" w:rsidRPr="00AC4C40">
              <w:rPr>
                <w:color w:val="FF99CC"/>
              </w:rPr>
              <w:t xml:space="preserve"> </w:t>
            </w:r>
            <w:r w:rsidR="0089285A" w:rsidRPr="00AC4C40">
              <w:t>is the number of deaths in infants aged less than 1 year.</w:t>
            </w:r>
          </w:p>
        </w:tc>
      </w:tr>
      <w:tr w:rsidR="0089285A" w:rsidTr="0089285A">
        <w:trPr>
          <w:cantSplit/>
        </w:trPr>
        <w:tc>
          <w:tcPr>
            <w:tcW w:w="8771" w:type="dxa"/>
            <w:tcBorders>
              <w:top w:val="nil"/>
              <w:left w:val="nil"/>
              <w:bottom w:val="single" w:sz="6" w:space="0" w:color="78A22F"/>
              <w:right w:val="nil"/>
            </w:tcBorders>
            <w:shd w:val="clear" w:color="auto" w:fill="F2F2F2"/>
          </w:tcPr>
          <w:p w:rsidR="0089285A" w:rsidRDefault="0089285A">
            <w:pPr>
              <w:pStyle w:val="Box"/>
              <w:spacing w:before="0" w:line="120" w:lineRule="exact"/>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Pr="007C0448" w:rsidRDefault="0089285A" w:rsidP="0089285A">
      <w:pPr>
        <w:pStyle w:val="BodyText"/>
      </w:pPr>
      <w:r w:rsidRPr="007C0448">
        <w:t>Variability bands accompanying mortality data should be used for the purpose of within jurisdiction analysis at a point in time and over time. They should not be used for comparing mortality rates at a single point in time or over time between jurisdictions as the</w:t>
      </w:r>
      <w:r>
        <w:t>y</w:t>
      </w:r>
      <w:r w:rsidRPr="007C0448">
        <w:t xml:space="preserve"> do not take into account differences in under</w:t>
      </w:r>
      <w:r w:rsidRPr="007C0448">
        <w:noBreakHyphen/>
        <w:t xml:space="preserve">identification of Aboriginal and Torres Strait Islander </w:t>
      </w:r>
      <w:r w:rsidRPr="007C0448">
        <w:rPr>
          <w:shd w:val="clear" w:color="auto" w:fill="FCFCFC" w:themeFill="accent4" w:themeFillTint="33"/>
        </w:rPr>
        <w:t>people’s</w:t>
      </w:r>
      <w:r w:rsidRPr="007C0448">
        <w:t xml:space="preserve"> deaths between jurisdictions.</w:t>
      </w:r>
    </w:p>
    <w:p w:rsidR="0089285A" w:rsidRPr="0089285A" w:rsidRDefault="0089285A" w:rsidP="0089285A">
      <w:pPr>
        <w:pStyle w:val="BodyText"/>
      </w:pPr>
      <w:r w:rsidRPr="007C0448">
        <w:t>Typically in this standard method, the observed rate is assumed to have natural variability in the numerator count (for example, deaths) but not in the population denominator count. Variations in Aboriginal and Torres Strait Islander people’s death rates may arise from uncertainty in the recording of Indigenous status on the death registration forms (in particular, under</w:t>
      </w:r>
      <w:r w:rsidRPr="007C0448">
        <w:noBreakHyphen/>
        <w:t>identification of Aboriginal and Torres Strait Islander people’s deaths) and in the</w:t>
      </w:r>
      <w:r>
        <w:t xml:space="preserve"> ABS population census,</w:t>
      </w:r>
      <w:r w:rsidRPr="007C0448">
        <w:t xml:space="preserve"> from which population estimates are derived. These variations are not considered in this method. Also, the rate is assumed to have been </w:t>
      </w:r>
      <w:r w:rsidRPr="007C0448">
        <w:lastRenderedPageBreak/>
        <w:t>generated from a normal distribution (figure</w:t>
      </w:r>
      <w:r w:rsidR="00021101">
        <w:t> </w:t>
      </w:r>
      <w:r w:rsidRPr="007C0448">
        <w:t>2.</w:t>
      </w:r>
      <w:r>
        <w:t>9</w:t>
      </w:r>
      <w:r w:rsidRPr="007C0448">
        <w:t xml:space="preserve">). Random variation in the numerator count is assumed to be centred around the true value — that is, there is no systematic </w:t>
      </w:r>
      <w:r w:rsidRPr="00AC4C40">
        <w:t>bias.</w:t>
      </w:r>
    </w:p>
    <w:p w:rsidR="007612F8" w:rsidRDefault="0089285A" w:rsidP="0089285A">
      <w:pPr>
        <w:pStyle w:val="Heading3"/>
      </w:pPr>
      <w:bookmarkStart w:id="25" w:name="_Toc437961494"/>
      <w:r>
        <w:t>Population measures</w:t>
      </w:r>
      <w:bookmarkEnd w:id="25"/>
    </w:p>
    <w:p w:rsidR="0089285A" w:rsidRPr="00AC4C40" w:rsidRDefault="0089285A" w:rsidP="0089285A">
      <w:pPr>
        <w:pStyle w:val="BodyText"/>
      </w:pPr>
      <w:r w:rsidRPr="00AC4C40">
        <w:t>Data are frequently expressed relative to population in this Report. For example, expenditure per person, or proportion of people who utilise a service or who benefit from a service. This enables comparison of data across populations of different sizes using relative numbers — standardised by population size — as distinct from absolute numbers.</w:t>
      </w:r>
    </w:p>
    <w:p w:rsidR="0089285A" w:rsidRPr="00AC4C40" w:rsidRDefault="0089285A" w:rsidP="0089285A">
      <w:pPr>
        <w:pStyle w:val="BodyText"/>
      </w:pPr>
      <w:r w:rsidRPr="00E63450">
        <w:t>ERP data are available quarterly — that is, at end March, June, September and December of each year. The mid</w:t>
      </w:r>
      <w:r w:rsidRPr="00E63450">
        <w:noBreakHyphen/>
        <w:t>point ERP is typically used for the calculation of population rates in this Report — for example, the 30 June ERP for calendar year data (table</w:t>
      </w:r>
      <w:r w:rsidR="00021101">
        <w:t> </w:t>
      </w:r>
      <w:r w:rsidRPr="00E63450">
        <w:t xml:space="preserve">2A.1) and the </w:t>
      </w:r>
      <w:r w:rsidRPr="00E63450">
        <w:br/>
        <w:t>31 December ERP</w:t>
      </w:r>
      <w:r w:rsidRPr="00AC4C40">
        <w:t xml:space="preserve"> for financial year data</w:t>
      </w:r>
      <w:r>
        <w:t xml:space="preserve"> (table</w:t>
      </w:r>
      <w:r w:rsidR="00021101">
        <w:t> </w:t>
      </w:r>
      <w:r>
        <w:t>2A.2)</w:t>
      </w:r>
      <w:r w:rsidRPr="00AC4C40">
        <w:t>. As this Report presents annual data where available and appropriate, the mid</w:t>
      </w:r>
      <w:r w:rsidRPr="00AC4C40">
        <w:noBreakHyphen/>
        <w:t xml:space="preserve">point ERP was adopted </w:t>
      </w:r>
      <w:r>
        <w:t>from a number of</w:t>
      </w:r>
      <w:r w:rsidRPr="00AC4C40">
        <w:t xml:space="preserve"> options</w:t>
      </w:r>
      <w:r>
        <w:t xml:space="preserve"> predominately due to availability of ERP data.</w:t>
      </w:r>
    </w:p>
    <w:p w:rsidR="0089285A" w:rsidRPr="00AC4C40" w:rsidRDefault="0089285A" w:rsidP="0089285A">
      <w:pPr>
        <w:pStyle w:val="BodyText"/>
      </w:pPr>
      <w:r w:rsidRPr="00AC4C40">
        <w:t xml:space="preserve">This Report uses first preliminary </w:t>
      </w:r>
      <w:r w:rsidRPr="00AC4C40">
        <w:rPr>
          <w:shd w:val="clear" w:color="auto" w:fill="FCFCFC" w:themeFill="accent4" w:themeFillTint="33"/>
        </w:rPr>
        <w:t>ERP</w:t>
      </w:r>
      <w:r w:rsidRPr="00AC4C40">
        <w:t xml:space="preserve"> data wherever possible and replaces these with final rebased data when available.</w:t>
      </w:r>
    </w:p>
    <w:p w:rsidR="0089285A" w:rsidRPr="0089285A" w:rsidRDefault="0089285A" w:rsidP="0089285A">
      <w:pPr>
        <w:pStyle w:val="Heading4"/>
      </w:pPr>
      <w:r w:rsidRPr="0089285A">
        <w:t>Estimated resident population rebasing and recasting</w:t>
      </w:r>
    </w:p>
    <w:p w:rsidR="0089285A" w:rsidRPr="00913331" w:rsidRDefault="0089285A" w:rsidP="0089285A">
      <w:pPr>
        <w:pStyle w:val="BodyText"/>
      </w:pPr>
      <w:r w:rsidRPr="00913331">
        <w:t>Where ERP data are reported they are based on the 2011 Census, backcast over the reported time series. Details of changes to ERP data are explained in the 2014 Report (SCRGSP 2014, pp.</w:t>
      </w:r>
      <w:r>
        <w:t> </w:t>
      </w:r>
      <w:r w:rsidRPr="00913331">
        <w:t>2.26–27).</w:t>
      </w:r>
    </w:p>
    <w:p w:rsidR="0089285A" w:rsidRDefault="0089285A" w:rsidP="0089285A">
      <w:pPr>
        <w:pStyle w:val="BodyText"/>
      </w:pPr>
      <w:r w:rsidRPr="00913331">
        <w:t>Some tables contain population data estimates and projections (tables</w:t>
      </w:r>
      <w:r w:rsidR="00021101">
        <w:t> </w:t>
      </w:r>
      <w:r w:rsidRPr="00913331">
        <w:t>2A.13–14). Aboriginal and Torres Strait Islander population data up to 2011 are estimates and from 2012 are projections. Population data for all Australians for all years</w:t>
      </w:r>
      <w:r w:rsidRPr="00AC4C40">
        <w:t xml:space="preserve"> are estimates.</w:t>
      </w:r>
    </w:p>
    <w:p w:rsidR="0089285A" w:rsidRDefault="0089285A" w:rsidP="0089285A">
      <w:pPr>
        <w:pStyle w:val="Heading3"/>
      </w:pPr>
      <w:bookmarkStart w:id="26" w:name="_Toc437961495"/>
      <w:r>
        <w:t>Growth rates</w:t>
      </w:r>
      <w:bookmarkEnd w:id="26"/>
    </w:p>
    <w:p w:rsidR="007131FA" w:rsidRDefault="0089285A" w:rsidP="007131FA">
      <w:pPr>
        <w:pStyle w:val="BodyText"/>
      </w:pPr>
      <w:r w:rsidRPr="00AC4C40">
        <w:t>This Report presents growth rates to facilitate meaningful comparisons of data movements over time (box</w:t>
      </w:r>
      <w:r w:rsidR="00021101">
        <w:t> </w:t>
      </w:r>
      <w:r w:rsidRPr="00AC4C40">
        <w:t>2.6). Two methods are generally used:</w:t>
      </w:r>
      <w:r>
        <w:t xml:space="preserve"> </w:t>
      </w:r>
      <w:r w:rsidRPr="00AC4C40">
        <w:rPr>
          <w:i/>
        </w:rPr>
        <w:t>Average annual growth rate</w:t>
      </w:r>
      <w:r w:rsidRPr="00AC4C40">
        <w:t xml:space="preserve"> (AAGR)</w:t>
      </w:r>
      <w:r>
        <w:t xml:space="preserve"> </w:t>
      </w:r>
      <w:r w:rsidRPr="00AC4C40">
        <w:t>is the uniform growth rate that would need to have applied each year for the value in the first year to grow to the value in the final year of the period of analysis</w:t>
      </w:r>
      <w:r>
        <w:t xml:space="preserve">; </w:t>
      </w:r>
      <w:r w:rsidRPr="00361F07">
        <w:rPr>
          <w:i/>
        </w:rPr>
        <w:t>Total growth rate</w:t>
      </w:r>
      <w:r w:rsidRPr="00AC4C40">
        <w:t xml:space="preserve"> (TGR) is the growth rate between two periods/years</w:t>
      </w:r>
      <w:r>
        <w:t xml:space="preserve">, most commonly calculated by </w:t>
      </w:r>
      <w:r w:rsidRPr="00D07272">
        <w:t>subtracting the value in the first period from the value in the last period</w:t>
      </w:r>
      <w:r>
        <w:t>, d</w:t>
      </w:r>
      <w:r w:rsidRPr="00D07272">
        <w:t>ividing the result by the value in the first period</w:t>
      </w:r>
      <w:r>
        <w:t xml:space="preserve"> and </w:t>
      </w:r>
      <w:r w:rsidRPr="00D07272">
        <w:t>multipl</w:t>
      </w:r>
      <w:r>
        <w:t>ying</w:t>
      </w:r>
      <w:r w:rsidRPr="00D07272">
        <w:t xml:space="preserve"> by 100.</w:t>
      </w:r>
    </w:p>
    <w:p w:rsidR="0089285A" w:rsidRDefault="008928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85A" w:rsidTr="0089285A">
        <w:tc>
          <w:tcPr>
            <w:tcW w:w="8771" w:type="dxa"/>
            <w:tcBorders>
              <w:top w:val="single" w:sz="6" w:space="0" w:color="78A22F"/>
              <w:left w:val="nil"/>
              <w:bottom w:val="nil"/>
              <w:right w:val="nil"/>
            </w:tcBorders>
            <w:shd w:val="clear" w:color="auto" w:fill="F2F2F2"/>
          </w:tcPr>
          <w:p w:rsidR="0089285A" w:rsidRDefault="0089285A">
            <w:pPr>
              <w:pStyle w:val="BoxTitle"/>
            </w:pPr>
            <w:r>
              <w:rPr>
                <w:b w:val="0"/>
              </w:rPr>
              <w:t>Box 2.</w:t>
            </w:r>
            <w:r w:rsidR="00862E04">
              <w:rPr>
                <w:b w:val="0"/>
                <w:noProof/>
              </w:rPr>
              <w:t>6</w:t>
            </w:r>
            <w:r>
              <w:tab/>
              <w:t>G</w:t>
            </w:r>
            <w:r w:rsidRPr="00AC4C40">
              <w:t>rowth rates</w:t>
            </w:r>
          </w:p>
        </w:tc>
      </w:tr>
      <w:tr w:rsidR="0089285A" w:rsidTr="0089285A">
        <w:trPr>
          <w:cantSplit/>
        </w:trPr>
        <w:tc>
          <w:tcPr>
            <w:tcW w:w="8771" w:type="dxa"/>
            <w:tcBorders>
              <w:top w:val="nil"/>
              <w:left w:val="nil"/>
              <w:bottom w:val="nil"/>
              <w:right w:val="nil"/>
            </w:tcBorders>
            <w:shd w:val="clear" w:color="auto" w:fill="F2F2F2"/>
          </w:tcPr>
          <w:p w:rsidR="0089285A" w:rsidRPr="00FB364F" w:rsidRDefault="0089285A" w:rsidP="0089285A">
            <w:pPr>
              <w:pStyle w:val="Box"/>
              <w:rPr>
                <w:b/>
                <w:i/>
              </w:rPr>
            </w:pPr>
            <w:r w:rsidRPr="00FB364F">
              <w:rPr>
                <w:b/>
                <w:i/>
              </w:rPr>
              <w:t>Average annual growth rate</w:t>
            </w:r>
          </w:p>
          <w:p w:rsidR="0089285A" w:rsidRPr="00AC4C40" w:rsidRDefault="0089285A" w:rsidP="0089285A">
            <w:pPr>
              <w:pStyle w:val="Box"/>
            </w:pPr>
            <w:r w:rsidRPr="00AC4C40">
              <w:t>The formula for calculating a compound AAGR is:</w:t>
            </w:r>
          </w:p>
          <w:p w:rsidR="0089285A" w:rsidRPr="00AC4C40" w:rsidRDefault="005E6E4B" w:rsidP="0089285A">
            <w:pPr>
              <w:pStyle w:val="Box"/>
            </w:pPr>
            <w:r>
              <w:rPr>
                <w:noProof/>
              </w:rPr>
              <w:drawing>
                <wp:inline distT="0" distB="0" distL="0" distR="0">
                  <wp:extent cx="2296795" cy="765810"/>
                  <wp:effectExtent l="0" t="0" r="8255" b="0"/>
                  <wp:docPr id="44" name="Picture 4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296795" cy="765810"/>
                          </a:xfrm>
                          <a:prstGeom prst="rect">
                            <a:avLst/>
                          </a:prstGeom>
                          <a:noFill/>
                          <a:ln>
                            <a:noFill/>
                          </a:ln>
                        </pic:spPr>
                      </pic:pic>
                    </a:graphicData>
                  </a:graphic>
                </wp:inline>
              </w:drawing>
            </w:r>
            <w:r w:rsidR="0089285A" w:rsidRPr="00AC4C40">
              <w:tab/>
            </w:r>
          </w:p>
          <w:p w:rsidR="0089285A" w:rsidRPr="00AC4C40" w:rsidRDefault="0089285A" w:rsidP="0089285A">
            <w:pPr>
              <w:pStyle w:val="Box"/>
            </w:pPr>
            <w:r w:rsidRPr="00AC4C40">
              <w:t>Where:</w:t>
            </w:r>
          </w:p>
          <w:p w:rsidR="0089285A" w:rsidRDefault="005E6E4B" w:rsidP="0089285A">
            <w:pPr>
              <w:pStyle w:val="Box"/>
            </w:pPr>
            <w:r>
              <w:rPr>
                <w:noProof/>
              </w:rPr>
              <w:drawing>
                <wp:inline distT="0" distB="0" distL="0" distR="0">
                  <wp:extent cx="255270" cy="233680"/>
                  <wp:effectExtent l="0" t="0" r="0" b="0"/>
                  <wp:docPr id="45" name="Picture 4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0089285A" w:rsidRPr="00AC4C40">
              <w:t xml:space="preserve"> is the value in the initial period</w:t>
            </w:r>
            <w:r w:rsidR="0089285A">
              <w:t xml:space="preserve">, </w:t>
            </w:r>
            <w:r>
              <w:rPr>
                <w:noProof/>
              </w:rPr>
              <w:drawing>
                <wp:inline distT="0" distB="0" distL="0" distR="0">
                  <wp:extent cx="255270" cy="233680"/>
                  <wp:effectExtent l="0" t="0" r="0" b="0"/>
                  <wp:docPr id="46" name="Picture 4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0089285A" w:rsidRPr="00AC4C40">
              <w:t xml:space="preserve"> is the value in the last period</w:t>
            </w:r>
            <w:r w:rsidR="0089285A">
              <w:t xml:space="preserve"> and</w:t>
            </w:r>
          </w:p>
          <w:p w:rsidR="0089285A" w:rsidRPr="00AC4C40" w:rsidRDefault="005E6E4B" w:rsidP="0089285A">
            <w:pPr>
              <w:pStyle w:val="Box"/>
            </w:pPr>
            <w:r>
              <w:rPr>
                <w:noProof/>
              </w:rPr>
              <w:drawing>
                <wp:inline distT="0" distB="0" distL="0" distR="0">
                  <wp:extent cx="244475" cy="180975"/>
                  <wp:effectExtent l="0" t="0" r="3175" b="9525"/>
                  <wp:docPr id="47" name="Picture 4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44475" cy="180975"/>
                          </a:xfrm>
                          <a:prstGeom prst="rect">
                            <a:avLst/>
                          </a:prstGeom>
                          <a:noFill/>
                          <a:ln>
                            <a:noFill/>
                          </a:ln>
                        </pic:spPr>
                      </pic:pic>
                    </a:graphicData>
                  </a:graphic>
                </wp:inline>
              </w:drawing>
            </w:r>
            <w:r w:rsidR="0089285A" w:rsidRPr="00AC4C40">
              <w:t xml:space="preserve"> is the number of periods</w:t>
            </w:r>
            <w:r w:rsidR="0089285A">
              <w:t xml:space="preserve"> (which will be one less than the total number of years)</w:t>
            </w:r>
            <w:r w:rsidR="0089285A" w:rsidRPr="00AC4C40">
              <w:t>.</w:t>
            </w:r>
          </w:p>
          <w:p w:rsidR="0089285A" w:rsidRPr="00FB364F" w:rsidRDefault="0089285A" w:rsidP="0089285A">
            <w:pPr>
              <w:pStyle w:val="Box"/>
              <w:rPr>
                <w:b/>
                <w:i/>
              </w:rPr>
            </w:pPr>
            <w:r w:rsidRPr="00FB364F">
              <w:rPr>
                <w:b/>
                <w:i/>
              </w:rPr>
              <w:t>Total growth rate</w:t>
            </w:r>
          </w:p>
          <w:p w:rsidR="0089285A" w:rsidRPr="00AC4C40" w:rsidRDefault="0089285A" w:rsidP="0089285A">
            <w:pPr>
              <w:pStyle w:val="Box"/>
            </w:pPr>
            <w:r w:rsidRPr="00AC4C40">
              <w:t>The formula for calculating the TGR is:</w:t>
            </w:r>
          </w:p>
          <w:p w:rsidR="0089285A" w:rsidRPr="00AC4C40" w:rsidRDefault="005E6E4B" w:rsidP="0089285A">
            <w:pPr>
              <w:pStyle w:val="Box"/>
            </w:pPr>
            <w:r>
              <w:rPr>
                <w:noProof/>
              </w:rPr>
              <w:drawing>
                <wp:inline distT="0" distB="0" distL="0" distR="0">
                  <wp:extent cx="1488440" cy="488950"/>
                  <wp:effectExtent l="0" t="0" r="0" b="6350"/>
                  <wp:docPr id="48" name="Picture 4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88440" cy="488950"/>
                          </a:xfrm>
                          <a:prstGeom prst="rect">
                            <a:avLst/>
                          </a:prstGeom>
                          <a:noFill/>
                          <a:ln>
                            <a:noFill/>
                          </a:ln>
                        </pic:spPr>
                      </pic:pic>
                    </a:graphicData>
                  </a:graphic>
                </wp:inline>
              </w:drawing>
            </w:r>
            <w:r w:rsidR="0089285A" w:rsidRPr="00AC4C40">
              <w:tab/>
            </w:r>
          </w:p>
          <w:p w:rsidR="0089285A" w:rsidRPr="00AC4C40" w:rsidRDefault="0089285A" w:rsidP="0089285A">
            <w:pPr>
              <w:pStyle w:val="Box"/>
            </w:pPr>
            <w:r w:rsidRPr="00AC4C40">
              <w:t>Where:</w:t>
            </w:r>
            <w:r>
              <w:t xml:space="preserve"> </w:t>
            </w:r>
            <w:r w:rsidR="005E6E4B">
              <w:rPr>
                <w:noProof/>
              </w:rPr>
              <w:drawing>
                <wp:inline distT="0" distB="0" distL="0" distR="0">
                  <wp:extent cx="255270" cy="233680"/>
                  <wp:effectExtent l="0" t="0" r="0" b="0"/>
                  <wp:docPr id="49" name="Picture 4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AC4C40">
              <w:t xml:space="preserve"> is the value in the initial period</w:t>
            </w:r>
            <w:r>
              <w:t xml:space="preserve"> and </w:t>
            </w:r>
            <w:r w:rsidR="005E6E4B">
              <w:rPr>
                <w:noProof/>
              </w:rPr>
              <w:drawing>
                <wp:inline distT="0" distB="0" distL="0" distR="0">
                  <wp:extent cx="255270" cy="233680"/>
                  <wp:effectExtent l="0" t="0" r="0" b="0"/>
                  <wp:docPr id="50" name="Picture 5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AC4C40">
              <w:t xml:space="preserve"> is the value in the last period.</w:t>
            </w:r>
          </w:p>
          <w:p w:rsidR="0089285A" w:rsidRPr="00AC4C40" w:rsidRDefault="0089285A" w:rsidP="0089285A">
            <w:pPr>
              <w:pStyle w:val="Box"/>
            </w:pPr>
            <w:r w:rsidRPr="00AC4C40">
              <w:t>The formula for calculating the TGR using a composite of growth rates between sub</w:t>
            </w:r>
            <w:r w:rsidRPr="00AC4C40">
              <w:noBreakHyphen/>
              <w:t>periods within the overall period of analysis is:</w:t>
            </w:r>
          </w:p>
          <w:p w:rsidR="0089285A" w:rsidRPr="00586FD8" w:rsidRDefault="005E6E4B" w:rsidP="0089285A">
            <w:pPr>
              <w:pStyle w:val="Box"/>
            </w:pPr>
            <w:r>
              <w:rPr>
                <w:noProof/>
              </w:rPr>
              <w:drawing>
                <wp:inline distT="0" distB="0" distL="0" distR="0">
                  <wp:extent cx="1775460" cy="255270"/>
                  <wp:effectExtent l="0" t="0" r="0" b="0"/>
                  <wp:docPr id="51" name="Picture 5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775460" cy="255270"/>
                          </a:xfrm>
                          <a:prstGeom prst="rect">
                            <a:avLst/>
                          </a:prstGeom>
                          <a:noFill/>
                          <a:ln>
                            <a:noFill/>
                          </a:ln>
                        </pic:spPr>
                      </pic:pic>
                    </a:graphicData>
                  </a:graphic>
                </wp:inline>
              </w:drawing>
            </w:r>
            <w:r w:rsidR="0089285A" w:rsidRPr="00586FD8">
              <w:tab/>
            </w:r>
          </w:p>
          <w:p w:rsidR="0089285A" w:rsidRPr="00AC4C40" w:rsidRDefault="0089285A" w:rsidP="0089285A">
            <w:pPr>
              <w:pStyle w:val="Box"/>
            </w:pPr>
            <w:r w:rsidRPr="00AC4C40">
              <w:t>That is, the TGR over the period is found by taking the product (</w:t>
            </w:r>
            <w:r w:rsidR="005E6E4B">
              <w:rPr>
                <w:noProof/>
              </w:rPr>
              <w:drawing>
                <wp:inline distT="0" distB="0" distL="0" distR="0">
                  <wp:extent cx="287020" cy="255270"/>
                  <wp:effectExtent l="0" t="0" r="0" b="0"/>
                  <wp:docPr id="52" name="Picture 5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87020" cy="255270"/>
                          </a:xfrm>
                          <a:prstGeom prst="rect">
                            <a:avLst/>
                          </a:prstGeom>
                          <a:noFill/>
                          <a:ln>
                            <a:noFill/>
                          </a:ln>
                        </pic:spPr>
                      </pic:pic>
                    </a:graphicData>
                  </a:graphic>
                </wp:inline>
              </w:drawing>
            </w:r>
            <w:r w:rsidRPr="00AC4C40">
              <w:t xml:space="preserve">) of each </w:t>
            </w:r>
            <w:r w:rsidR="005E6E4B">
              <w:rPr>
                <w:noProof/>
              </w:rPr>
              <w:drawing>
                <wp:inline distT="0" distB="0" distL="0" distR="0">
                  <wp:extent cx="446405" cy="233680"/>
                  <wp:effectExtent l="0" t="0" r="0" b="0"/>
                  <wp:docPr id="53" name="Picture 5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46405" cy="233680"/>
                          </a:xfrm>
                          <a:prstGeom prst="rect">
                            <a:avLst/>
                          </a:prstGeom>
                          <a:noFill/>
                          <a:ln>
                            <a:noFill/>
                          </a:ln>
                        </pic:spPr>
                      </pic:pic>
                    </a:graphicData>
                  </a:graphic>
                </wp:inline>
              </w:drawing>
            </w:r>
            <w:r w:rsidRPr="00AC4C40">
              <w:t xml:space="preserve"> and deducting 1. This is multiplied by 100 so the growth rate is expressed as a percentage. If, for example, the sample ranges of growth rates are:</w:t>
            </w:r>
            <w:r>
              <w:t xml:space="preserve"> </w:t>
            </w:r>
            <w:r w:rsidRPr="00AC4C40">
              <w:t>6 per cent in 2010</w:t>
            </w:r>
            <w:r w:rsidRPr="00AC4C40">
              <w:noBreakHyphen/>
              <w:t>11 to 2011</w:t>
            </w:r>
            <w:r w:rsidRPr="00AC4C40">
              <w:noBreakHyphen/>
              <w:t>12</w:t>
            </w:r>
            <w:r>
              <w:t xml:space="preserve">; </w:t>
            </w:r>
            <w:r w:rsidRPr="00AC4C40">
              <w:t>6 per cent in 2011</w:t>
            </w:r>
            <w:r w:rsidRPr="00AC4C40">
              <w:noBreakHyphen/>
              <w:t>12 to 2012</w:t>
            </w:r>
            <w:r w:rsidRPr="00AC4C40">
              <w:noBreakHyphen/>
              <w:t>13</w:t>
            </w:r>
            <w:r>
              <w:t xml:space="preserve">; </w:t>
            </w:r>
            <w:r w:rsidRPr="00AC4C40">
              <w:t>8 per cent in 2012</w:t>
            </w:r>
            <w:r w:rsidRPr="00AC4C40">
              <w:noBreakHyphen/>
              <w:t>13 to 2013</w:t>
            </w:r>
            <w:r w:rsidRPr="00AC4C40">
              <w:noBreakHyphen/>
              <w:t>14</w:t>
            </w:r>
            <w:r>
              <w:t xml:space="preserve">; </w:t>
            </w:r>
            <w:r w:rsidRPr="00AC4C40">
              <w:t>then the total growth over the period 2010</w:t>
            </w:r>
            <w:r w:rsidRPr="00AC4C40">
              <w:noBreakHyphen/>
              <w:t>11 to 2013</w:t>
            </w:r>
            <w:r w:rsidRPr="00AC4C40">
              <w:noBreakHyphen/>
              <w:t>14 can be calculated as:</w:t>
            </w:r>
          </w:p>
          <w:p w:rsidR="0089285A" w:rsidRDefault="005E6E4B" w:rsidP="0089285A">
            <w:pPr>
              <w:pStyle w:val="Box"/>
            </w:pPr>
            <w:r>
              <w:rPr>
                <w:noProof/>
              </w:rPr>
              <w:drawing>
                <wp:inline distT="0" distB="0" distL="0" distR="0">
                  <wp:extent cx="2371090" cy="680720"/>
                  <wp:effectExtent l="0" t="0" r="0" b="5080"/>
                  <wp:docPr id="54" name="Picture 5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71090" cy="680720"/>
                          </a:xfrm>
                          <a:prstGeom prst="rect">
                            <a:avLst/>
                          </a:prstGeom>
                          <a:noFill/>
                          <a:ln>
                            <a:noFill/>
                          </a:ln>
                        </pic:spPr>
                      </pic:pic>
                    </a:graphicData>
                  </a:graphic>
                </wp:inline>
              </w:drawing>
            </w:r>
          </w:p>
        </w:tc>
      </w:tr>
      <w:tr w:rsidR="0089285A" w:rsidTr="0089285A">
        <w:trPr>
          <w:cantSplit/>
        </w:trPr>
        <w:tc>
          <w:tcPr>
            <w:tcW w:w="8771" w:type="dxa"/>
            <w:tcBorders>
              <w:top w:val="nil"/>
              <w:left w:val="nil"/>
              <w:bottom w:val="single" w:sz="6" w:space="0" w:color="78A22F"/>
              <w:right w:val="nil"/>
            </w:tcBorders>
            <w:shd w:val="clear" w:color="auto" w:fill="F2F2F2"/>
          </w:tcPr>
          <w:p w:rsidR="0089285A" w:rsidRDefault="0089285A">
            <w:pPr>
              <w:pStyle w:val="Box"/>
              <w:spacing w:before="0" w:line="120" w:lineRule="exact"/>
            </w:pPr>
          </w:p>
        </w:tc>
      </w:tr>
      <w:tr w:rsidR="0089285A" w:rsidRPr="000863A5" w:rsidTr="0089285A">
        <w:tc>
          <w:tcPr>
            <w:tcW w:w="8771" w:type="dxa"/>
            <w:tcBorders>
              <w:top w:val="single" w:sz="6" w:space="0" w:color="78A22F"/>
              <w:left w:val="nil"/>
              <w:bottom w:val="nil"/>
              <w:right w:val="nil"/>
            </w:tcBorders>
          </w:tcPr>
          <w:p w:rsidR="0089285A" w:rsidRPr="00626D32" w:rsidRDefault="0089285A" w:rsidP="0089285A">
            <w:pPr>
              <w:pStyle w:val="BoxSpaceBelow"/>
            </w:pPr>
          </w:p>
        </w:tc>
      </w:tr>
    </w:tbl>
    <w:p w:rsidR="0089285A" w:rsidRDefault="004D5B38" w:rsidP="0089285A">
      <w:pPr>
        <w:pStyle w:val="Heading3"/>
      </w:pPr>
      <w:bookmarkStart w:id="27" w:name="_Toc437961496"/>
      <w:r>
        <w:t xml:space="preserve">Age standardisation </w:t>
      </w:r>
      <w:r w:rsidR="0089285A" w:rsidRPr="00AC4C40">
        <w:t>of data</w:t>
      </w:r>
      <w:bookmarkEnd w:id="27"/>
      <w:r w:rsidR="0089285A">
        <w:t xml:space="preserve"> </w:t>
      </w:r>
    </w:p>
    <w:p w:rsidR="004D5B38" w:rsidRDefault="004D5B38" w:rsidP="004D5B38">
      <w:pPr>
        <w:pStyle w:val="Heading4"/>
      </w:pPr>
      <w:r>
        <w:t>Rationale for age standardisation of data</w:t>
      </w:r>
    </w:p>
    <w:p w:rsidR="004D5B38" w:rsidRDefault="004D5B38" w:rsidP="004D5B38">
      <w:pPr>
        <w:pStyle w:val="BodyText"/>
      </w:pPr>
      <w:r w:rsidRPr="00E83184">
        <w:t>The age profile of Australians varies across jurisdictions, periods of time, geographic areas and/or population sub</w:t>
      </w:r>
      <w:r w:rsidRPr="00E83184">
        <w:noBreakHyphen/>
        <w:t>groups (for example, between Aboriginal and Torres Strait Islander and non</w:t>
      </w:r>
      <w:r w:rsidRPr="00E83184">
        <w:noBreakHyphen/>
        <w:t xml:space="preserve">Indigenous populations). Variations in age profiles are important because they can </w:t>
      </w:r>
      <w:r w:rsidRPr="00E83184">
        <w:lastRenderedPageBreak/>
        <w:t>affect the likelihood of using a particular service (such as a public hospital) or particular ‘events’ occurring (such as death, incidence of disease or incarceration). Age standardisation adjusts for the effect of variations in age profiles when comparing service usage, or rates, of particular events across different populations</w:t>
      </w:r>
      <w:r>
        <w:t>.</w:t>
      </w:r>
    </w:p>
    <w:p w:rsidR="004D5B38" w:rsidRDefault="004D5B38" w:rsidP="004D5B38">
      <w:pPr>
        <w:pStyle w:val="Heading4"/>
      </w:pPr>
      <w:r>
        <w:t>Calculating age standardised rates</w:t>
      </w:r>
    </w:p>
    <w:p w:rsidR="004D5B38" w:rsidRPr="00E83184" w:rsidRDefault="004D5B38" w:rsidP="004D5B38">
      <w:pPr>
        <w:pStyle w:val="BodyText"/>
      </w:pPr>
      <w:r w:rsidRPr="00E83184">
        <w:t>Age standardisation adjusts each of the comparison/study populations (for example, Aboriginal and Torres Strait Islander and non</w:t>
      </w:r>
      <w:r w:rsidRPr="00E83184">
        <w:noBreakHyphen/>
        <w:t>Indigenous populations) against a standard population (box</w:t>
      </w:r>
      <w:r w:rsidR="00021101">
        <w:t> </w:t>
      </w:r>
      <w:r w:rsidRPr="00E83184">
        <w:t>2.7).</w:t>
      </w:r>
      <w:r>
        <w:t xml:space="preserve"> </w:t>
      </w:r>
      <w:r w:rsidRPr="00E83184">
        <w:t xml:space="preserve">The latest standard population used is the final 30 June ERP </w:t>
      </w:r>
      <w:r w:rsidRPr="00A14012">
        <w:t>for the 2001 (AIHW 2015).</w:t>
      </w:r>
      <w:r>
        <w:rPr>
          <w:rStyle w:val="FootnoteReference"/>
        </w:rPr>
        <w:footnoteReference w:id="3"/>
      </w:r>
      <w:r w:rsidRPr="00E83184">
        <w:t xml:space="preserve"> The result is a standardised estimate for each of the comparison/study populations.</w:t>
      </w:r>
    </w:p>
    <w:p w:rsidR="004D5B38" w:rsidRDefault="004D5B38" w:rsidP="004D5B38">
      <w:pPr>
        <w:pStyle w:val="BodyText"/>
      </w:pPr>
      <w:r w:rsidRPr="00E83184">
        <w:t>The Review generally reports age</w:t>
      </w:r>
      <w:r>
        <w:t xml:space="preserve"> </w:t>
      </w:r>
      <w:r w:rsidRPr="00E83184">
        <w:t>standardised rates that have been calculated using either one of two methods, as appropriate. The direct method is generally used for comparisons between study groups</w:t>
      </w:r>
      <w:r>
        <w:t xml:space="preserve">, and is recommended by AIHW (2011b) for the purposes of comparing </w:t>
      </w:r>
      <w:r w:rsidRPr="002D58DD">
        <w:t>health and welfare outcome measures (for example, mortality rates, life expectancy, hospital separation rates and disease incidence rates) of the Aboriginal and Torres Strait Islander population and non</w:t>
      </w:r>
      <w:r w:rsidRPr="002D58DD">
        <w:noBreakHyphen/>
        <w:t>Indigenous population</w:t>
      </w:r>
      <w:r w:rsidRPr="00E83184">
        <w:t>. The indirect method is recommended when the age</w:t>
      </w:r>
      <w:r w:rsidRPr="00E83184">
        <w:noBreakHyphen/>
        <w:t xml:space="preserve">specific rates </w:t>
      </w:r>
      <w:r w:rsidRPr="00A14012">
        <w:t>for the population being studied are not known (or are unreliable), but the total number of events is known (AIHW 2015)</w:t>
      </w:r>
      <w:r>
        <w:t>.</w:t>
      </w:r>
    </w:p>
    <w:p w:rsidR="004D5B38" w:rsidRPr="00E83184" w:rsidRDefault="004D5B38" w:rsidP="004D5B38">
      <w:pPr>
        <w:pStyle w:val="BodyText"/>
      </w:pPr>
      <w:r w:rsidRPr="00E83184">
        <w:t xml:space="preserve">The </w:t>
      </w:r>
      <w:r w:rsidRPr="00E83184">
        <w:rPr>
          <w:i/>
        </w:rPr>
        <w:t>direct</w:t>
      </w:r>
      <w:r w:rsidRPr="00E83184">
        <w:t xml:space="preserve"> </w:t>
      </w:r>
      <w:r w:rsidRPr="00E83184">
        <w:rPr>
          <w:i/>
        </w:rPr>
        <w:t>method</w:t>
      </w:r>
      <w:r w:rsidRPr="00E83184">
        <w:t xml:space="preserve"> has three steps:</w:t>
      </w:r>
    </w:p>
    <w:p w:rsidR="004D5B38" w:rsidRDefault="004D5B38" w:rsidP="004D5B38">
      <w:pPr>
        <w:pStyle w:val="ListBullet"/>
        <w:numPr>
          <w:ilvl w:val="0"/>
          <w:numId w:val="0"/>
        </w:numPr>
        <w:ind w:left="340"/>
      </w:pPr>
      <w:r>
        <w:t xml:space="preserve">Step 1: </w:t>
      </w:r>
      <w:r w:rsidRPr="00E83184">
        <w:t>Calculate the age</w:t>
      </w:r>
      <w:r w:rsidRPr="00E83184">
        <w:noBreakHyphen/>
        <w:t>specific rate for each age group for the study/comparison group.</w:t>
      </w:r>
    </w:p>
    <w:p w:rsidR="004D5B38" w:rsidRDefault="004D5B38" w:rsidP="004D5B38">
      <w:pPr>
        <w:pStyle w:val="ListBullet"/>
        <w:numPr>
          <w:ilvl w:val="0"/>
          <w:numId w:val="0"/>
        </w:numPr>
        <w:ind w:left="340"/>
      </w:pPr>
      <w:r w:rsidRPr="00E83184">
        <w:t>Step 2: Calculate the expected number of ‘events’ in each age group by multiplying the age</w:t>
      </w:r>
      <w:r w:rsidRPr="00E83184">
        <w:noBreakHyphen/>
        <w:t>specific rates by the corresponding standard population.</w:t>
      </w:r>
    </w:p>
    <w:p w:rsidR="0089285A" w:rsidRDefault="004D5B38" w:rsidP="004D5B38">
      <w:pPr>
        <w:pStyle w:val="ListBullet"/>
        <w:numPr>
          <w:ilvl w:val="0"/>
          <w:numId w:val="0"/>
        </w:numPr>
        <w:ind w:left="340"/>
      </w:pPr>
      <w:r w:rsidRPr="00E83184">
        <w:t>Step 3: Sum the expected number of cases in each age group and divide by the total of the standard population</w:t>
      </w:r>
      <w:r>
        <w:t>.</w:t>
      </w:r>
    </w:p>
    <w:p w:rsidR="004D5B38" w:rsidRPr="00E83184" w:rsidRDefault="004D5B38" w:rsidP="004D5B38">
      <w:pPr>
        <w:pStyle w:val="BodyText"/>
      </w:pPr>
      <w:r w:rsidRPr="00E83184">
        <w:t xml:space="preserve">The </w:t>
      </w:r>
      <w:r w:rsidRPr="00E83184">
        <w:rPr>
          <w:i/>
        </w:rPr>
        <w:t>indirect method</w:t>
      </w:r>
      <w:r w:rsidRPr="00E83184">
        <w:t xml:space="preserve"> has four steps:</w:t>
      </w:r>
    </w:p>
    <w:p w:rsidR="004D5B38" w:rsidRDefault="004D5B38" w:rsidP="004D5B38">
      <w:pPr>
        <w:pStyle w:val="ListBullet"/>
        <w:numPr>
          <w:ilvl w:val="0"/>
          <w:numId w:val="0"/>
        </w:numPr>
        <w:ind w:left="340"/>
      </w:pPr>
      <w:r w:rsidRPr="00E83184">
        <w:t>Step 1: Calculate the age</w:t>
      </w:r>
      <w:r w:rsidRPr="00E83184">
        <w:noBreakHyphen/>
        <w:t>specific rates for each age group in the standard population.</w:t>
      </w:r>
      <w:r>
        <w:t xml:space="preserve"> </w:t>
      </w:r>
    </w:p>
    <w:p w:rsidR="004D5B38" w:rsidRDefault="004D5B38" w:rsidP="004D5B38">
      <w:pPr>
        <w:pStyle w:val="ListBullet"/>
        <w:numPr>
          <w:ilvl w:val="0"/>
          <w:numId w:val="0"/>
        </w:numPr>
        <w:ind w:left="340"/>
      </w:pPr>
      <w:r w:rsidRPr="00E83184">
        <w:t>Step 2: Apply the age</w:t>
      </w:r>
      <w:r w:rsidRPr="00E83184">
        <w:noBreakHyphen/>
        <w:t>specific rates resulting from step 1 to the number in each age group of the study population and sum to derive the total ‘expected’ number of cases for the study population.</w:t>
      </w:r>
    </w:p>
    <w:p w:rsidR="004D5B38" w:rsidRDefault="004D5B38" w:rsidP="004D5B38">
      <w:pPr>
        <w:pStyle w:val="ListBullet"/>
        <w:numPr>
          <w:ilvl w:val="0"/>
          <w:numId w:val="0"/>
        </w:numPr>
        <w:ind w:left="340"/>
      </w:pPr>
      <w:r w:rsidRPr="00E83184">
        <w:t>Step 3: Divide the observed number of events in the study population by the ‘expected’ number of cases for the study population derived in step 2.</w:t>
      </w:r>
    </w:p>
    <w:p w:rsidR="004D5B38" w:rsidRDefault="004D5B38" w:rsidP="004D5B38">
      <w:pPr>
        <w:pStyle w:val="ListBullet"/>
        <w:numPr>
          <w:ilvl w:val="0"/>
          <w:numId w:val="0"/>
        </w:numPr>
        <w:ind w:left="340"/>
      </w:pPr>
      <w:r w:rsidRPr="00E83184">
        <w:t>Step 4: Multiply the result of step 3 by the crude rate in the standard population.</w:t>
      </w:r>
    </w:p>
    <w:p w:rsidR="004D5B38" w:rsidRDefault="004D5B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B38" w:rsidTr="00511040">
        <w:tc>
          <w:tcPr>
            <w:tcW w:w="8771" w:type="dxa"/>
            <w:tcBorders>
              <w:top w:val="single" w:sz="6" w:space="0" w:color="78A22F"/>
              <w:left w:val="nil"/>
              <w:bottom w:val="nil"/>
              <w:right w:val="nil"/>
            </w:tcBorders>
            <w:shd w:val="clear" w:color="auto" w:fill="F2F2F2"/>
          </w:tcPr>
          <w:p w:rsidR="004D5B38" w:rsidRDefault="004D5B38">
            <w:pPr>
              <w:pStyle w:val="BoxTitle"/>
            </w:pPr>
            <w:r>
              <w:rPr>
                <w:b w:val="0"/>
              </w:rPr>
              <w:t>Box 2.</w:t>
            </w:r>
            <w:r w:rsidR="00862E04">
              <w:rPr>
                <w:b w:val="0"/>
                <w:noProof/>
              </w:rPr>
              <w:t>7</w:t>
            </w:r>
            <w:r>
              <w:tab/>
              <w:t>D</w:t>
            </w:r>
            <w:r w:rsidRPr="00E83184">
              <w:t>irect and indirect age standardisation</w:t>
            </w:r>
          </w:p>
        </w:tc>
      </w:tr>
      <w:tr w:rsidR="004D5B38" w:rsidTr="00511040">
        <w:trPr>
          <w:cantSplit/>
        </w:trPr>
        <w:tc>
          <w:tcPr>
            <w:tcW w:w="8771" w:type="dxa"/>
            <w:tcBorders>
              <w:top w:val="nil"/>
              <w:left w:val="nil"/>
              <w:bottom w:val="nil"/>
              <w:right w:val="nil"/>
            </w:tcBorders>
            <w:shd w:val="clear" w:color="auto" w:fill="F2F2F2"/>
          </w:tcPr>
          <w:p w:rsidR="004D5B38" w:rsidRPr="00E83184" w:rsidRDefault="004D5B38" w:rsidP="004D5B38">
            <w:pPr>
              <w:pStyle w:val="Box"/>
            </w:pPr>
            <w:r w:rsidRPr="00E83184">
              <w:t xml:space="preserve">The formula for deriving the age standardised rate using the </w:t>
            </w:r>
            <w:r w:rsidRPr="00F80A5D">
              <w:rPr>
                <w:i/>
              </w:rPr>
              <w:t>direct method</w:t>
            </w:r>
            <w:r w:rsidRPr="00E83184">
              <w:t xml:space="preserve"> is:</w:t>
            </w:r>
          </w:p>
          <w:p w:rsidR="004D5B38" w:rsidRPr="00E83184" w:rsidRDefault="005E6E4B" w:rsidP="004D5B38">
            <w:pPr>
              <w:pStyle w:val="Box"/>
            </w:pPr>
            <w:r>
              <w:rPr>
                <w:noProof/>
                <w:color w:val="FF99CC"/>
                <w:position w:val="-32"/>
              </w:rPr>
              <w:drawing>
                <wp:inline distT="0" distB="0" distL="0" distR="0">
                  <wp:extent cx="903605" cy="488950"/>
                  <wp:effectExtent l="0" t="0" r="0" b="6350"/>
                  <wp:docPr id="55" name="Picture 5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03605" cy="488950"/>
                          </a:xfrm>
                          <a:prstGeom prst="rect">
                            <a:avLst/>
                          </a:prstGeom>
                          <a:noFill/>
                          <a:ln>
                            <a:noFill/>
                          </a:ln>
                        </pic:spPr>
                      </pic:pic>
                    </a:graphicData>
                  </a:graphic>
                </wp:inline>
              </w:drawing>
            </w:r>
            <w:r w:rsidR="004D5B38" w:rsidRPr="00E83184">
              <w:rPr>
                <w:color w:val="FF99CC"/>
                <w:position w:val="-32"/>
              </w:rPr>
              <w:t xml:space="preserve"> </w:t>
            </w:r>
            <w:r w:rsidR="004D5B38" w:rsidRPr="00E83184">
              <w:tab/>
            </w:r>
          </w:p>
          <w:p w:rsidR="004D5B38" w:rsidRPr="00E83184" w:rsidRDefault="004D5B38" w:rsidP="004D5B38">
            <w:pPr>
              <w:pStyle w:val="Box"/>
            </w:pPr>
            <w:r w:rsidRPr="00E83184">
              <w:t xml:space="preserve">The formula for deriving the age standardised rate using the </w:t>
            </w:r>
            <w:r w:rsidRPr="00F80A5D">
              <w:rPr>
                <w:i/>
              </w:rPr>
              <w:t>indirect method</w:t>
            </w:r>
            <w:r w:rsidRPr="00E83184">
              <w:t xml:space="preserve"> is:</w:t>
            </w:r>
          </w:p>
          <w:p w:rsidR="004D5B38" w:rsidRPr="00E83184" w:rsidRDefault="005E6E4B" w:rsidP="004D5B38">
            <w:pPr>
              <w:pStyle w:val="Box"/>
            </w:pPr>
            <w:r>
              <w:rPr>
                <w:noProof/>
              </w:rPr>
              <w:drawing>
                <wp:inline distT="0" distB="0" distL="0" distR="0">
                  <wp:extent cx="1190625" cy="446405"/>
                  <wp:effectExtent l="0" t="0" r="9525" b="0"/>
                  <wp:docPr id="56" name="Picture 5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190625" cy="446405"/>
                          </a:xfrm>
                          <a:prstGeom prst="rect">
                            <a:avLst/>
                          </a:prstGeom>
                          <a:noFill/>
                          <a:ln>
                            <a:noFill/>
                          </a:ln>
                        </pic:spPr>
                      </pic:pic>
                    </a:graphicData>
                  </a:graphic>
                </wp:inline>
              </w:drawing>
            </w:r>
            <w:r w:rsidR="004D5B38" w:rsidRPr="00E83184">
              <w:tab/>
            </w:r>
          </w:p>
          <w:p w:rsidR="004D5B38" w:rsidRPr="00E83184" w:rsidRDefault="004D5B38" w:rsidP="004D5B38">
            <w:pPr>
              <w:pStyle w:val="Box"/>
            </w:pPr>
            <w:r w:rsidRPr="00E83184">
              <w:t xml:space="preserve">The formula for deriving the age standardised ratio using the </w:t>
            </w:r>
            <w:r w:rsidRPr="00F80A5D">
              <w:rPr>
                <w:i/>
              </w:rPr>
              <w:t>indirect method</w:t>
            </w:r>
            <w:r w:rsidRPr="00E83184">
              <w:t xml:space="preserve"> is:</w:t>
            </w:r>
          </w:p>
          <w:p w:rsidR="004D5B38" w:rsidRPr="00E83184" w:rsidRDefault="005E6E4B" w:rsidP="004D5B38">
            <w:pPr>
              <w:pStyle w:val="Box"/>
            </w:pPr>
            <w:r>
              <w:rPr>
                <w:noProof/>
              </w:rPr>
              <w:drawing>
                <wp:inline distT="0" distB="0" distL="0" distR="0">
                  <wp:extent cx="1031240" cy="446405"/>
                  <wp:effectExtent l="0" t="0" r="0" b="0"/>
                  <wp:docPr id="57" name="Picture 5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031240" cy="446405"/>
                          </a:xfrm>
                          <a:prstGeom prst="rect">
                            <a:avLst/>
                          </a:prstGeom>
                          <a:noFill/>
                          <a:ln>
                            <a:noFill/>
                          </a:ln>
                        </pic:spPr>
                      </pic:pic>
                    </a:graphicData>
                  </a:graphic>
                </wp:inline>
              </w:drawing>
            </w:r>
            <w:r w:rsidR="004D5B38" w:rsidRPr="00E83184">
              <w:tab/>
            </w:r>
          </w:p>
          <w:p w:rsidR="004D5B38" w:rsidRPr="00E83184" w:rsidRDefault="004D5B38" w:rsidP="004D5B38">
            <w:pPr>
              <w:pStyle w:val="Box"/>
            </w:pPr>
            <w:r w:rsidRPr="00E83184">
              <w:t>Where:</w:t>
            </w:r>
          </w:p>
          <w:p w:rsidR="004D5B38" w:rsidRDefault="005E6E4B" w:rsidP="004D5B38">
            <w:pPr>
              <w:pStyle w:val="Box"/>
            </w:pPr>
            <w:r>
              <w:rPr>
                <w:noProof/>
              </w:rPr>
              <w:drawing>
                <wp:inline distT="0" distB="0" distL="0" distR="0">
                  <wp:extent cx="233680" cy="180975"/>
                  <wp:effectExtent l="0" t="0" r="0" b="9525"/>
                  <wp:docPr id="58" name="Picture 5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33680" cy="180975"/>
                          </a:xfrm>
                          <a:prstGeom prst="rect">
                            <a:avLst/>
                          </a:prstGeom>
                          <a:noFill/>
                          <a:ln>
                            <a:noFill/>
                          </a:ln>
                        </pic:spPr>
                      </pic:pic>
                    </a:graphicData>
                  </a:graphic>
                </wp:inline>
              </w:drawing>
            </w:r>
            <w:r w:rsidR="004D5B38" w:rsidRPr="00E83184">
              <w:t xml:space="preserve"> is the age</w:t>
            </w:r>
            <w:r w:rsidR="004D5B38" w:rsidRPr="00E83184">
              <w:noBreakHyphen/>
              <w:t>standardised rate for the population being studied</w:t>
            </w:r>
          </w:p>
          <w:p w:rsidR="004D5B38" w:rsidRDefault="005E6E4B" w:rsidP="004D5B38">
            <w:pPr>
              <w:pStyle w:val="Box"/>
            </w:pPr>
            <w:r>
              <w:rPr>
                <w:noProof/>
              </w:rPr>
              <w:drawing>
                <wp:inline distT="0" distB="0" distL="0" distR="0">
                  <wp:extent cx="255270" cy="233680"/>
                  <wp:effectExtent l="0" t="0" r="0" b="0"/>
                  <wp:docPr id="59" name="Picture 5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004D5B38" w:rsidRPr="00E83184">
              <w:t xml:space="preserve"> is the standardised ratio for the population being studied</w:t>
            </w:r>
          </w:p>
          <w:p w:rsidR="004D5B38" w:rsidRDefault="005E6E4B" w:rsidP="004D5B38">
            <w:pPr>
              <w:pStyle w:val="Box"/>
            </w:pPr>
            <w:r>
              <w:rPr>
                <w:noProof/>
              </w:rPr>
              <w:drawing>
                <wp:inline distT="0" distB="0" distL="0" distR="0">
                  <wp:extent cx="116840" cy="233680"/>
                  <wp:effectExtent l="0" t="0" r="0" b="0"/>
                  <wp:docPr id="60" name="Picture 6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16840" cy="233680"/>
                          </a:xfrm>
                          <a:prstGeom prst="rect">
                            <a:avLst/>
                          </a:prstGeom>
                          <a:noFill/>
                          <a:ln>
                            <a:noFill/>
                          </a:ln>
                        </pic:spPr>
                      </pic:pic>
                    </a:graphicData>
                  </a:graphic>
                </wp:inline>
              </w:drawing>
            </w:r>
            <w:r w:rsidR="004D5B38" w:rsidRPr="00E83184">
              <w:t xml:space="preserve"> is the age</w:t>
            </w:r>
            <w:r w:rsidR="004D5B38" w:rsidRPr="00E83184">
              <w:noBreakHyphen/>
              <w:t xml:space="preserve">group specific rate for age group </w:t>
            </w:r>
            <w:proofErr w:type="spellStart"/>
            <w:r w:rsidR="004D5B38" w:rsidRPr="00E83184">
              <w:rPr>
                <w:b/>
                <w:i/>
              </w:rPr>
              <w:t>i</w:t>
            </w:r>
            <w:proofErr w:type="spellEnd"/>
            <w:r w:rsidR="004D5B38" w:rsidRPr="00E83184">
              <w:t xml:space="preserve"> in the population being studied</w:t>
            </w:r>
          </w:p>
          <w:p w:rsidR="004D5B38" w:rsidRDefault="005E6E4B" w:rsidP="004D5B38">
            <w:pPr>
              <w:pStyle w:val="Box"/>
            </w:pPr>
            <w:r>
              <w:rPr>
                <w:noProof/>
              </w:rPr>
              <w:drawing>
                <wp:inline distT="0" distB="0" distL="0" distR="0">
                  <wp:extent cx="148590" cy="233680"/>
                  <wp:effectExtent l="0" t="0" r="3810" b="0"/>
                  <wp:docPr id="61" name="Picture 6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8590" cy="233680"/>
                          </a:xfrm>
                          <a:prstGeom prst="rect">
                            <a:avLst/>
                          </a:prstGeom>
                          <a:noFill/>
                          <a:ln>
                            <a:noFill/>
                          </a:ln>
                        </pic:spPr>
                      </pic:pic>
                    </a:graphicData>
                  </a:graphic>
                </wp:inline>
              </w:drawing>
            </w:r>
            <w:r w:rsidR="004D5B38" w:rsidRPr="00E83184">
              <w:t xml:space="preserve"> is the population of age group </w:t>
            </w:r>
            <w:proofErr w:type="spellStart"/>
            <w:r w:rsidR="004D5B38" w:rsidRPr="00E83184">
              <w:rPr>
                <w:b/>
                <w:i/>
              </w:rPr>
              <w:t>i</w:t>
            </w:r>
            <w:proofErr w:type="spellEnd"/>
            <w:r w:rsidR="004D5B38" w:rsidRPr="00E83184">
              <w:t xml:space="preserve"> in the standard population</w:t>
            </w:r>
          </w:p>
          <w:p w:rsidR="004D5B38" w:rsidRDefault="005E6E4B" w:rsidP="004D5B38">
            <w:pPr>
              <w:pStyle w:val="Box"/>
            </w:pPr>
            <w:r>
              <w:rPr>
                <w:noProof/>
              </w:rPr>
              <w:drawing>
                <wp:inline distT="0" distB="0" distL="0" distR="0">
                  <wp:extent cx="148590" cy="180975"/>
                  <wp:effectExtent l="0" t="0" r="3810" b="9525"/>
                  <wp:docPr id="62" name="Picture 6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8590" cy="180975"/>
                          </a:xfrm>
                          <a:prstGeom prst="rect">
                            <a:avLst/>
                          </a:prstGeom>
                          <a:noFill/>
                          <a:ln>
                            <a:noFill/>
                          </a:ln>
                        </pic:spPr>
                      </pic:pic>
                    </a:graphicData>
                  </a:graphic>
                </wp:inline>
              </w:drawing>
            </w:r>
            <w:r w:rsidR="004D5B38" w:rsidRPr="00E83184">
              <w:t xml:space="preserve"> is the observed number of events in the population being studied</w:t>
            </w:r>
          </w:p>
          <w:p w:rsidR="004D5B38" w:rsidRDefault="005E6E4B" w:rsidP="004D5B38">
            <w:pPr>
              <w:pStyle w:val="Box"/>
            </w:pPr>
            <w:r>
              <w:rPr>
                <w:noProof/>
              </w:rPr>
              <w:drawing>
                <wp:inline distT="0" distB="0" distL="0" distR="0">
                  <wp:extent cx="605790" cy="255270"/>
                  <wp:effectExtent l="0" t="0" r="3810" b="0"/>
                  <wp:docPr id="63" name="Picture 6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05790" cy="255270"/>
                          </a:xfrm>
                          <a:prstGeom prst="rect">
                            <a:avLst/>
                          </a:prstGeom>
                          <a:noFill/>
                          <a:ln>
                            <a:noFill/>
                          </a:ln>
                        </pic:spPr>
                      </pic:pic>
                    </a:graphicData>
                  </a:graphic>
                </wp:inline>
              </w:drawing>
            </w:r>
            <w:r w:rsidR="004D5B38" w:rsidRPr="00E83184">
              <w:t xml:space="preserve"> is the expected number of events in the population being studied</w:t>
            </w:r>
          </w:p>
          <w:p w:rsidR="004D5B38" w:rsidRDefault="005E6E4B" w:rsidP="004D5B38">
            <w:pPr>
              <w:pStyle w:val="Box"/>
            </w:pPr>
            <w:r>
              <w:rPr>
                <w:noProof/>
              </w:rPr>
              <w:drawing>
                <wp:inline distT="0" distB="0" distL="0" distR="0">
                  <wp:extent cx="191135" cy="233680"/>
                  <wp:effectExtent l="0" t="0" r="0" b="0"/>
                  <wp:docPr id="64" name="Picture 6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004D5B38" w:rsidRPr="00E83184">
              <w:t xml:space="preserve"> is the age</w:t>
            </w:r>
            <w:r w:rsidR="004D5B38" w:rsidRPr="00E83184">
              <w:noBreakHyphen/>
              <w:t xml:space="preserve">group specific rate for age group </w:t>
            </w:r>
            <w:proofErr w:type="spellStart"/>
            <w:r w:rsidR="004D5B38" w:rsidRPr="00E83184">
              <w:rPr>
                <w:b/>
                <w:i/>
              </w:rPr>
              <w:t>i</w:t>
            </w:r>
            <w:proofErr w:type="spellEnd"/>
            <w:r w:rsidR="004D5B38" w:rsidRPr="00E83184">
              <w:t xml:space="preserve"> in the standard population</w:t>
            </w:r>
          </w:p>
          <w:p w:rsidR="004D5B38" w:rsidRDefault="005E6E4B" w:rsidP="004D5B38">
            <w:pPr>
              <w:pStyle w:val="Box"/>
            </w:pPr>
            <w:r>
              <w:rPr>
                <w:noProof/>
              </w:rPr>
              <w:drawing>
                <wp:inline distT="0" distB="0" distL="0" distR="0">
                  <wp:extent cx="180975" cy="233680"/>
                  <wp:effectExtent l="0" t="0" r="9525" b="0"/>
                  <wp:docPr id="65" name="Picture 6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4D5B38" w:rsidRPr="00E83184">
              <w:t xml:space="preserve"> is the population for age group </w:t>
            </w:r>
            <w:proofErr w:type="spellStart"/>
            <w:r w:rsidR="004D5B38" w:rsidRPr="00E83184">
              <w:rPr>
                <w:b/>
                <w:i/>
              </w:rPr>
              <w:t>i</w:t>
            </w:r>
            <w:proofErr w:type="spellEnd"/>
            <w:r w:rsidR="004D5B38" w:rsidRPr="00E83184">
              <w:t xml:space="preserve"> in the population being studied</w:t>
            </w:r>
          </w:p>
          <w:p w:rsidR="004D5B38" w:rsidRDefault="005E6E4B" w:rsidP="004D5B38">
            <w:pPr>
              <w:pStyle w:val="Box"/>
            </w:pPr>
            <w:r>
              <w:rPr>
                <w:noProof/>
              </w:rPr>
              <w:drawing>
                <wp:inline distT="0" distB="0" distL="0" distR="0">
                  <wp:extent cx="159385" cy="159385"/>
                  <wp:effectExtent l="0" t="0" r="0" b="0"/>
                  <wp:docPr id="66" name="Picture 6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r w:rsidR="004D5B38" w:rsidRPr="00E83184">
              <w:t xml:space="preserve"> is the crude rate in the standard population.</w:t>
            </w:r>
          </w:p>
        </w:tc>
      </w:tr>
      <w:tr w:rsidR="004D5B38" w:rsidTr="00511040">
        <w:trPr>
          <w:cantSplit/>
        </w:trPr>
        <w:tc>
          <w:tcPr>
            <w:tcW w:w="8771" w:type="dxa"/>
            <w:tcBorders>
              <w:top w:val="nil"/>
              <w:left w:val="nil"/>
              <w:bottom w:val="nil"/>
              <w:right w:val="nil"/>
            </w:tcBorders>
            <w:shd w:val="clear" w:color="auto" w:fill="F2F2F2"/>
          </w:tcPr>
          <w:p w:rsidR="004D5B38" w:rsidRDefault="004D5B38" w:rsidP="004D5B38">
            <w:pPr>
              <w:pStyle w:val="BoxSource"/>
            </w:pPr>
            <w:r>
              <w:rPr>
                <w:i/>
              </w:rPr>
              <w:t>Source</w:t>
            </w:r>
            <w:r w:rsidRPr="00167F06">
              <w:t xml:space="preserve">: </w:t>
            </w:r>
            <w:r w:rsidRPr="00A14012">
              <w:t>AIHW (2015).</w:t>
            </w:r>
          </w:p>
        </w:tc>
      </w:tr>
      <w:tr w:rsidR="004D5B38" w:rsidTr="00511040">
        <w:trPr>
          <w:cantSplit/>
        </w:trPr>
        <w:tc>
          <w:tcPr>
            <w:tcW w:w="8771" w:type="dxa"/>
            <w:tcBorders>
              <w:top w:val="nil"/>
              <w:left w:val="nil"/>
              <w:bottom w:val="single" w:sz="6" w:space="0" w:color="78A22F"/>
              <w:right w:val="nil"/>
            </w:tcBorders>
            <w:shd w:val="clear" w:color="auto" w:fill="F2F2F2"/>
          </w:tcPr>
          <w:p w:rsidR="004D5B38" w:rsidRDefault="004D5B38">
            <w:pPr>
              <w:pStyle w:val="Box"/>
              <w:spacing w:before="0" w:line="120" w:lineRule="exact"/>
            </w:pPr>
          </w:p>
        </w:tc>
      </w:tr>
      <w:tr w:rsidR="004D5B38" w:rsidRPr="000863A5" w:rsidTr="00511040">
        <w:tc>
          <w:tcPr>
            <w:tcW w:w="8771" w:type="dxa"/>
            <w:tcBorders>
              <w:top w:val="single" w:sz="6" w:space="0" w:color="78A22F"/>
              <w:left w:val="nil"/>
              <w:bottom w:val="nil"/>
              <w:right w:val="nil"/>
            </w:tcBorders>
          </w:tcPr>
          <w:p w:rsidR="004D5B38" w:rsidRPr="00626D32" w:rsidRDefault="004D5B38" w:rsidP="00511040">
            <w:pPr>
              <w:pStyle w:val="BoxSpaceBelow"/>
            </w:pPr>
          </w:p>
        </w:tc>
      </w:tr>
    </w:tbl>
    <w:p w:rsidR="004D5B38" w:rsidRDefault="004D5B38" w:rsidP="004D5B38">
      <w:pPr>
        <w:pStyle w:val="BodyText"/>
      </w:pPr>
      <w:r w:rsidRPr="00E83184">
        <w:t>Tables</w:t>
      </w:r>
      <w:r w:rsidR="00021101">
        <w:t> </w:t>
      </w:r>
      <w:r w:rsidRPr="00E83184">
        <w:t>2A.</w:t>
      </w:r>
      <w:r>
        <w:t>49</w:t>
      </w:r>
      <w:r w:rsidRPr="00E83184">
        <w:t>–5</w:t>
      </w:r>
      <w:r>
        <w:t>0</w:t>
      </w:r>
      <w:r w:rsidRPr="00E83184">
        <w:t xml:space="preserve"> in the attachment contain examples of the application of direct and indirect age standardisation, respectively. Standardised rates are generally multiplied by 1000 or 100</w:t>
      </w:r>
      <w:r>
        <w:t> </w:t>
      </w:r>
      <w:r w:rsidRPr="00E83184">
        <w:t>000 to avoid small decimal fractions. They are then reported as age standardised rates per 1000 or 100</w:t>
      </w:r>
      <w:r>
        <w:t> </w:t>
      </w:r>
      <w:r w:rsidRPr="00E83184">
        <w:t>000 population (</w:t>
      </w:r>
      <w:r w:rsidRPr="00A14012">
        <w:t>AIHW 2015)</w:t>
      </w:r>
      <w:r>
        <w:t>.</w:t>
      </w:r>
    </w:p>
    <w:p w:rsidR="004D5B38" w:rsidRDefault="004D5B38" w:rsidP="004D5B38">
      <w:pPr>
        <w:pStyle w:val="Heading4"/>
      </w:pPr>
      <w:r>
        <w:t>Calculating age standardised ratios</w:t>
      </w:r>
    </w:p>
    <w:p w:rsidR="007131FA" w:rsidRDefault="004D5B38" w:rsidP="007131FA">
      <w:pPr>
        <w:pStyle w:val="BodyText"/>
      </w:pPr>
      <w:r w:rsidRPr="00E83184">
        <w:t xml:space="preserve">A variation of the </w:t>
      </w:r>
      <w:r w:rsidRPr="00E83184">
        <w:rPr>
          <w:i/>
        </w:rPr>
        <w:t>indirect method</w:t>
      </w:r>
      <w:r w:rsidRPr="00E83184">
        <w:t xml:space="preserve"> is used to calculate age standardised ratios (box</w:t>
      </w:r>
      <w:r w:rsidR="00021101">
        <w:t> </w:t>
      </w:r>
      <w:r w:rsidRPr="00E83184">
        <w:t>2.</w:t>
      </w:r>
      <w:r>
        <w:t>7</w:t>
      </w:r>
      <w:r w:rsidRPr="00E83184">
        <w:t>). These ratios express the overall experience of a study population in terms of a standard population, where the standard population is the population to which the study population is being compared.</w:t>
      </w:r>
    </w:p>
    <w:p w:rsidR="004D5B38" w:rsidRDefault="004D5B38" w:rsidP="004D5B38">
      <w:pPr>
        <w:pStyle w:val="Heading5"/>
      </w:pPr>
      <w:r>
        <w:lastRenderedPageBreak/>
        <w:t>Application of age standardised ratios</w:t>
      </w:r>
    </w:p>
    <w:p w:rsidR="004D5B38" w:rsidRDefault="004D5B38" w:rsidP="004D5B38">
      <w:pPr>
        <w:pStyle w:val="BodyText"/>
      </w:pPr>
      <w:r w:rsidRPr="00E83184">
        <w:t>Standardised Mortality Ratios (SMRs) have been used to compare death rates between the Aboriginal and Torres Strait Islander and non</w:t>
      </w:r>
      <w:r w:rsidRPr="00E83184">
        <w:noBreakHyphen/>
        <w:t>Indigenous populations (table</w:t>
      </w:r>
      <w:r w:rsidR="00021101">
        <w:t> </w:t>
      </w:r>
      <w:r w:rsidRPr="00E83184">
        <w:t xml:space="preserve">2.3). The SMR is the ratio between the observed number of deaths in the Aboriginal and Torres Strait Islander population and the expected number of deaths that would have occurred if the Aboriginal and </w:t>
      </w:r>
      <w:r w:rsidRPr="00E83184">
        <w:rPr>
          <w:shd w:val="clear" w:color="auto" w:fill="FCFCFC" w:themeFill="accent4" w:themeFillTint="33"/>
        </w:rPr>
        <w:t>Torres Strait Islander</w:t>
      </w:r>
      <w:r w:rsidRPr="00E83184">
        <w:t xml:space="preserve"> population experienced the same age</w:t>
      </w:r>
      <w:r w:rsidRPr="00E83184">
        <w:noBreakHyphen/>
        <w:t>specific death rates as the non</w:t>
      </w:r>
      <w:r w:rsidRPr="00E83184">
        <w:noBreakHyphen/>
        <w:t xml:space="preserve">Indigenous population. Where the number of observed deaths is </w:t>
      </w:r>
      <w:r w:rsidRPr="002D58DD">
        <w:t>higher than the number of expected deaths, the SMR is greater than 1 and the difference in deaths is the excess number of deaths of Aboriginal and Torres Strait Islander Australians (AIHW 2011a)</w:t>
      </w:r>
      <w:r>
        <w:t>.</w:t>
      </w:r>
    </w:p>
    <w:p w:rsidR="004D5B38" w:rsidRDefault="004D5B38" w:rsidP="0051104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D5B38" w:rsidTr="00511040">
        <w:tc>
          <w:tcPr>
            <w:tcW w:w="8771" w:type="dxa"/>
            <w:tcBorders>
              <w:top w:val="single" w:sz="6" w:space="0" w:color="78A22F"/>
              <w:left w:val="nil"/>
              <w:bottom w:val="nil"/>
              <w:right w:val="nil"/>
            </w:tcBorders>
            <w:shd w:val="clear" w:color="auto" w:fill="auto"/>
          </w:tcPr>
          <w:p w:rsidR="004D5B38" w:rsidRDefault="004D5B38" w:rsidP="004D5B38">
            <w:pPr>
              <w:pStyle w:val="TableTitle"/>
              <w:ind w:left="1254" w:hanging="1254"/>
            </w:pPr>
            <w:r>
              <w:rPr>
                <w:b w:val="0"/>
              </w:rPr>
              <w:t>Table 2.</w:t>
            </w:r>
            <w:r w:rsidR="00862E04">
              <w:rPr>
                <w:b w:val="0"/>
                <w:noProof/>
              </w:rPr>
              <w:t>3</w:t>
            </w:r>
            <w:r>
              <w:tab/>
            </w:r>
            <w:r w:rsidRPr="002D58DD">
              <w:t>Aboriginal and Torres Strait Islander</w:t>
            </w:r>
            <w:r w:rsidRPr="002D58DD">
              <w:rPr>
                <w:szCs w:val="20"/>
              </w:rPr>
              <w:t xml:space="preserve"> Australians’</w:t>
            </w:r>
            <w:r w:rsidRPr="002D58DD">
              <w:t xml:space="preserve"> deaths, main causes and standardised mortality ratios, 2004–2008</w:t>
            </w:r>
            <w:r w:rsidRPr="002D58DD">
              <w:rPr>
                <w:position w:val="6"/>
                <w:sz w:val="18"/>
              </w:rPr>
              <w:t>a, b,</w:t>
            </w:r>
            <w:r>
              <w:rPr>
                <w:position w:val="6"/>
                <w:sz w:val="18"/>
              </w:rPr>
              <w:t xml:space="preserve"> </w:t>
            </w:r>
            <w:r w:rsidRPr="002D58DD">
              <w:rPr>
                <w:position w:val="6"/>
                <w:sz w:val="18"/>
              </w:rPr>
              <w:t>c</w:t>
            </w:r>
          </w:p>
          <w:p w:rsidR="004D5B38" w:rsidRPr="00784A05" w:rsidRDefault="004D5B38" w:rsidP="00511040">
            <w:pPr>
              <w:pStyle w:val="Subtitle"/>
            </w:pPr>
          </w:p>
        </w:tc>
      </w:tr>
      <w:tr w:rsidR="004D5B38" w:rsidTr="00511040">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99"/>
              <w:gridCol w:w="850"/>
              <w:gridCol w:w="993"/>
              <w:gridCol w:w="850"/>
              <w:gridCol w:w="991"/>
              <w:gridCol w:w="991"/>
              <w:gridCol w:w="713"/>
            </w:tblGrid>
            <w:tr w:rsidR="004D5B38" w:rsidTr="00993554">
              <w:tc>
                <w:tcPr>
                  <w:tcW w:w="1825" w:type="pct"/>
                  <w:tcBorders>
                    <w:top w:val="single" w:sz="6" w:space="0" w:color="BFBFBF"/>
                    <w:bottom w:val="single" w:sz="6" w:space="0" w:color="BFBFBF"/>
                  </w:tcBorders>
                  <w:shd w:val="clear" w:color="auto" w:fill="auto"/>
                  <w:tcMar>
                    <w:top w:w="28" w:type="dxa"/>
                  </w:tcMar>
                </w:tcPr>
                <w:p w:rsidR="004D5B38" w:rsidRDefault="004D5B38" w:rsidP="00511040">
                  <w:pPr>
                    <w:pStyle w:val="TableColumnHeading"/>
                    <w:jc w:val="left"/>
                  </w:pPr>
                </w:p>
              </w:tc>
              <w:tc>
                <w:tcPr>
                  <w:tcW w:w="1587" w:type="pct"/>
                  <w:gridSpan w:val="3"/>
                  <w:tcBorders>
                    <w:top w:val="single" w:sz="6" w:space="0" w:color="BFBFBF"/>
                    <w:bottom w:val="single" w:sz="6" w:space="0" w:color="BFBFBF"/>
                  </w:tcBorders>
                  <w:shd w:val="clear" w:color="auto" w:fill="auto"/>
                  <w:tcMar>
                    <w:top w:w="28" w:type="dxa"/>
                  </w:tcMar>
                </w:tcPr>
                <w:p w:rsidR="004D5B38" w:rsidRDefault="004D5B38" w:rsidP="004D5B38">
                  <w:pPr>
                    <w:pStyle w:val="TableColumnHeading"/>
                    <w:jc w:val="center"/>
                  </w:pPr>
                  <w:r>
                    <w:t>Male</w:t>
                  </w:r>
                </w:p>
              </w:tc>
              <w:tc>
                <w:tcPr>
                  <w:tcW w:w="1589" w:type="pct"/>
                  <w:gridSpan w:val="3"/>
                  <w:tcBorders>
                    <w:top w:val="single" w:sz="6" w:space="0" w:color="BFBFBF"/>
                    <w:bottom w:val="single" w:sz="6" w:space="0" w:color="BFBFBF"/>
                  </w:tcBorders>
                  <w:shd w:val="clear" w:color="auto" w:fill="auto"/>
                  <w:tcMar>
                    <w:top w:w="28" w:type="dxa"/>
                  </w:tcMar>
                </w:tcPr>
                <w:p w:rsidR="004D5B38" w:rsidRDefault="004D5B38" w:rsidP="004D5B38">
                  <w:pPr>
                    <w:pStyle w:val="TableColumnHeading"/>
                    <w:ind w:right="28"/>
                    <w:jc w:val="center"/>
                  </w:pPr>
                  <w:r>
                    <w:t>Female</w:t>
                  </w:r>
                </w:p>
              </w:tc>
            </w:tr>
            <w:tr w:rsidR="00993554" w:rsidTr="00993554">
              <w:tc>
                <w:tcPr>
                  <w:tcW w:w="1825" w:type="pct"/>
                  <w:tcBorders>
                    <w:top w:val="single" w:sz="6" w:space="0" w:color="BFBFBF"/>
                  </w:tcBorders>
                </w:tcPr>
                <w:p w:rsidR="004D5B38" w:rsidRDefault="004D5B38" w:rsidP="00511040">
                  <w:pPr>
                    <w:pStyle w:val="TableUnitsRow"/>
                    <w:jc w:val="left"/>
                  </w:pPr>
                </w:p>
              </w:tc>
              <w:tc>
                <w:tcPr>
                  <w:tcW w:w="501" w:type="pct"/>
                  <w:tcBorders>
                    <w:top w:val="single" w:sz="6" w:space="0" w:color="BFBFBF"/>
                  </w:tcBorders>
                </w:tcPr>
                <w:p w:rsidR="004D5B38" w:rsidRPr="004D5B38" w:rsidRDefault="004D5B38" w:rsidP="00993554">
                  <w:pPr>
                    <w:pStyle w:val="TableUnitsRow"/>
                    <w:ind w:right="57"/>
                    <w:rPr>
                      <w:i/>
                    </w:rPr>
                  </w:pPr>
                  <w:r>
                    <w:rPr>
                      <w:i/>
                    </w:rPr>
                    <w:t>Observed deaths</w:t>
                  </w:r>
                </w:p>
              </w:tc>
              <w:tc>
                <w:tcPr>
                  <w:tcW w:w="585" w:type="pct"/>
                  <w:tcBorders>
                    <w:top w:val="single" w:sz="6" w:space="0" w:color="BFBFBF"/>
                  </w:tcBorders>
                </w:tcPr>
                <w:p w:rsidR="004D5B38" w:rsidRPr="004D5B38" w:rsidRDefault="004D5B38" w:rsidP="00993554">
                  <w:pPr>
                    <w:pStyle w:val="TableUnitsRow"/>
                    <w:ind w:right="57"/>
                    <w:rPr>
                      <w:i/>
                    </w:rPr>
                  </w:pPr>
                  <w:r>
                    <w:rPr>
                      <w:i/>
                    </w:rPr>
                    <w:t>Expected deaths</w:t>
                  </w:r>
                </w:p>
              </w:tc>
              <w:tc>
                <w:tcPr>
                  <w:tcW w:w="501" w:type="pct"/>
                  <w:tcBorders>
                    <w:top w:val="single" w:sz="6" w:space="0" w:color="BFBFBF"/>
                  </w:tcBorders>
                </w:tcPr>
                <w:p w:rsidR="004D5B38" w:rsidRPr="004D5B38" w:rsidRDefault="004D5B38" w:rsidP="004D5B38">
                  <w:pPr>
                    <w:pStyle w:val="TableUnitsRow"/>
                    <w:ind w:right="57"/>
                    <w:rPr>
                      <w:i/>
                    </w:rPr>
                  </w:pPr>
                  <w:r>
                    <w:rPr>
                      <w:i/>
                    </w:rPr>
                    <w:br/>
                    <w:t>SMR</w:t>
                  </w:r>
                </w:p>
              </w:tc>
              <w:tc>
                <w:tcPr>
                  <w:tcW w:w="584" w:type="pct"/>
                  <w:tcBorders>
                    <w:top w:val="single" w:sz="6" w:space="0" w:color="BFBFBF"/>
                  </w:tcBorders>
                </w:tcPr>
                <w:p w:rsidR="004D5B38" w:rsidRPr="004D5B38" w:rsidRDefault="004D5B38" w:rsidP="00511040">
                  <w:pPr>
                    <w:pStyle w:val="TableUnitsRow"/>
                    <w:ind w:right="28"/>
                    <w:rPr>
                      <w:i/>
                    </w:rPr>
                  </w:pPr>
                  <w:r>
                    <w:rPr>
                      <w:i/>
                    </w:rPr>
                    <w:t>Observed deaths</w:t>
                  </w:r>
                </w:p>
              </w:tc>
              <w:tc>
                <w:tcPr>
                  <w:tcW w:w="584" w:type="pct"/>
                  <w:tcBorders>
                    <w:top w:val="single" w:sz="6" w:space="0" w:color="BFBFBF"/>
                  </w:tcBorders>
                </w:tcPr>
                <w:p w:rsidR="004D5B38" w:rsidRPr="004D5B38" w:rsidRDefault="004D5B38" w:rsidP="00511040">
                  <w:pPr>
                    <w:pStyle w:val="TableUnitsRow"/>
                    <w:ind w:right="28"/>
                    <w:rPr>
                      <w:i/>
                    </w:rPr>
                  </w:pPr>
                  <w:r>
                    <w:rPr>
                      <w:i/>
                    </w:rPr>
                    <w:t>Expected deaths</w:t>
                  </w:r>
                </w:p>
              </w:tc>
              <w:tc>
                <w:tcPr>
                  <w:tcW w:w="421" w:type="pct"/>
                  <w:tcBorders>
                    <w:top w:val="single" w:sz="6" w:space="0" w:color="BFBFBF"/>
                  </w:tcBorders>
                </w:tcPr>
                <w:p w:rsidR="004D5B38" w:rsidRPr="004D5B38" w:rsidRDefault="004D5B38" w:rsidP="00511040">
                  <w:pPr>
                    <w:pStyle w:val="TableUnitsRow"/>
                    <w:ind w:right="28"/>
                    <w:rPr>
                      <w:i/>
                    </w:rPr>
                  </w:pPr>
                  <w:r>
                    <w:br/>
                  </w:r>
                  <w:r>
                    <w:rPr>
                      <w:i/>
                    </w:rPr>
                    <w:t>SMR</w:t>
                  </w:r>
                </w:p>
              </w:tc>
            </w:tr>
            <w:tr w:rsidR="00993554" w:rsidTr="00993554">
              <w:tc>
                <w:tcPr>
                  <w:tcW w:w="1825" w:type="pct"/>
                  <w:tcBorders>
                    <w:top w:val="single" w:sz="6" w:space="0" w:color="BFBFBF"/>
                  </w:tcBorders>
                </w:tcPr>
                <w:p w:rsidR="004D5B38" w:rsidRDefault="00993554" w:rsidP="00993554">
                  <w:pPr>
                    <w:pStyle w:val="TableUnitsRow"/>
                    <w:jc w:val="left"/>
                  </w:pPr>
                  <w:r>
                    <w:t>Diseases of circulatory system</w:t>
                  </w:r>
                </w:p>
              </w:tc>
              <w:tc>
                <w:tcPr>
                  <w:tcW w:w="501" w:type="pct"/>
                  <w:tcBorders>
                    <w:top w:val="single" w:sz="6" w:space="0" w:color="BFBFBF"/>
                  </w:tcBorders>
                </w:tcPr>
                <w:p w:rsidR="004D5B38" w:rsidRDefault="00993554" w:rsidP="00993554">
                  <w:pPr>
                    <w:pStyle w:val="TableUnitsRow"/>
                    <w:ind w:right="57"/>
                  </w:pPr>
                  <w:r>
                    <w:t>321</w:t>
                  </w:r>
                </w:p>
              </w:tc>
              <w:tc>
                <w:tcPr>
                  <w:tcW w:w="585" w:type="pct"/>
                  <w:tcBorders>
                    <w:top w:val="single" w:sz="6" w:space="0" w:color="BFBFBF"/>
                  </w:tcBorders>
                </w:tcPr>
                <w:p w:rsidR="004D5B38" w:rsidRDefault="00993554" w:rsidP="00993554">
                  <w:pPr>
                    <w:pStyle w:val="TableUnitsRow"/>
                    <w:ind w:right="57"/>
                  </w:pPr>
                  <w:r>
                    <w:t>107</w:t>
                  </w:r>
                </w:p>
              </w:tc>
              <w:tc>
                <w:tcPr>
                  <w:tcW w:w="501" w:type="pct"/>
                  <w:tcBorders>
                    <w:top w:val="single" w:sz="6" w:space="0" w:color="BFBFBF"/>
                  </w:tcBorders>
                </w:tcPr>
                <w:p w:rsidR="004D5B38" w:rsidRDefault="00993554" w:rsidP="00993554">
                  <w:pPr>
                    <w:pStyle w:val="TableUnitsRow"/>
                    <w:ind w:right="57"/>
                  </w:pPr>
                  <w:r>
                    <w:t>3.0</w:t>
                  </w:r>
                </w:p>
              </w:tc>
              <w:tc>
                <w:tcPr>
                  <w:tcW w:w="584" w:type="pct"/>
                  <w:tcBorders>
                    <w:top w:val="single" w:sz="6" w:space="0" w:color="BFBFBF"/>
                  </w:tcBorders>
                </w:tcPr>
                <w:p w:rsidR="004D5B38" w:rsidRDefault="00993554" w:rsidP="00993554">
                  <w:pPr>
                    <w:pStyle w:val="TableUnitsRow"/>
                    <w:ind w:right="57"/>
                  </w:pPr>
                  <w:r>
                    <w:t>260</w:t>
                  </w:r>
                </w:p>
              </w:tc>
              <w:tc>
                <w:tcPr>
                  <w:tcW w:w="584" w:type="pct"/>
                  <w:tcBorders>
                    <w:top w:val="single" w:sz="6" w:space="0" w:color="BFBFBF"/>
                  </w:tcBorders>
                </w:tcPr>
                <w:p w:rsidR="004D5B38" w:rsidRDefault="00993554" w:rsidP="00993554">
                  <w:pPr>
                    <w:pStyle w:val="TableUnitsRow"/>
                    <w:ind w:right="57"/>
                  </w:pPr>
                  <w:r>
                    <w:t>148</w:t>
                  </w:r>
                </w:p>
              </w:tc>
              <w:tc>
                <w:tcPr>
                  <w:tcW w:w="421" w:type="pct"/>
                  <w:tcBorders>
                    <w:top w:val="single" w:sz="6" w:space="0" w:color="BFBFBF"/>
                  </w:tcBorders>
                </w:tcPr>
                <w:p w:rsidR="004D5B38" w:rsidRDefault="00993554" w:rsidP="00993554">
                  <w:pPr>
                    <w:pStyle w:val="TableUnitsRow"/>
                    <w:ind w:right="57"/>
                  </w:pPr>
                  <w:r>
                    <w:t>1.8</w:t>
                  </w:r>
                </w:p>
              </w:tc>
            </w:tr>
            <w:tr w:rsidR="00993554" w:rsidTr="00993554">
              <w:tc>
                <w:tcPr>
                  <w:tcW w:w="1825" w:type="pct"/>
                </w:tcPr>
                <w:p w:rsidR="004D5B38" w:rsidRDefault="00993554" w:rsidP="00993554">
                  <w:pPr>
                    <w:pStyle w:val="TableBodyText"/>
                    <w:jc w:val="left"/>
                  </w:pPr>
                  <w:r>
                    <w:t>Neoplasms</w:t>
                  </w:r>
                </w:p>
              </w:tc>
              <w:tc>
                <w:tcPr>
                  <w:tcW w:w="501" w:type="pct"/>
                </w:tcPr>
                <w:p w:rsidR="004D5B38" w:rsidRDefault="00993554" w:rsidP="00993554">
                  <w:pPr>
                    <w:pStyle w:val="TableBodyText"/>
                    <w:spacing w:before="40"/>
                    <w:ind w:right="57"/>
                  </w:pPr>
                  <w:r>
                    <w:t>200</w:t>
                  </w:r>
                </w:p>
              </w:tc>
              <w:tc>
                <w:tcPr>
                  <w:tcW w:w="585" w:type="pct"/>
                </w:tcPr>
                <w:p w:rsidR="004D5B38" w:rsidRDefault="00993554" w:rsidP="00993554">
                  <w:pPr>
                    <w:pStyle w:val="TableBodyText"/>
                    <w:spacing w:before="40"/>
                    <w:ind w:right="57"/>
                  </w:pPr>
                  <w:r>
                    <w:t>120</w:t>
                  </w:r>
                </w:p>
              </w:tc>
              <w:tc>
                <w:tcPr>
                  <w:tcW w:w="501" w:type="pct"/>
                </w:tcPr>
                <w:p w:rsidR="004D5B38" w:rsidRDefault="00993554" w:rsidP="00993554">
                  <w:pPr>
                    <w:pStyle w:val="TableBodyText"/>
                    <w:spacing w:before="40"/>
                    <w:ind w:right="57"/>
                  </w:pPr>
                  <w:r>
                    <w:t>1.7</w:t>
                  </w:r>
                </w:p>
              </w:tc>
              <w:tc>
                <w:tcPr>
                  <w:tcW w:w="584" w:type="pct"/>
                </w:tcPr>
                <w:p w:rsidR="004D5B38" w:rsidRDefault="00993554" w:rsidP="00993554">
                  <w:pPr>
                    <w:pStyle w:val="TableBodyText"/>
                    <w:spacing w:before="40"/>
                    <w:ind w:right="57"/>
                  </w:pPr>
                  <w:r>
                    <w:t>191</w:t>
                  </w:r>
                </w:p>
              </w:tc>
              <w:tc>
                <w:tcPr>
                  <w:tcW w:w="584" w:type="pct"/>
                </w:tcPr>
                <w:p w:rsidR="004D5B38" w:rsidRDefault="00993554" w:rsidP="00993554">
                  <w:pPr>
                    <w:pStyle w:val="TableBodyText"/>
                    <w:spacing w:before="40"/>
                    <w:ind w:right="57"/>
                  </w:pPr>
                  <w:r>
                    <w:t>150</w:t>
                  </w:r>
                </w:p>
              </w:tc>
              <w:tc>
                <w:tcPr>
                  <w:tcW w:w="421" w:type="pct"/>
                </w:tcPr>
                <w:p w:rsidR="004D5B38" w:rsidRDefault="00993554" w:rsidP="00993554">
                  <w:pPr>
                    <w:pStyle w:val="TableBodyText"/>
                    <w:spacing w:before="40"/>
                    <w:ind w:right="57"/>
                  </w:pPr>
                  <w:r>
                    <w:t>1.3</w:t>
                  </w:r>
                </w:p>
              </w:tc>
            </w:tr>
            <w:tr w:rsidR="00993554" w:rsidTr="00993554">
              <w:tc>
                <w:tcPr>
                  <w:tcW w:w="1825" w:type="pct"/>
                  <w:shd w:val="clear" w:color="auto" w:fill="auto"/>
                </w:tcPr>
                <w:p w:rsidR="004D5B38" w:rsidRDefault="00993554" w:rsidP="00993554">
                  <w:pPr>
                    <w:pStyle w:val="TableBodyText"/>
                    <w:jc w:val="left"/>
                  </w:pPr>
                  <w:r>
                    <w:t>External causes</w:t>
                  </w:r>
                </w:p>
              </w:tc>
              <w:tc>
                <w:tcPr>
                  <w:tcW w:w="501" w:type="pct"/>
                  <w:shd w:val="clear" w:color="auto" w:fill="auto"/>
                </w:tcPr>
                <w:p w:rsidR="004D5B38" w:rsidRDefault="00993554" w:rsidP="00993554">
                  <w:pPr>
                    <w:pStyle w:val="TableBodyText"/>
                    <w:spacing w:before="40"/>
                    <w:ind w:right="57"/>
                  </w:pPr>
                  <w:r>
                    <w:t>225</w:t>
                  </w:r>
                </w:p>
              </w:tc>
              <w:tc>
                <w:tcPr>
                  <w:tcW w:w="585" w:type="pct"/>
                  <w:shd w:val="clear" w:color="auto" w:fill="auto"/>
                </w:tcPr>
                <w:p w:rsidR="004D5B38" w:rsidRDefault="00993554" w:rsidP="00993554">
                  <w:pPr>
                    <w:pStyle w:val="TableBodyText"/>
                    <w:spacing w:before="40"/>
                    <w:ind w:right="57"/>
                  </w:pPr>
                  <w:r>
                    <w:t>61</w:t>
                  </w:r>
                </w:p>
              </w:tc>
              <w:tc>
                <w:tcPr>
                  <w:tcW w:w="501" w:type="pct"/>
                  <w:shd w:val="clear" w:color="auto" w:fill="auto"/>
                </w:tcPr>
                <w:p w:rsidR="004D5B38" w:rsidRDefault="00993554" w:rsidP="00993554">
                  <w:pPr>
                    <w:pStyle w:val="TableBodyText"/>
                    <w:spacing w:before="40"/>
                    <w:ind w:right="57"/>
                  </w:pPr>
                  <w:r>
                    <w:t>3.7</w:t>
                  </w:r>
                </w:p>
              </w:tc>
              <w:tc>
                <w:tcPr>
                  <w:tcW w:w="584" w:type="pct"/>
                  <w:shd w:val="clear" w:color="auto" w:fill="auto"/>
                </w:tcPr>
                <w:p w:rsidR="004D5B38" w:rsidRDefault="00993554" w:rsidP="00993554">
                  <w:pPr>
                    <w:pStyle w:val="TableBodyText"/>
                    <w:spacing w:before="40"/>
                    <w:ind w:right="57"/>
                  </w:pPr>
                  <w:r>
                    <w:t>98</w:t>
                  </w:r>
                </w:p>
              </w:tc>
              <w:tc>
                <w:tcPr>
                  <w:tcW w:w="584" w:type="pct"/>
                  <w:shd w:val="clear" w:color="auto" w:fill="auto"/>
                </w:tcPr>
                <w:p w:rsidR="004D5B38" w:rsidRDefault="00993554" w:rsidP="00993554">
                  <w:pPr>
                    <w:pStyle w:val="TableBodyText"/>
                    <w:spacing w:before="40"/>
                    <w:ind w:right="57"/>
                  </w:pPr>
                  <w:r>
                    <w:t>64</w:t>
                  </w:r>
                </w:p>
              </w:tc>
              <w:tc>
                <w:tcPr>
                  <w:tcW w:w="421" w:type="pct"/>
                  <w:shd w:val="clear" w:color="auto" w:fill="auto"/>
                </w:tcPr>
                <w:p w:rsidR="004D5B38" w:rsidRDefault="00993554" w:rsidP="00993554">
                  <w:pPr>
                    <w:pStyle w:val="TableBodyText"/>
                    <w:spacing w:before="40"/>
                    <w:ind w:right="57"/>
                  </w:pPr>
                  <w:r>
                    <w:t>1.5</w:t>
                  </w:r>
                </w:p>
              </w:tc>
            </w:tr>
            <w:tr w:rsidR="00993554" w:rsidTr="00993554">
              <w:tc>
                <w:tcPr>
                  <w:tcW w:w="1825" w:type="pct"/>
                  <w:shd w:val="clear" w:color="auto" w:fill="auto"/>
                </w:tcPr>
                <w:p w:rsidR="00993554" w:rsidRPr="002D58DD" w:rsidRDefault="00993554" w:rsidP="00993554">
                  <w:pPr>
                    <w:pStyle w:val="TableBodyText"/>
                    <w:spacing w:after="0"/>
                    <w:ind w:left="142" w:hanging="136"/>
                    <w:jc w:val="left"/>
                  </w:pPr>
                  <w:r>
                    <w:t>E</w:t>
                  </w:r>
                  <w:r w:rsidRPr="002D58DD">
                    <w:t xml:space="preserve">ndocrine, metabolic and </w:t>
                  </w:r>
                </w:p>
                <w:p w:rsidR="00993554" w:rsidRDefault="00993554" w:rsidP="00993554">
                  <w:pPr>
                    <w:pStyle w:val="TableBodyText"/>
                    <w:jc w:val="left"/>
                  </w:pPr>
                  <w:r w:rsidRPr="002D58DD">
                    <w:t>nutritional disorders</w:t>
                  </w:r>
                </w:p>
              </w:tc>
              <w:tc>
                <w:tcPr>
                  <w:tcW w:w="501" w:type="pct"/>
                  <w:shd w:val="clear" w:color="auto" w:fill="auto"/>
                </w:tcPr>
                <w:p w:rsidR="00993554" w:rsidRDefault="00993554" w:rsidP="00993554">
                  <w:pPr>
                    <w:pStyle w:val="TableBodyText"/>
                    <w:spacing w:before="40"/>
                    <w:ind w:right="57"/>
                  </w:pPr>
                  <w:r>
                    <w:br/>
                    <w:t>86</w:t>
                  </w:r>
                </w:p>
              </w:tc>
              <w:tc>
                <w:tcPr>
                  <w:tcW w:w="585" w:type="pct"/>
                  <w:shd w:val="clear" w:color="auto" w:fill="auto"/>
                </w:tcPr>
                <w:p w:rsidR="00993554" w:rsidRDefault="00993554" w:rsidP="00993554">
                  <w:pPr>
                    <w:pStyle w:val="TableBodyText"/>
                    <w:spacing w:before="40"/>
                    <w:ind w:right="57"/>
                  </w:pPr>
                  <w:r>
                    <w:br/>
                    <w:t>12</w:t>
                  </w:r>
                </w:p>
              </w:tc>
              <w:tc>
                <w:tcPr>
                  <w:tcW w:w="501" w:type="pct"/>
                  <w:shd w:val="clear" w:color="auto" w:fill="auto"/>
                </w:tcPr>
                <w:p w:rsidR="00993554" w:rsidRDefault="00993554" w:rsidP="00993554">
                  <w:pPr>
                    <w:pStyle w:val="TableBodyText"/>
                    <w:spacing w:before="40"/>
                    <w:ind w:right="57"/>
                  </w:pPr>
                  <w:r>
                    <w:br/>
                    <w:t>7.2</w:t>
                  </w:r>
                </w:p>
              </w:tc>
              <w:tc>
                <w:tcPr>
                  <w:tcW w:w="584" w:type="pct"/>
                  <w:shd w:val="clear" w:color="auto" w:fill="auto"/>
                </w:tcPr>
                <w:p w:rsidR="00993554" w:rsidRDefault="00993554" w:rsidP="00993554">
                  <w:pPr>
                    <w:pStyle w:val="TableBodyText"/>
                    <w:spacing w:before="40"/>
                    <w:ind w:right="57"/>
                  </w:pPr>
                  <w:r>
                    <w:br/>
                    <w:t>96</w:t>
                  </w:r>
                </w:p>
              </w:tc>
              <w:tc>
                <w:tcPr>
                  <w:tcW w:w="584" w:type="pct"/>
                  <w:shd w:val="clear" w:color="auto" w:fill="auto"/>
                </w:tcPr>
                <w:p w:rsidR="00993554" w:rsidRDefault="00993554" w:rsidP="00993554">
                  <w:pPr>
                    <w:pStyle w:val="TableBodyText"/>
                    <w:spacing w:before="40"/>
                    <w:ind w:right="57"/>
                  </w:pPr>
                  <w:r>
                    <w:br/>
                    <w:t>15</w:t>
                  </w:r>
                </w:p>
              </w:tc>
              <w:tc>
                <w:tcPr>
                  <w:tcW w:w="421" w:type="pct"/>
                  <w:shd w:val="clear" w:color="auto" w:fill="auto"/>
                </w:tcPr>
                <w:p w:rsidR="00993554" w:rsidRDefault="00993554" w:rsidP="00993554">
                  <w:pPr>
                    <w:pStyle w:val="TableBodyText"/>
                    <w:spacing w:before="40"/>
                    <w:ind w:right="57"/>
                  </w:pPr>
                  <w:r>
                    <w:br/>
                    <w:t>6.4</w:t>
                  </w:r>
                </w:p>
              </w:tc>
            </w:tr>
            <w:tr w:rsidR="00993554" w:rsidTr="00993554">
              <w:tc>
                <w:tcPr>
                  <w:tcW w:w="1825" w:type="pct"/>
                  <w:shd w:val="clear" w:color="auto" w:fill="auto"/>
                </w:tcPr>
                <w:p w:rsidR="00993554" w:rsidRDefault="00993554" w:rsidP="00993554">
                  <w:pPr>
                    <w:pStyle w:val="TableBodyText"/>
                    <w:spacing w:after="0"/>
                    <w:ind w:left="136" w:hanging="136"/>
                    <w:jc w:val="left"/>
                  </w:pPr>
                  <w:r>
                    <w:t xml:space="preserve">Diseases of the respiratory </w:t>
                  </w:r>
                  <w:r w:rsidRPr="002D58DD">
                    <w:t>system</w:t>
                  </w:r>
                </w:p>
              </w:tc>
              <w:tc>
                <w:tcPr>
                  <w:tcW w:w="501" w:type="pct"/>
                  <w:shd w:val="clear" w:color="auto" w:fill="auto"/>
                </w:tcPr>
                <w:p w:rsidR="00993554" w:rsidRDefault="00993554" w:rsidP="00993554">
                  <w:pPr>
                    <w:pStyle w:val="TableBodyText"/>
                    <w:spacing w:before="40"/>
                    <w:ind w:right="57"/>
                  </w:pPr>
                  <w:r>
                    <w:t>94</w:t>
                  </w:r>
                </w:p>
              </w:tc>
              <w:tc>
                <w:tcPr>
                  <w:tcW w:w="585" w:type="pct"/>
                  <w:shd w:val="clear" w:color="auto" w:fill="auto"/>
                </w:tcPr>
                <w:p w:rsidR="00993554" w:rsidRDefault="00993554" w:rsidP="00993554">
                  <w:pPr>
                    <w:pStyle w:val="TableBodyText"/>
                    <w:spacing w:before="40"/>
                    <w:ind w:right="57"/>
                  </w:pPr>
                  <w:r>
                    <w:t>24</w:t>
                  </w:r>
                </w:p>
              </w:tc>
              <w:tc>
                <w:tcPr>
                  <w:tcW w:w="501" w:type="pct"/>
                  <w:shd w:val="clear" w:color="auto" w:fill="auto"/>
                </w:tcPr>
                <w:p w:rsidR="00993554" w:rsidRDefault="00993554" w:rsidP="00993554">
                  <w:pPr>
                    <w:pStyle w:val="TableBodyText"/>
                    <w:spacing w:before="40"/>
                    <w:ind w:right="57"/>
                  </w:pPr>
                  <w:r>
                    <w:t>3.9</w:t>
                  </w:r>
                </w:p>
              </w:tc>
              <w:tc>
                <w:tcPr>
                  <w:tcW w:w="584" w:type="pct"/>
                  <w:shd w:val="clear" w:color="auto" w:fill="auto"/>
                </w:tcPr>
                <w:p w:rsidR="00993554" w:rsidRDefault="00993554" w:rsidP="00993554">
                  <w:pPr>
                    <w:pStyle w:val="TableBodyText"/>
                    <w:spacing w:before="40"/>
                    <w:ind w:right="57"/>
                  </w:pPr>
                  <w:r>
                    <w:t>96</w:t>
                  </w:r>
                </w:p>
              </w:tc>
              <w:tc>
                <w:tcPr>
                  <w:tcW w:w="584" w:type="pct"/>
                  <w:shd w:val="clear" w:color="auto" w:fill="auto"/>
                </w:tcPr>
                <w:p w:rsidR="00993554" w:rsidRDefault="00993554" w:rsidP="00993554">
                  <w:pPr>
                    <w:pStyle w:val="TableBodyText"/>
                    <w:spacing w:before="40"/>
                    <w:ind w:right="57"/>
                  </w:pPr>
                  <w:r>
                    <w:t>33</w:t>
                  </w:r>
                </w:p>
              </w:tc>
              <w:tc>
                <w:tcPr>
                  <w:tcW w:w="421" w:type="pct"/>
                  <w:shd w:val="clear" w:color="auto" w:fill="auto"/>
                </w:tcPr>
                <w:p w:rsidR="00993554" w:rsidRDefault="00993554" w:rsidP="00993554">
                  <w:pPr>
                    <w:pStyle w:val="TableBodyText"/>
                    <w:spacing w:before="40"/>
                    <w:ind w:right="57"/>
                  </w:pPr>
                  <w:r>
                    <w:t>2.3</w:t>
                  </w:r>
                </w:p>
              </w:tc>
            </w:tr>
            <w:tr w:rsidR="00993554" w:rsidTr="00993554">
              <w:tc>
                <w:tcPr>
                  <w:tcW w:w="1825" w:type="pct"/>
                  <w:shd w:val="clear" w:color="auto" w:fill="auto"/>
                </w:tcPr>
                <w:p w:rsidR="00993554" w:rsidRPr="002D58DD" w:rsidRDefault="00993554" w:rsidP="00993554">
                  <w:pPr>
                    <w:pStyle w:val="TableBodyText"/>
                    <w:spacing w:after="0"/>
                    <w:ind w:left="142" w:hanging="136"/>
                    <w:jc w:val="left"/>
                  </w:pPr>
                  <w:r w:rsidRPr="002D58DD">
                    <w:t>Diseases of the digestive system</w:t>
                  </w:r>
                </w:p>
              </w:tc>
              <w:tc>
                <w:tcPr>
                  <w:tcW w:w="501" w:type="pct"/>
                  <w:shd w:val="clear" w:color="auto" w:fill="auto"/>
                </w:tcPr>
                <w:p w:rsidR="00993554" w:rsidRDefault="00993554" w:rsidP="00993554">
                  <w:pPr>
                    <w:pStyle w:val="TableBodyText"/>
                    <w:spacing w:before="40"/>
                    <w:ind w:right="57"/>
                  </w:pPr>
                  <w:r>
                    <w:t>70</w:t>
                  </w:r>
                </w:p>
              </w:tc>
              <w:tc>
                <w:tcPr>
                  <w:tcW w:w="585" w:type="pct"/>
                  <w:shd w:val="clear" w:color="auto" w:fill="auto"/>
                </w:tcPr>
                <w:p w:rsidR="00993554" w:rsidRDefault="00993554" w:rsidP="00993554">
                  <w:pPr>
                    <w:pStyle w:val="TableBodyText"/>
                    <w:spacing w:before="40"/>
                    <w:ind w:right="57"/>
                  </w:pPr>
                  <w:r>
                    <w:t>11</w:t>
                  </w:r>
                </w:p>
              </w:tc>
              <w:tc>
                <w:tcPr>
                  <w:tcW w:w="501" w:type="pct"/>
                  <w:shd w:val="clear" w:color="auto" w:fill="auto"/>
                </w:tcPr>
                <w:p w:rsidR="00993554" w:rsidRDefault="00993554" w:rsidP="00993554">
                  <w:pPr>
                    <w:pStyle w:val="TableBodyText"/>
                    <w:spacing w:before="40"/>
                    <w:ind w:right="57"/>
                  </w:pPr>
                  <w:r>
                    <w:t>6.4</w:t>
                  </w:r>
                </w:p>
              </w:tc>
              <w:tc>
                <w:tcPr>
                  <w:tcW w:w="584" w:type="pct"/>
                  <w:shd w:val="clear" w:color="auto" w:fill="auto"/>
                </w:tcPr>
                <w:p w:rsidR="00993554" w:rsidRDefault="00993554" w:rsidP="00993554">
                  <w:pPr>
                    <w:pStyle w:val="TableBodyText"/>
                    <w:spacing w:before="40"/>
                    <w:ind w:right="57"/>
                  </w:pPr>
                  <w:r>
                    <w:t>76</w:t>
                  </w:r>
                </w:p>
              </w:tc>
              <w:tc>
                <w:tcPr>
                  <w:tcW w:w="584" w:type="pct"/>
                  <w:shd w:val="clear" w:color="auto" w:fill="auto"/>
                </w:tcPr>
                <w:p w:rsidR="00993554" w:rsidRDefault="00993554" w:rsidP="00993554">
                  <w:pPr>
                    <w:pStyle w:val="TableBodyText"/>
                    <w:spacing w:before="40"/>
                    <w:ind w:right="57"/>
                  </w:pPr>
                  <w:r>
                    <w:t>14</w:t>
                  </w:r>
                </w:p>
              </w:tc>
              <w:tc>
                <w:tcPr>
                  <w:tcW w:w="421" w:type="pct"/>
                  <w:shd w:val="clear" w:color="auto" w:fill="auto"/>
                </w:tcPr>
                <w:p w:rsidR="00993554" w:rsidRDefault="00993554" w:rsidP="00993554">
                  <w:pPr>
                    <w:pStyle w:val="TableBodyText"/>
                    <w:spacing w:before="40"/>
                    <w:ind w:right="57"/>
                  </w:pPr>
                  <w:r>
                    <w:t>4.2</w:t>
                  </w:r>
                </w:p>
              </w:tc>
            </w:tr>
            <w:tr w:rsidR="00993554" w:rsidTr="00993554">
              <w:tc>
                <w:tcPr>
                  <w:tcW w:w="1825" w:type="pct"/>
                  <w:shd w:val="clear" w:color="auto" w:fill="auto"/>
                </w:tcPr>
                <w:p w:rsidR="00993554" w:rsidRPr="002D58DD" w:rsidRDefault="00993554" w:rsidP="00993554">
                  <w:pPr>
                    <w:pStyle w:val="TableBodyText"/>
                    <w:spacing w:after="0"/>
                    <w:ind w:left="142" w:hanging="136"/>
                    <w:jc w:val="left"/>
                  </w:pPr>
                  <w:r w:rsidRPr="002D58DD">
                    <w:t>Diseases of the nervous system</w:t>
                  </w:r>
                </w:p>
              </w:tc>
              <w:tc>
                <w:tcPr>
                  <w:tcW w:w="501" w:type="pct"/>
                  <w:shd w:val="clear" w:color="auto" w:fill="auto"/>
                </w:tcPr>
                <w:p w:rsidR="00993554" w:rsidRDefault="00993554" w:rsidP="00993554">
                  <w:pPr>
                    <w:pStyle w:val="TableBodyText"/>
                    <w:spacing w:before="40"/>
                    <w:ind w:right="57"/>
                  </w:pPr>
                  <w:r>
                    <w:t>33</w:t>
                  </w:r>
                </w:p>
              </w:tc>
              <w:tc>
                <w:tcPr>
                  <w:tcW w:w="585" w:type="pct"/>
                  <w:shd w:val="clear" w:color="auto" w:fill="auto"/>
                </w:tcPr>
                <w:p w:rsidR="00993554" w:rsidRDefault="00993554" w:rsidP="00993554">
                  <w:pPr>
                    <w:pStyle w:val="TableBodyText"/>
                    <w:spacing w:before="40"/>
                    <w:ind w:right="57"/>
                  </w:pPr>
                  <w:r>
                    <w:t>13</w:t>
                  </w:r>
                </w:p>
              </w:tc>
              <w:tc>
                <w:tcPr>
                  <w:tcW w:w="501" w:type="pct"/>
                  <w:shd w:val="clear" w:color="auto" w:fill="auto"/>
                </w:tcPr>
                <w:p w:rsidR="00993554" w:rsidRDefault="00993554" w:rsidP="00993554">
                  <w:pPr>
                    <w:pStyle w:val="TableBodyText"/>
                    <w:spacing w:before="40"/>
                    <w:ind w:right="57"/>
                  </w:pPr>
                  <w:r>
                    <w:t>2.5</w:t>
                  </w:r>
                </w:p>
              </w:tc>
              <w:tc>
                <w:tcPr>
                  <w:tcW w:w="584" w:type="pct"/>
                  <w:shd w:val="clear" w:color="auto" w:fill="auto"/>
                </w:tcPr>
                <w:p w:rsidR="00993554" w:rsidRDefault="00993554" w:rsidP="00993554">
                  <w:pPr>
                    <w:pStyle w:val="TableBodyText"/>
                    <w:spacing w:before="40"/>
                    <w:ind w:right="57"/>
                  </w:pPr>
                  <w:r>
                    <w:t>59</w:t>
                  </w:r>
                </w:p>
              </w:tc>
              <w:tc>
                <w:tcPr>
                  <w:tcW w:w="584" w:type="pct"/>
                  <w:shd w:val="clear" w:color="auto" w:fill="auto"/>
                </w:tcPr>
                <w:p w:rsidR="00993554" w:rsidRDefault="00993554" w:rsidP="00993554">
                  <w:pPr>
                    <w:pStyle w:val="TableBodyText"/>
                    <w:spacing w:before="40"/>
                    <w:ind w:right="57"/>
                  </w:pPr>
                  <w:r>
                    <w:t>16</w:t>
                  </w:r>
                </w:p>
              </w:tc>
              <w:tc>
                <w:tcPr>
                  <w:tcW w:w="421" w:type="pct"/>
                  <w:shd w:val="clear" w:color="auto" w:fill="auto"/>
                </w:tcPr>
                <w:p w:rsidR="00993554" w:rsidRDefault="00993554" w:rsidP="00993554">
                  <w:pPr>
                    <w:pStyle w:val="TableBodyText"/>
                    <w:spacing w:before="40"/>
                    <w:ind w:right="57"/>
                  </w:pPr>
                  <w:r>
                    <w:t>1.3</w:t>
                  </w:r>
                </w:p>
              </w:tc>
            </w:tr>
            <w:tr w:rsidR="00993554" w:rsidTr="00993554">
              <w:tc>
                <w:tcPr>
                  <w:tcW w:w="1825" w:type="pct"/>
                  <w:shd w:val="clear" w:color="auto" w:fill="auto"/>
                </w:tcPr>
                <w:p w:rsidR="00993554" w:rsidRPr="002D58DD" w:rsidRDefault="00993554" w:rsidP="00993554">
                  <w:pPr>
                    <w:pStyle w:val="TableBodyText"/>
                    <w:spacing w:after="0"/>
                    <w:ind w:left="142" w:hanging="136"/>
                    <w:jc w:val="left"/>
                  </w:pPr>
                  <w:r w:rsidRPr="002D58DD">
                    <w:t>Conditions originating in the</w:t>
                  </w:r>
                </w:p>
                <w:p w:rsidR="00993554" w:rsidRPr="002D58DD" w:rsidRDefault="00993554" w:rsidP="00993554">
                  <w:pPr>
                    <w:pStyle w:val="TableBodyText"/>
                    <w:spacing w:after="0"/>
                    <w:ind w:left="142" w:hanging="136"/>
                    <w:jc w:val="left"/>
                  </w:pPr>
                  <w:r w:rsidRPr="002D58DD">
                    <w:t>perinatal period</w:t>
                  </w:r>
                </w:p>
              </w:tc>
              <w:tc>
                <w:tcPr>
                  <w:tcW w:w="501" w:type="pct"/>
                  <w:shd w:val="clear" w:color="auto" w:fill="auto"/>
                </w:tcPr>
                <w:p w:rsidR="00993554" w:rsidRDefault="00993554" w:rsidP="00993554">
                  <w:pPr>
                    <w:pStyle w:val="TableBodyText"/>
                    <w:spacing w:before="40"/>
                    <w:ind w:right="57"/>
                  </w:pPr>
                  <w:r>
                    <w:br/>
                    <w:t>31</w:t>
                  </w:r>
                </w:p>
              </w:tc>
              <w:tc>
                <w:tcPr>
                  <w:tcW w:w="585" w:type="pct"/>
                  <w:shd w:val="clear" w:color="auto" w:fill="auto"/>
                </w:tcPr>
                <w:p w:rsidR="00993554" w:rsidRDefault="00993554" w:rsidP="00993554">
                  <w:pPr>
                    <w:pStyle w:val="TableBodyText"/>
                    <w:spacing w:before="40"/>
                    <w:ind w:right="57"/>
                  </w:pPr>
                  <w:r>
                    <w:br/>
                    <w:t>14</w:t>
                  </w:r>
                </w:p>
              </w:tc>
              <w:tc>
                <w:tcPr>
                  <w:tcW w:w="501" w:type="pct"/>
                  <w:shd w:val="clear" w:color="auto" w:fill="auto"/>
                </w:tcPr>
                <w:p w:rsidR="00993554" w:rsidRDefault="00993554" w:rsidP="00993554">
                  <w:pPr>
                    <w:pStyle w:val="TableBodyText"/>
                    <w:spacing w:before="40"/>
                    <w:ind w:right="57"/>
                  </w:pPr>
                  <w:r>
                    <w:br/>
                    <w:t>2.2</w:t>
                  </w:r>
                </w:p>
              </w:tc>
              <w:tc>
                <w:tcPr>
                  <w:tcW w:w="584" w:type="pct"/>
                  <w:shd w:val="clear" w:color="auto" w:fill="auto"/>
                </w:tcPr>
                <w:p w:rsidR="00993554" w:rsidRDefault="00993554" w:rsidP="00993554">
                  <w:pPr>
                    <w:pStyle w:val="TableBodyText"/>
                    <w:spacing w:before="40"/>
                    <w:ind w:right="57"/>
                  </w:pPr>
                  <w:r>
                    <w:br/>
                    <w:t>21</w:t>
                  </w:r>
                </w:p>
              </w:tc>
              <w:tc>
                <w:tcPr>
                  <w:tcW w:w="584" w:type="pct"/>
                  <w:shd w:val="clear" w:color="auto" w:fill="auto"/>
                </w:tcPr>
                <w:p w:rsidR="00993554" w:rsidRDefault="00993554" w:rsidP="00993554">
                  <w:pPr>
                    <w:pStyle w:val="TableBodyText"/>
                    <w:spacing w:before="40"/>
                    <w:ind w:right="57"/>
                  </w:pPr>
                  <w:r>
                    <w:br/>
                    <w:t>14</w:t>
                  </w:r>
                </w:p>
              </w:tc>
              <w:tc>
                <w:tcPr>
                  <w:tcW w:w="421" w:type="pct"/>
                  <w:shd w:val="clear" w:color="auto" w:fill="auto"/>
                </w:tcPr>
                <w:p w:rsidR="00993554" w:rsidRDefault="00993554" w:rsidP="00993554">
                  <w:pPr>
                    <w:pStyle w:val="TableBodyText"/>
                    <w:spacing w:before="40"/>
                    <w:ind w:right="57"/>
                  </w:pPr>
                  <w:r>
                    <w:br/>
                    <w:t>1.6</w:t>
                  </w:r>
                </w:p>
              </w:tc>
            </w:tr>
            <w:tr w:rsidR="00993554" w:rsidTr="00993554">
              <w:tc>
                <w:tcPr>
                  <w:tcW w:w="1825" w:type="pct"/>
                  <w:shd w:val="clear" w:color="auto" w:fill="auto"/>
                </w:tcPr>
                <w:p w:rsidR="00993554" w:rsidRPr="002D58DD" w:rsidRDefault="00993554" w:rsidP="00993554">
                  <w:pPr>
                    <w:pStyle w:val="TableBodyText"/>
                    <w:spacing w:after="0"/>
                    <w:ind w:left="142" w:hanging="136"/>
                    <w:jc w:val="left"/>
                  </w:pPr>
                  <w:r w:rsidRPr="002D58DD">
                    <w:t>Certain infectious and parasitic</w:t>
                  </w:r>
                </w:p>
                <w:p w:rsidR="00993554" w:rsidRPr="002D58DD" w:rsidRDefault="00993554" w:rsidP="00993554">
                  <w:pPr>
                    <w:pStyle w:val="TableBodyText"/>
                    <w:spacing w:after="0"/>
                    <w:ind w:left="142" w:hanging="136"/>
                    <w:jc w:val="left"/>
                  </w:pPr>
                  <w:r w:rsidRPr="002D58DD">
                    <w:t>diseases</w:t>
                  </w:r>
                </w:p>
              </w:tc>
              <w:tc>
                <w:tcPr>
                  <w:tcW w:w="501" w:type="pct"/>
                  <w:shd w:val="clear" w:color="auto" w:fill="auto"/>
                </w:tcPr>
                <w:p w:rsidR="00993554" w:rsidRDefault="00993554" w:rsidP="00993554">
                  <w:pPr>
                    <w:pStyle w:val="TableBodyText"/>
                    <w:spacing w:before="40"/>
                    <w:ind w:right="57"/>
                  </w:pPr>
                  <w:r>
                    <w:br/>
                    <w:t>27</w:t>
                  </w:r>
                </w:p>
              </w:tc>
              <w:tc>
                <w:tcPr>
                  <w:tcW w:w="585" w:type="pct"/>
                  <w:shd w:val="clear" w:color="auto" w:fill="auto"/>
                </w:tcPr>
                <w:p w:rsidR="00993554" w:rsidRDefault="00993554" w:rsidP="00993554">
                  <w:pPr>
                    <w:pStyle w:val="TableBodyText"/>
                    <w:spacing w:before="40"/>
                    <w:ind w:right="57"/>
                  </w:pPr>
                  <w:r>
                    <w:br/>
                    <w:t>6</w:t>
                  </w:r>
                </w:p>
              </w:tc>
              <w:tc>
                <w:tcPr>
                  <w:tcW w:w="501" w:type="pct"/>
                  <w:shd w:val="clear" w:color="auto" w:fill="auto"/>
                </w:tcPr>
                <w:p w:rsidR="00993554" w:rsidRDefault="00993554" w:rsidP="00993554">
                  <w:pPr>
                    <w:pStyle w:val="TableBodyText"/>
                    <w:spacing w:before="40"/>
                    <w:ind w:right="57"/>
                  </w:pPr>
                  <w:r>
                    <w:br/>
                    <w:t>4.5</w:t>
                  </w:r>
                </w:p>
              </w:tc>
              <w:tc>
                <w:tcPr>
                  <w:tcW w:w="584" w:type="pct"/>
                  <w:shd w:val="clear" w:color="auto" w:fill="auto"/>
                </w:tcPr>
                <w:p w:rsidR="00993554" w:rsidRDefault="00993554" w:rsidP="00993554">
                  <w:pPr>
                    <w:pStyle w:val="TableBodyText"/>
                    <w:spacing w:before="40"/>
                    <w:ind w:right="57"/>
                  </w:pPr>
                  <w:r>
                    <w:br/>
                    <w:t>22</w:t>
                  </w:r>
                </w:p>
              </w:tc>
              <w:tc>
                <w:tcPr>
                  <w:tcW w:w="584" w:type="pct"/>
                  <w:shd w:val="clear" w:color="auto" w:fill="auto"/>
                </w:tcPr>
                <w:p w:rsidR="00993554" w:rsidRDefault="00993554" w:rsidP="00993554">
                  <w:pPr>
                    <w:pStyle w:val="TableBodyText"/>
                    <w:spacing w:before="40"/>
                    <w:ind w:right="57"/>
                  </w:pPr>
                  <w:r>
                    <w:br/>
                    <w:t>7</w:t>
                  </w:r>
                </w:p>
              </w:tc>
              <w:tc>
                <w:tcPr>
                  <w:tcW w:w="421" w:type="pct"/>
                  <w:shd w:val="clear" w:color="auto" w:fill="auto"/>
                </w:tcPr>
                <w:p w:rsidR="00993554" w:rsidRDefault="00993554" w:rsidP="00993554">
                  <w:pPr>
                    <w:pStyle w:val="TableBodyText"/>
                    <w:spacing w:before="40"/>
                    <w:ind w:right="57"/>
                  </w:pPr>
                  <w:r>
                    <w:br/>
                    <w:t>3.1</w:t>
                  </w:r>
                </w:p>
              </w:tc>
            </w:tr>
            <w:tr w:rsidR="00993554" w:rsidRPr="00993554" w:rsidTr="00993554">
              <w:tc>
                <w:tcPr>
                  <w:tcW w:w="1825" w:type="pct"/>
                  <w:tcBorders>
                    <w:bottom w:val="single" w:sz="6" w:space="0" w:color="BFBFBF"/>
                  </w:tcBorders>
                  <w:shd w:val="clear" w:color="auto" w:fill="auto"/>
                </w:tcPr>
                <w:p w:rsidR="00993554" w:rsidRPr="00993554" w:rsidRDefault="00993554" w:rsidP="00993554">
                  <w:pPr>
                    <w:pStyle w:val="TableBodyText"/>
                    <w:spacing w:after="0"/>
                    <w:ind w:left="142" w:hanging="136"/>
                    <w:jc w:val="left"/>
                    <w:rPr>
                      <w:b/>
                    </w:rPr>
                  </w:pPr>
                  <w:r w:rsidRPr="00993554">
                    <w:rPr>
                      <w:b/>
                    </w:rPr>
                    <w:t>All causes</w:t>
                  </w:r>
                </w:p>
              </w:tc>
              <w:tc>
                <w:tcPr>
                  <w:tcW w:w="501" w:type="pct"/>
                  <w:tcBorders>
                    <w:bottom w:val="single" w:sz="6" w:space="0" w:color="BFBFBF"/>
                  </w:tcBorders>
                  <w:shd w:val="clear" w:color="auto" w:fill="auto"/>
                </w:tcPr>
                <w:p w:rsidR="00993554" w:rsidRPr="00993554" w:rsidRDefault="00993554" w:rsidP="00993554">
                  <w:pPr>
                    <w:pStyle w:val="TableBodyText"/>
                    <w:spacing w:before="40"/>
                    <w:ind w:right="57"/>
                    <w:rPr>
                      <w:b/>
                    </w:rPr>
                  </w:pPr>
                  <w:r w:rsidRPr="00993554">
                    <w:rPr>
                      <w:b/>
                    </w:rPr>
                    <w:t>1 211</w:t>
                  </w:r>
                </w:p>
              </w:tc>
              <w:tc>
                <w:tcPr>
                  <w:tcW w:w="585" w:type="pct"/>
                  <w:tcBorders>
                    <w:bottom w:val="single" w:sz="6" w:space="0" w:color="BFBFBF"/>
                  </w:tcBorders>
                  <w:shd w:val="clear" w:color="auto" w:fill="auto"/>
                </w:tcPr>
                <w:p w:rsidR="00993554" w:rsidRPr="00993554" w:rsidRDefault="00993554" w:rsidP="00993554">
                  <w:pPr>
                    <w:pStyle w:val="TableBodyText"/>
                    <w:spacing w:before="40"/>
                    <w:ind w:right="57"/>
                    <w:rPr>
                      <w:b/>
                    </w:rPr>
                  </w:pPr>
                  <w:r>
                    <w:rPr>
                      <w:b/>
                    </w:rPr>
                    <w:t>397</w:t>
                  </w:r>
                </w:p>
              </w:tc>
              <w:tc>
                <w:tcPr>
                  <w:tcW w:w="501" w:type="pct"/>
                  <w:tcBorders>
                    <w:bottom w:val="single" w:sz="6" w:space="0" w:color="BFBFBF"/>
                  </w:tcBorders>
                  <w:shd w:val="clear" w:color="auto" w:fill="auto"/>
                </w:tcPr>
                <w:p w:rsidR="00993554" w:rsidRPr="00993554" w:rsidRDefault="00993554" w:rsidP="00993554">
                  <w:pPr>
                    <w:pStyle w:val="TableBodyText"/>
                    <w:spacing w:before="40"/>
                    <w:ind w:right="57"/>
                    <w:rPr>
                      <w:b/>
                    </w:rPr>
                  </w:pPr>
                  <w:r>
                    <w:rPr>
                      <w:b/>
                    </w:rPr>
                    <w:t>3.1</w:t>
                  </w:r>
                </w:p>
              </w:tc>
              <w:tc>
                <w:tcPr>
                  <w:tcW w:w="584" w:type="pct"/>
                  <w:tcBorders>
                    <w:bottom w:val="single" w:sz="6" w:space="0" w:color="BFBFBF"/>
                  </w:tcBorders>
                  <w:shd w:val="clear" w:color="auto" w:fill="auto"/>
                </w:tcPr>
                <w:p w:rsidR="00993554" w:rsidRPr="00993554" w:rsidRDefault="00993554" w:rsidP="00993554">
                  <w:pPr>
                    <w:pStyle w:val="TableBodyText"/>
                    <w:spacing w:before="40"/>
                    <w:ind w:right="57"/>
                    <w:rPr>
                      <w:b/>
                    </w:rPr>
                  </w:pPr>
                  <w:r>
                    <w:rPr>
                      <w:b/>
                    </w:rPr>
                    <w:t>957</w:t>
                  </w:r>
                </w:p>
              </w:tc>
              <w:tc>
                <w:tcPr>
                  <w:tcW w:w="584" w:type="pct"/>
                  <w:tcBorders>
                    <w:bottom w:val="single" w:sz="6" w:space="0" w:color="BFBFBF"/>
                  </w:tcBorders>
                  <w:shd w:val="clear" w:color="auto" w:fill="auto"/>
                </w:tcPr>
                <w:p w:rsidR="00993554" w:rsidRPr="00993554" w:rsidRDefault="00993554" w:rsidP="00993554">
                  <w:pPr>
                    <w:pStyle w:val="TableBodyText"/>
                    <w:spacing w:before="40"/>
                    <w:ind w:right="57"/>
                    <w:rPr>
                      <w:b/>
                    </w:rPr>
                  </w:pPr>
                  <w:r>
                    <w:rPr>
                      <w:b/>
                    </w:rPr>
                    <w:t>497</w:t>
                  </w:r>
                </w:p>
              </w:tc>
              <w:tc>
                <w:tcPr>
                  <w:tcW w:w="421" w:type="pct"/>
                  <w:tcBorders>
                    <w:bottom w:val="single" w:sz="6" w:space="0" w:color="BFBFBF"/>
                  </w:tcBorders>
                  <w:shd w:val="clear" w:color="auto" w:fill="auto"/>
                </w:tcPr>
                <w:p w:rsidR="00993554" w:rsidRPr="00993554" w:rsidRDefault="00993554" w:rsidP="00993554">
                  <w:pPr>
                    <w:pStyle w:val="TableBodyText"/>
                    <w:spacing w:before="40"/>
                    <w:ind w:right="57"/>
                    <w:rPr>
                      <w:b/>
                    </w:rPr>
                  </w:pPr>
                  <w:r>
                    <w:rPr>
                      <w:b/>
                    </w:rPr>
                    <w:t>1.9</w:t>
                  </w:r>
                </w:p>
              </w:tc>
            </w:tr>
          </w:tbl>
          <w:p w:rsidR="004D5B38" w:rsidRDefault="004D5B38" w:rsidP="00511040">
            <w:pPr>
              <w:pStyle w:val="Box"/>
            </w:pPr>
          </w:p>
        </w:tc>
      </w:tr>
      <w:tr w:rsidR="004D5B38" w:rsidTr="00511040">
        <w:trPr>
          <w:cantSplit/>
        </w:trPr>
        <w:tc>
          <w:tcPr>
            <w:tcW w:w="8771" w:type="dxa"/>
            <w:tcBorders>
              <w:top w:val="nil"/>
              <w:left w:val="nil"/>
              <w:bottom w:val="nil"/>
              <w:right w:val="nil"/>
            </w:tcBorders>
            <w:shd w:val="clear" w:color="auto" w:fill="auto"/>
          </w:tcPr>
          <w:p w:rsidR="004D5B38" w:rsidRDefault="00993554" w:rsidP="00993554">
            <w:pPr>
              <w:pStyle w:val="Note"/>
              <w:rPr>
                <w:i/>
              </w:rPr>
            </w:pPr>
            <w:r w:rsidRPr="002D58DD">
              <w:t xml:space="preserve">SMR = Standardised Mortality Ratio. </w:t>
            </w:r>
            <w:r w:rsidRPr="002D58DD">
              <w:rPr>
                <w:rStyle w:val="NoteLabel"/>
              </w:rPr>
              <w:t>a</w:t>
            </w:r>
            <w:r w:rsidRPr="002D58DD">
              <w:t xml:space="preserve"> Data for Queensland, WA, SA and the NT combined. </w:t>
            </w:r>
            <w:r w:rsidRPr="002D58DD">
              <w:rPr>
                <w:rStyle w:val="NoteLabel"/>
              </w:rPr>
              <w:t>b</w:t>
            </w:r>
            <w:r w:rsidRPr="002D58DD">
              <w:t xml:space="preserve"> Observed and expected deaths are reported as average number of annual deaths from 2004–2008. Excepted deaths are based on non</w:t>
            </w:r>
            <w:r w:rsidRPr="002D58DD">
              <w:noBreakHyphen/>
              <w:t xml:space="preserve">Indigenous death rates. </w:t>
            </w:r>
            <w:r w:rsidRPr="002D58DD">
              <w:rPr>
                <w:rStyle w:val="NoteLabel"/>
              </w:rPr>
              <w:t>c</w:t>
            </w:r>
            <w:r w:rsidRPr="002D58DD">
              <w:t xml:space="preserve"> Standardised mortality ratio is the observed Aboriginal and Torres Strait Islander Australians deaths divided by expected Aboriginal and Torres Strait Islander Australians deaths, based on the age, sex and cause</w:t>
            </w:r>
            <w:r w:rsidRPr="002D58DD">
              <w:noBreakHyphen/>
              <w:t>specific rates for non</w:t>
            </w:r>
            <w:r w:rsidRPr="002D58DD">
              <w:noBreakHyphen/>
              <w:t>Indigenous Australians</w:t>
            </w:r>
            <w:r>
              <w:t>.</w:t>
            </w:r>
          </w:p>
        </w:tc>
      </w:tr>
      <w:tr w:rsidR="004D5B38" w:rsidTr="00511040">
        <w:trPr>
          <w:cantSplit/>
        </w:trPr>
        <w:tc>
          <w:tcPr>
            <w:tcW w:w="8771" w:type="dxa"/>
            <w:tcBorders>
              <w:top w:val="nil"/>
              <w:left w:val="nil"/>
              <w:bottom w:val="nil"/>
              <w:right w:val="nil"/>
            </w:tcBorders>
            <w:shd w:val="clear" w:color="auto" w:fill="auto"/>
          </w:tcPr>
          <w:p w:rsidR="004D5B38" w:rsidRDefault="004D5B38" w:rsidP="00993554">
            <w:pPr>
              <w:pStyle w:val="Source"/>
            </w:pPr>
            <w:r>
              <w:rPr>
                <w:i/>
              </w:rPr>
              <w:t>Source</w:t>
            </w:r>
            <w:r w:rsidRPr="00167F06">
              <w:t xml:space="preserve">: </w:t>
            </w:r>
            <w:r w:rsidR="00993554" w:rsidRPr="002D58DD">
              <w:t xml:space="preserve">AIHW (2011) </w:t>
            </w:r>
            <w:r w:rsidR="00993554" w:rsidRPr="002D58DD">
              <w:rPr>
                <w:i/>
              </w:rPr>
              <w:t>Life expectancy and mortality of Aboriginal and Torres Strait Islander people</w:t>
            </w:r>
            <w:r w:rsidR="00993554" w:rsidRPr="002D58DD">
              <w:t>, Cat. no. IHW 51, Canberra.</w:t>
            </w:r>
          </w:p>
        </w:tc>
      </w:tr>
      <w:tr w:rsidR="004D5B38" w:rsidTr="00511040">
        <w:trPr>
          <w:cantSplit/>
        </w:trPr>
        <w:tc>
          <w:tcPr>
            <w:tcW w:w="8771" w:type="dxa"/>
            <w:tcBorders>
              <w:top w:val="nil"/>
              <w:left w:val="nil"/>
              <w:bottom w:val="single" w:sz="6" w:space="0" w:color="78A22F"/>
              <w:right w:val="nil"/>
            </w:tcBorders>
            <w:shd w:val="clear" w:color="auto" w:fill="auto"/>
          </w:tcPr>
          <w:p w:rsidR="004D5B38" w:rsidRDefault="004D5B38" w:rsidP="00511040">
            <w:pPr>
              <w:pStyle w:val="Box"/>
              <w:spacing w:before="0" w:line="120" w:lineRule="exact"/>
            </w:pPr>
          </w:p>
        </w:tc>
      </w:tr>
      <w:tr w:rsidR="004D5B38" w:rsidRPr="000863A5" w:rsidTr="00511040">
        <w:tc>
          <w:tcPr>
            <w:tcW w:w="8771" w:type="dxa"/>
            <w:tcBorders>
              <w:top w:val="single" w:sz="6" w:space="0" w:color="78A22F"/>
              <w:left w:val="nil"/>
              <w:bottom w:val="nil"/>
              <w:right w:val="nil"/>
            </w:tcBorders>
          </w:tcPr>
          <w:p w:rsidR="004D5B38" w:rsidRPr="00626D32" w:rsidRDefault="004D5B38" w:rsidP="00511040">
            <w:pPr>
              <w:pStyle w:val="BoxSpaceBelow"/>
            </w:pPr>
          </w:p>
        </w:tc>
      </w:tr>
    </w:tbl>
    <w:p w:rsidR="00993554" w:rsidRDefault="00993554" w:rsidP="004D5B38">
      <w:pPr>
        <w:pStyle w:val="BodyText"/>
      </w:pPr>
    </w:p>
    <w:p w:rsidR="00993554" w:rsidRDefault="00993554" w:rsidP="00993554">
      <w:pPr>
        <w:pStyle w:val="BodyText"/>
      </w:pPr>
      <w:r>
        <w:br w:type="page"/>
      </w:r>
    </w:p>
    <w:p w:rsidR="004D5B38" w:rsidRDefault="00993554" w:rsidP="00993554">
      <w:pPr>
        <w:pStyle w:val="Heading2"/>
      </w:pPr>
      <w:bookmarkStart w:id="28" w:name="_Toc437961497"/>
      <w:r>
        <w:lastRenderedPageBreak/>
        <w:t>2.</w:t>
      </w:r>
      <w:r w:rsidR="00862E04">
        <w:rPr>
          <w:noProof/>
        </w:rPr>
        <w:t>7</w:t>
      </w:r>
      <w:r>
        <w:tab/>
      </w:r>
      <w:r w:rsidRPr="00E83184">
        <w:t>List of attachment tables</w:t>
      </w:r>
      <w:bookmarkEnd w:id="28"/>
    </w:p>
    <w:p w:rsidR="001B0610" w:rsidRDefault="000914A8" w:rsidP="00993554">
      <w:pPr>
        <w:pStyle w:val="BodyText"/>
      </w:pPr>
      <w:r w:rsidRPr="00E83184">
        <w:t>Attachment tables are identified in referenc</w:t>
      </w:r>
      <w:r>
        <w:t>es throughout this chapter by a</w:t>
      </w:r>
      <w:r w:rsidRPr="00E83184">
        <w:t xml:space="preserve"> ‘2A’ prefix (for example, table</w:t>
      </w:r>
      <w:r w:rsidR="00021101">
        <w:t> </w:t>
      </w:r>
      <w:r w:rsidRPr="00E83184">
        <w:t>2A.1). Attachment tables are provided on the Review website (</w:t>
      </w:r>
      <w:r w:rsidRPr="006B4828">
        <w:t>www.pc.gov.au/rogs/2016</w:t>
      </w:r>
      <w:r w:rsidRPr="00E83184">
        <w:t>)</w:t>
      </w:r>
      <w:r>
        <w:t>.</w:t>
      </w:r>
      <w:r w:rsidR="001B0610">
        <w:br/>
      </w:r>
    </w:p>
    <w:tbl>
      <w:tblPr>
        <w:tblW w:w="8789" w:type="dxa"/>
        <w:tblInd w:w="108" w:type="dxa"/>
        <w:tblLook w:val="04A0" w:firstRow="1" w:lastRow="0" w:firstColumn="1" w:lastColumn="0" w:noHBand="0" w:noVBand="1"/>
      </w:tblPr>
      <w:tblGrid>
        <w:gridCol w:w="1560"/>
        <w:gridCol w:w="7229"/>
      </w:tblGrid>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531350" w:rsidRDefault="000914A8" w:rsidP="00511040">
            <w:pPr>
              <w:shd w:val="clear" w:color="auto" w:fill="FFFFFF" w:themeFill="background1"/>
              <w:rPr>
                <w:rFonts w:ascii="Arial" w:hAnsi="Arial" w:cs="Arial"/>
                <w:b/>
                <w:bCs/>
                <w:color w:val="0000FF"/>
                <w:sz w:val="20"/>
                <w:szCs w:val="20"/>
              </w:rPr>
            </w:pPr>
            <w:r w:rsidRPr="00531350">
              <w:rPr>
                <w:rFonts w:ascii="Arial" w:hAnsi="Arial" w:cs="Arial"/>
                <w:b/>
                <w:bCs/>
                <w:color w:val="0000FF"/>
                <w:sz w:val="20"/>
                <w:szCs w:val="20"/>
              </w:rPr>
              <w:t>Population</w:t>
            </w:r>
          </w:p>
        </w:tc>
        <w:tc>
          <w:tcPr>
            <w:tcW w:w="7229" w:type="dxa"/>
            <w:tcBorders>
              <w:top w:val="nil"/>
              <w:left w:val="nil"/>
              <w:bottom w:val="nil"/>
              <w:right w:val="nil"/>
            </w:tcBorders>
            <w:shd w:val="clear" w:color="auto" w:fill="auto"/>
            <w:hideMark/>
          </w:tcPr>
          <w:p w:rsidR="000914A8" w:rsidRPr="00531350" w:rsidRDefault="000914A8" w:rsidP="00511040">
            <w:pPr>
              <w:shd w:val="clear" w:color="auto" w:fill="FFFFFF" w:themeFill="background1"/>
              <w:jc w:val="both"/>
              <w:rPr>
                <w:rFonts w:ascii="Arial" w:hAnsi="Arial" w:cs="Arial"/>
                <w:sz w:val="20"/>
                <w:szCs w:val="20"/>
              </w:rPr>
            </w:pP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Estimated resident population (ERP) by age and sex, 30 June</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2A.2</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Estimated resident population (ERP) by age and sex, 31 December</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2A.3</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Proficiency in spoken English of people born overseas, 2001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2A.4</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Proficiency in spoken English of people born overseas, 2006</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2A.5</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Proficiency in spoken English of people born overseas, 2011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2A.6</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country of birth, 2001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2A.7</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country of birth, 2006</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2A.8</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country of birth, 2011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2A.9</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language spoken at home, 2001 (</w:t>
            </w:r>
            <w:r w:rsidR="00CC7F97">
              <w:rPr>
                <w:rFonts w:ascii="Arial" w:hAnsi="Arial" w:cs="Arial"/>
                <w:sz w:val="20"/>
                <w:szCs w:val="20"/>
              </w:rPr>
              <w:t>‘</w:t>
            </w:r>
            <w:r w:rsidRPr="00E00D1E">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2A.10</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language spoken at home, 2006 (</w:t>
            </w:r>
            <w:r w:rsidR="00CC7F97">
              <w:rPr>
                <w:rFonts w:ascii="Arial" w:hAnsi="Arial" w:cs="Arial"/>
                <w:sz w:val="20"/>
                <w:szCs w:val="20"/>
              </w:rPr>
              <w:t>‘</w:t>
            </w:r>
            <w:r w:rsidRPr="00E00D1E">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2A.11</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People by language spoken at home, 2011 (</w:t>
            </w:r>
            <w:r w:rsidR="00CC7F97">
              <w:rPr>
                <w:rFonts w:ascii="Arial" w:hAnsi="Arial" w:cs="Arial"/>
                <w:sz w:val="20"/>
                <w:szCs w:val="20"/>
              </w:rPr>
              <w:t>‘</w:t>
            </w:r>
            <w:r w:rsidRPr="00E00D1E">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2A.12</w:t>
            </w:r>
          </w:p>
        </w:tc>
        <w:tc>
          <w:tcPr>
            <w:tcW w:w="7229" w:type="dxa"/>
            <w:tcBorders>
              <w:top w:val="nil"/>
              <w:left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Estimated resident population (ERP) by remoteness area</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2A.13</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Aboriginal and Torres Strait Islander population estimates, by age and sex, 30 June</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2A.14</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Aboriginal and Torres Strait Islander population projections, by age and sex, 30 June</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2A.15</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Language spoken at home by Aboriginal and Torres Strait Islander Australians and proficiency in spoken English, by sex, 2001 (number)</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E00D1E" w:rsidRDefault="000914A8" w:rsidP="00511040">
            <w:pPr>
              <w:shd w:val="clear" w:color="auto" w:fill="FFFFFF" w:themeFill="background1"/>
              <w:rPr>
                <w:rFonts w:ascii="Arial" w:hAnsi="Arial" w:cs="Arial"/>
                <w:b/>
                <w:bCs/>
                <w:color w:val="0000FF"/>
                <w:sz w:val="20"/>
                <w:szCs w:val="20"/>
              </w:rPr>
            </w:pPr>
            <w:r w:rsidRPr="00E00D1E">
              <w:rPr>
                <w:rFonts w:ascii="Arial" w:hAnsi="Arial" w:cs="Arial"/>
                <w:b/>
                <w:bCs/>
                <w:color w:val="0000FF"/>
                <w:sz w:val="20"/>
                <w:szCs w:val="20"/>
              </w:rPr>
              <w:t>Table</w:t>
            </w:r>
            <w:r w:rsidR="00021101">
              <w:rPr>
                <w:rFonts w:ascii="Arial" w:hAnsi="Arial" w:cs="Arial"/>
                <w:b/>
                <w:bCs/>
                <w:color w:val="0000FF"/>
                <w:sz w:val="20"/>
                <w:szCs w:val="20"/>
              </w:rPr>
              <w:t> </w:t>
            </w:r>
            <w:r w:rsidRPr="00E00D1E">
              <w:rPr>
                <w:rFonts w:ascii="Arial" w:hAnsi="Arial" w:cs="Arial"/>
                <w:b/>
                <w:bCs/>
                <w:color w:val="0000FF"/>
                <w:sz w:val="20"/>
                <w:szCs w:val="20"/>
              </w:rPr>
              <w:t>2A.16</w:t>
            </w:r>
          </w:p>
        </w:tc>
        <w:tc>
          <w:tcPr>
            <w:tcW w:w="7229" w:type="dxa"/>
            <w:tcBorders>
              <w:top w:val="nil"/>
              <w:left w:val="nil"/>
              <w:bottom w:val="nil"/>
              <w:right w:val="nil"/>
            </w:tcBorders>
            <w:shd w:val="clear" w:color="auto" w:fill="auto"/>
            <w:hideMark/>
          </w:tcPr>
          <w:p w:rsidR="000914A8" w:rsidRPr="00E00D1E" w:rsidRDefault="000914A8" w:rsidP="00511040">
            <w:pPr>
              <w:shd w:val="clear" w:color="auto" w:fill="FFFFFF" w:themeFill="background1"/>
              <w:jc w:val="both"/>
              <w:rPr>
                <w:rFonts w:ascii="Arial" w:hAnsi="Arial" w:cs="Arial"/>
                <w:sz w:val="20"/>
                <w:szCs w:val="20"/>
              </w:rPr>
            </w:pPr>
            <w:r w:rsidRPr="00E00D1E">
              <w:rPr>
                <w:rFonts w:ascii="Arial" w:hAnsi="Arial" w:cs="Arial"/>
                <w:sz w:val="20"/>
                <w:szCs w:val="20"/>
              </w:rPr>
              <w:t>Language spoken at home by Aboriginal and Torres Strait Islander Australians and proficiency in spoken English, by sex, 2006 (number)</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Table</w:t>
            </w:r>
            <w:r w:rsidR="00021101">
              <w:rPr>
                <w:rFonts w:ascii="Arial" w:hAnsi="Arial" w:cs="Arial"/>
                <w:b/>
                <w:bCs/>
                <w:color w:val="0000FF"/>
                <w:sz w:val="20"/>
                <w:szCs w:val="20"/>
              </w:rPr>
              <w:t> </w:t>
            </w:r>
            <w:r w:rsidRPr="008B28EF">
              <w:rPr>
                <w:rFonts w:ascii="Arial" w:hAnsi="Arial" w:cs="Arial"/>
                <w:b/>
                <w:bCs/>
                <w:color w:val="0000FF"/>
                <w:sz w:val="20"/>
                <w:szCs w:val="20"/>
              </w:rPr>
              <w:t>2A.17</w:t>
            </w:r>
          </w:p>
        </w:tc>
        <w:tc>
          <w:tcPr>
            <w:tcW w:w="7229" w:type="dxa"/>
            <w:tcBorders>
              <w:top w:val="nil"/>
              <w:left w:val="nil"/>
              <w:bottom w:val="nil"/>
              <w:right w:val="nil"/>
            </w:tcBorders>
            <w:shd w:val="clear" w:color="auto" w:fill="auto"/>
            <w:hideMark/>
          </w:tcPr>
          <w:p w:rsidR="000914A8" w:rsidRPr="008B28EF" w:rsidRDefault="000914A8" w:rsidP="00511040">
            <w:pPr>
              <w:shd w:val="clear" w:color="auto" w:fill="FFFFFF" w:themeFill="background1"/>
              <w:jc w:val="both"/>
              <w:rPr>
                <w:rFonts w:ascii="Arial" w:hAnsi="Arial" w:cs="Arial"/>
                <w:sz w:val="20"/>
                <w:szCs w:val="20"/>
              </w:rPr>
            </w:pPr>
            <w:r w:rsidRPr="008B28EF">
              <w:rPr>
                <w:rFonts w:ascii="Arial" w:hAnsi="Arial" w:cs="Arial"/>
                <w:sz w:val="20"/>
                <w:szCs w:val="20"/>
              </w:rPr>
              <w:t>Language spoken at home by Aboriginal and Torres Strait Islander Australians and proficiency in spoken English, by sex, 2011 (number)</w:t>
            </w:r>
          </w:p>
        </w:tc>
      </w:tr>
      <w:tr w:rsidR="000914A8" w:rsidRPr="000E324D" w:rsidTr="00511040">
        <w:trPr>
          <w:trHeight w:val="357"/>
        </w:trPr>
        <w:tc>
          <w:tcPr>
            <w:tcW w:w="8789" w:type="dxa"/>
            <w:gridSpan w:val="2"/>
            <w:tcBorders>
              <w:top w:val="nil"/>
              <w:left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Family and household</w:t>
            </w:r>
          </w:p>
        </w:tc>
      </w:tr>
      <w:tr w:rsidR="000914A8" w:rsidRPr="000E324D" w:rsidTr="00511040">
        <w:trPr>
          <w:trHeight w:val="357"/>
        </w:trPr>
        <w:tc>
          <w:tcPr>
            <w:tcW w:w="1560" w:type="dxa"/>
            <w:tcBorders>
              <w:top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Table</w:t>
            </w:r>
            <w:r w:rsidR="00021101">
              <w:rPr>
                <w:rFonts w:ascii="Arial" w:hAnsi="Arial" w:cs="Arial"/>
                <w:b/>
                <w:bCs/>
                <w:color w:val="0000FF"/>
                <w:sz w:val="20"/>
                <w:szCs w:val="20"/>
              </w:rPr>
              <w:t> </w:t>
            </w:r>
            <w:r w:rsidRPr="008B28EF">
              <w:rPr>
                <w:rFonts w:ascii="Arial" w:hAnsi="Arial" w:cs="Arial"/>
                <w:b/>
                <w:bCs/>
                <w:color w:val="0000FF"/>
                <w:sz w:val="20"/>
                <w:szCs w:val="20"/>
              </w:rPr>
              <w:t>2A.18</w:t>
            </w:r>
          </w:p>
        </w:tc>
        <w:tc>
          <w:tcPr>
            <w:tcW w:w="7229" w:type="dxa"/>
            <w:tcBorders>
              <w:top w:val="nil"/>
              <w:left w:val="nil"/>
              <w:right w:val="nil"/>
            </w:tcBorders>
            <w:shd w:val="clear" w:color="auto" w:fill="auto"/>
            <w:hideMark/>
          </w:tcPr>
          <w:p w:rsidR="000914A8" w:rsidRPr="008B28EF" w:rsidRDefault="000914A8" w:rsidP="00511040">
            <w:pPr>
              <w:shd w:val="clear" w:color="auto" w:fill="FFFFFF" w:themeFill="background1"/>
              <w:jc w:val="both"/>
              <w:rPr>
                <w:rFonts w:ascii="Arial" w:hAnsi="Arial" w:cs="Arial"/>
                <w:sz w:val="20"/>
                <w:szCs w:val="20"/>
              </w:rPr>
            </w:pPr>
            <w:r w:rsidRPr="008B28EF">
              <w:rPr>
                <w:rFonts w:ascii="Arial" w:hAnsi="Arial" w:cs="Arial"/>
                <w:sz w:val="20"/>
                <w:szCs w:val="20"/>
              </w:rPr>
              <w:t>Family structure, 2003–2012</w:t>
            </w:r>
          </w:p>
        </w:tc>
      </w:tr>
      <w:tr w:rsidR="000914A8" w:rsidRPr="000E324D" w:rsidTr="00511040">
        <w:trPr>
          <w:trHeight w:val="357"/>
        </w:trPr>
        <w:tc>
          <w:tcPr>
            <w:tcW w:w="1560" w:type="dxa"/>
            <w:tcBorders>
              <w:top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Table</w:t>
            </w:r>
            <w:r w:rsidR="00021101">
              <w:rPr>
                <w:rFonts w:ascii="Arial" w:hAnsi="Arial" w:cs="Arial"/>
                <w:b/>
                <w:bCs/>
                <w:color w:val="0000FF"/>
                <w:sz w:val="20"/>
                <w:szCs w:val="20"/>
              </w:rPr>
              <w:t> </w:t>
            </w:r>
            <w:r w:rsidRPr="008B28EF">
              <w:rPr>
                <w:rFonts w:ascii="Arial" w:hAnsi="Arial" w:cs="Arial"/>
                <w:b/>
                <w:bCs/>
                <w:color w:val="0000FF"/>
                <w:sz w:val="20"/>
                <w:szCs w:val="20"/>
              </w:rPr>
              <w:t>2A.19</w:t>
            </w:r>
          </w:p>
        </w:tc>
        <w:tc>
          <w:tcPr>
            <w:tcW w:w="7229" w:type="dxa"/>
            <w:tcBorders>
              <w:top w:val="nil"/>
              <w:left w:val="nil"/>
              <w:bottom w:val="nil"/>
              <w:right w:val="nil"/>
            </w:tcBorders>
            <w:shd w:val="clear" w:color="auto" w:fill="auto"/>
            <w:hideMark/>
          </w:tcPr>
          <w:p w:rsidR="000914A8" w:rsidRPr="008B28EF" w:rsidRDefault="000914A8" w:rsidP="00511040">
            <w:pPr>
              <w:shd w:val="clear" w:color="auto" w:fill="FFFFFF" w:themeFill="background1"/>
              <w:jc w:val="both"/>
              <w:rPr>
                <w:rFonts w:ascii="Arial" w:hAnsi="Arial" w:cs="Arial"/>
                <w:sz w:val="20"/>
                <w:szCs w:val="20"/>
              </w:rPr>
            </w:pPr>
            <w:r w:rsidRPr="008B28EF">
              <w:rPr>
                <w:rFonts w:ascii="Arial" w:hAnsi="Arial" w:cs="Arial"/>
                <w:sz w:val="20"/>
                <w:szCs w:val="20"/>
              </w:rPr>
              <w:t>Family structure, lone parents, 2003–2012 (per cent)</w:t>
            </w:r>
          </w:p>
        </w:tc>
      </w:tr>
      <w:tr w:rsidR="000914A8" w:rsidRPr="000E324D" w:rsidTr="00511040">
        <w:trPr>
          <w:trHeight w:val="357"/>
        </w:trPr>
        <w:tc>
          <w:tcPr>
            <w:tcW w:w="1560" w:type="dxa"/>
            <w:tcBorders>
              <w:top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Table</w:t>
            </w:r>
            <w:r w:rsidR="00021101">
              <w:rPr>
                <w:rFonts w:ascii="Arial" w:hAnsi="Arial" w:cs="Arial"/>
                <w:b/>
                <w:bCs/>
                <w:color w:val="0000FF"/>
                <w:sz w:val="20"/>
                <w:szCs w:val="20"/>
              </w:rPr>
              <w:t> </w:t>
            </w:r>
            <w:r w:rsidRPr="008B28EF">
              <w:rPr>
                <w:rFonts w:ascii="Arial" w:hAnsi="Arial" w:cs="Arial"/>
                <w:b/>
                <w:bCs/>
                <w:color w:val="0000FF"/>
                <w:sz w:val="20"/>
                <w:szCs w:val="20"/>
              </w:rPr>
              <w:t>2A.20</w:t>
            </w:r>
          </w:p>
        </w:tc>
        <w:tc>
          <w:tcPr>
            <w:tcW w:w="7229" w:type="dxa"/>
            <w:tcBorders>
              <w:top w:val="nil"/>
              <w:left w:val="nil"/>
              <w:bottom w:val="nil"/>
              <w:right w:val="nil"/>
            </w:tcBorders>
            <w:shd w:val="clear" w:color="auto" w:fill="auto"/>
            <w:hideMark/>
          </w:tcPr>
          <w:p w:rsidR="000914A8" w:rsidRPr="008B28EF" w:rsidRDefault="000914A8" w:rsidP="00511040">
            <w:pPr>
              <w:shd w:val="clear" w:color="auto" w:fill="FFFFFF" w:themeFill="background1"/>
              <w:jc w:val="both"/>
              <w:rPr>
                <w:rFonts w:ascii="Arial" w:hAnsi="Arial" w:cs="Arial"/>
                <w:sz w:val="20"/>
                <w:szCs w:val="20"/>
              </w:rPr>
            </w:pPr>
            <w:r w:rsidRPr="008B28EF">
              <w:rPr>
                <w:rFonts w:ascii="Arial" w:hAnsi="Arial" w:cs="Arial"/>
                <w:sz w:val="20"/>
                <w:szCs w:val="20"/>
              </w:rPr>
              <w:t>Families and work, 2003–2012 (per cent)</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8B28EF" w:rsidRDefault="000914A8" w:rsidP="00511040">
            <w:pPr>
              <w:shd w:val="clear" w:color="auto" w:fill="FFFFFF" w:themeFill="background1"/>
              <w:rPr>
                <w:rFonts w:ascii="Arial" w:hAnsi="Arial" w:cs="Arial"/>
                <w:b/>
                <w:bCs/>
                <w:color w:val="0000FF"/>
                <w:sz w:val="20"/>
                <w:szCs w:val="20"/>
              </w:rPr>
            </w:pPr>
            <w:r w:rsidRPr="008B28EF">
              <w:rPr>
                <w:rFonts w:ascii="Arial" w:hAnsi="Arial" w:cs="Arial"/>
                <w:b/>
                <w:bCs/>
                <w:color w:val="0000FF"/>
                <w:sz w:val="20"/>
                <w:szCs w:val="20"/>
              </w:rPr>
              <w:t>Table</w:t>
            </w:r>
            <w:r w:rsidR="00021101">
              <w:rPr>
                <w:rFonts w:ascii="Arial" w:hAnsi="Arial" w:cs="Arial"/>
                <w:b/>
                <w:bCs/>
                <w:color w:val="0000FF"/>
                <w:sz w:val="20"/>
                <w:szCs w:val="20"/>
              </w:rPr>
              <w:t> </w:t>
            </w:r>
            <w:r w:rsidRPr="008B28EF">
              <w:rPr>
                <w:rFonts w:ascii="Arial" w:hAnsi="Arial" w:cs="Arial"/>
                <w:b/>
                <w:bCs/>
                <w:color w:val="0000FF"/>
                <w:sz w:val="20"/>
                <w:szCs w:val="20"/>
              </w:rPr>
              <w:t>2A.21</w:t>
            </w:r>
          </w:p>
        </w:tc>
        <w:tc>
          <w:tcPr>
            <w:tcW w:w="7229" w:type="dxa"/>
            <w:tcBorders>
              <w:top w:val="nil"/>
              <w:left w:val="nil"/>
              <w:bottom w:val="nil"/>
              <w:right w:val="nil"/>
            </w:tcBorders>
            <w:shd w:val="clear" w:color="auto" w:fill="auto"/>
            <w:hideMark/>
          </w:tcPr>
          <w:p w:rsidR="000914A8" w:rsidRPr="008B28EF" w:rsidRDefault="000914A8" w:rsidP="00511040">
            <w:pPr>
              <w:shd w:val="clear" w:color="auto" w:fill="FFFFFF" w:themeFill="background1"/>
              <w:jc w:val="both"/>
              <w:rPr>
                <w:rFonts w:ascii="Arial" w:hAnsi="Arial" w:cs="Arial"/>
                <w:sz w:val="20"/>
                <w:szCs w:val="20"/>
              </w:rPr>
            </w:pPr>
            <w:r w:rsidRPr="008B28EF">
              <w:rPr>
                <w:rFonts w:ascii="Arial" w:hAnsi="Arial" w:cs="Arial"/>
                <w:sz w:val="20"/>
                <w:szCs w:val="20"/>
              </w:rPr>
              <w:t>Families and people in families in occupied private dwellings by Indigenous status and family/household composition, 2001</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2A.22</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Families and people in families in occupied private dwellings by Indigenous status and family/household composition, 2006</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2A.23</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Families and people in families in occupied private dwellings by Indigenous status and family/household composition, 2011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2D58DD" w:rsidRDefault="000914A8" w:rsidP="00511040">
            <w:pPr>
              <w:shd w:val="clear" w:color="auto" w:fill="FFFFFF" w:themeFill="background1"/>
              <w:rPr>
                <w:rFonts w:ascii="Arial" w:hAnsi="Arial" w:cs="Arial"/>
                <w:b/>
                <w:bCs/>
                <w:color w:val="0000FF"/>
                <w:sz w:val="20"/>
                <w:szCs w:val="20"/>
              </w:rPr>
            </w:pPr>
            <w:r w:rsidRPr="002D58DD">
              <w:rPr>
                <w:rFonts w:ascii="Arial" w:hAnsi="Arial" w:cs="Arial"/>
                <w:b/>
                <w:bCs/>
                <w:color w:val="0000FF"/>
                <w:sz w:val="20"/>
                <w:szCs w:val="20"/>
              </w:rPr>
              <w:t>Table</w:t>
            </w:r>
            <w:r w:rsidR="00021101">
              <w:rPr>
                <w:rFonts w:ascii="Arial" w:hAnsi="Arial" w:cs="Arial"/>
                <w:b/>
                <w:bCs/>
                <w:color w:val="0000FF"/>
                <w:sz w:val="20"/>
                <w:szCs w:val="20"/>
              </w:rPr>
              <w:t> </w:t>
            </w:r>
            <w:r w:rsidRPr="002D58DD">
              <w:rPr>
                <w:rFonts w:ascii="Arial" w:hAnsi="Arial" w:cs="Arial"/>
                <w:b/>
                <w:bCs/>
                <w:color w:val="0000FF"/>
                <w:sz w:val="20"/>
                <w:szCs w:val="20"/>
              </w:rPr>
              <w:t>2A.24</w:t>
            </w:r>
          </w:p>
        </w:tc>
        <w:tc>
          <w:tcPr>
            <w:tcW w:w="7229" w:type="dxa"/>
            <w:tcBorders>
              <w:top w:val="nil"/>
              <w:left w:val="nil"/>
              <w:bottom w:val="nil"/>
              <w:right w:val="nil"/>
            </w:tcBorders>
            <w:shd w:val="clear" w:color="auto" w:fill="auto"/>
            <w:hideMark/>
          </w:tcPr>
          <w:p w:rsidR="000914A8" w:rsidRPr="002D58DD" w:rsidRDefault="000914A8" w:rsidP="00511040">
            <w:pPr>
              <w:shd w:val="clear" w:color="auto" w:fill="FFFFFF" w:themeFill="background1"/>
              <w:jc w:val="both"/>
              <w:rPr>
                <w:rFonts w:ascii="Arial" w:hAnsi="Arial" w:cs="Arial"/>
                <w:sz w:val="20"/>
                <w:szCs w:val="20"/>
              </w:rPr>
            </w:pPr>
            <w:r w:rsidRPr="002D58DD">
              <w:rPr>
                <w:rFonts w:ascii="Arial" w:hAnsi="Arial" w:cs="Arial"/>
                <w:sz w:val="20"/>
                <w:szCs w:val="20"/>
              </w:rPr>
              <w:t>Household structure, 2011–2015</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2D58DD" w:rsidRDefault="000914A8" w:rsidP="00511040">
            <w:pPr>
              <w:shd w:val="clear" w:color="auto" w:fill="FFFFFF" w:themeFill="background1"/>
              <w:rPr>
                <w:rFonts w:ascii="Arial" w:hAnsi="Arial" w:cs="Arial"/>
                <w:b/>
                <w:bCs/>
                <w:color w:val="0000FF"/>
                <w:sz w:val="20"/>
                <w:szCs w:val="20"/>
              </w:rPr>
            </w:pPr>
            <w:r w:rsidRPr="002D58DD">
              <w:rPr>
                <w:rFonts w:ascii="Arial" w:hAnsi="Arial" w:cs="Arial"/>
                <w:b/>
                <w:bCs/>
                <w:color w:val="0000FF"/>
                <w:sz w:val="20"/>
                <w:szCs w:val="20"/>
              </w:rPr>
              <w:t>Table</w:t>
            </w:r>
            <w:r w:rsidR="00021101">
              <w:rPr>
                <w:rFonts w:ascii="Arial" w:hAnsi="Arial" w:cs="Arial"/>
                <w:b/>
                <w:bCs/>
                <w:color w:val="0000FF"/>
                <w:sz w:val="20"/>
                <w:szCs w:val="20"/>
              </w:rPr>
              <w:t> </w:t>
            </w:r>
            <w:r w:rsidRPr="002D58DD">
              <w:rPr>
                <w:rFonts w:ascii="Arial" w:hAnsi="Arial" w:cs="Arial"/>
                <w:b/>
                <w:bCs/>
                <w:color w:val="0000FF"/>
                <w:sz w:val="20"/>
                <w:szCs w:val="20"/>
              </w:rPr>
              <w:t>2A.25</w:t>
            </w:r>
          </w:p>
        </w:tc>
        <w:tc>
          <w:tcPr>
            <w:tcW w:w="7229" w:type="dxa"/>
            <w:tcBorders>
              <w:top w:val="nil"/>
              <w:left w:val="nil"/>
              <w:bottom w:val="nil"/>
              <w:right w:val="nil"/>
            </w:tcBorders>
            <w:shd w:val="clear" w:color="auto" w:fill="auto"/>
            <w:hideMark/>
          </w:tcPr>
          <w:p w:rsidR="000914A8" w:rsidRPr="002D58DD" w:rsidRDefault="000914A8" w:rsidP="00511040">
            <w:pPr>
              <w:shd w:val="clear" w:color="auto" w:fill="FFFFFF" w:themeFill="background1"/>
              <w:jc w:val="both"/>
              <w:rPr>
                <w:rFonts w:ascii="Arial" w:hAnsi="Arial" w:cs="Arial"/>
                <w:sz w:val="20"/>
                <w:szCs w:val="20"/>
              </w:rPr>
            </w:pPr>
            <w:r w:rsidRPr="002D58DD">
              <w:rPr>
                <w:rFonts w:ascii="Arial" w:hAnsi="Arial" w:cs="Arial"/>
                <w:sz w:val="20"/>
                <w:szCs w:val="20"/>
              </w:rPr>
              <w:t>Occupied private dwellings by tenure type and landlord type, 2001 (</w:t>
            </w:r>
            <w:r w:rsidR="00CC7F97">
              <w:rPr>
                <w:rFonts w:ascii="Arial" w:hAnsi="Arial" w:cs="Arial"/>
                <w:sz w:val="20"/>
                <w:szCs w:val="20"/>
              </w:rPr>
              <w:t>‘</w:t>
            </w:r>
            <w:r w:rsidRPr="002D58DD">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lastRenderedPageBreak/>
              <w:t>Table</w:t>
            </w:r>
            <w:r w:rsidR="00021101">
              <w:rPr>
                <w:rFonts w:ascii="Arial" w:hAnsi="Arial" w:cs="Arial"/>
                <w:b/>
                <w:bCs/>
                <w:color w:val="0000FF"/>
                <w:sz w:val="20"/>
                <w:szCs w:val="20"/>
              </w:rPr>
              <w:t> </w:t>
            </w:r>
            <w:r>
              <w:rPr>
                <w:rFonts w:ascii="Arial" w:hAnsi="Arial" w:cs="Arial"/>
                <w:b/>
                <w:bCs/>
                <w:color w:val="0000FF"/>
                <w:sz w:val="20"/>
                <w:szCs w:val="20"/>
              </w:rPr>
              <w:t>2A.26</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Occupied private dwellings by tenure type and landlord type, 2006 (</w:t>
            </w:r>
            <w:r w:rsidR="00CC7F97">
              <w:rPr>
                <w:rFonts w:ascii="Arial" w:hAnsi="Arial" w:cs="Arial"/>
                <w:sz w:val="20"/>
                <w:szCs w:val="20"/>
              </w:rPr>
              <w:t>‘</w:t>
            </w:r>
            <w:r w:rsidRPr="0091258B">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2A.27</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Occupied private dwellings by tenure type and landlord type, 2011 (</w:t>
            </w:r>
            <w:r w:rsidR="00CC7F97">
              <w:rPr>
                <w:rFonts w:ascii="Arial" w:hAnsi="Arial" w:cs="Arial"/>
                <w:sz w:val="20"/>
                <w:szCs w:val="20"/>
              </w:rPr>
              <w:t>‘</w:t>
            </w:r>
            <w:r w:rsidRPr="0091258B">
              <w:rPr>
                <w:rFonts w:ascii="Arial" w:hAnsi="Arial" w:cs="Arial"/>
                <w:sz w:val="20"/>
                <w:szCs w:val="20"/>
              </w:rPr>
              <w:t>000)</w:t>
            </w:r>
          </w:p>
        </w:tc>
      </w:tr>
      <w:tr w:rsidR="000914A8" w:rsidRPr="000E324D" w:rsidTr="00511040">
        <w:trPr>
          <w:trHeight w:val="357"/>
        </w:trPr>
        <w:tc>
          <w:tcPr>
            <w:tcW w:w="8789" w:type="dxa"/>
            <w:gridSpan w:val="2"/>
            <w:tcBorders>
              <w:top w:val="nil"/>
              <w:left w:val="nil"/>
              <w:bottom w:val="nil"/>
              <w:right w:val="nil"/>
            </w:tcBorders>
            <w:shd w:val="clear" w:color="auto" w:fill="auto"/>
            <w:noWrap/>
            <w:hideMark/>
          </w:tcPr>
          <w:p w:rsidR="000914A8" w:rsidRPr="000E324D" w:rsidRDefault="000914A8" w:rsidP="00511040">
            <w:pPr>
              <w:shd w:val="clear" w:color="auto" w:fill="FFFFFF" w:themeFill="background1"/>
              <w:rPr>
                <w:rFonts w:ascii="Arial" w:hAnsi="Arial" w:cs="Arial"/>
                <w:b/>
                <w:bCs/>
                <w:color w:val="0000FF"/>
                <w:sz w:val="20"/>
                <w:szCs w:val="20"/>
                <w:highlight w:val="yellow"/>
              </w:rPr>
            </w:pPr>
            <w:r w:rsidRPr="00531350">
              <w:rPr>
                <w:rFonts w:ascii="Arial" w:hAnsi="Arial" w:cs="Arial"/>
                <w:b/>
                <w:bCs/>
                <w:color w:val="0000FF"/>
                <w:sz w:val="20"/>
                <w:szCs w:val="20"/>
              </w:rPr>
              <w:t>Income and employment</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2A.28</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sex, 2001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2A.29</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sex, 2006</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2A.30</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sex, 2011</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2A.31</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Indigenous status, 2001</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2A.32</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Indigenous status, 2006</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2A.33</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Indigenous status, 2011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w:t>
            </w:r>
            <w:r>
              <w:rPr>
                <w:rFonts w:ascii="Arial" w:hAnsi="Arial" w:cs="Arial"/>
                <w:b/>
                <w:bCs/>
                <w:color w:val="0000FF"/>
                <w:sz w:val="20"/>
                <w:szCs w:val="20"/>
              </w:rPr>
              <w:t>34</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age, 2001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2A.35</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age, 2006</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2A.36</w:t>
            </w:r>
          </w:p>
        </w:tc>
        <w:tc>
          <w:tcPr>
            <w:tcW w:w="7229" w:type="dxa"/>
            <w:tcBorders>
              <w:top w:val="nil"/>
              <w:left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People aged 15 years or over, by weekly individual income and age, 2011</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8A25E5" w:rsidRDefault="000914A8" w:rsidP="00511040">
            <w:pPr>
              <w:shd w:val="clear" w:color="auto" w:fill="FFFFFF" w:themeFill="background1"/>
              <w:rPr>
                <w:rFonts w:ascii="Arial" w:hAnsi="Arial" w:cs="Arial"/>
                <w:b/>
                <w:bCs/>
                <w:color w:val="0000FF"/>
                <w:sz w:val="20"/>
                <w:szCs w:val="20"/>
              </w:rPr>
            </w:pPr>
            <w:r w:rsidRPr="008A25E5">
              <w:rPr>
                <w:rFonts w:ascii="Arial" w:hAnsi="Arial" w:cs="Arial"/>
                <w:b/>
                <w:bCs/>
                <w:color w:val="0000FF"/>
                <w:sz w:val="20"/>
                <w:szCs w:val="20"/>
              </w:rPr>
              <w:t>Table</w:t>
            </w:r>
            <w:r w:rsidR="00021101">
              <w:rPr>
                <w:rFonts w:ascii="Arial" w:hAnsi="Arial" w:cs="Arial"/>
                <w:b/>
                <w:bCs/>
                <w:color w:val="0000FF"/>
                <w:sz w:val="20"/>
                <w:szCs w:val="20"/>
              </w:rPr>
              <w:t> </w:t>
            </w:r>
            <w:r w:rsidRPr="008A25E5">
              <w:rPr>
                <w:rFonts w:ascii="Arial" w:hAnsi="Arial" w:cs="Arial"/>
                <w:b/>
                <w:bCs/>
                <w:color w:val="0000FF"/>
                <w:sz w:val="20"/>
                <w:szCs w:val="20"/>
              </w:rPr>
              <w:t>2A.37</w:t>
            </w:r>
          </w:p>
        </w:tc>
        <w:tc>
          <w:tcPr>
            <w:tcW w:w="7229" w:type="dxa"/>
            <w:tcBorders>
              <w:top w:val="nil"/>
              <w:left w:val="nil"/>
              <w:bottom w:val="nil"/>
              <w:right w:val="nil"/>
            </w:tcBorders>
            <w:shd w:val="clear" w:color="auto" w:fill="auto"/>
            <w:hideMark/>
          </w:tcPr>
          <w:p w:rsidR="000914A8" w:rsidRPr="008A25E5" w:rsidRDefault="000914A8" w:rsidP="00511040">
            <w:pPr>
              <w:shd w:val="clear" w:color="auto" w:fill="FFFFFF" w:themeFill="background1"/>
              <w:jc w:val="both"/>
              <w:rPr>
                <w:rFonts w:ascii="Arial" w:hAnsi="Arial" w:cs="Arial"/>
                <w:sz w:val="20"/>
                <w:szCs w:val="20"/>
              </w:rPr>
            </w:pPr>
            <w:r w:rsidRPr="008A25E5">
              <w:rPr>
                <w:rFonts w:ascii="Arial" w:hAnsi="Arial" w:cs="Arial"/>
                <w:sz w:val="20"/>
                <w:szCs w:val="20"/>
              </w:rPr>
              <w:t>Income support, June, 2005–2014</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2A.3</w:t>
            </w:r>
            <w:r>
              <w:rPr>
                <w:rFonts w:ascii="Arial" w:hAnsi="Arial" w:cs="Arial"/>
                <w:b/>
                <w:bCs/>
                <w:color w:val="0000FF"/>
                <w:sz w:val="20"/>
                <w:szCs w:val="20"/>
              </w:rPr>
              <w:t>8</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Highest level of schooling completed by people aged 15 years or over, by Indigenous status, 2001 (</w:t>
            </w:r>
            <w:r w:rsidR="00CC7F97">
              <w:rPr>
                <w:rFonts w:ascii="Arial" w:hAnsi="Arial" w:cs="Arial"/>
                <w:sz w:val="20"/>
                <w:szCs w:val="20"/>
              </w:rPr>
              <w:t>‘</w:t>
            </w:r>
            <w:r w:rsidRPr="0091258B">
              <w:rPr>
                <w:rFonts w:ascii="Arial" w:hAnsi="Arial" w:cs="Arial"/>
                <w:sz w:val="20"/>
                <w:szCs w:val="20"/>
              </w:rPr>
              <w:t>000)</w:t>
            </w:r>
          </w:p>
        </w:tc>
      </w:tr>
      <w:tr w:rsidR="000914A8" w:rsidRPr="000E324D" w:rsidTr="00511040">
        <w:trPr>
          <w:trHeight w:val="868"/>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w:t>
            </w:r>
            <w:r>
              <w:rPr>
                <w:rFonts w:ascii="Arial" w:hAnsi="Arial" w:cs="Arial"/>
                <w:b/>
                <w:bCs/>
                <w:color w:val="0000FF"/>
                <w:sz w:val="20"/>
                <w:szCs w:val="20"/>
              </w:rPr>
              <w:t>39</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Highest level of schooling completed by people aged 15 years or over, by Indigenous status (excluding people still attending secondary school), 2006 (</w:t>
            </w:r>
            <w:r w:rsidR="00CC7F97">
              <w:rPr>
                <w:rFonts w:ascii="Arial" w:hAnsi="Arial" w:cs="Arial"/>
                <w:sz w:val="20"/>
                <w:szCs w:val="20"/>
              </w:rPr>
              <w:t>‘</w:t>
            </w:r>
            <w:r w:rsidRPr="0091258B">
              <w:rPr>
                <w:rFonts w:ascii="Arial" w:hAnsi="Arial" w:cs="Arial"/>
                <w:sz w:val="20"/>
                <w:szCs w:val="20"/>
              </w:rPr>
              <w:t>000)</w:t>
            </w:r>
          </w:p>
        </w:tc>
      </w:tr>
      <w:tr w:rsidR="000914A8" w:rsidRPr="000E324D" w:rsidTr="00511040">
        <w:trPr>
          <w:trHeight w:val="868"/>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0</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Highest level of schooling completed by people aged 15 years or over, by Indigenous status (excluding people still attending secondary school), 2011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1</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Type of educational institution attending by Indigenous status, 2001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2</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Type of educational institution attending by Indigenous status, 2006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3</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Type of educational institution attending by Indigenous status, 2011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4</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Tertiary education attainment for people aged 18 or over by Indigenous status and sex, 2011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5</w:t>
            </w:r>
          </w:p>
        </w:tc>
        <w:tc>
          <w:tcPr>
            <w:tcW w:w="7229" w:type="dxa"/>
            <w:tcBorders>
              <w:top w:val="nil"/>
              <w:left w:val="nil"/>
              <w:bottom w:val="nil"/>
              <w:right w:val="nil"/>
            </w:tcBorders>
            <w:shd w:val="clear" w:color="auto" w:fill="auto"/>
            <w:hideMark/>
          </w:tcPr>
          <w:p w:rsidR="000914A8" w:rsidRPr="0091258B" w:rsidRDefault="000914A8" w:rsidP="00EB3EEC">
            <w:pPr>
              <w:shd w:val="clear" w:color="auto" w:fill="FFFFFF" w:themeFill="background1"/>
              <w:jc w:val="both"/>
              <w:rPr>
                <w:rFonts w:ascii="Arial" w:hAnsi="Arial" w:cs="Arial"/>
                <w:sz w:val="20"/>
                <w:szCs w:val="20"/>
              </w:rPr>
            </w:pPr>
            <w:r w:rsidRPr="0091258B">
              <w:rPr>
                <w:rFonts w:ascii="Arial" w:hAnsi="Arial" w:cs="Arial"/>
                <w:sz w:val="20"/>
                <w:szCs w:val="20"/>
              </w:rPr>
              <w:t>Type of tertiary education institution attending for people aged 18</w:t>
            </w:r>
            <w:r w:rsidR="00EB3EEC">
              <w:rPr>
                <w:rFonts w:ascii="Arial" w:hAnsi="Arial" w:cs="Arial"/>
                <w:sz w:val="20"/>
                <w:szCs w:val="20"/>
              </w:rPr>
              <w:t>–</w:t>
            </w:r>
            <w:r w:rsidRPr="0091258B">
              <w:rPr>
                <w:rFonts w:ascii="Arial" w:hAnsi="Arial" w:cs="Arial"/>
                <w:sz w:val="20"/>
                <w:szCs w:val="20"/>
              </w:rPr>
              <w:t>24 years by Indigenous status and sex, 2011 (</w:t>
            </w:r>
            <w:r w:rsidR="001620EE">
              <w:rPr>
                <w:rFonts w:ascii="Arial" w:hAnsi="Arial" w:cs="Arial"/>
                <w:sz w:val="20"/>
                <w:szCs w:val="20"/>
              </w:rPr>
              <w:t>‘</w:t>
            </w:r>
            <w:r w:rsidRPr="0091258B">
              <w:rPr>
                <w:rFonts w:ascii="Arial" w:hAnsi="Arial" w:cs="Arial"/>
                <w:sz w:val="20"/>
                <w:szCs w:val="20"/>
              </w:rPr>
              <w:t>000)</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Table</w:t>
            </w:r>
            <w:r w:rsidR="00021101">
              <w:rPr>
                <w:rFonts w:ascii="Arial" w:hAnsi="Arial" w:cs="Arial"/>
                <w:b/>
                <w:bCs/>
                <w:color w:val="0000FF"/>
                <w:sz w:val="20"/>
                <w:szCs w:val="20"/>
              </w:rPr>
              <w:t> </w:t>
            </w:r>
            <w:r w:rsidRPr="0091258B">
              <w:rPr>
                <w:rFonts w:ascii="Arial" w:hAnsi="Arial" w:cs="Arial"/>
                <w:b/>
                <w:bCs/>
                <w:color w:val="0000FF"/>
                <w:sz w:val="20"/>
                <w:szCs w:val="20"/>
              </w:rPr>
              <w:t>2A.4</w:t>
            </w:r>
            <w:r>
              <w:rPr>
                <w:rFonts w:ascii="Arial" w:hAnsi="Arial" w:cs="Arial"/>
                <w:b/>
                <w:bCs/>
                <w:color w:val="0000FF"/>
                <w:sz w:val="20"/>
                <w:szCs w:val="20"/>
              </w:rPr>
              <w:t>6</w:t>
            </w:r>
          </w:p>
        </w:tc>
        <w:tc>
          <w:tcPr>
            <w:tcW w:w="7229" w:type="dxa"/>
            <w:tcBorders>
              <w:top w:val="nil"/>
              <w:left w:val="nil"/>
              <w:bottom w:val="nil"/>
              <w:right w:val="nil"/>
            </w:tcBorders>
            <w:shd w:val="clear" w:color="auto" w:fill="auto"/>
            <w:hideMark/>
          </w:tcPr>
          <w:p w:rsidR="000914A8" w:rsidRPr="0091258B" w:rsidRDefault="000914A8" w:rsidP="00511040">
            <w:pPr>
              <w:shd w:val="clear" w:color="auto" w:fill="FFFFFF" w:themeFill="background1"/>
              <w:jc w:val="both"/>
              <w:rPr>
                <w:rFonts w:ascii="Arial" w:hAnsi="Arial" w:cs="Arial"/>
                <w:sz w:val="20"/>
                <w:szCs w:val="20"/>
              </w:rPr>
            </w:pPr>
            <w:r w:rsidRPr="0091258B">
              <w:rPr>
                <w:rFonts w:ascii="Arial" w:hAnsi="Arial" w:cs="Arial"/>
                <w:sz w:val="20"/>
                <w:szCs w:val="20"/>
              </w:rPr>
              <w:t>Labour force profile of the civilian population aged 15 years or over by sex, 30 June</w:t>
            </w:r>
          </w:p>
        </w:tc>
      </w:tr>
      <w:tr w:rsidR="000914A8" w:rsidRPr="000E324D" w:rsidTr="00511040">
        <w:trPr>
          <w:trHeight w:val="357"/>
        </w:trPr>
        <w:tc>
          <w:tcPr>
            <w:tcW w:w="8789" w:type="dxa"/>
            <w:gridSpan w:val="2"/>
            <w:tcBorders>
              <w:top w:val="nil"/>
              <w:left w:val="nil"/>
              <w:bottom w:val="nil"/>
              <w:right w:val="nil"/>
            </w:tcBorders>
            <w:shd w:val="clear" w:color="auto" w:fill="auto"/>
            <w:noWrap/>
            <w:hideMark/>
          </w:tcPr>
          <w:p w:rsidR="000914A8" w:rsidRPr="0091258B" w:rsidRDefault="000914A8" w:rsidP="00511040">
            <w:pPr>
              <w:shd w:val="clear" w:color="auto" w:fill="FFFFFF" w:themeFill="background1"/>
              <w:rPr>
                <w:rFonts w:ascii="Arial" w:hAnsi="Arial" w:cs="Arial"/>
                <w:b/>
                <w:bCs/>
                <w:color w:val="0000FF"/>
                <w:sz w:val="20"/>
                <w:szCs w:val="20"/>
              </w:rPr>
            </w:pPr>
            <w:r w:rsidRPr="0091258B">
              <w:rPr>
                <w:rFonts w:ascii="Arial" w:hAnsi="Arial" w:cs="Arial"/>
                <w:b/>
                <w:bCs/>
                <w:color w:val="0000FF"/>
                <w:sz w:val="20"/>
                <w:szCs w:val="20"/>
              </w:rPr>
              <w:t>Statistical concepts</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AB6E6F" w:rsidRDefault="000914A8" w:rsidP="00511040">
            <w:pPr>
              <w:shd w:val="clear" w:color="auto" w:fill="FFFFFF" w:themeFill="background1"/>
              <w:rPr>
                <w:rFonts w:ascii="Arial" w:hAnsi="Arial" w:cs="Arial"/>
                <w:b/>
                <w:bCs/>
                <w:color w:val="0000FF"/>
                <w:sz w:val="20"/>
                <w:szCs w:val="20"/>
              </w:rPr>
            </w:pPr>
            <w:r w:rsidRPr="00AB6E6F">
              <w:rPr>
                <w:rFonts w:ascii="Arial" w:hAnsi="Arial" w:cs="Arial"/>
                <w:b/>
                <w:bCs/>
                <w:color w:val="0000FF"/>
                <w:sz w:val="20"/>
                <w:szCs w:val="20"/>
              </w:rPr>
              <w:t>Table</w:t>
            </w:r>
            <w:r w:rsidR="00021101">
              <w:rPr>
                <w:rFonts w:ascii="Arial" w:hAnsi="Arial" w:cs="Arial"/>
                <w:b/>
                <w:bCs/>
                <w:color w:val="0000FF"/>
                <w:sz w:val="20"/>
                <w:szCs w:val="20"/>
              </w:rPr>
              <w:t> </w:t>
            </w:r>
            <w:r w:rsidRPr="00AB6E6F">
              <w:rPr>
                <w:rFonts w:ascii="Arial" w:hAnsi="Arial" w:cs="Arial"/>
                <w:b/>
                <w:bCs/>
                <w:color w:val="0000FF"/>
                <w:sz w:val="20"/>
                <w:szCs w:val="20"/>
              </w:rPr>
              <w:t>2A.</w:t>
            </w:r>
            <w:r>
              <w:rPr>
                <w:rFonts w:ascii="Arial" w:hAnsi="Arial" w:cs="Arial"/>
                <w:b/>
                <w:bCs/>
                <w:color w:val="0000FF"/>
                <w:sz w:val="20"/>
                <w:szCs w:val="20"/>
              </w:rPr>
              <w:t>47</w:t>
            </w:r>
          </w:p>
        </w:tc>
        <w:tc>
          <w:tcPr>
            <w:tcW w:w="7229" w:type="dxa"/>
            <w:tcBorders>
              <w:top w:val="nil"/>
              <w:left w:val="nil"/>
              <w:bottom w:val="nil"/>
              <w:right w:val="nil"/>
            </w:tcBorders>
            <w:shd w:val="clear" w:color="auto" w:fill="auto"/>
            <w:hideMark/>
          </w:tcPr>
          <w:p w:rsidR="000914A8" w:rsidRPr="00AB6E6F" w:rsidRDefault="000914A8" w:rsidP="00511040">
            <w:pPr>
              <w:shd w:val="clear" w:color="auto" w:fill="FFFFFF" w:themeFill="background1"/>
              <w:jc w:val="both"/>
              <w:rPr>
                <w:rFonts w:ascii="Arial" w:hAnsi="Arial" w:cs="Arial"/>
                <w:sz w:val="20"/>
                <w:szCs w:val="20"/>
              </w:rPr>
            </w:pPr>
            <w:r w:rsidRPr="00AB6E6F">
              <w:rPr>
                <w:rFonts w:ascii="Arial" w:hAnsi="Arial" w:cs="Arial"/>
                <w:sz w:val="20"/>
                <w:szCs w:val="20"/>
              </w:rPr>
              <w:t>General Government Final Consumption Expenditure, by jurisdiction (2013</w:t>
            </w:r>
            <w:r>
              <w:rPr>
                <w:rFonts w:ascii="Arial" w:hAnsi="Arial" w:cs="Arial"/>
                <w:sz w:val="20"/>
                <w:szCs w:val="20"/>
              </w:rPr>
              <w:noBreakHyphen/>
            </w:r>
            <w:r w:rsidRPr="00AB6E6F">
              <w:rPr>
                <w:rFonts w:ascii="Arial" w:hAnsi="Arial" w:cs="Arial"/>
                <w:sz w:val="20"/>
                <w:szCs w:val="20"/>
              </w:rPr>
              <w:t>14 dollars)</w:t>
            </w:r>
          </w:p>
        </w:tc>
      </w:tr>
      <w:tr w:rsidR="000914A8" w:rsidRPr="000E324D" w:rsidTr="00511040">
        <w:trPr>
          <w:trHeight w:val="612"/>
        </w:trPr>
        <w:tc>
          <w:tcPr>
            <w:tcW w:w="1560" w:type="dxa"/>
            <w:tcBorders>
              <w:top w:val="nil"/>
              <w:left w:val="nil"/>
              <w:bottom w:val="nil"/>
              <w:right w:val="nil"/>
            </w:tcBorders>
            <w:shd w:val="clear" w:color="auto" w:fill="auto"/>
            <w:noWrap/>
            <w:hideMark/>
          </w:tcPr>
          <w:p w:rsidR="000914A8" w:rsidRPr="00AB6E6F" w:rsidRDefault="000914A8" w:rsidP="00511040">
            <w:pPr>
              <w:shd w:val="clear" w:color="auto" w:fill="FFFFFF" w:themeFill="background1"/>
              <w:rPr>
                <w:rFonts w:ascii="Arial" w:hAnsi="Arial" w:cs="Arial"/>
                <w:b/>
                <w:bCs/>
                <w:color w:val="0000FF"/>
                <w:sz w:val="20"/>
                <w:szCs w:val="20"/>
              </w:rPr>
            </w:pPr>
            <w:r>
              <w:rPr>
                <w:rFonts w:ascii="Arial" w:hAnsi="Arial" w:cs="Arial"/>
                <w:b/>
                <w:bCs/>
                <w:color w:val="0000FF"/>
                <w:sz w:val="20"/>
                <w:szCs w:val="20"/>
              </w:rPr>
              <w:t>Table</w:t>
            </w:r>
            <w:r w:rsidR="00021101">
              <w:rPr>
                <w:rFonts w:ascii="Arial" w:hAnsi="Arial" w:cs="Arial"/>
                <w:b/>
                <w:bCs/>
                <w:color w:val="0000FF"/>
                <w:sz w:val="20"/>
                <w:szCs w:val="20"/>
              </w:rPr>
              <w:t> </w:t>
            </w:r>
            <w:r>
              <w:rPr>
                <w:rFonts w:ascii="Arial" w:hAnsi="Arial" w:cs="Arial"/>
                <w:b/>
                <w:bCs/>
                <w:color w:val="0000FF"/>
                <w:sz w:val="20"/>
                <w:szCs w:val="20"/>
              </w:rPr>
              <w:t>2A.48</w:t>
            </w:r>
          </w:p>
        </w:tc>
        <w:tc>
          <w:tcPr>
            <w:tcW w:w="7229" w:type="dxa"/>
            <w:tcBorders>
              <w:top w:val="nil"/>
              <w:left w:val="nil"/>
              <w:bottom w:val="nil"/>
              <w:right w:val="nil"/>
            </w:tcBorders>
            <w:shd w:val="clear" w:color="auto" w:fill="auto"/>
            <w:hideMark/>
          </w:tcPr>
          <w:p w:rsidR="000914A8" w:rsidRPr="00AB6E6F" w:rsidRDefault="000914A8" w:rsidP="00511040">
            <w:pPr>
              <w:shd w:val="clear" w:color="auto" w:fill="FFFFFF" w:themeFill="background1"/>
              <w:jc w:val="both"/>
              <w:rPr>
                <w:rFonts w:ascii="Arial" w:hAnsi="Arial" w:cs="Arial"/>
                <w:sz w:val="20"/>
                <w:szCs w:val="20"/>
              </w:rPr>
            </w:pPr>
            <w:r w:rsidRPr="00AB6E6F">
              <w:rPr>
                <w:rFonts w:ascii="Arial" w:hAnsi="Arial" w:cs="Arial"/>
                <w:sz w:val="20"/>
                <w:szCs w:val="20"/>
              </w:rPr>
              <w:t>General Government Final Consumption Expenditure, Chain price Index (GGFCE)</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AB6E6F" w:rsidRDefault="000914A8" w:rsidP="00511040">
            <w:pPr>
              <w:shd w:val="clear" w:color="auto" w:fill="FFFFFF" w:themeFill="background1"/>
              <w:rPr>
                <w:rFonts w:ascii="Arial" w:hAnsi="Arial" w:cs="Arial"/>
                <w:b/>
                <w:bCs/>
                <w:color w:val="0000FF"/>
                <w:sz w:val="20"/>
                <w:szCs w:val="20"/>
              </w:rPr>
            </w:pPr>
            <w:r w:rsidRPr="00AB6E6F">
              <w:rPr>
                <w:rFonts w:ascii="Arial" w:hAnsi="Arial" w:cs="Arial"/>
                <w:b/>
                <w:bCs/>
                <w:color w:val="0000FF"/>
                <w:sz w:val="20"/>
                <w:szCs w:val="20"/>
              </w:rPr>
              <w:t>Table</w:t>
            </w:r>
            <w:r w:rsidR="00021101">
              <w:rPr>
                <w:rFonts w:ascii="Arial" w:hAnsi="Arial" w:cs="Arial"/>
                <w:b/>
                <w:bCs/>
                <w:color w:val="0000FF"/>
                <w:sz w:val="20"/>
                <w:szCs w:val="20"/>
              </w:rPr>
              <w:t> </w:t>
            </w:r>
            <w:r w:rsidRPr="00AB6E6F">
              <w:rPr>
                <w:rFonts w:ascii="Arial" w:hAnsi="Arial" w:cs="Arial"/>
                <w:b/>
                <w:bCs/>
                <w:color w:val="0000FF"/>
                <w:sz w:val="20"/>
                <w:szCs w:val="20"/>
              </w:rPr>
              <w:t>2A.</w:t>
            </w:r>
            <w:r>
              <w:rPr>
                <w:rFonts w:ascii="Arial" w:hAnsi="Arial" w:cs="Arial"/>
                <w:b/>
                <w:bCs/>
                <w:color w:val="0000FF"/>
                <w:sz w:val="20"/>
                <w:szCs w:val="20"/>
              </w:rPr>
              <w:t>49</w:t>
            </w:r>
          </w:p>
        </w:tc>
        <w:tc>
          <w:tcPr>
            <w:tcW w:w="7229" w:type="dxa"/>
            <w:tcBorders>
              <w:top w:val="nil"/>
              <w:left w:val="nil"/>
              <w:bottom w:val="nil"/>
              <w:right w:val="nil"/>
            </w:tcBorders>
            <w:shd w:val="clear" w:color="auto" w:fill="auto"/>
            <w:hideMark/>
          </w:tcPr>
          <w:p w:rsidR="000914A8" w:rsidRPr="00AB6E6F" w:rsidRDefault="000914A8" w:rsidP="00511040">
            <w:pPr>
              <w:shd w:val="clear" w:color="auto" w:fill="FFFFFF" w:themeFill="background1"/>
              <w:jc w:val="both"/>
              <w:rPr>
                <w:rFonts w:ascii="Arial" w:hAnsi="Arial" w:cs="Arial"/>
                <w:sz w:val="20"/>
                <w:szCs w:val="20"/>
              </w:rPr>
            </w:pPr>
            <w:r w:rsidRPr="00AB6E6F">
              <w:rPr>
                <w:rFonts w:ascii="Arial" w:hAnsi="Arial" w:cs="Arial"/>
                <w:sz w:val="20"/>
                <w:szCs w:val="20"/>
              </w:rPr>
              <w:t>Age standardisation of data using the direct method</w:t>
            </w:r>
          </w:p>
        </w:tc>
      </w:tr>
      <w:tr w:rsidR="000914A8" w:rsidRPr="000E324D" w:rsidTr="00511040">
        <w:trPr>
          <w:trHeight w:val="357"/>
        </w:trPr>
        <w:tc>
          <w:tcPr>
            <w:tcW w:w="1560" w:type="dxa"/>
            <w:tcBorders>
              <w:top w:val="nil"/>
              <w:left w:val="nil"/>
              <w:bottom w:val="nil"/>
              <w:right w:val="nil"/>
            </w:tcBorders>
            <w:shd w:val="clear" w:color="auto" w:fill="auto"/>
            <w:noWrap/>
            <w:hideMark/>
          </w:tcPr>
          <w:p w:rsidR="000914A8" w:rsidRPr="00AB6E6F" w:rsidRDefault="000914A8" w:rsidP="00511040">
            <w:pPr>
              <w:shd w:val="clear" w:color="auto" w:fill="FFFFFF" w:themeFill="background1"/>
              <w:rPr>
                <w:rFonts w:ascii="Arial" w:hAnsi="Arial" w:cs="Arial"/>
                <w:b/>
                <w:bCs/>
                <w:color w:val="0000FF"/>
                <w:sz w:val="20"/>
                <w:szCs w:val="20"/>
              </w:rPr>
            </w:pPr>
            <w:r w:rsidRPr="00AB6E6F">
              <w:rPr>
                <w:rFonts w:ascii="Arial" w:hAnsi="Arial" w:cs="Arial"/>
                <w:b/>
                <w:bCs/>
                <w:color w:val="0000FF"/>
                <w:sz w:val="20"/>
                <w:szCs w:val="20"/>
              </w:rPr>
              <w:t>Table</w:t>
            </w:r>
            <w:r w:rsidR="00021101">
              <w:rPr>
                <w:rFonts w:ascii="Arial" w:hAnsi="Arial" w:cs="Arial"/>
                <w:b/>
                <w:bCs/>
                <w:color w:val="0000FF"/>
                <w:sz w:val="20"/>
                <w:szCs w:val="20"/>
              </w:rPr>
              <w:t> </w:t>
            </w:r>
            <w:r w:rsidRPr="00AB6E6F">
              <w:rPr>
                <w:rFonts w:ascii="Arial" w:hAnsi="Arial" w:cs="Arial"/>
                <w:b/>
                <w:bCs/>
                <w:color w:val="0000FF"/>
                <w:sz w:val="20"/>
                <w:szCs w:val="20"/>
              </w:rPr>
              <w:t>2A.5</w:t>
            </w:r>
            <w:r>
              <w:rPr>
                <w:rFonts w:ascii="Arial" w:hAnsi="Arial" w:cs="Arial"/>
                <w:b/>
                <w:bCs/>
                <w:color w:val="0000FF"/>
                <w:sz w:val="20"/>
                <w:szCs w:val="20"/>
              </w:rPr>
              <w:t>0</w:t>
            </w:r>
          </w:p>
        </w:tc>
        <w:tc>
          <w:tcPr>
            <w:tcW w:w="7229" w:type="dxa"/>
            <w:tcBorders>
              <w:top w:val="nil"/>
              <w:left w:val="nil"/>
              <w:bottom w:val="nil"/>
              <w:right w:val="nil"/>
            </w:tcBorders>
            <w:shd w:val="clear" w:color="auto" w:fill="auto"/>
            <w:hideMark/>
          </w:tcPr>
          <w:p w:rsidR="000914A8" w:rsidRPr="00AB6E6F" w:rsidRDefault="000914A8" w:rsidP="00511040">
            <w:pPr>
              <w:shd w:val="clear" w:color="auto" w:fill="FFFFFF" w:themeFill="background1"/>
              <w:jc w:val="both"/>
              <w:rPr>
                <w:rFonts w:ascii="Arial" w:hAnsi="Arial" w:cs="Arial"/>
                <w:sz w:val="20"/>
                <w:szCs w:val="20"/>
              </w:rPr>
            </w:pPr>
            <w:r w:rsidRPr="00AB6E6F">
              <w:rPr>
                <w:rFonts w:ascii="Arial" w:hAnsi="Arial" w:cs="Arial"/>
                <w:sz w:val="20"/>
                <w:szCs w:val="20"/>
              </w:rPr>
              <w:t>Age standardisation of data using the indirect method</w:t>
            </w:r>
          </w:p>
        </w:tc>
      </w:tr>
    </w:tbl>
    <w:p w:rsidR="000914A8" w:rsidRDefault="000914A8" w:rsidP="00120072">
      <w:pPr>
        <w:pStyle w:val="BodyText"/>
      </w:pPr>
    </w:p>
    <w:p w:rsidR="00D434A0" w:rsidRDefault="000914A8" w:rsidP="000914A8">
      <w:pPr>
        <w:pStyle w:val="Heading2"/>
      </w:pPr>
      <w:bookmarkStart w:id="29" w:name="_Toc437961498"/>
      <w:r>
        <w:lastRenderedPageBreak/>
        <w:t>2.</w:t>
      </w:r>
      <w:r w:rsidR="00862E04">
        <w:rPr>
          <w:noProof/>
        </w:rPr>
        <w:t>8</w:t>
      </w:r>
      <w:r>
        <w:tab/>
        <w:t>References</w:t>
      </w:r>
      <w:bookmarkEnd w:id="29"/>
    </w:p>
    <w:p w:rsidR="000914A8" w:rsidRDefault="000914A8" w:rsidP="000914A8">
      <w:pPr>
        <w:pStyle w:val="Reference"/>
      </w:pPr>
      <w:r>
        <w:t xml:space="preserve">ABS (Australian Bureau of Statistics) 2011, </w:t>
      </w:r>
      <w:r w:rsidRPr="009E297B">
        <w:rPr>
          <w:i/>
        </w:rPr>
        <w:t>Census Dictionary</w:t>
      </w:r>
      <w:r>
        <w:t>, Cat. no. 2901.0, Canberra.</w:t>
      </w:r>
    </w:p>
    <w:p w:rsidR="000914A8" w:rsidRDefault="000914A8" w:rsidP="000914A8">
      <w:pPr>
        <w:pStyle w:val="Reference"/>
      </w:pPr>
      <w:r>
        <w:t xml:space="preserve">—— 2012, </w:t>
      </w:r>
      <w:r w:rsidRPr="009E297B">
        <w:rPr>
          <w:i/>
        </w:rPr>
        <w:t>2011 Census of Population and Housing</w:t>
      </w:r>
      <w:r>
        <w:t>, Canberra.</w:t>
      </w:r>
    </w:p>
    <w:p w:rsidR="000914A8" w:rsidRPr="00140634" w:rsidRDefault="000914A8" w:rsidP="000914A8">
      <w:pPr>
        <w:pStyle w:val="Reference"/>
      </w:pPr>
      <w:r w:rsidRPr="00140634">
        <w:t>—— 2013, Statistical Language — Statistical Language Glossary, http://www.abs.gov.au/websitedbs/a3121120.nsf/00000000000000000000000000000000/1cf6fb476c3de1c</w:t>
      </w:r>
      <w:r>
        <w:t xml:space="preserve">7ca257b55002261f2!OpenDocument </w:t>
      </w:r>
      <w:r w:rsidRPr="00140634">
        <w:t>(accessed 25</w:t>
      </w:r>
      <w:r w:rsidR="001620EE">
        <w:t> </w:t>
      </w:r>
      <w:r w:rsidRPr="00140634">
        <w:t>September 2015).</w:t>
      </w:r>
    </w:p>
    <w:p w:rsidR="000914A8" w:rsidRDefault="000914A8" w:rsidP="000914A8">
      <w:pPr>
        <w:pStyle w:val="Reference"/>
      </w:pPr>
      <w:r w:rsidRPr="007A5963">
        <w:t>—— 2015</w:t>
      </w:r>
      <w:r>
        <w:t>a</w:t>
      </w:r>
      <w:r w:rsidRPr="007A5963">
        <w:t xml:space="preserve">, </w:t>
      </w:r>
      <w:r w:rsidRPr="007A5963">
        <w:rPr>
          <w:i/>
        </w:rPr>
        <w:t>Australian Demographic Statistics, December 2014</w:t>
      </w:r>
      <w:r w:rsidRPr="007A5963">
        <w:t>, Cat. no. 3101.0, Canberra.</w:t>
      </w:r>
    </w:p>
    <w:p w:rsidR="000914A8" w:rsidRPr="002D58DD" w:rsidRDefault="000914A8" w:rsidP="000914A8">
      <w:pPr>
        <w:pStyle w:val="Reference"/>
      </w:pPr>
      <w:r w:rsidRPr="00313F47">
        <w:t xml:space="preserve">—— 2015b, </w:t>
      </w:r>
      <w:r w:rsidRPr="00313F47">
        <w:rPr>
          <w:i/>
        </w:rPr>
        <w:t>Regional Population Growth, Australia, 2013</w:t>
      </w:r>
      <w:r w:rsidRPr="00313F47">
        <w:t xml:space="preserve">, Cat. no. 3218.0, Canberra </w:t>
      </w:r>
      <w:r w:rsidRPr="002D58DD">
        <w:t>(April release).</w:t>
      </w:r>
    </w:p>
    <w:p w:rsidR="000914A8" w:rsidRPr="002D58DD" w:rsidRDefault="000914A8" w:rsidP="000914A8">
      <w:pPr>
        <w:pStyle w:val="Reference"/>
        <w:rPr>
          <w:i/>
        </w:rPr>
      </w:pPr>
      <w:r w:rsidRPr="002D58DD">
        <w:t xml:space="preserve">AIHW (Australian Institute of Health and Welfare) 2011a, </w:t>
      </w:r>
      <w:r w:rsidRPr="002D58DD">
        <w:rPr>
          <w:i/>
        </w:rPr>
        <w:t>Life expectancy and mortality of Aboriginal and Torres Strait Islander people</w:t>
      </w:r>
      <w:r w:rsidRPr="002D58DD">
        <w:t>, Cat. no. IHW 51, Canberra.</w:t>
      </w:r>
    </w:p>
    <w:p w:rsidR="000914A8" w:rsidRPr="002D58DD" w:rsidRDefault="000914A8" w:rsidP="000914A8">
      <w:pPr>
        <w:pStyle w:val="Reference"/>
      </w:pPr>
      <w:r w:rsidRPr="002D58DD">
        <w:t xml:space="preserve">—— 2011b, </w:t>
      </w:r>
      <w:r w:rsidRPr="002D58DD">
        <w:rPr>
          <w:i/>
        </w:rPr>
        <w:t>Principles on the use of direct age</w:t>
      </w:r>
      <w:r w:rsidRPr="002D58DD">
        <w:rPr>
          <w:i/>
        </w:rPr>
        <w:noBreakHyphen/>
        <w:t>standardisation in administrative data collections: for measuring the gap between Indigenous and non</w:t>
      </w:r>
      <w:r w:rsidRPr="002D58DD">
        <w:rPr>
          <w:i/>
        </w:rPr>
        <w:noBreakHyphen/>
        <w:t>Indigenous Australians</w:t>
      </w:r>
      <w:r w:rsidRPr="002D58DD">
        <w:t>, Cat. no. CSI 12, Canberra.</w:t>
      </w:r>
    </w:p>
    <w:p w:rsidR="000914A8" w:rsidRPr="006C31A2" w:rsidRDefault="000914A8" w:rsidP="000914A8">
      <w:pPr>
        <w:pStyle w:val="Reference"/>
      </w:pPr>
      <w:r w:rsidRPr="00A14012">
        <w:t>—— 2015, Age</w:t>
      </w:r>
      <w:r w:rsidRPr="00A14012">
        <w:noBreakHyphen/>
        <w:t xml:space="preserve">standardised rate, </w:t>
      </w:r>
      <w:proofErr w:type="spellStart"/>
      <w:r w:rsidRPr="00A14012">
        <w:t>METeOR</w:t>
      </w:r>
      <w:proofErr w:type="spellEnd"/>
      <w:r w:rsidRPr="00A14012">
        <w:t xml:space="preserve">, </w:t>
      </w:r>
      <w:proofErr w:type="spellStart"/>
      <w:r w:rsidRPr="006C31A2">
        <w:t>meteor.aihw.gov.au</w:t>
      </w:r>
      <w:proofErr w:type="spellEnd"/>
      <w:r w:rsidRPr="006C31A2">
        <w:t xml:space="preserve">/ content/ </w:t>
      </w:r>
      <w:proofErr w:type="spellStart"/>
      <w:r w:rsidRPr="006C31A2">
        <w:t>index.phtml</w:t>
      </w:r>
      <w:proofErr w:type="spellEnd"/>
      <w:r w:rsidRPr="006C31A2">
        <w:t>/</w:t>
      </w:r>
      <w:r w:rsidRPr="006C31A2">
        <w:br/>
      </w:r>
      <w:proofErr w:type="spellStart"/>
      <w:r w:rsidRPr="006C31A2">
        <w:t>itemId</w:t>
      </w:r>
      <w:proofErr w:type="spellEnd"/>
      <w:r w:rsidRPr="006C31A2">
        <w:t>/327276 (accessed 25</w:t>
      </w:r>
      <w:r w:rsidR="001620EE">
        <w:t> </w:t>
      </w:r>
      <w:r w:rsidRPr="006C31A2">
        <w:t>September 2015).</w:t>
      </w:r>
    </w:p>
    <w:p w:rsidR="000914A8" w:rsidRPr="00FF51E1" w:rsidRDefault="000914A8" w:rsidP="000914A8">
      <w:pPr>
        <w:pStyle w:val="Reference"/>
      </w:pPr>
      <w:r w:rsidRPr="006C31A2">
        <w:t xml:space="preserve">SCRGSP (Steering Committee for the Review of Government Service Provision) 2014, </w:t>
      </w:r>
      <w:r w:rsidRPr="006C31A2">
        <w:rPr>
          <w:i/>
        </w:rPr>
        <w:t>Report on Government Services 2014,</w:t>
      </w:r>
      <w:r w:rsidRPr="006C31A2">
        <w:t xml:space="preserve"> Productivity Commission, Canberra.</w:t>
      </w:r>
    </w:p>
    <w:p w:rsidR="000914A8" w:rsidRPr="000914A8" w:rsidRDefault="000914A8" w:rsidP="000914A8">
      <w:pPr>
        <w:pStyle w:val="BodyText"/>
      </w:pPr>
    </w:p>
    <w:p w:rsidR="000914A8" w:rsidRPr="000914A8" w:rsidRDefault="000914A8" w:rsidP="000914A8">
      <w:pPr>
        <w:pStyle w:val="BodyText"/>
      </w:pPr>
    </w:p>
    <w:sectPr w:rsidR="000914A8" w:rsidRPr="000914A8" w:rsidSect="00606E78">
      <w:headerReference w:type="even" r:id="rId69"/>
      <w:headerReference w:type="default" r:id="rId70"/>
      <w:footerReference w:type="even" r:id="rId71"/>
      <w:footerReference w:type="default" r:id="rId7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040" w:rsidRDefault="00511040">
      <w:r>
        <w:separator/>
      </w:r>
    </w:p>
  </w:endnote>
  <w:endnote w:type="continuationSeparator" w:id="0">
    <w:p w:rsidR="00511040" w:rsidRDefault="0051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11040" w:rsidTr="005F48ED">
      <w:trPr>
        <w:trHeight w:hRule="exact" w:val="567"/>
      </w:trPr>
      <w:tc>
        <w:tcPr>
          <w:tcW w:w="510" w:type="dxa"/>
        </w:tcPr>
        <w:p w:rsidR="00511040" w:rsidRPr="00A24443" w:rsidRDefault="00511040" w:rsidP="0019293B">
          <w:pPr>
            <w:pStyle w:val="Footer"/>
            <w:tabs>
              <w:tab w:val="left" w:pos="0"/>
            </w:tabs>
            <w:ind w:right="0"/>
            <w:rPr>
              <w:rStyle w:val="PageNumbe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14258">
            <w:rPr>
              <w:rStyle w:val="PageNumber"/>
              <w:caps w:val="0"/>
              <w:noProof/>
            </w:rPr>
            <w:t>26</w:t>
          </w:r>
          <w:r w:rsidRPr="00A24443">
            <w:rPr>
              <w:rStyle w:val="PageNumber"/>
              <w:caps w:val="0"/>
            </w:rPr>
            <w:fldChar w:fldCharType="end"/>
          </w:r>
        </w:p>
      </w:tc>
      <w:tc>
        <w:tcPr>
          <w:tcW w:w="7767" w:type="dxa"/>
        </w:tcPr>
        <w:p w:rsidR="00511040" w:rsidRPr="0013739A" w:rsidRDefault="00511040" w:rsidP="0013739A">
          <w:pPr>
            <w:pStyle w:val="Footer"/>
            <w:rPr>
              <w:rFonts w:cs="Arial"/>
            </w:rPr>
          </w:pPr>
          <w:r>
            <w:rPr>
              <w:rFonts w:cs="Arial"/>
            </w:rPr>
            <w:t>Report on Government Services 2016</w:t>
          </w:r>
          <w:bookmarkStart w:id="30" w:name="DraftReportEven"/>
          <w:bookmarkEnd w:id="30"/>
        </w:p>
      </w:tc>
      <w:tc>
        <w:tcPr>
          <w:tcW w:w="510" w:type="dxa"/>
        </w:tcPr>
        <w:p w:rsidR="00511040" w:rsidRDefault="00511040" w:rsidP="0019293B">
          <w:pPr>
            <w:pStyle w:val="Footer"/>
          </w:pPr>
        </w:p>
      </w:tc>
    </w:tr>
  </w:tbl>
  <w:p w:rsidR="00511040" w:rsidRDefault="0051104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11040" w:rsidTr="005F48ED">
      <w:trPr>
        <w:trHeight w:hRule="exact" w:val="567"/>
      </w:trPr>
      <w:tc>
        <w:tcPr>
          <w:tcW w:w="510" w:type="dxa"/>
        </w:tcPr>
        <w:p w:rsidR="00511040" w:rsidRDefault="00511040">
          <w:pPr>
            <w:pStyle w:val="Footer"/>
            <w:ind w:right="360" w:firstLine="360"/>
          </w:pPr>
        </w:p>
      </w:tc>
      <w:tc>
        <w:tcPr>
          <w:tcW w:w="7767" w:type="dxa"/>
        </w:tcPr>
        <w:p w:rsidR="00511040" w:rsidRPr="00BA5B14" w:rsidRDefault="00511040" w:rsidP="00C65E3B">
          <w:pPr>
            <w:pStyle w:val="Footer"/>
            <w:jc w:val="right"/>
            <w:rPr>
              <w:rFonts w:cs="Arial"/>
            </w:rPr>
          </w:pPr>
          <w:r>
            <w:rPr>
              <w:rFonts w:cs="Arial"/>
            </w:rPr>
            <w:t>Statistical context</w:t>
          </w:r>
          <w:bookmarkStart w:id="31" w:name="DraftReportOdd"/>
          <w:bookmarkEnd w:id="31"/>
        </w:p>
      </w:tc>
      <w:tc>
        <w:tcPr>
          <w:tcW w:w="510" w:type="dxa"/>
        </w:tcPr>
        <w:p w:rsidR="00511040" w:rsidRPr="00A24443" w:rsidRDefault="00511040">
          <w:pPr>
            <w:pStyle w:val="Footer"/>
            <w:jc w:val="right"/>
            <w:rP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14258">
            <w:rPr>
              <w:rStyle w:val="PageNumber"/>
              <w:caps w:val="0"/>
              <w:noProof/>
            </w:rPr>
            <w:t>25</w:t>
          </w:r>
          <w:r w:rsidRPr="00A24443">
            <w:rPr>
              <w:rStyle w:val="PageNumber"/>
              <w:caps w:val="0"/>
            </w:rPr>
            <w:fldChar w:fldCharType="end"/>
          </w:r>
        </w:p>
      </w:tc>
    </w:tr>
  </w:tbl>
  <w:p w:rsidR="00511040" w:rsidRDefault="0051104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040" w:rsidRDefault="00511040">
      <w:r>
        <w:separator/>
      </w:r>
    </w:p>
  </w:footnote>
  <w:footnote w:type="continuationSeparator" w:id="0">
    <w:p w:rsidR="00511040" w:rsidRDefault="00511040">
      <w:r>
        <w:continuationSeparator/>
      </w:r>
    </w:p>
  </w:footnote>
  <w:footnote w:id="1">
    <w:p w:rsidR="00511040" w:rsidRDefault="00511040" w:rsidP="007612F8">
      <w:pPr>
        <w:pStyle w:val="FootnoteText"/>
      </w:pPr>
      <w:r w:rsidRPr="00730545">
        <w:rPr>
          <w:rStyle w:val="FootnoteReference"/>
        </w:rPr>
        <w:footnoteRef/>
      </w:r>
      <w:r w:rsidRPr="00730545">
        <w:t xml:space="preserve"> The ABS </w:t>
      </w:r>
      <w:r w:rsidRPr="00730545">
        <w:rPr>
          <w:i/>
        </w:rPr>
        <w:t>Census Dictionary</w:t>
      </w:r>
      <w:r>
        <w:t xml:space="preserve"> (ABS 2011</w:t>
      </w:r>
      <w:r w:rsidRPr="00730545">
        <w:t>) defines a family as two or more persons, one of whom is aged 15 years or over, who are related by blood, marriage (registered or de facto), adoption, step or fostering; and who are usually resident in the same household. The basis of a family is formed by identifying the presence of a couple relationship, lone parent-child relationship or other blood relationship. Some households contain more than one family.</w:t>
      </w:r>
    </w:p>
  </w:footnote>
  <w:footnote w:id="2">
    <w:p w:rsidR="00511040" w:rsidRPr="00195B8D" w:rsidRDefault="00511040" w:rsidP="007612F8">
      <w:pPr>
        <w:pStyle w:val="FootnoteText"/>
        <w:rPr>
          <w:highlight w:val="yellow"/>
        </w:rPr>
      </w:pPr>
      <w:r w:rsidRPr="00195B8D">
        <w:rPr>
          <w:rStyle w:val="FootnoteReference"/>
        </w:rPr>
        <w:footnoteRef/>
      </w:r>
      <w:r w:rsidRPr="00195B8D">
        <w:t xml:space="preserve"> The ABS </w:t>
      </w:r>
      <w:r w:rsidRPr="00195B8D">
        <w:rPr>
          <w:i/>
        </w:rPr>
        <w:t>Census Dictionary</w:t>
      </w:r>
      <w:r w:rsidRPr="00195B8D">
        <w:t xml:space="preserve"> (ABS 2011) defines a dwelling as structure which is intended to have people live in it, and which is habitable on Census Night. Some examples of dwellings are houses, motels, flats, caravans, prisons, tents, humpies and houseboats. Private dwellings are enumerated using household forms, which obtain family and relationship data as well as information on the dwelling itself</w:t>
      </w:r>
      <w:r>
        <w:t>,</w:t>
      </w:r>
      <w:r w:rsidRPr="00195B8D">
        <w:t xml:space="preserve"> such as rent or mortgage payments and ownership.</w:t>
      </w:r>
    </w:p>
  </w:footnote>
  <w:footnote w:id="3">
    <w:p w:rsidR="00511040" w:rsidRDefault="00511040" w:rsidP="004D5B38">
      <w:pPr>
        <w:pStyle w:val="FootnoteText"/>
      </w:pPr>
      <w:r>
        <w:rPr>
          <w:rStyle w:val="FootnoteReference"/>
        </w:rPr>
        <w:footnoteRef/>
      </w:r>
      <w:r>
        <w:tab/>
        <w:t>See page 2.27 in the 2015 Report for the background on choice of year for the standard population and timeline for revision.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1040">
      <w:tc>
        <w:tcPr>
          <w:tcW w:w="2155" w:type="dxa"/>
          <w:tcBorders>
            <w:top w:val="single" w:sz="24" w:space="0" w:color="auto"/>
          </w:tcBorders>
        </w:tcPr>
        <w:p w:rsidR="00511040" w:rsidRDefault="00511040" w:rsidP="0019293B">
          <w:pPr>
            <w:pStyle w:val="HeaderEven"/>
          </w:pPr>
        </w:p>
      </w:tc>
      <w:tc>
        <w:tcPr>
          <w:tcW w:w="6634" w:type="dxa"/>
          <w:tcBorders>
            <w:top w:val="single" w:sz="6" w:space="0" w:color="auto"/>
          </w:tcBorders>
        </w:tcPr>
        <w:p w:rsidR="00511040" w:rsidRDefault="00511040" w:rsidP="0019293B">
          <w:pPr>
            <w:pStyle w:val="HeaderEven"/>
          </w:pPr>
        </w:p>
      </w:tc>
    </w:tr>
  </w:tbl>
  <w:p w:rsidR="00511040" w:rsidRDefault="0051104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1040">
      <w:tc>
        <w:tcPr>
          <w:tcW w:w="6634" w:type="dxa"/>
          <w:tcBorders>
            <w:top w:val="single" w:sz="6" w:space="0" w:color="auto"/>
          </w:tcBorders>
        </w:tcPr>
        <w:p w:rsidR="00511040" w:rsidRDefault="00511040" w:rsidP="00E669E2">
          <w:pPr>
            <w:pStyle w:val="HeaderOdd"/>
          </w:pPr>
        </w:p>
      </w:tc>
      <w:tc>
        <w:tcPr>
          <w:tcW w:w="2155" w:type="dxa"/>
          <w:tcBorders>
            <w:top w:val="single" w:sz="24" w:space="0" w:color="auto"/>
          </w:tcBorders>
        </w:tcPr>
        <w:p w:rsidR="00511040" w:rsidRDefault="00511040" w:rsidP="00E669E2">
          <w:pPr>
            <w:pStyle w:val="HeaderOdd"/>
          </w:pPr>
        </w:p>
      </w:tc>
    </w:tr>
  </w:tbl>
  <w:p w:rsidR="00511040" w:rsidRDefault="0051104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on Government Services 2016"/>
  </w:docVars>
  <w:rsids>
    <w:rsidRoot w:val="007131FA"/>
    <w:rsid w:val="000043A7"/>
    <w:rsid w:val="00021101"/>
    <w:rsid w:val="000227D5"/>
    <w:rsid w:val="000245AA"/>
    <w:rsid w:val="0003664B"/>
    <w:rsid w:val="0004111F"/>
    <w:rsid w:val="00044844"/>
    <w:rsid w:val="00055077"/>
    <w:rsid w:val="000565B3"/>
    <w:rsid w:val="0007150B"/>
    <w:rsid w:val="000914A8"/>
    <w:rsid w:val="000938F5"/>
    <w:rsid w:val="00095663"/>
    <w:rsid w:val="00096E55"/>
    <w:rsid w:val="0009783E"/>
    <w:rsid w:val="000B1022"/>
    <w:rsid w:val="000B601B"/>
    <w:rsid w:val="000C207E"/>
    <w:rsid w:val="000D41E9"/>
    <w:rsid w:val="000F0035"/>
    <w:rsid w:val="000F04E7"/>
    <w:rsid w:val="000F060A"/>
    <w:rsid w:val="000F420B"/>
    <w:rsid w:val="000F7098"/>
    <w:rsid w:val="001076F2"/>
    <w:rsid w:val="00110116"/>
    <w:rsid w:val="001148A4"/>
    <w:rsid w:val="00120072"/>
    <w:rsid w:val="00126EB8"/>
    <w:rsid w:val="001274D4"/>
    <w:rsid w:val="001363AA"/>
    <w:rsid w:val="0013739A"/>
    <w:rsid w:val="00142165"/>
    <w:rsid w:val="001620EE"/>
    <w:rsid w:val="00162434"/>
    <w:rsid w:val="00175FF3"/>
    <w:rsid w:val="00183E82"/>
    <w:rsid w:val="001878BB"/>
    <w:rsid w:val="00191AE0"/>
    <w:rsid w:val="0019293B"/>
    <w:rsid w:val="0019426B"/>
    <w:rsid w:val="001A6A4B"/>
    <w:rsid w:val="001B0610"/>
    <w:rsid w:val="001C0865"/>
    <w:rsid w:val="001C0AED"/>
    <w:rsid w:val="001C3ABA"/>
    <w:rsid w:val="001C5111"/>
    <w:rsid w:val="001D4D14"/>
    <w:rsid w:val="001E7BE8"/>
    <w:rsid w:val="001F0248"/>
    <w:rsid w:val="001F3EB3"/>
    <w:rsid w:val="001F4F86"/>
    <w:rsid w:val="001F518A"/>
    <w:rsid w:val="00202C2C"/>
    <w:rsid w:val="00203050"/>
    <w:rsid w:val="002135AB"/>
    <w:rsid w:val="00214258"/>
    <w:rsid w:val="002144BE"/>
    <w:rsid w:val="00242279"/>
    <w:rsid w:val="00243997"/>
    <w:rsid w:val="0024516C"/>
    <w:rsid w:val="00245C82"/>
    <w:rsid w:val="002639DF"/>
    <w:rsid w:val="00270429"/>
    <w:rsid w:val="002724BA"/>
    <w:rsid w:val="00291B40"/>
    <w:rsid w:val="002A1948"/>
    <w:rsid w:val="002A1DC5"/>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D1759"/>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4D5B38"/>
    <w:rsid w:val="00511040"/>
    <w:rsid w:val="00517795"/>
    <w:rsid w:val="00523639"/>
    <w:rsid w:val="00531FE5"/>
    <w:rsid w:val="005402FA"/>
    <w:rsid w:val="005729BD"/>
    <w:rsid w:val="00574B8D"/>
    <w:rsid w:val="00580154"/>
    <w:rsid w:val="00583C39"/>
    <w:rsid w:val="00586A90"/>
    <w:rsid w:val="00587F28"/>
    <w:rsid w:val="005909CF"/>
    <w:rsid w:val="00591E71"/>
    <w:rsid w:val="005A0D41"/>
    <w:rsid w:val="005D329F"/>
    <w:rsid w:val="005E6E4B"/>
    <w:rsid w:val="005F48ED"/>
    <w:rsid w:val="00606E78"/>
    <w:rsid w:val="00607BF1"/>
    <w:rsid w:val="00630D4D"/>
    <w:rsid w:val="00632A74"/>
    <w:rsid w:val="00654D42"/>
    <w:rsid w:val="00666E02"/>
    <w:rsid w:val="006A4655"/>
    <w:rsid w:val="006B2B3C"/>
    <w:rsid w:val="006C1D81"/>
    <w:rsid w:val="006C68EF"/>
    <w:rsid w:val="006C7038"/>
    <w:rsid w:val="006E73EF"/>
    <w:rsid w:val="007079C9"/>
    <w:rsid w:val="007131FA"/>
    <w:rsid w:val="00714D4D"/>
    <w:rsid w:val="007266D3"/>
    <w:rsid w:val="00732029"/>
    <w:rsid w:val="007604BB"/>
    <w:rsid w:val="007612F8"/>
    <w:rsid w:val="00761C1E"/>
    <w:rsid w:val="00772909"/>
    <w:rsid w:val="00785232"/>
    <w:rsid w:val="0079701E"/>
    <w:rsid w:val="007A21EB"/>
    <w:rsid w:val="007B1A93"/>
    <w:rsid w:val="007C36C9"/>
    <w:rsid w:val="007D6401"/>
    <w:rsid w:val="007E01E4"/>
    <w:rsid w:val="007E7A12"/>
    <w:rsid w:val="007F7107"/>
    <w:rsid w:val="008004A1"/>
    <w:rsid w:val="00800D4C"/>
    <w:rsid w:val="0081030F"/>
    <w:rsid w:val="00812F4A"/>
    <w:rsid w:val="0082087D"/>
    <w:rsid w:val="00835771"/>
    <w:rsid w:val="00842933"/>
    <w:rsid w:val="0086082C"/>
    <w:rsid w:val="00862E04"/>
    <w:rsid w:val="00864ADC"/>
    <w:rsid w:val="00880153"/>
    <w:rsid w:val="00880F97"/>
    <w:rsid w:val="0088133A"/>
    <w:rsid w:val="0089285A"/>
    <w:rsid w:val="0089285E"/>
    <w:rsid w:val="0089436C"/>
    <w:rsid w:val="008D365C"/>
    <w:rsid w:val="008D7622"/>
    <w:rsid w:val="008F42C9"/>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93554"/>
    <w:rsid w:val="009A5171"/>
    <w:rsid w:val="009C0808"/>
    <w:rsid w:val="009E1844"/>
    <w:rsid w:val="009F0D1B"/>
    <w:rsid w:val="009F5BBD"/>
    <w:rsid w:val="009F696D"/>
    <w:rsid w:val="009F6BC6"/>
    <w:rsid w:val="009F74EF"/>
    <w:rsid w:val="00A02826"/>
    <w:rsid w:val="00A03188"/>
    <w:rsid w:val="00A15D5A"/>
    <w:rsid w:val="00A16007"/>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C62F2"/>
    <w:rsid w:val="00AD520B"/>
    <w:rsid w:val="00AE3BCC"/>
    <w:rsid w:val="00B04B82"/>
    <w:rsid w:val="00B425C3"/>
    <w:rsid w:val="00B440AD"/>
    <w:rsid w:val="00B479BB"/>
    <w:rsid w:val="00B53E7E"/>
    <w:rsid w:val="00B6342E"/>
    <w:rsid w:val="00B7113F"/>
    <w:rsid w:val="00B9130F"/>
    <w:rsid w:val="00BA2BCF"/>
    <w:rsid w:val="00BA5B14"/>
    <w:rsid w:val="00BA73B6"/>
    <w:rsid w:val="00BA7E27"/>
    <w:rsid w:val="00BB2603"/>
    <w:rsid w:val="00BB4FCD"/>
    <w:rsid w:val="00BC04E9"/>
    <w:rsid w:val="00BD13EA"/>
    <w:rsid w:val="00BE3808"/>
    <w:rsid w:val="00C03B88"/>
    <w:rsid w:val="00C062E9"/>
    <w:rsid w:val="00C07B64"/>
    <w:rsid w:val="00C11C83"/>
    <w:rsid w:val="00C13721"/>
    <w:rsid w:val="00C14FE4"/>
    <w:rsid w:val="00C3066D"/>
    <w:rsid w:val="00C52416"/>
    <w:rsid w:val="00C543F4"/>
    <w:rsid w:val="00C566BE"/>
    <w:rsid w:val="00C6291C"/>
    <w:rsid w:val="00C633CB"/>
    <w:rsid w:val="00C65E3B"/>
    <w:rsid w:val="00C664CD"/>
    <w:rsid w:val="00C736B7"/>
    <w:rsid w:val="00C81D4A"/>
    <w:rsid w:val="00C8762C"/>
    <w:rsid w:val="00CA00F9"/>
    <w:rsid w:val="00CA0399"/>
    <w:rsid w:val="00CA2961"/>
    <w:rsid w:val="00CB50D7"/>
    <w:rsid w:val="00CB7177"/>
    <w:rsid w:val="00CB7CED"/>
    <w:rsid w:val="00CC070F"/>
    <w:rsid w:val="00CC1998"/>
    <w:rsid w:val="00CC4946"/>
    <w:rsid w:val="00CC64A1"/>
    <w:rsid w:val="00CC7F97"/>
    <w:rsid w:val="00CF3B11"/>
    <w:rsid w:val="00D155B5"/>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B3EEC"/>
    <w:rsid w:val="00EB5E99"/>
    <w:rsid w:val="00EB600A"/>
    <w:rsid w:val="00EC2844"/>
    <w:rsid w:val="00EC5500"/>
    <w:rsid w:val="00ED18F8"/>
    <w:rsid w:val="00EE6EDA"/>
    <w:rsid w:val="00EE778E"/>
    <w:rsid w:val="00EF22C8"/>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C3CC8"/>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131FA"/>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Heading">
    <w:name w:val="TOC Heading"/>
    <w:basedOn w:val="Heading1"/>
    <w:next w:val="Normal"/>
    <w:uiPriority w:val="39"/>
    <w:unhideWhenUsed/>
    <w:qFormat/>
    <w:rsid w:val="007131FA"/>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FootnoteTextChar">
    <w:name w:val="Footnote Text Char"/>
    <w:basedOn w:val="DefaultParagraphFont"/>
    <w:link w:val="FootnoteText"/>
    <w:rsid w:val="007612F8"/>
  </w:style>
  <w:style w:type="character" w:customStyle="1" w:styleId="Heading4Char">
    <w:name w:val="Heading 4 Char"/>
    <w:basedOn w:val="DefaultParagraphFont"/>
    <w:link w:val="Heading4"/>
    <w:rsid w:val="0089285A"/>
    <w:rPr>
      <w:rFonts w:ascii="Arial" w:hAnsi="Arial"/>
      <w:sz w:val="24"/>
    </w:rPr>
  </w:style>
  <w:style w:type="character" w:styleId="Hyperlink">
    <w:name w:val="Hyperlink"/>
    <w:basedOn w:val="DefaultParagraphFont"/>
    <w:uiPriority w:val="99"/>
    <w:rsid w:val="000914A8"/>
    <w:rPr>
      <w:color w:val="78A22F" w:themeColor="hyperlink"/>
      <w:u w:val="single"/>
    </w:rPr>
  </w:style>
  <w:style w:type="character" w:customStyle="1" w:styleId="ReferenceChar">
    <w:name w:val="Reference Char"/>
    <w:basedOn w:val="DefaultParagraphFont"/>
    <w:link w:val="Reference"/>
    <w:rsid w:val="000914A8"/>
    <w:rPr>
      <w:sz w:val="24"/>
    </w:rPr>
  </w:style>
  <w:style w:type="paragraph" w:styleId="CommentSubject">
    <w:name w:val="annotation subject"/>
    <w:basedOn w:val="CommentText"/>
    <w:next w:val="CommentText"/>
    <w:link w:val="CommentSubjectChar"/>
    <w:rsid w:val="001620E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620EE"/>
    <w:rPr>
      <w:szCs w:val="24"/>
    </w:rPr>
  </w:style>
  <w:style w:type="character" w:customStyle="1" w:styleId="CommentSubjectChar">
    <w:name w:val="Comment Subject Char"/>
    <w:basedOn w:val="CommentTextChar"/>
    <w:link w:val="CommentSubject"/>
    <w:rsid w:val="001620E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131FA"/>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uiPriority w:val="39"/>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TOCHeading">
    <w:name w:val="TOC Heading"/>
    <w:basedOn w:val="Heading1"/>
    <w:next w:val="Normal"/>
    <w:uiPriority w:val="39"/>
    <w:unhideWhenUsed/>
    <w:qFormat/>
    <w:rsid w:val="007131FA"/>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FootnoteTextChar">
    <w:name w:val="Footnote Text Char"/>
    <w:basedOn w:val="DefaultParagraphFont"/>
    <w:link w:val="FootnoteText"/>
    <w:rsid w:val="007612F8"/>
  </w:style>
  <w:style w:type="character" w:customStyle="1" w:styleId="Heading4Char">
    <w:name w:val="Heading 4 Char"/>
    <w:basedOn w:val="DefaultParagraphFont"/>
    <w:link w:val="Heading4"/>
    <w:rsid w:val="0089285A"/>
    <w:rPr>
      <w:rFonts w:ascii="Arial" w:hAnsi="Arial"/>
      <w:sz w:val="24"/>
    </w:rPr>
  </w:style>
  <w:style w:type="character" w:styleId="Hyperlink">
    <w:name w:val="Hyperlink"/>
    <w:basedOn w:val="DefaultParagraphFont"/>
    <w:uiPriority w:val="99"/>
    <w:rsid w:val="000914A8"/>
    <w:rPr>
      <w:color w:val="78A22F" w:themeColor="hyperlink"/>
      <w:u w:val="single"/>
    </w:rPr>
  </w:style>
  <w:style w:type="character" w:customStyle="1" w:styleId="ReferenceChar">
    <w:name w:val="Reference Char"/>
    <w:basedOn w:val="DefaultParagraphFont"/>
    <w:link w:val="Reference"/>
    <w:rsid w:val="000914A8"/>
    <w:rPr>
      <w:sz w:val="24"/>
    </w:rPr>
  </w:style>
  <w:style w:type="paragraph" w:styleId="CommentSubject">
    <w:name w:val="annotation subject"/>
    <w:basedOn w:val="CommentText"/>
    <w:next w:val="CommentText"/>
    <w:link w:val="CommentSubjectChar"/>
    <w:rsid w:val="001620E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620EE"/>
    <w:rPr>
      <w:szCs w:val="24"/>
    </w:rPr>
  </w:style>
  <w:style w:type="character" w:customStyle="1" w:styleId="CommentSubjectChar">
    <w:name w:val="Comment Subject Char"/>
    <w:basedOn w:val="CommentTextChar"/>
    <w:link w:val="CommentSubject"/>
    <w:rsid w:val="001620E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wmf"/><Relationship Id="rId39" Type="http://schemas.openxmlformats.org/officeDocument/2006/relationships/image" Target="media/image29.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 Type="http://schemas.openxmlformats.org/officeDocument/2006/relationships/footnotes" Target="foot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image" Target="media/image20.wmf"/><Relationship Id="rId11" Type="http://schemas.openxmlformats.org/officeDocument/2006/relationships/image" Target="media/image2.e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61" Type="http://schemas.openxmlformats.org/officeDocument/2006/relationships/image" Target="media/image51.wmf"/><Relationship Id="rId10" Type="http://schemas.openxmlformats.org/officeDocument/2006/relationships/image" Target="media/image1.emf"/><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5.e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chart" Target="charts/chart2.xml"/><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1.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2.1'!$C$50</c:f>
              <c:strCache>
                <c:ptCount val="1"/>
                <c:pt idx="0">
                  <c:v>Female</c:v>
                </c:pt>
              </c:strCache>
            </c:strRef>
          </c:tx>
          <c:spPr>
            <a:solidFill>
              <a:srgbClr val="265A9A"/>
            </a:solidFill>
            <a:ln>
              <a:solidFill>
                <a:srgbClr val="000000"/>
              </a:solidFill>
            </a:ln>
          </c:spPr>
          <c:invertIfNegative val="0"/>
          <c:val>
            <c:numRef>
              <c:f>'Figure 2.1'!$C$51:$C$66</c:f>
              <c:numCache>
                <c:formatCode>General</c:formatCode>
                <c:ptCount val="16"/>
              </c:numCache>
            </c:numRef>
          </c:val>
        </c:ser>
        <c:ser>
          <c:idx val="1"/>
          <c:order val="1"/>
          <c:tx>
            <c:strRef>
              <c:f>'Figure 2.1'!$D$50</c:f>
              <c:strCache>
                <c:ptCount val="1"/>
                <c:pt idx="0">
                  <c:v>Male</c:v>
                </c:pt>
              </c:strCache>
            </c:strRef>
          </c:tx>
          <c:spPr>
            <a:solidFill>
              <a:srgbClr val="78A22F"/>
            </a:solidFill>
            <a:ln>
              <a:solidFill>
                <a:sysClr val="windowText" lastClr="000000"/>
              </a:solidFill>
            </a:ln>
          </c:spPr>
          <c:invertIfNegative val="0"/>
          <c:val>
            <c:numRef>
              <c:f>'Figure 2.1'!$D$51:$D$66</c:f>
              <c:numCache>
                <c:formatCode>General</c:formatCode>
                <c:ptCount val="16"/>
              </c:numCache>
            </c:numRef>
          </c:val>
        </c:ser>
        <c:dLbls>
          <c:showLegendKey val="0"/>
          <c:showVal val="0"/>
          <c:showCatName val="0"/>
          <c:showSerName val="0"/>
          <c:showPercent val="0"/>
          <c:showBubbleSize val="0"/>
        </c:dLbls>
        <c:gapWidth val="150"/>
        <c:axId val="116295936"/>
        <c:axId val="136372224"/>
      </c:barChart>
      <c:catAx>
        <c:axId val="116295936"/>
        <c:scaling>
          <c:orientation val="minMax"/>
        </c:scaling>
        <c:delete val="1"/>
        <c:axPos val="b"/>
        <c:numFmt formatCode="General" sourceLinked="1"/>
        <c:majorTickMark val="out"/>
        <c:minorTickMark val="none"/>
        <c:tickLblPos val="nextTo"/>
        <c:crossAx val="136372224"/>
        <c:crosses val="autoZero"/>
        <c:auto val="1"/>
        <c:lblAlgn val="ctr"/>
        <c:lblOffset val="100"/>
        <c:noMultiLvlLbl val="0"/>
      </c:catAx>
      <c:valAx>
        <c:axId val="136372224"/>
        <c:scaling>
          <c:orientation val="minMax"/>
        </c:scaling>
        <c:delete val="1"/>
        <c:axPos val="l"/>
        <c:numFmt formatCode="General" sourceLinked="1"/>
        <c:majorTickMark val="out"/>
        <c:minorTickMark val="none"/>
        <c:tickLblPos val="nextTo"/>
        <c:crossAx val="116295936"/>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748148148148147E-2"/>
          <c:y val="4.8506944444444443E-2"/>
          <c:w val="0.93226074074074072"/>
          <c:h val="0.58819351851851853"/>
        </c:manualLayout>
      </c:layout>
      <c:areaChart>
        <c:grouping val="standard"/>
        <c:varyColors val="0"/>
        <c:ser>
          <c:idx val="0"/>
          <c:order val="0"/>
          <c:tx>
            <c:strRef>
              <c:f>Sheet2!$E$1</c:f>
              <c:strCache>
                <c:ptCount val="1"/>
                <c:pt idx="0">
                  <c:v>It can be said with 95 per cent confidence that the populaiton lies within the striped area</c:v>
                </c:pt>
              </c:strCache>
            </c:strRef>
          </c:tx>
          <c:spPr>
            <a:solidFill>
              <a:sysClr val="windowText" lastClr="000000"/>
            </a:solidFill>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Sheet2!$E$2:$E$802</c:f>
              <c:numCache>
                <c:formatCode>General</c:formatCode>
                <c:ptCount val="801"/>
              </c:numCache>
            </c:numRef>
          </c:val>
        </c:ser>
        <c:ser>
          <c:idx val="1"/>
          <c:order val="1"/>
          <c:tx>
            <c:strRef>
              <c:f>Sheet2!$B$1</c:f>
              <c:strCache>
                <c:ptCount val="1"/>
              </c:strCache>
            </c:strRef>
          </c:tx>
          <c:spPr>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Sheet2!$B$2:$B$802</c:f>
              <c:numCache>
                <c:formatCode>General</c:formatCode>
                <c:ptCount val="801"/>
                <c:pt idx="1">
                  <c:v>1.3928497646575994E-4</c:v>
                </c:pt>
                <c:pt idx="2">
                  <c:v>1.4494756042389079E-4</c:v>
                </c:pt>
                <c:pt idx="3">
                  <c:v>1.5082527155051753E-4</c:v>
                </c:pt>
                <c:pt idx="4">
                  <c:v>1.5692563406553169E-4</c:v>
                </c:pt>
                <c:pt idx="5">
                  <c:v>1.6325640876624142E-4</c:v>
                </c:pt>
                <c:pt idx="6">
                  <c:v>1.6982559942934266E-4</c:v>
                </c:pt>
                <c:pt idx="7">
                  <c:v>1.7664145934756997E-4</c:v>
                </c:pt>
                <c:pt idx="8">
                  <c:v>1.8371249800245581E-4</c:v>
                </c:pt>
                <c:pt idx="9">
                  <c:v>1.9104748787459642E-4</c:v>
                </c:pt>
                <c:pt idx="10">
                  <c:v>1.9865547139277093E-4</c:v>
                </c:pt>
                <c:pt idx="11">
                  <c:v>2.0654576802322367E-4</c:v>
                </c:pt>
                <c:pt idx="12">
                  <c:v>2.1472798150036474E-4</c:v>
                </c:pt>
                <c:pt idx="13">
                  <c:v>2.2321200720009968E-4</c:v>
                </c:pt>
                <c:pt idx="14">
                  <c:v>2.320080396569397E-4</c:v>
                </c:pt>
                <c:pt idx="15">
                  <c:v>2.4112658022599047E-4</c:v>
                </c:pt>
                <c:pt idx="16">
                  <c:v>2.5057844489085744E-4</c:v>
                </c:pt>
                <c:pt idx="17">
                  <c:v>2.60374772218439E-4</c:v>
                </c:pt>
                <c:pt idx="18">
                  <c:v>2.7052703146151688E-4</c:v>
                </c:pt>
                <c:pt idx="19">
                  <c:v>2.810470308099821E-4</c:v>
                </c:pt>
                <c:pt idx="20">
                  <c:v>2.9194692579145534E-4</c:v>
                </c:pt>
                <c:pt idx="21">
                  <c:v>3.0323922782199907E-4</c:v>
                </c:pt>
                <c:pt idx="22">
                  <c:v>3.1493681290751624E-4</c:v>
                </c:pt>
                <c:pt idx="23">
                  <c:v>3.2705293049636891E-4</c:v>
                </c:pt>
                <c:pt idx="24">
                  <c:v>3.3960121248364817E-4</c:v>
                </c:pt>
                <c:pt idx="25">
                  <c:v>3.5259568236743852E-4</c:v>
                </c:pt>
                <c:pt idx="26">
                  <c:v>3.6605076455732786E-4</c:v>
                </c:pt>
                <c:pt idx="27">
                  <c:v>3.7998129383531333E-4</c:v>
                </c:pt>
                <c:pt idx="28">
                  <c:v>3.9440252496914782E-4</c:v>
                </c:pt>
                <c:pt idx="29">
                  <c:v>4.0933014247806934E-4</c:v>
                </c:pt>
                <c:pt idx="30">
                  <c:v>4.2478027055074168E-4</c:v>
                </c:pt>
                <c:pt idx="31">
                  <c:v>4.4076948311512151E-4</c:v>
                </c:pt>
                <c:pt idx="32">
                  <c:v>4.5731481405984542E-4</c:v>
                </c:pt>
                <c:pt idx="33">
                  <c:v>4.7443376760660845E-4</c:v>
                </c:pt>
                <c:pt idx="34">
                  <c:v>4.9214432883288044E-4</c:v>
                </c:pt>
                <c:pt idx="35">
                  <c:v>5.104649743441715E-4</c:v>
                </c:pt>
                <c:pt idx="36">
                  <c:v>5.2941468309492022E-4</c:v>
                </c:pt>
                <c:pt idx="37">
                  <c:v>5.4901294735694309E-4</c:v>
                </c:pt>
                <c:pt idx="38">
                  <c:v>5.6927978383423592E-4</c:v>
                </c:pt>
                <c:pt idx="39">
                  <c:v>5.9023574492276772E-4</c:v>
                </c:pt>
                <c:pt idx="40">
                  <c:v>6.1190193011375347E-4</c:v>
                </c:pt>
                <c:pt idx="41">
                  <c:v>6.3429999753873722E-4</c:v>
                </c:pt>
                <c:pt idx="42">
                  <c:v>6.5745217565465542E-4</c:v>
                </c:pt>
                <c:pt idx="43">
                  <c:v>6.8138127506686967E-4</c:v>
                </c:pt>
                <c:pt idx="44">
                  <c:v>7.06110700488013E-4</c:v>
                </c:pt>
                <c:pt idx="45">
                  <c:v>7.3166446283028552E-4</c:v>
                </c:pt>
                <c:pt idx="46">
                  <c:v>7.5806719142868396E-4</c:v>
                </c:pt>
                <c:pt idx="47">
                  <c:v>7.8534414639244135E-4</c:v>
                </c:pt>
                <c:pt idx="48">
                  <c:v>8.1352123108177892E-4</c:v>
                </c:pt>
                <c:pt idx="49">
                  <c:v>8.4262500470687124E-4</c:v>
                </c:pt>
                <c:pt idx="50">
                  <c:v>8.7268269504572763E-4</c:v>
                </c:pt>
                <c:pt idx="51">
                  <c:v>9.0372221127749065E-4</c:v>
                </c:pt>
                <c:pt idx="52">
                  <c:v>9.3577215692744388E-4</c:v>
                </c:pt>
                <c:pt idx="53">
                  <c:v>9.6886184291980818E-4</c:v>
                </c:pt>
                <c:pt idx="54">
                  <c:v>1.0030213007341975E-3</c:v>
                </c:pt>
                <c:pt idx="55">
                  <c:v>1.0382812956613689E-3</c:v>
                </c:pt>
                <c:pt idx="56">
                  <c:v>1.0746733401536908E-3</c:v>
                </c:pt>
                <c:pt idx="57">
                  <c:v>1.1122297072655193E-3</c:v>
                </c:pt>
                <c:pt idx="58">
                  <c:v>1.1509834441784353E-3</c:v>
                </c:pt>
                <c:pt idx="59">
                  <c:v>1.1909683858060669E-3</c:v>
                </c:pt>
                <c:pt idx="60">
                  <c:v>1.2322191684729651E-3</c:v>
                </c:pt>
                <c:pt idx="61">
                  <c:v>1.2747712436617772E-3</c:v>
                </c:pt>
                <c:pt idx="62">
                  <c:v>1.3186608918226823E-3</c:v>
                </c:pt>
                <c:pt idx="63">
                  <c:v>1.3639252362388429E-3</c:v>
                </c:pt>
                <c:pt idx="64">
                  <c:v>1.4106022569413184E-3</c:v>
                </c:pt>
                <c:pt idx="65">
                  <c:v>1.4587308046666787E-3</c:v>
                </c:pt>
                <c:pt idx="66">
                  <c:v>1.5083506148502364E-3</c:v>
                </c:pt>
                <c:pt idx="67">
                  <c:v>1.5595023216476182E-3</c:v>
                </c:pt>
                <c:pt idx="68">
                  <c:v>1.6122274719770459E-3</c:v>
                </c:pt>
                <c:pt idx="69">
                  <c:v>1.6665685395744997E-3</c:v>
                </c:pt>
                <c:pt idx="70">
                  <c:v>1.7225689390535956E-3</c:v>
                </c:pt>
                <c:pt idx="71">
                  <c:v>1.7802730399617901E-3</c:v>
                </c:pt>
                <c:pt idx="72">
                  <c:v>1.8397261808241862E-3</c:v>
                </c:pt>
                <c:pt idx="73">
                  <c:v>1.900974683165984E-3</c:v>
                </c:pt>
                <c:pt idx="74">
                  <c:v>1.9640658655042747E-3</c:v>
                </c:pt>
                <c:pt idx="75">
                  <c:v>2.0290480572996636E-3</c:v>
                </c:pt>
                <c:pt idx="76">
                  <c:v>2.0959706128578339E-3</c:v>
                </c:pt>
                <c:pt idx="77">
                  <c:v>2.1648839251709471E-3</c:v>
                </c:pt>
                <c:pt idx="78">
                  <c:v>2.2358394396884192E-3</c:v>
                </c:pt>
                <c:pt idx="79">
                  <c:v>2.3088896680063709E-3</c:v>
                </c:pt>
                <c:pt idx="80">
                  <c:v>2.3840882014647133E-3</c:v>
                </c:pt>
                <c:pt idx="81">
                  <c:v>2.4614897246405653E-3</c:v>
                </c:pt>
                <c:pt idx="82">
                  <c:v>2.5411500287263813E-3</c:v>
                </c:pt>
                <c:pt idx="83">
                  <c:v>2.6231260247808778E-3</c:v>
                </c:pt>
                <c:pt idx="84">
                  <c:v>2.7074757568405486E-3</c:v>
                </c:pt>
                <c:pt idx="85">
                  <c:v>2.7942584148792859E-3</c:v>
                </c:pt>
                <c:pt idx="86">
                  <c:v>2.8835343476032727E-3</c:v>
                </c:pt>
                <c:pt idx="87">
                  <c:v>2.9753650750680787E-3</c:v>
                </c:pt>
                <c:pt idx="88">
                  <c:v>3.0698133011045634E-3</c:v>
                </c:pt>
                <c:pt idx="89">
                  <c:v>3.1669429255398924E-3</c:v>
                </c:pt>
                <c:pt idx="90">
                  <c:v>3.2668190561997274E-3</c:v>
                </c:pt>
                <c:pt idx="91">
                  <c:v>3.3695080206772778E-3</c:v>
                </c:pt>
                <c:pt idx="92">
                  <c:v>3.475077377854728E-3</c:v>
                </c:pt>
                <c:pt idx="93">
                  <c:v>3.5835959291621419E-3</c:v>
                </c:pt>
                <c:pt idx="94">
                  <c:v>3.6951337295588085E-3</c:v>
                </c:pt>
                <c:pt idx="95">
                  <c:v>3.8097620982215736E-3</c:v>
                </c:pt>
                <c:pt idx="96">
                  <c:v>3.9275536289245351E-3</c:v>
                </c:pt>
                <c:pt idx="97">
                  <c:v>4.0485822000941741E-3</c:v>
                </c:pt>
                <c:pt idx="98">
                  <c:v>4.1729229845236995E-3</c:v>
                </c:pt>
                <c:pt idx="99">
                  <c:v>4.3006524587301748E-3</c:v>
                </c:pt>
                <c:pt idx="100">
                  <c:v>4.4318484119377239E-3</c:v>
                </c:pt>
                <c:pt idx="101">
                  <c:v>4.566589954669853E-3</c:v>
                </c:pt>
                <c:pt idx="102">
                  <c:v>4.7049575269336747E-3</c:v>
                </c:pt>
                <c:pt idx="103">
                  <c:v>4.8470329059786344E-3</c:v>
                </c:pt>
                <c:pt idx="104">
                  <c:v>4.9928992136120476E-3</c:v>
                </c:pt>
                <c:pt idx="105">
                  <c:v>5.142640923053601E-3</c:v>
                </c:pt>
                <c:pt idx="106">
                  <c:v>5.2963438653106671E-3</c:v>
                </c:pt>
                <c:pt idx="107">
                  <c:v>5.4540952350561819E-3</c:v>
                </c:pt>
                <c:pt idx="108">
                  <c:v>5.6159835959905891E-3</c:v>
                </c:pt>
                <c:pt idx="109">
                  <c:v>5.782098885669087E-3</c:v>
                </c:pt>
                <c:pt idx="110">
                  <c:v>5.9525324197754513E-3</c:v>
                </c:pt>
                <c:pt idx="111">
                  <c:v>6.1273768958232683E-3</c:v>
                </c:pt>
                <c:pt idx="112">
                  <c:v>6.3067263962654913E-3</c:v>
                </c:pt>
                <c:pt idx="113">
                  <c:v>6.490676390992915E-3</c:v>
                </c:pt>
                <c:pt idx="114">
                  <c:v>6.6793237392021526E-3</c:v>
                </c:pt>
                <c:pt idx="115">
                  <c:v>6.872766690613495E-3</c:v>
                </c:pt>
                <c:pt idx="116">
                  <c:v>7.0711048860189534E-3</c:v>
                </c:pt>
                <c:pt idx="117">
                  <c:v>7.2744393571407074E-3</c:v>
                </c:pt>
                <c:pt idx="118">
                  <c:v>7.4828725257800278E-3</c:v>
                </c:pt>
                <c:pt idx="119">
                  <c:v>7.6965082022367745E-3</c:v>
                </c:pt>
                <c:pt idx="120">
                  <c:v>7.9154515829793978E-3</c:v>
                </c:pt>
                <c:pt idx="121">
                  <c:v>8.1398092475454369E-3</c:v>
                </c:pt>
                <c:pt idx="122">
                  <c:v>8.3696891546524241E-3</c:v>
                </c:pt>
                <c:pt idx="123">
                  <c:v>8.6052006374990487E-3</c:v>
                </c:pt>
                <c:pt idx="124">
                  <c:v>8.8464543982365775E-3</c:v>
                </c:pt>
                <c:pt idx="125">
                  <c:v>9.0935625015903868E-3</c:v>
                </c:pt>
                <c:pt idx="126">
                  <c:v>9.3466383676115983E-3</c:v>
                </c:pt>
                <c:pt idx="127">
                  <c:v>9.6057967635388743E-3</c:v>
                </c:pt>
                <c:pt idx="128">
                  <c:v>9.8711537947504032E-3</c:v>
                </c:pt>
                <c:pt idx="129">
                  <c:v>1.014282689478632E-2</c:v>
                </c:pt>
                <c:pt idx="130">
                  <c:v>1.0420934814421818E-2</c:v>
                </c:pt>
                <c:pt idx="131">
                  <c:v>1.0705597609771378E-2</c:v>
                </c:pt>
                <c:pt idx="132">
                  <c:v>1.0996936629404751E-2</c:v>
                </c:pt>
                <c:pt idx="133">
                  <c:v>1.1295074500455278E-2</c:v>
                </c:pt>
                <c:pt idx="134">
                  <c:v>1.1600135113701686E-2</c:v>
                </c:pt>
                <c:pt idx="135">
                  <c:v>1.191224360760427E-2</c:v>
                </c:pt>
                <c:pt idx="136">
                  <c:v>1.2231526351277036E-2</c:v>
                </c:pt>
                <c:pt idx="137">
                  <c:v>1.255811092637724E-2</c:v>
                </c:pt>
                <c:pt idx="138">
                  <c:v>1.2892126107894312E-2</c:v>
                </c:pt>
                <c:pt idx="139">
                  <c:v>1.3233701843820344E-2</c:v>
                </c:pt>
                <c:pt idx="140">
                  <c:v>1.3582969233684565E-2</c:v>
                </c:pt>
                <c:pt idx="141">
                  <c:v>1.3940060505934734E-2</c:v>
                </c:pt>
                <c:pt idx="142">
                  <c:v>1.4305108994148578E-2</c:v>
                </c:pt>
                <c:pt idx="143">
                  <c:v>1.4678249112058884E-2</c:v>
                </c:pt>
                <c:pt idx="144">
                  <c:v>1.5059616327376266E-2</c:v>
                </c:pt>
                <c:pt idx="145">
                  <c:v>1.5449347134393953E-2</c:v>
                </c:pt>
                <c:pt idx="146">
                  <c:v>1.5847579025359566E-2</c:v>
                </c:pt>
                <c:pt idx="147">
                  <c:v>1.6254450460599212E-2</c:v>
                </c:pt>
                <c:pt idx="148">
                  <c:v>1.6670100837379739E-2</c:v>
                </c:pt>
                <c:pt idx="149">
                  <c:v>1.7094670457495579E-2</c:v>
                </c:pt>
                <c:pt idx="150">
                  <c:v>1.7528300493567135E-2</c:v>
                </c:pt>
                <c:pt idx="151">
                  <c:v>1.7971132954038196E-2</c:v>
                </c:pt>
                <c:pt idx="152">
                  <c:v>1.8423310646860567E-2</c:v>
                </c:pt>
                <c:pt idx="153">
                  <c:v>1.8884977141854654E-2</c:v>
                </c:pt>
                <c:pt idx="154">
                  <c:v>1.9356276731735397E-2</c:v>
                </c:pt>
                <c:pt idx="155">
                  <c:v>1.9837354391793717E-2</c:v>
                </c:pt>
                <c:pt idx="156">
                  <c:v>2.0328355738224186E-2</c:v>
                </c:pt>
                <c:pt idx="157">
                  <c:v>2.0829426985090493E-2</c:v>
                </c:pt>
                <c:pt idx="158">
                  <c:v>2.1340714899921041E-2</c:v>
                </c:pt>
                <c:pt idx="159">
                  <c:v>2.1862366757927607E-2</c:v>
                </c:pt>
                <c:pt idx="160">
                  <c:v>2.2394530294841061E-2</c:v>
                </c:pt>
                <c:pt idx="161">
                  <c:v>2.2937353658358819E-2</c:v>
                </c:pt>
                <c:pt idx="162">
                  <c:v>2.3490985358199434E-2</c:v>
                </c:pt>
                <c:pt idx="163">
                  <c:v>2.4055574214760997E-2</c:v>
                </c:pt>
                <c:pt idx="164">
                  <c:v>2.4631269306380474E-2</c:v>
                </c:pt>
                <c:pt idx="165">
                  <c:v>2.5218219915192311E-2</c:v>
                </c:pt>
                <c:pt idx="166">
                  <c:v>2.581657547158555E-2</c:v>
                </c:pt>
                <c:pt idx="167">
                  <c:v>2.6426485497259542E-2</c:v>
                </c:pt>
                <c:pt idx="168">
                  <c:v>2.704809954687953E-2</c:v>
                </c:pt>
                <c:pt idx="169">
                  <c:v>2.7681567148334273E-2</c:v>
                </c:pt>
                <c:pt idx="170">
                  <c:v>2.8327037741598806E-2</c:v>
                </c:pt>
                <c:pt idx="171">
                  <c:v>2.8984660616207004E-2</c:v>
                </c:pt>
                <c:pt idx="172">
                  <c:v>2.9654584847338791E-2</c:v>
                </c:pt>
                <c:pt idx="173">
                  <c:v>3.0336959230529089E-2</c:v>
                </c:pt>
                <c:pt idx="174">
                  <c:v>3.1031932215005654E-2</c:v>
                </c:pt>
                <c:pt idx="175">
                  <c:v>3.1739651835664753E-2</c:v>
                </c:pt>
                <c:pt idx="176">
                  <c:v>3.2460265643694738E-2</c:v>
                </c:pt>
                <c:pt idx="177">
                  <c:v>3.3193920635858333E-2</c:v>
                </c:pt>
                <c:pt idx="178">
                  <c:v>3.3940763182446335E-2</c:v>
                </c:pt>
                <c:pt idx="179">
                  <c:v>3.4700938953915891E-2</c:v>
                </c:pt>
                <c:pt idx="180">
                  <c:v>3.5474592846228448E-2</c:v>
                </c:pt>
                <c:pt idx="181">
                  <c:v>3.6261868904903162E-2</c:v>
                </c:pt>
                <c:pt idx="182">
                  <c:v>3.7062910247803345E-2</c:v>
                </c:pt>
                <c:pt idx="183">
                  <c:v>3.7877858986674263E-2</c:v>
                </c:pt>
                <c:pt idx="184">
                  <c:v>3.870685614745234E-2</c:v>
                </c:pt>
                <c:pt idx="185">
                  <c:v>3.9550041589366869E-2</c:v>
                </c:pt>
                <c:pt idx="186">
                  <c:v>4.040755392285688E-2</c:v>
                </c:pt>
                <c:pt idx="187">
                  <c:v>4.1279530426326899E-2</c:v>
                </c:pt>
                <c:pt idx="188">
                  <c:v>4.2166106961766738E-2</c:v>
                </c:pt>
                <c:pt idx="189">
                  <c:v>4.3067417889262063E-2</c:v>
                </c:pt>
                <c:pt idx="190">
                  <c:v>4.3983595980423458E-2</c:v>
                </c:pt>
                <c:pt idx="191">
                  <c:v>4.4914772330763249E-2</c:v>
                </c:pt>
                <c:pt idx="192">
                  <c:v>4.5861076271050995E-2</c:v>
                </c:pt>
                <c:pt idx="193">
                  <c:v>4.6822635277679173E-2</c:v>
                </c:pt>
                <c:pt idx="194">
                  <c:v>4.7799574882072961E-2</c:v>
                </c:pt>
                <c:pt idx="195">
                  <c:v>4.87920185791786E-2</c:v>
                </c:pt>
                <c:pt idx="196">
                  <c:v>4.9800087735066528E-2</c:v>
                </c:pt>
                <c:pt idx="197">
                  <c:v>5.0823901493686853E-2</c:v>
                </c:pt>
                <c:pt idx="198">
                  <c:v>5.1863576682816138E-2</c:v>
                </c:pt>
                <c:pt idx="602">
                  <c:v>5.1863576682820468E-2</c:v>
                </c:pt>
                <c:pt idx="603">
                  <c:v>5.082390149369112E-2</c:v>
                </c:pt>
                <c:pt idx="604">
                  <c:v>4.9800087735070726E-2</c:v>
                </c:pt>
                <c:pt idx="605">
                  <c:v>4.8792018579182722E-2</c:v>
                </c:pt>
                <c:pt idx="606">
                  <c:v>4.7799574882077034E-2</c:v>
                </c:pt>
                <c:pt idx="607">
                  <c:v>4.6822635277683163E-2</c:v>
                </c:pt>
                <c:pt idx="608">
                  <c:v>4.5861076271054929E-2</c:v>
                </c:pt>
                <c:pt idx="609">
                  <c:v>4.4914772330767135E-2</c:v>
                </c:pt>
                <c:pt idx="610">
                  <c:v>4.3983595980427267E-2</c:v>
                </c:pt>
                <c:pt idx="611">
                  <c:v>4.3067417889265831E-2</c:v>
                </c:pt>
                <c:pt idx="612">
                  <c:v>4.2166106961770436E-2</c:v>
                </c:pt>
                <c:pt idx="613">
                  <c:v>4.1279530426330528E-2</c:v>
                </c:pt>
                <c:pt idx="614">
                  <c:v>4.0407553922860454E-2</c:v>
                </c:pt>
                <c:pt idx="615">
                  <c:v>3.955004158937038E-2</c:v>
                </c:pt>
                <c:pt idx="616">
                  <c:v>3.8706856147455802E-2</c:v>
                </c:pt>
                <c:pt idx="617">
                  <c:v>3.7877858986677664E-2</c:v>
                </c:pt>
                <c:pt idx="618">
                  <c:v>3.7062910247806682E-2</c:v>
                </c:pt>
                <c:pt idx="619">
                  <c:v>3.626186890490643E-2</c:v>
                </c:pt>
                <c:pt idx="620">
                  <c:v>3.547459284623166E-2</c:v>
                </c:pt>
                <c:pt idx="621">
                  <c:v>3.4700938953919069E-2</c:v>
                </c:pt>
                <c:pt idx="622">
                  <c:v>3.3940763182449457E-2</c:v>
                </c:pt>
                <c:pt idx="623">
                  <c:v>3.3193920635861386E-2</c:v>
                </c:pt>
                <c:pt idx="624">
                  <c:v>3.2460265643697729E-2</c:v>
                </c:pt>
                <c:pt idx="625">
                  <c:v>3.1739651835667702E-2</c:v>
                </c:pt>
                <c:pt idx="626">
                  <c:v>3.1031932215008547E-2</c:v>
                </c:pt>
                <c:pt idx="627">
                  <c:v>3.0336959230531937E-2</c:v>
                </c:pt>
                <c:pt idx="628">
                  <c:v>2.9654584847341584E-2</c:v>
                </c:pt>
                <c:pt idx="629">
                  <c:v>2.8984660616209735E-2</c:v>
                </c:pt>
                <c:pt idx="630">
                  <c:v>2.8327037741601502E-2</c:v>
                </c:pt>
                <c:pt idx="631">
                  <c:v>2.7681567148336916E-2</c:v>
                </c:pt>
                <c:pt idx="632">
                  <c:v>2.7048099546882122E-2</c:v>
                </c:pt>
                <c:pt idx="633">
                  <c:v>2.6426485497262075E-2</c:v>
                </c:pt>
                <c:pt idx="634">
                  <c:v>2.5816575471588041E-2</c:v>
                </c:pt>
                <c:pt idx="635">
                  <c:v>2.5218219915194753E-2</c:v>
                </c:pt>
                <c:pt idx="636">
                  <c:v>2.4631269306382868E-2</c:v>
                </c:pt>
                <c:pt idx="637">
                  <c:v>2.4055574214763346E-2</c:v>
                </c:pt>
                <c:pt idx="638">
                  <c:v>2.3490985358201742E-2</c:v>
                </c:pt>
                <c:pt idx="639">
                  <c:v>2.2937353658361082E-2</c:v>
                </c:pt>
                <c:pt idx="640">
                  <c:v>2.2394530294843288E-2</c:v>
                </c:pt>
                <c:pt idx="641">
                  <c:v>2.1862366757929783E-2</c:v>
                </c:pt>
                <c:pt idx="642">
                  <c:v>2.1340714899923174E-2</c:v>
                </c:pt>
                <c:pt idx="643">
                  <c:v>2.0829426985092585E-2</c:v>
                </c:pt>
                <c:pt idx="644">
                  <c:v>2.0328355738226233E-2</c:v>
                </c:pt>
                <c:pt idx="645">
                  <c:v>1.9837354391795726E-2</c:v>
                </c:pt>
                <c:pt idx="646">
                  <c:v>1.9356276731737367E-2</c:v>
                </c:pt>
                <c:pt idx="647">
                  <c:v>1.8884977141856583E-2</c:v>
                </c:pt>
                <c:pt idx="648">
                  <c:v>1.8423310646862458E-2</c:v>
                </c:pt>
                <c:pt idx="649">
                  <c:v>1.7971132954040046E-2</c:v>
                </c:pt>
                <c:pt idx="650">
                  <c:v>1.7528300493568943E-2</c:v>
                </c:pt>
                <c:pt idx="651">
                  <c:v>1.7094670457497348E-2</c:v>
                </c:pt>
                <c:pt idx="652">
                  <c:v>1.6670100837381473E-2</c:v>
                </c:pt>
                <c:pt idx="653">
                  <c:v>1.6254450460600908E-2</c:v>
                </c:pt>
                <c:pt idx="654">
                  <c:v>1.5847579025361224E-2</c:v>
                </c:pt>
                <c:pt idx="655">
                  <c:v>1.544934713439558E-2</c:v>
                </c:pt>
                <c:pt idx="656">
                  <c:v>1.5059616327377859E-2</c:v>
                </c:pt>
                <c:pt idx="657">
                  <c:v>1.4678249112060443E-2</c:v>
                </c:pt>
                <c:pt idx="658">
                  <c:v>1.4305108994150103E-2</c:v>
                </c:pt>
                <c:pt idx="659">
                  <c:v>1.3940060505936226E-2</c:v>
                </c:pt>
                <c:pt idx="660">
                  <c:v>1.3582969233686024E-2</c:v>
                </c:pt>
                <c:pt idx="661">
                  <c:v>1.3233701843821773E-2</c:v>
                </c:pt>
                <c:pt idx="662">
                  <c:v>1.289212610789571E-2</c:v>
                </c:pt>
                <c:pt idx="663">
                  <c:v>1.2558110926378607E-2</c:v>
                </c:pt>
                <c:pt idx="664">
                  <c:v>1.2231526351278372E-2</c:v>
                </c:pt>
                <c:pt idx="665">
                  <c:v>1.1912243607605576E-2</c:v>
                </c:pt>
                <c:pt idx="666">
                  <c:v>1.1600135113702958E-2</c:v>
                </c:pt>
                <c:pt idx="667">
                  <c:v>1.1295074500456527E-2</c:v>
                </c:pt>
                <c:pt idx="668">
                  <c:v>1.0996936629405967E-2</c:v>
                </c:pt>
                <c:pt idx="669">
                  <c:v>1.0705597609772566E-2</c:v>
                </c:pt>
                <c:pt idx="670">
                  <c:v>1.042093481442298E-2</c:v>
                </c:pt>
                <c:pt idx="671">
                  <c:v>1.0142826894787455E-2</c:v>
                </c:pt>
                <c:pt idx="672">
                  <c:v>9.8711537947515134E-3</c:v>
                </c:pt>
                <c:pt idx="673">
                  <c:v>9.6057967635399585E-3</c:v>
                </c:pt>
                <c:pt idx="674">
                  <c:v>9.3466383676126565E-3</c:v>
                </c:pt>
                <c:pt idx="675">
                  <c:v>9.0935625015914207E-3</c:v>
                </c:pt>
                <c:pt idx="676">
                  <c:v>8.8464543982375889E-3</c:v>
                </c:pt>
                <c:pt idx="677">
                  <c:v>8.6052006375000323E-3</c:v>
                </c:pt>
                <c:pt idx="678">
                  <c:v>8.3696891546533817E-3</c:v>
                </c:pt>
                <c:pt idx="679">
                  <c:v>8.1398092475463771E-3</c:v>
                </c:pt>
                <c:pt idx="680">
                  <c:v>7.915451582980312E-3</c:v>
                </c:pt>
                <c:pt idx="681">
                  <c:v>7.6965082022376662E-3</c:v>
                </c:pt>
                <c:pt idx="682">
                  <c:v>7.4828725257808986E-3</c:v>
                </c:pt>
                <c:pt idx="683">
                  <c:v>7.274439357141553E-3</c:v>
                </c:pt>
                <c:pt idx="684">
                  <c:v>7.0711048860197818E-3</c:v>
                </c:pt>
                <c:pt idx="685">
                  <c:v>6.8727666906142999E-3</c:v>
                </c:pt>
                <c:pt idx="686">
                  <c:v>6.6793237392029411E-3</c:v>
                </c:pt>
                <c:pt idx="687">
                  <c:v>6.490676390993687E-3</c:v>
                </c:pt>
                <c:pt idx="688">
                  <c:v>6.3067263962662415E-3</c:v>
                </c:pt>
                <c:pt idx="689">
                  <c:v>6.1273768958239978E-3</c:v>
                </c:pt>
                <c:pt idx="690">
                  <c:v>5.95253241977616E-3</c:v>
                </c:pt>
                <c:pt idx="691">
                  <c:v>5.7820988856697808E-3</c:v>
                </c:pt>
                <c:pt idx="692">
                  <c:v>5.615983595991263E-3</c:v>
                </c:pt>
                <c:pt idx="693">
                  <c:v>5.4540952350568455E-3</c:v>
                </c:pt>
                <c:pt idx="694">
                  <c:v>5.2963438653113116E-3</c:v>
                </c:pt>
                <c:pt idx="695">
                  <c:v>5.1426409230542263E-3</c:v>
                </c:pt>
                <c:pt idx="696">
                  <c:v>4.99289921361266E-3</c:v>
                </c:pt>
                <c:pt idx="697">
                  <c:v>4.8470329059792285E-3</c:v>
                </c:pt>
                <c:pt idx="698">
                  <c:v>4.7049575269342558E-3</c:v>
                </c:pt>
                <c:pt idx="699">
                  <c:v>4.5665899546704167E-3</c:v>
                </c:pt>
                <c:pt idx="700">
                  <c:v>4.4318484119382755E-3</c:v>
                </c:pt>
                <c:pt idx="701">
                  <c:v>4.30065245873071E-3</c:v>
                </c:pt>
                <c:pt idx="702">
                  <c:v>4.1729229845242173E-3</c:v>
                </c:pt>
                <c:pt idx="703">
                  <c:v>4.0485822000946815E-3</c:v>
                </c:pt>
                <c:pt idx="704">
                  <c:v>3.9275536289250269E-3</c:v>
                </c:pt>
                <c:pt idx="705">
                  <c:v>3.8097620982220507E-3</c:v>
                </c:pt>
                <c:pt idx="706">
                  <c:v>3.6951337295592743E-3</c:v>
                </c:pt>
                <c:pt idx="707">
                  <c:v>3.5835959291625964E-3</c:v>
                </c:pt>
                <c:pt idx="708">
                  <c:v>3.4750773778551695E-3</c:v>
                </c:pt>
                <c:pt idx="709">
                  <c:v>3.369508020677708E-3</c:v>
                </c:pt>
                <c:pt idx="710">
                  <c:v>3.2668190562001446E-3</c:v>
                </c:pt>
                <c:pt idx="711">
                  <c:v>3.166942925540297E-3</c:v>
                </c:pt>
                <c:pt idx="712">
                  <c:v>3.0698133011049589E-3</c:v>
                </c:pt>
                <c:pt idx="713">
                  <c:v>2.9753650750684647E-3</c:v>
                </c:pt>
                <c:pt idx="714">
                  <c:v>2.8835343476036465E-3</c:v>
                </c:pt>
                <c:pt idx="715">
                  <c:v>2.7942584148796506E-3</c:v>
                </c:pt>
                <c:pt idx="716">
                  <c:v>2.707475756840902E-3</c:v>
                </c:pt>
                <c:pt idx="717">
                  <c:v>2.6231260247812204E-3</c:v>
                </c:pt>
                <c:pt idx="718">
                  <c:v>2.5411500287267157E-3</c:v>
                </c:pt>
                <c:pt idx="719">
                  <c:v>2.4614897246408888E-3</c:v>
                </c:pt>
                <c:pt idx="720">
                  <c:v>2.3840882014650264E-3</c:v>
                </c:pt>
                <c:pt idx="721">
                  <c:v>2.3088896680066762E-3</c:v>
                </c:pt>
                <c:pt idx="722">
                  <c:v>2.2358394396887172E-3</c:v>
                </c:pt>
                <c:pt idx="723">
                  <c:v>2.1648839251712372E-3</c:v>
                </c:pt>
                <c:pt idx="724">
                  <c:v>2.0959706128581145E-3</c:v>
                </c:pt>
                <c:pt idx="725">
                  <c:v>2.0290480572999355E-3</c:v>
                </c:pt>
                <c:pt idx="726">
                  <c:v>1.9640658655045379E-3</c:v>
                </c:pt>
                <c:pt idx="727">
                  <c:v>1.900974683166241E-3</c:v>
                </c:pt>
                <c:pt idx="728">
                  <c:v>1.839726180824436E-3</c:v>
                </c:pt>
                <c:pt idx="729">
                  <c:v>1.7802730399620319E-3</c:v>
                </c:pt>
                <c:pt idx="730">
                  <c:v>1.7225689390538295E-3</c:v>
                </c:pt>
                <c:pt idx="731">
                  <c:v>1.6665685395747278E-3</c:v>
                </c:pt>
                <c:pt idx="732">
                  <c:v>1.6122274719772677E-3</c:v>
                </c:pt>
                <c:pt idx="733">
                  <c:v>1.5595023216478331E-3</c:v>
                </c:pt>
                <c:pt idx="734">
                  <c:v>1.5083506148504441E-3</c:v>
                </c:pt>
                <c:pt idx="735">
                  <c:v>1.4587308046668807E-3</c:v>
                </c:pt>
                <c:pt idx="736">
                  <c:v>1.4106022569415151E-3</c:v>
                </c:pt>
                <c:pt idx="737">
                  <c:v>1.363925236239032E-3</c:v>
                </c:pt>
                <c:pt idx="738">
                  <c:v>1.3186608918228664E-3</c:v>
                </c:pt>
                <c:pt idx="739">
                  <c:v>1.274771243661955E-3</c:v>
                </c:pt>
                <c:pt idx="740">
                  <c:v>1.2322191684731381E-3</c:v>
                </c:pt>
                <c:pt idx="741">
                  <c:v>1.1909683858062341E-3</c:v>
                </c:pt>
                <c:pt idx="742">
                  <c:v>1.1509834441785979E-3</c:v>
                </c:pt>
                <c:pt idx="743">
                  <c:v>1.1122297072656765E-3</c:v>
                </c:pt>
                <c:pt idx="744">
                  <c:v>1.0746733401538436E-3</c:v>
                </c:pt>
                <c:pt idx="745">
                  <c:v>1.0382812956615172E-3</c:v>
                </c:pt>
                <c:pt idx="746">
                  <c:v>1.0030213007343408E-3</c:v>
                </c:pt>
                <c:pt idx="747">
                  <c:v>9.6886184291994739E-4</c:v>
                </c:pt>
                <c:pt idx="748">
                  <c:v>9.3577215692757854E-4</c:v>
                </c:pt>
                <c:pt idx="749">
                  <c:v>9.0372221127762076E-4</c:v>
                </c:pt>
                <c:pt idx="750">
                  <c:v>8.7268269504585383E-4</c:v>
                </c:pt>
                <c:pt idx="751">
                  <c:v>8.4262500470699321E-4</c:v>
                </c:pt>
                <c:pt idx="752">
                  <c:v>8.1352123108189721E-4</c:v>
                </c:pt>
                <c:pt idx="753">
                  <c:v>7.8534414639255638E-4</c:v>
                </c:pt>
                <c:pt idx="754">
                  <c:v>7.5806719142879509E-4</c:v>
                </c:pt>
                <c:pt idx="755">
                  <c:v>7.3166446283039275E-4</c:v>
                </c:pt>
                <c:pt idx="756">
                  <c:v>7.0611070048811654E-4</c:v>
                </c:pt>
                <c:pt idx="757">
                  <c:v>6.8138127506697018E-4</c:v>
                </c:pt>
                <c:pt idx="758">
                  <c:v>6.5745217565475235E-4</c:v>
                </c:pt>
                <c:pt idx="759">
                  <c:v>6.3429999753883133E-4</c:v>
                </c:pt>
                <c:pt idx="760">
                  <c:v>6.1190193011384422E-4</c:v>
                </c:pt>
                <c:pt idx="761">
                  <c:v>5.9023574492285587E-4</c:v>
                </c:pt>
                <c:pt idx="762">
                  <c:v>5.6927978383432081E-4</c:v>
                </c:pt>
                <c:pt idx="763">
                  <c:v>5.4901294735702495E-4</c:v>
                </c:pt>
                <c:pt idx="764">
                  <c:v>5.2941468309499959E-4</c:v>
                </c:pt>
                <c:pt idx="765">
                  <c:v>5.1046497434424859E-4</c:v>
                </c:pt>
                <c:pt idx="766">
                  <c:v>4.9214432883295481E-4</c:v>
                </c:pt>
                <c:pt idx="767">
                  <c:v>4.7443376760668006E-4</c:v>
                </c:pt>
                <c:pt idx="768">
                  <c:v>4.5731481405991486E-4</c:v>
                </c:pt>
                <c:pt idx="769">
                  <c:v>4.4076948311518889E-4</c:v>
                </c:pt>
                <c:pt idx="770">
                  <c:v>4.2478027055080657E-4</c:v>
                </c:pt>
                <c:pt idx="771">
                  <c:v>4.093301424781319E-4</c:v>
                </c:pt>
                <c:pt idx="772">
                  <c:v>3.9440252496920848E-4</c:v>
                </c:pt>
                <c:pt idx="773">
                  <c:v>3.799812938353721E-4</c:v>
                </c:pt>
                <c:pt idx="774">
                  <c:v>3.660507645573844E-4</c:v>
                </c:pt>
                <c:pt idx="775">
                  <c:v>3.52595682367493E-4</c:v>
                </c:pt>
                <c:pt idx="776">
                  <c:v>3.3960121248370091E-4</c:v>
                </c:pt>
                <c:pt idx="777">
                  <c:v>3.270529304964197E-4</c:v>
                </c:pt>
                <c:pt idx="778">
                  <c:v>3.1493681290756519E-4</c:v>
                </c:pt>
                <c:pt idx="779">
                  <c:v>3.0323922782204651E-4</c:v>
                </c:pt>
                <c:pt idx="780">
                  <c:v>2.9194692579150125E-4</c:v>
                </c:pt>
                <c:pt idx="781">
                  <c:v>2.8104703081002628E-4</c:v>
                </c:pt>
                <c:pt idx="782">
                  <c:v>2.7052703146155966E-4</c:v>
                </c:pt>
                <c:pt idx="783">
                  <c:v>2.6037477221848014E-4</c:v>
                </c:pt>
                <c:pt idx="784">
                  <c:v>2.5057844489089729E-4</c:v>
                </c:pt>
                <c:pt idx="785">
                  <c:v>2.411265802260288E-4</c:v>
                </c:pt>
                <c:pt idx="786">
                  <c:v>2.3200803965697659E-4</c:v>
                </c:pt>
                <c:pt idx="787">
                  <c:v>2.2321200720013538E-4</c:v>
                </c:pt>
                <c:pt idx="788">
                  <c:v>2.1472798150039927E-4</c:v>
                </c:pt>
                <c:pt idx="789">
                  <c:v>2.0654576802325687E-4</c:v>
                </c:pt>
                <c:pt idx="790">
                  <c:v>1.9865547139280291E-4</c:v>
                </c:pt>
                <c:pt idx="791">
                  <c:v>1.9104748787462713E-4</c:v>
                </c:pt>
                <c:pt idx="792">
                  <c:v>1.8371249800248549E-4</c:v>
                </c:pt>
                <c:pt idx="793">
                  <c:v>1.7664145934759851E-4</c:v>
                </c:pt>
                <c:pt idx="794">
                  <c:v>1.6982559942937045E-4</c:v>
                </c:pt>
                <c:pt idx="795">
                  <c:v>1.6325640876626796E-4</c:v>
                </c:pt>
                <c:pt idx="796">
                  <c:v>1.5692563406555736E-4</c:v>
                </c:pt>
                <c:pt idx="797">
                  <c:v>1.5082527155054216E-4</c:v>
                </c:pt>
                <c:pt idx="798">
                  <c:v>1.4494756042391472E-4</c:v>
                </c:pt>
                <c:pt idx="799">
                  <c:v>1.3928497646578281E-4</c:v>
                </c:pt>
              </c:numCache>
            </c:numRef>
          </c:val>
        </c:ser>
        <c:ser>
          <c:idx val="2"/>
          <c:order val="2"/>
          <c:tx>
            <c:strRef>
              <c:f>Sheet2!$C$1</c:f>
              <c:strCache>
                <c:ptCount val="1"/>
              </c:strCache>
            </c:strRef>
          </c:tx>
          <c:spPr>
            <a:solidFill>
              <a:srgbClr val="78A22F"/>
            </a:solidFill>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Sheet2!$C$2:$C$802</c:f>
              <c:numCache>
                <c:formatCode>General</c:formatCode>
                <c:ptCount val="801"/>
                <c:pt idx="202">
                  <c:v>5.618314190386331E-2</c:v>
                </c:pt>
                <c:pt idx="203">
                  <c:v>5.7303788919112329E-2</c:v>
                </c:pt>
                <c:pt idx="204">
                  <c:v>5.8440944333446578E-2</c:v>
                </c:pt>
                <c:pt idx="205">
                  <c:v>5.9594706068811114E-2</c:v>
                </c:pt>
                <c:pt idx="206">
                  <c:v>6.0765168954559766E-2</c:v>
                </c:pt>
                <c:pt idx="207">
                  <c:v>6.1952424628100078E-2</c:v>
                </c:pt>
                <c:pt idx="208">
                  <c:v>6.3156561435193492E-2</c:v>
                </c:pt>
                <c:pt idx="209">
                  <c:v>6.4377664329964127E-2</c:v>
                </c:pt>
                <c:pt idx="210">
                  <c:v>6.5615814774671294E-2</c:v>
                </c:pt>
                <c:pt idx="211">
                  <c:v>6.6871090639301786E-2</c:v>
                </c:pt>
                <c:pt idx="212">
                  <c:v>6.814356610103911E-2</c:v>
                </c:pt>
                <c:pt idx="213">
                  <c:v>6.9433311543668677E-2</c:v>
                </c:pt>
                <c:pt idx="214">
                  <c:v>7.0740393456977788E-2</c:v>
                </c:pt>
                <c:pt idx="215">
                  <c:v>7.2064874336212337E-2</c:v>
                </c:pt>
                <c:pt idx="216">
                  <c:v>7.340681258165116E-2</c:v>
                </c:pt>
                <c:pt idx="217">
                  <c:v>7.4766262398361802E-2</c:v>
                </c:pt>
                <c:pt idx="218">
                  <c:v>7.6143273696201427E-2</c:v>
                </c:pt>
                <c:pt idx="219">
                  <c:v>7.7537891990128033E-2</c:v>
                </c:pt>
                <c:pt idx="220">
                  <c:v>7.8950158300888126E-2</c:v>
                </c:pt>
                <c:pt idx="221">
                  <c:v>8.0380109056148064E-2</c:v>
                </c:pt>
                <c:pt idx="222">
                  <c:v>8.1827775992136628E-2</c:v>
                </c:pt>
                <c:pt idx="223">
                  <c:v>8.3293186055868218E-2</c:v>
                </c:pt>
                <c:pt idx="224">
                  <c:v>8.4776361308015913E-2</c:v>
                </c:pt>
                <c:pt idx="225">
                  <c:v>8.627731882650512E-2</c:v>
                </c:pt>
                <c:pt idx="226">
                  <c:v>8.7796070610899155E-2</c:v>
                </c:pt>
                <c:pt idx="227">
                  <c:v>8.9332623487648449E-2</c:v>
                </c:pt>
                <c:pt idx="228">
                  <c:v>9.0886979016276237E-2</c:v>
                </c:pt>
                <c:pt idx="229">
                  <c:v>9.2459133396573967E-2</c:v>
                </c:pt>
                <c:pt idx="230">
                  <c:v>9.4049077376880161E-2</c:v>
                </c:pt>
                <c:pt idx="231">
                  <c:v>9.565679616351716E-2</c:v>
                </c:pt>
                <c:pt idx="232">
                  <c:v>9.7282269331460586E-2</c:v>
                </c:pt>
                <c:pt idx="233">
                  <c:v>9.8925470736316704E-2</c:v>
                </c:pt>
                <c:pt idx="234">
                  <c:v>0.10058636842768348</c:v>
                </c:pt>
                <c:pt idx="235">
                  <c:v>0.10226492456397088</c:v>
                </c:pt>
                <c:pt idx="236">
                  <c:v>0.10396109532875697</c:v>
                </c:pt>
                <c:pt idx="237">
                  <c:v>0.10567483084875634</c:v>
                </c:pt>
                <c:pt idx="238">
                  <c:v>0.10740607511347648</c:v>
                </c:pt>
                <c:pt idx="239">
                  <c:v>0.10915476589663993</c:v>
                </c:pt>
                <c:pt idx="240">
                  <c:v>0.11092083467944806</c:v>
                </c:pt>
                <c:pt idx="241">
                  <c:v>0.11270420657576298</c:v>
                </c:pt>
                <c:pt idx="242">
                  <c:v>0.11450480025928474</c:v>
                </c:pt>
                <c:pt idx="243">
                  <c:v>0.11632252789279936</c:v>
                </c:pt>
                <c:pt idx="244">
                  <c:v>0.11815729505957449</c:v>
                </c:pt>
                <c:pt idx="245">
                  <c:v>0.12000900069697774</c:v>
                </c:pt>
                <c:pt idx="246">
                  <c:v>0.12187753703239385</c:v>
                </c:pt>
                <c:pt idx="247">
                  <c:v>0.12376278952151513</c:v>
                </c:pt>
                <c:pt idx="248">
                  <c:v>0.12566463678908008</c:v>
                </c:pt>
                <c:pt idx="249">
                  <c:v>0.12758295057213373</c:v>
                </c:pt>
                <c:pt idx="250">
                  <c:v>0.12951759566588356</c:v>
                </c:pt>
                <c:pt idx="251">
                  <c:v>0.13146842987222279</c:v>
                </c:pt>
                <c:pt idx="252">
                  <c:v>0.13343530395099398</c:v>
                </c:pt>
                <c:pt idx="253">
                  <c:v>0.13541806157406289</c:v>
                </c:pt>
                <c:pt idx="254">
                  <c:v>0.13741653928227332</c:v>
                </c:pt>
                <c:pt idx="255">
                  <c:v>0.13943056644535176</c:v>
                </c:pt>
                <c:pt idx="256">
                  <c:v>0.1414599652248302</c:v>
                </c:pt>
                <c:pt idx="257">
                  <c:v>0.14350455054005376</c:v>
                </c:pt>
                <c:pt idx="258">
                  <c:v>0.1455641300373389</c:v>
                </c:pt>
                <c:pt idx="259">
                  <c:v>0.14763850406234696</c:v>
                </c:pt>
                <c:pt idx="260">
                  <c:v>0.14972746563573605</c:v>
                </c:pt>
                <c:pt idx="261">
                  <c:v>0.1518308004321528</c:v>
                </c:pt>
                <c:pt idx="262">
                  <c:v>0.15394828676262476</c:v>
                </c:pt>
                <c:pt idx="263">
                  <c:v>0.15607969556041187</c:v>
                </c:pt>
                <c:pt idx="264">
                  <c:v>0.15822479037037399</c:v>
                </c:pt>
                <c:pt idx="265">
                  <c:v>0.16038332734191052</c:v>
                </c:pt>
                <c:pt idx="266">
                  <c:v>0.16255505522552499</c:v>
                </c:pt>
                <c:pt idx="267">
                  <c:v>0.16473971537306761</c:v>
                </c:pt>
                <c:pt idx="268">
                  <c:v>0.16693704174170457</c:v>
                </c:pt>
                <c:pt idx="269">
                  <c:v>0.16914676090166308</c:v>
                </c:pt>
                <c:pt idx="270">
                  <c:v>0.17136859204779803</c:v>
                </c:pt>
                <c:pt idx="271">
                  <c:v>0.17360224701502358</c:v>
                </c:pt>
                <c:pt idx="272">
                  <c:v>0.1758474302976529</c:v>
                </c:pt>
                <c:pt idx="273">
                  <c:v>0.17810383907268409</c:v>
                </c:pt>
                <c:pt idx="274">
                  <c:v>0.18037116322707081</c:v>
                </c:pt>
                <c:pt idx="275">
                  <c:v>0.18264908538901234</c:v>
                </c:pt>
                <c:pt idx="276">
                  <c:v>0.18493728096329567</c:v>
                </c:pt>
                <c:pt idx="277">
                  <c:v>0.18723541817071987</c:v>
                </c:pt>
                <c:pt idx="278">
                  <c:v>0.18954315809163055</c:v>
                </c:pt>
                <c:pt idx="279">
                  <c:v>0.19186015471358964</c:v>
                </c:pt>
                <c:pt idx="280">
                  <c:v>0.19418605498320321</c:v>
                </c:pt>
                <c:pt idx="281">
                  <c:v>0.19652049886212672</c:v>
                </c:pt>
                <c:pt idx="282">
                  <c:v>0.19886311938726606</c:v>
                </c:pt>
                <c:pt idx="283">
                  <c:v>0.20121354273518752</c:v>
                </c:pt>
                <c:pt idx="284">
                  <c:v>0.20357138829074956</c:v>
                </c:pt>
                <c:pt idx="285">
                  <c:v>0.20593626871996482</c:v>
                </c:pt>
                <c:pt idx="286">
                  <c:v>0.2083077900470984</c:v>
                </c:pt>
                <c:pt idx="287">
                  <c:v>0.21068555173600531</c:v>
                </c:pt>
                <c:pt idx="288">
                  <c:v>0.21306914677570793</c:v>
                </c:pt>
                <c:pt idx="289">
                  <c:v>0.21545816177020971</c:v>
                </c:pt>
                <c:pt idx="290">
                  <c:v>0.21785217703254053</c:v>
                </c:pt>
                <c:pt idx="291">
                  <c:v>0.22025076668302324</c:v>
                </c:pt>
                <c:pt idx="292">
                  <c:v>0.22265349875175108</c:v>
                </c:pt>
                <c:pt idx="293">
                  <c:v>0.22505993528525955</c:v>
                </c:pt>
                <c:pt idx="294">
                  <c:v>0.22746963245737584</c:v>
                </c:pt>
                <c:pt idx="295">
                  <c:v>0.22988214068422294</c:v>
                </c:pt>
                <c:pt idx="296">
                  <c:v>0.2322970047433561</c:v>
                </c:pt>
                <c:pt idx="297">
                  <c:v>0.23471376389700169</c:v>
                </c:pt>
                <c:pt idx="298">
                  <c:v>0.23713195201936946</c:v>
                </c:pt>
                <c:pt idx="502">
                  <c:v>0.23713195201937942</c:v>
                </c:pt>
                <c:pt idx="503">
                  <c:v>0.23471376389701162</c:v>
                </c:pt>
                <c:pt idx="504">
                  <c:v>0.23229700474336601</c:v>
                </c:pt>
                <c:pt idx="505">
                  <c:v>0.22988214068423282</c:v>
                </c:pt>
                <c:pt idx="506">
                  <c:v>0.22746963245738572</c:v>
                </c:pt>
                <c:pt idx="507">
                  <c:v>0.22505993528526949</c:v>
                </c:pt>
                <c:pt idx="508">
                  <c:v>0.22265349875176096</c:v>
                </c:pt>
                <c:pt idx="509">
                  <c:v>0.22025076668303312</c:v>
                </c:pt>
                <c:pt idx="510">
                  <c:v>0.21785217703255036</c:v>
                </c:pt>
                <c:pt idx="511">
                  <c:v>0.21545816177021951</c:v>
                </c:pt>
                <c:pt idx="512">
                  <c:v>0.2130691467757177</c:v>
                </c:pt>
                <c:pt idx="513">
                  <c:v>0.21068555173601511</c:v>
                </c:pt>
                <c:pt idx="514">
                  <c:v>0.20830779004710817</c:v>
                </c:pt>
                <c:pt idx="515">
                  <c:v>0.20593626871997456</c:v>
                </c:pt>
                <c:pt idx="516">
                  <c:v>0.20357138829075927</c:v>
                </c:pt>
                <c:pt idx="517">
                  <c:v>0.20121354273519718</c:v>
                </c:pt>
                <c:pt idx="518">
                  <c:v>0.19886311938727572</c:v>
                </c:pt>
                <c:pt idx="519">
                  <c:v>0.19652049886213635</c:v>
                </c:pt>
                <c:pt idx="520">
                  <c:v>0.19418605498321276</c:v>
                </c:pt>
                <c:pt idx="521">
                  <c:v>0.19186015471359918</c:v>
                </c:pt>
                <c:pt idx="522">
                  <c:v>0.18954315809164002</c:v>
                </c:pt>
                <c:pt idx="523">
                  <c:v>0.18723541817072933</c:v>
                </c:pt>
                <c:pt idx="524">
                  <c:v>0.18493728096330511</c:v>
                </c:pt>
                <c:pt idx="525">
                  <c:v>0.18264908538902172</c:v>
                </c:pt>
                <c:pt idx="526">
                  <c:v>0.18037116322708011</c:v>
                </c:pt>
                <c:pt idx="527">
                  <c:v>0.17810383907269339</c:v>
                </c:pt>
                <c:pt idx="528">
                  <c:v>0.17584743029766217</c:v>
                </c:pt>
                <c:pt idx="529">
                  <c:v>0.1736022470150328</c:v>
                </c:pt>
                <c:pt idx="530">
                  <c:v>0.17136859204780716</c:v>
                </c:pt>
                <c:pt idx="531">
                  <c:v>0.16914676090167222</c:v>
                </c:pt>
                <c:pt idx="532">
                  <c:v>0.16693704174171362</c:v>
                </c:pt>
                <c:pt idx="533">
                  <c:v>0.16473971537307661</c:v>
                </c:pt>
                <c:pt idx="534">
                  <c:v>0.16255505522553396</c:v>
                </c:pt>
                <c:pt idx="535">
                  <c:v>0.1603833273419194</c:v>
                </c:pt>
                <c:pt idx="536">
                  <c:v>0.15822479037038284</c:v>
                </c:pt>
                <c:pt idx="537">
                  <c:v>0.15607969556042067</c:v>
                </c:pt>
                <c:pt idx="538">
                  <c:v>0.15394828676263347</c:v>
                </c:pt>
                <c:pt idx="539">
                  <c:v>0.15183080043216146</c:v>
                </c:pt>
                <c:pt idx="540">
                  <c:v>0.14972746563574466</c:v>
                </c:pt>
                <c:pt idx="541">
                  <c:v>0.14763850406235551</c:v>
                </c:pt>
                <c:pt idx="542">
                  <c:v>0.14556413003734736</c:v>
                </c:pt>
                <c:pt idx="543">
                  <c:v>0.1435045505400622</c:v>
                </c:pt>
                <c:pt idx="544">
                  <c:v>0.14145996522483856</c:v>
                </c:pt>
                <c:pt idx="545">
                  <c:v>0.13943056644536006</c:v>
                </c:pt>
                <c:pt idx="546">
                  <c:v>0.13741653928228154</c:v>
                </c:pt>
                <c:pt idx="547">
                  <c:v>0.13541806157407105</c:v>
                </c:pt>
                <c:pt idx="548">
                  <c:v>0.13343530395100209</c:v>
                </c:pt>
                <c:pt idx="549">
                  <c:v>0.13146842987223081</c:v>
                </c:pt>
                <c:pt idx="550">
                  <c:v>0.12951759566589149</c:v>
                </c:pt>
                <c:pt idx="551">
                  <c:v>0.12758295057214164</c:v>
                </c:pt>
                <c:pt idx="552">
                  <c:v>0.12566463678908793</c:v>
                </c:pt>
                <c:pt idx="553">
                  <c:v>0.12376278952152291</c:v>
                </c:pt>
                <c:pt idx="554">
                  <c:v>0.12187753703240156</c:v>
                </c:pt>
                <c:pt idx="555">
                  <c:v>0.1200090006969854</c:v>
                </c:pt>
                <c:pt idx="556">
                  <c:v>0.11815729505958207</c:v>
                </c:pt>
                <c:pt idx="557">
                  <c:v>0.11632252789280687</c:v>
                </c:pt>
                <c:pt idx="558">
                  <c:v>0.11450480025929215</c:v>
                </c:pt>
                <c:pt idx="559">
                  <c:v>0.11270420657577036</c:v>
                </c:pt>
                <c:pt idx="560">
                  <c:v>0.11092083467945535</c:v>
                </c:pt>
                <c:pt idx="561">
                  <c:v>0.10915476589664716</c:v>
                </c:pt>
                <c:pt idx="562">
                  <c:v>0.10740607511348362</c:v>
                </c:pt>
                <c:pt idx="563">
                  <c:v>0.10567483084876343</c:v>
                </c:pt>
                <c:pt idx="564">
                  <c:v>0.10396109532876399</c:v>
                </c:pt>
                <c:pt idx="565">
                  <c:v>0.10226492456397779</c:v>
                </c:pt>
                <c:pt idx="566">
                  <c:v>0.10058636842769035</c:v>
                </c:pt>
                <c:pt idx="567">
                  <c:v>9.892547073632349E-2</c:v>
                </c:pt>
                <c:pt idx="568">
                  <c:v>9.7282269331467289E-2</c:v>
                </c:pt>
                <c:pt idx="569">
                  <c:v>9.565679616352378E-2</c:v>
                </c:pt>
                <c:pt idx="570">
                  <c:v>9.4049077376886711E-2</c:v>
                </c:pt>
                <c:pt idx="571">
                  <c:v>9.2459133396580448E-2</c:v>
                </c:pt>
                <c:pt idx="572">
                  <c:v>9.0886979016282649E-2</c:v>
                </c:pt>
                <c:pt idx="573">
                  <c:v>8.9332623487654791E-2</c:v>
                </c:pt>
                <c:pt idx="574">
                  <c:v>8.7796070610905441E-2</c:v>
                </c:pt>
                <c:pt idx="575">
                  <c:v>8.6277318826511323E-2</c:v>
                </c:pt>
                <c:pt idx="576">
                  <c:v>8.4776361308022033E-2</c:v>
                </c:pt>
                <c:pt idx="577">
                  <c:v>8.3293186055874269E-2</c:v>
                </c:pt>
                <c:pt idx="578">
                  <c:v>8.1827775992142596E-2</c:v>
                </c:pt>
                <c:pt idx="579">
                  <c:v>8.0380109056153975E-2</c:v>
                </c:pt>
                <c:pt idx="580">
                  <c:v>7.8950158300893969E-2</c:v>
                </c:pt>
                <c:pt idx="581">
                  <c:v>7.7537891990133806E-2</c:v>
                </c:pt>
                <c:pt idx="582">
                  <c:v>7.6143273696207131E-2</c:v>
                </c:pt>
                <c:pt idx="583">
                  <c:v>7.4766262398367422E-2</c:v>
                </c:pt>
                <c:pt idx="584">
                  <c:v>7.3406812581656697E-2</c:v>
                </c:pt>
                <c:pt idx="585">
                  <c:v>7.2064874336217818E-2</c:v>
                </c:pt>
                <c:pt idx="586">
                  <c:v>7.07403934569832E-2</c:v>
                </c:pt>
                <c:pt idx="587">
                  <c:v>6.9433311543674006E-2</c:v>
                </c:pt>
                <c:pt idx="588">
                  <c:v>6.8143566101044384E-2</c:v>
                </c:pt>
                <c:pt idx="589">
                  <c:v>6.6871090639306963E-2</c:v>
                </c:pt>
                <c:pt idx="590">
                  <c:v>6.5615814774676415E-2</c:v>
                </c:pt>
                <c:pt idx="591">
                  <c:v>6.4377664329969164E-2</c:v>
                </c:pt>
                <c:pt idx="592">
                  <c:v>6.3156561435198461E-2</c:v>
                </c:pt>
                <c:pt idx="593">
                  <c:v>6.1952424628104984E-2</c:v>
                </c:pt>
                <c:pt idx="594">
                  <c:v>6.0765168954564616E-2</c:v>
                </c:pt>
                <c:pt idx="595">
                  <c:v>5.9594706068815895E-2</c:v>
                </c:pt>
                <c:pt idx="596">
                  <c:v>5.8440944333451296E-2</c:v>
                </c:pt>
                <c:pt idx="597">
                  <c:v>5.7303788919116957E-2</c:v>
                </c:pt>
                <c:pt idx="598">
                  <c:v>5.6183141903867868E-2</c:v>
                </c:pt>
              </c:numCache>
            </c:numRef>
          </c:val>
        </c:ser>
        <c:ser>
          <c:idx val="3"/>
          <c:order val="3"/>
          <c:tx>
            <c:strRef>
              <c:f>Sheet2!$D$1</c:f>
              <c:strCache>
                <c:ptCount val="1"/>
                <c:pt idx="0">
                  <c:v>It can be said with 95 per cent confidence that the populaiton lies within the green area</c:v>
                </c:pt>
              </c:strCache>
            </c:strRef>
          </c:tx>
          <c:spPr>
            <a:solidFill>
              <a:srgbClr val="78A22F"/>
            </a:solidFill>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Sheet2!$D$2:$D$802</c:f>
              <c:numCache>
                <c:formatCode>General</c:formatCode>
                <c:ptCount val="801"/>
                <c:pt idx="302">
                  <c:v>0.24680949056703264</c:v>
                </c:pt>
                <c:pt idx="303">
                  <c:v>0.24922765248305584</c:v>
                </c:pt>
                <c:pt idx="304">
                  <c:v>0.25164434109810702</c:v>
                </c:pt>
                <c:pt idx="305">
                  <c:v>0.25405905646917892</c:v>
                </c:pt>
                <c:pt idx="306">
                  <c:v>0.25647129442561029</c:v>
                </c:pt>
                <c:pt idx="307">
                  <c:v>0.25888054673113881</c:v>
                </c:pt>
                <c:pt idx="308">
                  <c:v>0.26128630124954316</c:v>
                </c:pt>
                <c:pt idx="309">
                  <c:v>0.2636880421138082</c:v>
                </c:pt>
                <c:pt idx="310">
                  <c:v>0.26608524989874488</c:v>
                </c:pt>
                <c:pt idx="311">
                  <c:v>0.26847740179699242</c:v>
                </c:pt>
                <c:pt idx="312">
                  <c:v>0.27086397179832811</c:v>
                </c:pt>
                <c:pt idx="313">
                  <c:v>0.27324443087220635</c:v>
                </c:pt>
                <c:pt idx="314">
                  <c:v>0.27561824715344685</c:v>
                </c:pt>
                <c:pt idx="315">
                  <c:v>0.27798488613098665</c:v>
                </c:pt>
                <c:pt idx="316">
                  <c:v>0.2803438108396108</c:v>
                </c:pt>
                <c:pt idx="317">
                  <c:v>0.28269448205457048</c:v>
                </c:pt>
                <c:pt idx="318">
                  <c:v>0.2850363584889975</c:v>
                </c:pt>
                <c:pt idx="319">
                  <c:v>0.28736889699401863</c:v>
                </c:pt>
                <c:pt idx="320">
                  <c:v>0.28969155276147313</c:v>
                </c:pt>
                <c:pt idx="321">
                  <c:v>0.29200377952913187</c:v>
                </c:pt>
                <c:pt idx="322">
                  <c:v>0.29430502978831563</c:v>
                </c:pt>
                <c:pt idx="323">
                  <c:v>0.29659475499380622</c:v>
                </c:pt>
                <c:pt idx="324">
                  <c:v>0.29887240577594332</c:v>
                </c:pt>
                <c:pt idx="325">
                  <c:v>0.30113743215479505</c:v>
                </c:pt>
                <c:pt idx="326">
                  <c:v>0.30338928375629082</c:v>
                </c:pt>
                <c:pt idx="327">
                  <c:v>0.30562741003020066</c:v>
                </c:pt>
                <c:pt idx="328">
                  <c:v>0.30785126046984373</c:v>
                </c:pt>
                <c:pt idx="329">
                  <c:v>0.31006028483340703</c:v>
                </c:pt>
                <c:pt idx="330">
                  <c:v>0.31225393336675222</c:v>
                </c:pt>
                <c:pt idx="331">
                  <c:v>0.31443165702758835</c:v>
                </c:pt>
                <c:pt idx="332">
                  <c:v>0.31659290771088389</c:v>
                </c:pt>
                <c:pt idx="333">
                  <c:v>0.3187371384753927</c:v>
                </c:pt>
                <c:pt idx="334">
                  <c:v>0.32086380377116375</c:v>
                </c:pt>
                <c:pt idx="335">
                  <c:v>0.32297235966790561</c:v>
                </c:pt>
                <c:pt idx="336">
                  <c:v>0.32506226408407352</c:v>
                </c:pt>
                <c:pt idx="337">
                  <c:v>0.32713297701654592</c:v>
                </c:pt>
                <c:pt idx="338">
                  <c:v>0.32918396077075635</c:v>
                </c:pt>
                <c:pt idx="339">
                  <c:v>0.33121468019114458</c:v>
                </c:pt>
                <c:pt idx="340">
                  <c:v>0.33322460289179134</c:v>
                </c:pt>
                <c:pt idx="341">
                  <c:v>0.33521319948709793</c:v>
                </c:pt>
                <c:pt idx="342">
                  <c:v>0.33717994382237249</c:v>
                </c:pt>
                <c:pt idx="343">
                  <c:v>0.33912431320418418</c:v>
                </c:pt>
                <c:pt idx="344">
                  <c:v>0.34104578863034463</c:v>
                </c:pt>
                <c:pt idx="345">
                  <c:v>0.34294385501937613</c:v>
                </c:pt>
                <c:pt idx="346">
                  <c:v>0.34481800143932567</c:v>
                </c:pt>
                <c:pt idx="347">
                  <c:v>0.34666772133578405</c:v>
                </c:pt>
                <c:pt idx="348">
                  <c:v>0.34849251275896703</c:v>
                </c:pt>
                <c:pt idx="349">
                  <c:v>0.35029187858971844</c:v>
                </c:pt>
                <c:pt idx="350">
                  <c:v>0.3520653267642922</c:v>
                </c:pt>
                <c:pt idx="351">
                  <c:v>0.35381237049777253</c:v>
                </c:pt>
                <c:pt idx="352">
                  <c:v>0.35553252850599004</c:v>
                </c:pt>
                <c:pt idx="353">
                  <c:v>0.35722532522579387</c:v>
                </c:pt>
                <c:pt idx="354">
                  <c:v>0.35889029103353781</c:v>
                </c:pt>
                <c:pt idx="355">
                  <c:v>0.36052696246164129</c:v>
                </c:pt>
                <c:pt idx="356">
                  <c:v>0.36213488241308567</c:v>
                </c:pt>
                <c:pt idx="357">
                  <c:v>0.36371360037370698</c:v>
                </c:pt>
                <c:pt idx="358">
                  <c:v>0.36526267262214757</c:v>
                </c:pt>
                <c:pt idx="359">
                  <c:v>0.3667816624373299</c:v>
                </c:pt>
                <c:pt idx="360">
                  <c:v>0.36827014030331723</c:v>
                </c:pt>
                <c:pt idx="361">
                  <c:v>0.36972768411142642</c:v>
                </c:pt>
                <c:pt idx="362">
                  <c:v>0.3711538793594602</c:v>
                </c:pt>
                <c:pt idx="363">
                  <c:v>0.37254831934792776</c:v>
                </c:pt>
                <c:pt idx="364">
                  <c:v>0.37391060537312282</c:v>
                </c:pt>
                <c:pt idx="365">
                  <c:v>0.37524034691693253</c:v>
                </c:pt>
                <c:pt idx="366">
                  <c:v>0.37653716183324865</c:v>
                </c:pt>
                <c:pt idx="367">
                  <c:v>0.37780067653085947</c:v>
                </c:pt>
                <c:pt idx="368">
                  <c:v>0.37903052615269667</c:v>
                </c:pt>
                <c:pt idx="369">
                  <c:v>0.38022635475132011</c:v>
                </c:pt>
                <c:pt idx="370">
                  <c:v>0.38138781546051936</c:v>
                </c:pt>
                <c:pt idx="371">
                  <c:v>0.3825145706629195</c:v>
                </c:pt>
                <c:pt idx="372">
                  <c:v>0.38360629215347414</c:v>
                </c:pt>
                <c:pt idx="373">
                  <c:v>0.3846626612987385</c:v>
                </c:pt>
                <c:pt idx="374">
                  <c:v>0.38568336919181201</c:v>
                </c:pt>
                <c:pt idx="375">
                  <c:v>0.38666811680284524</c:v>
                </c:pt>
                <c:pt idx="376">
                  <c:v>0.38761661512501033</c:v>
                </c:pt>
                <c:pt idx="377">
                  <c:v>0.38852858531583223</c:v>
                </c:pt>
                <c:pt idx="378">
                  <c:v>0.38940375883378692</c:v>
                </c:pt>
                <c:pt idx="379">
                  <c:v>0.39024187757007095</c:v>
                </c:pt>
                <c:pt idx="380">
                  <c:v>0.39104269397545272</c:v>
                </c:pt>
                <c:pt idx="381">
                  <c:v>0.39180597118211807</c:v>
                </c:pt>
                <c:pt idx="382">
                  <c:v>0.39253148312042602</c:v>
                </c:pt>
                <c:pt idx="383">
                  <c:v>0.39321901463049447</c:v>
                </c:pt>
                <c:pt idx="384">
                  <c:v>0.39386836156853827</c:v>
                </c:pt>
                <c:pt idx="385">
                  <c:v>0.39447933090788651</c:v>
                </c:pt>
                <c:pt idx="386">
                  <c:v>0.39505174083460898</c:v>
                </c:pt>
                <c:pt idx="387">
                  <c:v>0.39558542083768533</c:v>
                </c:pt>
                <c:pt idx="388">
                  <c:v>0.39608021179365416</c:v>
                </c:pt>
                <c:pt idx="389">
                  <c:v>0.39653596604568403</c:v>
                </c:pt>
                <c:pt idx="390">
                  <c:v>0.39695254747701014</c:v>
                </c:pt>
                <c:pt idx="391">
                  <c:v>0.39732983157868684</c:v>
                </c:pt>
                <c:pt idx="392">
                  <c:v>0.39766770551160757</c:v>
                </c:pt>
                <c:pt idx="393">
                  <c:v>0.39796606816274988</c:v>
                </c:pt>
                <c:pt idx="394">
                  <c:v>0.39822483019560589</c:v>
                </c:pt>
                <c:pt idx="395">
                  <c:v>0.39844391409476321</c:v>
                </c:pt>
                <c:pt idx="396">
                  <c:v>0.39862325420460437</c:v>
                </c:pt>
                <c:pt idx="397">
                  <c:v>0.39876279676209925</c:v>
                </c:pt>
                <c:pt idx="398">
                  <c:v>0.39886249992366585</c:v>
                </c:pt>
                <c:pt idx="402">
                  <c:v>0.39886249992366613</c:v>
                </c:pt>
                <c:pt idx="403">
                  <c:v>0.39876279676209969</c:v>
                </c:pt>
                <c:pt idx="404">
                  <c:v>0.39862325420460504</c:v>
                </c:pt>
                <c:pt idx="405">
                  <c:v>0.39844391409476404</c:v>
                </c:pt>
                <c:pt idx="406">
                  <c:v>0.39822483019560695</c:v>
                </c:pt>
                <c:pt idx="407">
                  <c:v>0.39796606816275104</c:v>
                </c:pt>
                <c:pt idx="408">
                  <c:v>0.39766770551160885</c:v>
                </c:pt>
                <c:pt idx="409">
                  <c:v>0.39732983157868834</c:v>
                </c:pt>
                <c:pt idx="410">
                  <c:v>0.39695254747701181</c:v>
                </c:pt>
                <c:pt idx="411">
                  <c:v>0.39653596604568575</c:v>
                </c:pt>
                <c:pt idx="412">
                  <c:v>0.3960802117936561</c:v>
                </c:pt>
                <c:pt idx="413">
                  <c:v>0.39558542083768738</c:v>
                </c:pt>
                <c:pt idx="414">
                  <c:v>0.39505174083461125</c:v>
                </c:pt>
                <c:pt idx="415">
                  <c:v>0.39447933090788895</c:v>
                </c:pt>
                <c:pt idx="416">
                  <c:v>0.39386836156854083</c:v>
                </c:pt>
                <c:pt idx="417">
                  <c:v>0.39321901463049719</c:v>
                </c:pt>
                <c:pt idx="418">
                  <c:v>0.3925314831204289</c:v>
                </c:pt>
                <c:pt idx="419">
                  <c:v>0.39180597118212113</c:v>
                </c:pt>
                <c:pt idx="420">
                  <c:v>0.39104269397545588</c:v>
                </c:pt>
                <c:pt idx="421">
                  <c:v>0.39024187757007428</c:v>
                </c:pt>
                <c:pt idx="422">
                  <c:v>0.38940375883379041</c:v>
                </c:pt>
                <c:pt idx="423">
                  <c:v>0.38852858531583589</c:v>
                </c:pt>
                <c:pt idx="424">
                  <c:v>0.38761661512501416</c:v>
                </c:pt>
                <c:pt idx="425">
                  <c:v>0.38666811680284918</c:v>
                </c:pt>
                <c:pt idx="426">
                  <c:v>0.38568336919181606</c:v>
                </c:pt>
                <c:pt idx="427">
                  <c:v>0.38466266129874277</c:v>
                </c:pt>
                <c:pt idx="428">
                  <c:v>0.38360629215347858</c:v>
                </c:pt>
                <c:pt idx="429">
                  <c:v>0.38251457066292405</c:v>
                </c:pt>
                <c:pt idx="430">
                  <c:v>0.38138781546052408</c:v>
                </c:pt>
                <c:pt idx="431">
                  <c:v>0.38022635475132494</c:v>
                </c:pt>
                <c:pt idx="432">
                  <c:v>0.37903052615270166</c:v>
                </c:pt>
                <c:pt idx="433">
                  <c:v>0.37780067653086458</c:v>
                </c:pt>
                <c:pt idx="434">
                  <c:v>0.37653716183325392</c:v>
                </c:pt>
                <c:pt idx="435">
                  <c:v>0.37524034691693786</c:v>
                </c:pt>
                <c:pt idx="436">
                  <c:v>0.37391060537312837</c:v>
                </c:pt>
                <c:pt idx="437">
                  <c:v>0.37254831934793342</c:v>
                </c:pt>
                <c:pt idx="438">
                  <c:v>0.37115387935946603</c:v>
                </c:pt>
                <c:pt idx="439">
                  <c:v>0.36972768411143231</c:v>
                </c:pt>
                <c:pt idx="440">
                  <c:v>0.36827014030332333</c:v>
                </c:pt>
                <c:pt idx="441">
                  <c:v>0.36678166243733606</c:v>
                </c:pt>
                <c:pt idx="442">
                  <c:v>0.36526267262215384</c:v>
                </c:pt>
                <c:pt idx="443">
                  <c:v>0.36371360037371336</c:v>
                </c:pt>
                <c:pt idx="444">
                  <c:v>0.36213488241309216</c:v>
                </c:pt>
                <c:pt idx="445">
                  <c:v>0.36052696246164789</c:v>
                </c:pt>
                <c:pt idx="446">
                  <c:v>0.35889029103354458</c:v>
                </c:pt>
                <c:pt idx="447">
                  <c:v>0.3572253252258008</c:v>
                </c:pt>
                <c:pt idx="448">
                  <c:v>0.35553252850599704</c:v>
                </c:pt>
                <c:pt idx="449">
                  <c:v>0.35381237049777964</c:v>
                </c:pt>
                <c:pt idx="450">
                  <c:v>0.35206532676429947</c:v>
                </c:pt>
                <c:pt idx="451">
                  <c:v>0.35029187858972577</c:v>
                </c:pt>
                <c:pt idx="452">
                  <c:v>0.34849251275897447</c:v>
                </c:pt>
                <c:pt idx="453">
                  <c:v>0.3466677213357916</c:v>
                </c:pt>
                <c:pt idx="454">
                  <c:v>0.34481800143933333</c:v>
                </c:pt>
                <c:pt idx="455">
                  <c:v>0.3429438550193839</c:v>
                </c:pt>
                <c:pt idx="456">
                  <c:v>0.34104578863035251</c:v>
                </c:pt>
                <c:pt idx="457">
                  <c:v>0.33912431320419212</c:v>
                </c:pt>
                <c:pt idx="458">
                  <c:v>0.33717994382238048</c:v>
                </c:pt>
                <c:pt idx="459">
                  <c:v>0.33521319948710609</c:v>
                </c:pt>
                <c:pt idx="460">
                  <c:v>0.33322460289179962</c:v>
                </c:pt>
                <c:pt idx="461">
                  <c:v>0.33121468019115285</c:v>
                </c:pt>
                <c:pt idx="462">
                  <c:v>0.32918396077076473</c:v>
                </c:pt>
                <c:pt idx="463">
                  <c:v>0.32713297701655442</c:v>
                </c:pt>
                <c:pt idx="464">
                  <c:v>0.32506226408408206</c:v>
                </c:pt>
                <c:pt idx="465">
                  <c:v>0.32297235966791421</c:v>
                </c:pt>
                <c:pt idx="466">
                  <c:v>0.32086380377117241</c:v>
                </c:pt>
                <c:pt idx="467">
                  <c:v>0.31873713847540147</c:v>
                </c:pt>
                <c:pt idx="468">
                  <c:v>0.31659290771089271</c:v>
                </c:pt>
                <c:pt idx="469">
                  <c:v>0.31443165702759723</c:v>
                </c:pt>
                <c:pt idx="470">
                  <c:v>0.31225393336676116</c:v>
                </c:pt>
                <c:pt idx="471">
                  <c:v>0.31006028483341608</c:v>
                </c:pt>
                <c:pt idx="472">
                  <c:v>0.30785126046985284</c:v>
                </c:pt>
                <c:pt idx="473">
                  <c:v>0.30562741003020982</c:v>
                </c:pt>
                <c:pt idx="474">
                  <c:v>0.30338928375630003</c:v>
                </c:pt>
                <c:pt idx="475">
                  <c:v>0.30113743215480432</c:v>
                </c:pt>
                <c:pt idx="476">
                  <c:v>0.29887240577595264</c:v>
                </c:pt>
                <c:pt idx="477">
                  <c:v>0.29659475499381566</c:v>
                </c:pt>
                <c:pt idx="478">
                  <c:v>0.29430502978832507</c:v>
                </c:pt>
                <c:pt idx="479">
                  <c:v>0.29200377952914136</c:v>
                </c:pt>
                <c:pt idx="480">
                  <c:v>0.28969155276148262</c:v>
                </c:pt>
                <c:pt idx="481">
                  <c:v>0.28736889699402818</c:v>
                </c:pt>
                <c:pt idx="482">
                  <c:v>0.2850363584890071</c:v>
                </c:pt>
                <c:pt idx="483">
                  <c:v>0.28269448205458014</c:v>
                </c:pt>
                <c:pt idx="484">
                  <c:v>0.28034381083962046</c:v>
                </c:pt>
                <c:pt idx="485">
                  <c:v>0.27798488613099637</c:v>
                </c:pt>
                <c:pt idx="486">
                  <c:v>0.27561824715345656</c:v>
                </c:pt>
                <c:pt idx="487">
                  <c:v>0.27324443087221617</c:v>
                </c:pt>
                <c:pt idx="488">
                  <c:v>0.27086397179833788</c:v>
                </c:pt>
                <c:pt idx="489">
                  <c:v>0.26847740179700225</c:v>
                </c:pt>
                <c:pt idx="490">
                  <c:v>0.26608524989875471</c:v>
                </c:pt>
                <c:pt idx="491">
                  <c:v>0.26368804211381802</c:v>
                </c:pt>
                <c:pt idx="492">
                  <c:v>0.26128630124955304</c:v>
                </c:pt>
                <c:pt idx="493">
                  <c:v>0.25888054673114869</c:v>
                </c:pt>
                <c:pt idx="494">
                  <c:v>0.25647129442562022</c:v>
                </c:pt>
                <c:pt idx="495">
                  <c:v>0.25405905646918886</c:v>
                </c:pt>
                <c:pt idx="496">
                  <c:v>0.25164434109811695</c:v>
                </c:pt>
                <c:pt idx="497">
                  <c:v>0.24922765248306578</c:v>
                </c:pt>
                <c:pt idx="498">
                  <c:v>0.24680949056704254</c:v>
                </c:pt>
              </c:numCache>
            </c:numRef>
          </c:val>
        </c:ser>
        <c:dLbls>
          <c:showLegendKey val="0"/>
          <c:showVal val="0"/>
          <c:showCatName val="0"/>
          <c:showSerName val="0"/>
          <c:showPercent val="0"/>
          <c:showBubbleSize val="0"/>
        </c:dLbls>
        <c:axId val="135354624"/>
        <c:axId val="135393664"/>
      </c:areaChart>
      <c:catAx>
        <c:axId val="135354624"/>
        <c:scaling>
          <c:orientation val="minMax"/>
        </c:scaling>
        <c:delete val="0"/>
        <c:axPos val="b"/>
        <c:title>
          <c:tx>
            <c:rich>
              <a:bodyPr/>
              <a:lstStyle/>
              <a:p>
                <a:pPr>
                  <a:defRPr sz="900" b="0"/>
                </a:pPr>
                <a:r>
                  <a:rPr lang="en-AU" sz="900" b="0"/>
                  <a:t>x</a:t>
                </a:r>
                <a:r>
                  <a:rPr lang="en-AU" sz="900" b="0" baseline="0"/>
                  <a:t> </a:t>
                </a:r>
                <a:r>
                  <a:rPr lang="en-AU" sz="900" b="0" i="0" u="none" strike="noStrike" baseline="0">
                    <a:effectLst/>
                  </a:rPr>
                  <a:t>– </a:t>
                </a:r>
                <a:r>
                  <a:rPr lang="en-AU" sz="900" b="0" baseline="0"/>
                  <a:t>1.96SE(x)                               x + 1.96SE(x)</a:t>
                </a:r>
                <a:endParaRPr lang="en-AU" sz="900" b="0"/>
              </a:p>
            </c:rich>
          </c:tx>
          <c:layout>
            <c:manualLayout>
              <c:xMode val="edge"/>
              <c:yMode val="edge"/>
              <c:x val="0.25843365894715226"/>
              <c:y val="0.70307870370370373"/>
            </c:manualLayout>
          </c:layout>
          <c:overlay val="0"/>
        </c:title>
        <c:numFmt formatCode="#0;\-#0;0" sourceLinked="0"/>
        <c:majorTickMark val="out"/>
        <c:minorTickMark val="none"/>
        <c:tickLblPos val="nextTo"/>
        <c:spPr>
          <a:ln>
            <a:noFill/>
          </a:ln>
        </c:spPr>
        <c:txPr>
          <a:bodyPr/>
          <a:lstStyle/>
          <a:p>
            <a:pPr>
              <a:defRPr sz="900" b="0" baseline="0">
                <a:ln>
                  <a:solidFill>
                    <a:sysClr val="windowText" lastClr="000000"/>
                  </a:solidFill>
                </a:ln>
                <a:latin typeface="Arial" panose="020B0604020202020204" pitchFamily="34" charset="0"/>
                <a:cs typeface="Arial" panose="020B0604020202020204" pitchFamily="34" charset="0"/>
              </a:defRPr>
            </a:pPr>
            <a:endParaRPr lang="en-US"/>
          </a:p>
        </c:txPr>
        <c:crossAx val="135393664"/>
        <c:crosses val="autoZero"/>
        <c:auto val="0"/>
        <c:lblAlgn val="ctr"/>
        <c:lblOffset val="50"/>
        <c:tickLblSkip val="100"/>
        <c:tickMarkSkip val="100"/>
        <c:noMultiLvlLbl val="0"/>
      </c:catAx>
      <c:valAx>
        <c:axId val="135393664"/>
        <c:scaling>
          <c:orientation val="minMax"/>
          <c:max val="0.4"/>
        </c:scaling>
        <c:delete val="1"/>
        <c:axPos val="l"/>
        <c:numFmt formatCode="General" sourceLinked="1"/>
        <c:majorTickMark val="out"/>
        <c:minorTickMark val="none"/>
        <c:tickLblPos val="nextTo"/>
        <c:crossAx val="135354624"/>
        <c:crosses val="autoZero"/>
        <c:crossBetween val="midCat"/>
        <c:majorUnit val="5.000000000000001E-2"/>
      </c:valAx>
      <c:spPr>
        <a:noFill/>
        <a:ln>
          <a:noFill/>
        </a:ln>
      </c:spPr>
    </c:plotArea>
    <c:legend>
      <c:legendPos val="l"/>
      <c:legendEntry>
        <c:idx val="0"/>
        <c:delete val="1"/>
      </c:legendEntry>
      <c:legendEntry>
        <c:idx val="1"/>
        <c:delete val="1"/>
      </c:legendEntry>
      <c:legendEntry>
        <c:idx val="2"/>
        <c:delete val="1"/>
      </c:legendEntry>
      <c:layout>
        <c:manualLayout>
          <c:xMode val="edge"/>
          <c:yMode val="edge"/>
          <c:x val="3.0574074074074073E-2"/>
          <c:y val="0.90011141975308639"/>
          <c:w val="0.91988000000000003"/>
          <c:h val="8.1721296296296292E-2"/>
        </c:manualLayout>
      </c:layout>
      <c:overlay val="0"/>
      <c:txPr>
        <a:bodyPr/>
        <a:lstStyle/>
        <a:p>
          <a:pPr>
            <a:defRPr sz="900"/>
          </a:pPr>
          <a:endParaRPr lang="en-US"/>
        </a:p>
      </c:txPr>
    </c:legend>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0.26549</cdr:x>
      <cdr:y>0.75063</cdr:y>
    </cdr:from>
    <cdr:to>
      <cdr:x>0.73997</cdr:x>
      <cdr:y>0.8173</cdr:y>
    </cdr:to>
    <cdr:grpSp>
      <cdr:nvGrpSpPr>
        <cdr:cNvPr id="12" name="Group 11"/>
        <cdr:cNvGrpSpPr/>
      </cdr:nvGrpSpPr>
      <cdr:grpSpPr>
        <a:xfrm xmlns:a="http://schemas.openxmlformats.org/drawingml/2006/main">
          <a:off x="1433646" y="2432041"/>
          <a:ext cx="2562192" cy="216011"/>
          <a:chOff x="1481138" y="2652710"/>
          <a:chExt cx="2562226" cy="216000"/>
        </a:xfrm>
      </cdr:grpSpPr>
      <cdr:cxnSp macro="">
        <cdr:nvCxnSpPr>
          <cdr:cNvPr id="3" name="Straight Arrow Connector 2"/>
          <cdr:cNvCxnSpPr/>
        </cdr:nvCxnSpPr>
        <cdr:spPr>
          <a:xfrm xmlns:a="http://schemas.openxmlformats.org/drawingml/2006/main">
            <a:off x="1481138" y="2781297"/>
            <a:ext cx="2562226" cy="0"/>
          </a:xfrm>
          <a:prstGeom xmlns:a="http://schemas.openxmlformats.org/drawingml/2006/main" prst="straightConnector1">
            <a:avLst/>
          </a:prstGeom>
          <a:ln xmlns:a="http://schemas.openxmlformats.org/drawingml/2006/main" w="31750">
            <a:solidFill>
              <a:schemeClr val="tx1"/>
            </a:solidFill>
            <a:headEnd type="triangle" w="lg" len="med"/>
            <a:tailEnd type="stealth" w="lg"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sp macro="" textlink="">
        <cdr:nvSpPr>
          <cdr:cNvPr id="5" name="TextBox 4"/>
          <cdr:cNvSpPr txBox="1"/>
        </cdr:nvSpPr>
        <cdr:spPr>
          <a:xfrm xmlns:a="http://schemas.openxmlformats.org/drawingml/2006/main">
            <a:off x="2285293" y="2652710"/>
            <a:ext cx="1047396" cy="216000"/>
          </a:xfrm>
          <a:prstGeom xmlns:a="http://schemas.openxmlformats.org/drawingml/2006/main" prst="rect">
            <a:avLst/>
          </a:prstGeom>
          <a:solidFill xmlns:a="http://schemas.openxmlformats.org/drawingml/2006/main">
            <a:sysClr val="window" lastClr="FFFFFF"/>
          </a:solidFill>
        </cdr:spPr>
        <cdr:txBody>
          <a:bodyPr xmlns:a="http://schemas.openxmlformats.org/drawingml/2006/main" vertOverflow="clip"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95 per cent CI</a:t>
            </a:r>
          </a:p>
        </cdr:txBody>
      </cdr:sp>
    </cdr:grp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1873C-2635-4571-87E9-45A6383D2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67</TotalTime>
  <Pages>26</Pages>
  <Words>7052</Words>
  <Characters>37517</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Chapter 2 Statistical context - Report on Government Services 2016</vt:lpstr>
    </vt:vector>
  </TitlesOfParts>
  <Company>Productivity Commission</Company>
  <LinksUpToDate>false</LinksUpToDate>
  <CharactersWithSpaces>44481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Statistical context - Report on Government Services 2016</dc:title>
  <dc:subject/>
  <dc:creator>Steering Committee for the Review of Government Service Provision</dc:creator>
  <dc:description/>
  <cp:lastModifiedBy>Lazar, Katarina</cp:lastModifiedBy>
  <cp:revision>20</cp:revision>
  <cp:lastPrinted>2014-07-13T11:30:00Z</cp:lastPrinted>
  <dcterms:created xsi:type="dcterms:W3CDTF">2015-12-15T05:36:00Z</dcterms:created>
  <dcterms:modified xsi:type="dcterms:W3CDTF">2016-01-12T01:31:00Z</dcterms:modified>
</cp:coreProperties>
</file>